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49"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911860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937895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10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5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10-K</w:t>
      </w:r>
    </w:p>
    <w:p>
      <w:pPr>
        <w:spacing w:after="0" w:line="4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36" w:lineRule="exact"/>
        <w:rPr>
          <w:sz w:val="24"/>
          <w:szCs w:val="24"/>
          <w:color w:val="auto"/>
        </w:rPr>
      </w:pPr>
    </w:p>
    <w:p>
      <w:pPr>
        <w:ind w:left="420" w:right="2040" w:hanging="367"/>
        <w:spacing w:after="0" w:line="297" w:lineRule="auto"/>
        <w:tabs>
          <w:tab w:leader="none" w:pos="42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ANNUAL REPORT PURSUANT TO SECTION 13 OR 15(d) OF THE SECURITIES EXCHANGE ACT OF 1934 For the fiscal year ended December 31, 2022</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50" w:lineRule="exact"/>
        <w:rPr>
          <w:sz w:val="24"/>
          <w:szCs w:val="24"/>
          <w:color w:val="auto"/>
        </w:rPr>
      </w:pPr>
    </w:p>
    <w:p>
      <w:pPr>
        <w:ind w:left="420" w:hanging="367"/>
        <w:spacing w:after="0"/>
        <w:tabs>
          <w:tab w:leader="none" w:pos="42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340" w:type="dxa"/>
            <w:vAlign w:val="bottom"/>
          </w:tcPr>
          <w:p>
            <w:pPr>
              <w:ind w:left="420"/>
              <w:spacing w:after="0"/>
              <w:rPr>
                <w:sz w:val="20"/>
                <w:szCs w:val="20"/>
                <w:color w:val="auto"/>
              </w:rPr>
            </w:pPr>
            <w:r>
              <w:rPr>
                <w:rFonts w:ascii="Arial" w:cs="Arial" w:eastAsia="Arial" w:hAnsi="Arial"/>
                <w:sz w:val="18"/>
                <w:szCs w:val="18"/>
                <w:b w:val="1"/>
                <w:bCs w:val="1"/>
                <w:color w:val="auto"/>
              </w:rPr>
              <w:t>For the transition period from</w:t>
            </w:r>
          </w:p>
        </w:tc>
        <w:tc>
          <w:tcPr>
            <w:tcW w:w="940" w:type="dxa"/>
            <w:vAlign w:val="bottom"/>
          </w:tcPr>
          <w:p>
            <w:pPr>
              <w:ind w:left="40"/>
              <w:spacing w:after="0"/>
              <w:rPr>
                <w:sz w:val="20"/>
                <w:szCs w:val="20"/>
                <w:color w:val="auto"/>
              </w:rPr>
            </w:pPr>
            <w:r>
              <w:rPr>
                <w:rFonts w:ascii="Arial" w:cs="Arial" w:eastAsia="Arial" w:hAnsi="Arial"/>
                <w:sz w:val="18"/>
                <w:szCs w:val="18"/>
                <w:b w:val="1"/>
                <w:bCs w:val="1"/>
                <w:color w:val="auto"/>
              </w:rPr>
              <w:t>to</w:t>
            </w:r>
          </w:p>
        </w:tc>
        <w:tc>
          <w:tcPr>
            <w:tcW w:w="340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0"/>
        </w:trPr>
        <w:tc>
          <w:tcPr>
            <w:tcW w:w="3340" w:type="dxa"/>
            <w:vAlign w:val="bottom"/>
          </w:tcPr>
          <w:p>
            <w:pPr>
              <w:spacing w:after="0"/>
              <w:rPr>
                <w:sz w:val="24"/>
                <w:szCs w:val="24"/>
                <w:color w:val="auto"/>
              </w:rPr>
            </w:pPr>
          </w:p>
        </w:tc>
        <w:tc>
          <w:tcPr>
            <w:tcW w:w="4340" w:type="dxa"/>
            <w:vAlign w:val="bottom"/>
            <w:gridSpan w:val="2"/>
          </w:tcPr>
          <w:p>
            <w:pPr>
              <w:jc w:val="center"/>
              <w:ind w:left="159"/>
              <w:spacing w:after="0"/>
              <w:rPr>
                <w:sz w:val="20"/>
                <w:szCs w:val="20"/>
                <w:color w:val="auto"/>
              </w:rPr>
            </w:pPr>
            <w:r>
              <w:rPr>
                <w:rFonts w:ascii="Arial" w:cs="Arial" w:eastAsia="Arial" w:hAnsi="Arial"/>
                <w:sz w:val="18"/>
                <w:szCs w:val="18"/>
                <w:b w:val="1"/>
                <w:bCs w:val="1"/>
                <w:color w:val="auto"/>
                <w:w w:val="91"/>
              </w:rPr>
              <w:t>Commission File Number: 001-39408</w:t>
            </w:r>
          </w:p>
        </w:tc>
        <w:tc>
          <w:tcPr>
            <w:tcW w:w="3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4"/>
        </w:trPr>
        <w:tc>
          <w:tcPr>
            <w:tcW w:w="3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00" w:type="dxa"/>
            <w:vAlign w:val="bottom"/>
          </w:tcPr>
          <w:p>
            <w:pPr>
              <w:jc w:val="center"/>
              <w:ind w:right="604"/>
              <w:spacing w:after="0"/>
              <w:rPr>
                <w:sz w:val="20"/>
                <w:szCs w:val="20"/>
                <w:color w:val="auto"/>
              </w:rPr>
            </w:pPr>
            <w:r>
              <w:rPr>
                <w:rFonts w:ascii="Arial" w:cs="Arial" w:eastAsia="Arial" w:hAnsi="Arial"/>
                <w:sz w:val="32"/>
                <w:szCs w:val="32"/>
                <w:b w:val="1"/>
                <w:bCs w:val="1"/>
                <w:color w:val="auto"/>
                <w:w w:val="94"/>
              </w:rPr>
              <w:t>Lucid Group, Inc.</w:t>
            </w:r>
          </w:p>
        </w:tc>
        <w:tc>
          <w:tcPr>
            <w:tcW w:w="3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3340" w:type="dxa"/>
            <w:vAlign w:val="bottom"/>
          </w:tcPr>
          <w:p>
            <w:pPr>
              <w:spacing w:after="0"/>
              <w:rPr>
                <w:sz w:val="22"/>
                <w:szCs w:val="22"/>
                <w:color w:val="auto"/>
              </w:rPr>
            </w:pPr>
          </w:p>
        </w:tc>
        <w:tc>
          <w:tcPr>
            <w:tcW w:w="4340" w:type="dxa"/>
            <w:vAlign w:val="bottom"/>
            <w:gridSpan w:val="2"/>
          </w:tcPr>
          <w:p>
            <w:pPr>
              <w:jc w:val="center"/>
              <w:ind w:left="159"/>
              <w:spacing w:after="0"/>
              <w:rPr>
                <w:sz w:val="20"/>
                <w:szCs w:val="20"/>
                <w:color w:val="auto"/>
              </w:rPr>
            </w:pPr>
            <w:r>
              <w:rPr>
                <w:rFonts w:ascii="Arial" w:cs="Arial" w:eastAsia="Arial" w:hAnsi="Arial"/>
                <w:sz w:val="14"/>
                <w:szCs w:val="14"/>
                <w:b w:val="1"/>
                <w:bCs w:val="1"/>
                <w:color w:val="auto"/>
                <w:w w:val="92"/>
              </w:rPr>
              <w:t>(Exact name of registrant as specified in its charter)</w:t>
            </w:r>
          </w:p>
        </w:tc>
        <w:tc>
          <w:tcPr>
            <w:tcW w:w="3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6"/>
        </w:trPr>
        <w:tc>
          <w:tcPr>
            <w:tcW w:w="3340" w:type="dxa"/>
            <w:vAlign w:val="bottom"/>
          </w:tcPr>
          <w:p>
            <w:pPr>
              <w:jc w:val="center"/>
              <w:ind w:left="1399"/>
              <w:spacing w:after="0"/>
              <w:rPr>
                <w:sz w:val="20"/>
                <w:szCs w:val="20"/>
                <w:color w:val="auto"/>
              </w:rPr>
            </w:pPr>
            <w:r>
              <w:rPr>
                <w:rFonts w:ascii="Arial" w:cs="Arial" w:eastAsia="Arial" w:hAnsi="Arial"/>
                <w:sz w:val="18"/>
                <w:szCs w:val="18"/>
                <w:b w:val="1"/>
                <w:bCs w:val="1"/>
                <w:color w:val="auto"/>
                <w:w w:val="93"/>
              </w:rPr>
              <w:t>Delaware</w:t>
            </w:r>
          </w:p>
        </w:tc>
        <w:tc>
          <w:tcPr>
            <w:tcW w:w="940" w:type="dxa"/>
            <w:vAlign w:val="bottom"/>
          </w:tcPr>
          <w:p>
            <w:pPr>
              <w:spacing w:after="0"/>
              <w:rPr>
                <w:sz w:val="24"/>
                <w:szCs w:val="24"/>
                <w:color w:val="auto"/>
              </w:rPr>
            </w:pPr>
          </w:p>
        </w:tc>
        <w:tc>
          <w:tcPr>
            <w:tcW w:w="3400" w:type="dxa"/>
            <w:vAlign w:val="bottom"/>
          </w:tcPr>
          <w:p>
            <w:pPr>
              <w:jc w:val="right"/>
              <w:spacing w:after="0"/>
              <w:rPr>
                <w:sz w:val="20"/>
                <w:szCs w:val="20"/>
                <w:color w:val="auto"/>
              </w:rPr>
            </w:pPr>
            <w:r>
              <w:rPr>
                <w:rFonts w:ascii="Arial" w:cs="Arial" w:eastAsia="Arial" w:hAnsi="Arial"/>
                <w:sz w:val="18"/>
                <w:szCs w:val="18"/>
                <w:b w:val="1"/>
                <w:bCs w:val="1"/>
                <w:color w:val="auto"/>
              </w:rPr>
              <w:t>85-0891392</w:t>
            </w:r>
          </w:p>
        </w:tc>
        <w:tc>
          <w:tcPr>
            <w:tcW w:w="3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5"/>
        </w:trPr>
        <w:tc>
          <w:tcPr>
            <w:tcW w:w="4280" w:type="dxa"/>
            <w:vAlign w:val="bottom"/>
            <w:gridSpan w:val="2"/>
          </w:tcPr>
          <w:p>
            <w:pPr>
              <w:jc w:val="center"/>
              <w:ind w:left="459"/>
              <w:spacing w:after="0"/>
              <w:rPr>
                <w:sz w:val="20"/>
                <w:szCs w:val="20"/>
                <w:color w:val="auto"/>
              </w:rPr>
            </w:pPr>
            <w:r>
              <w:rPr>
                <w:rFonts w:ascii="Arial" w:cs="Arial" w:eastAsia="Arial" w:hAnsi="Arial"/>
                <w:sz w:val="14"/>
                <w:szCs w:val="14"/>
                <w:b w:val="1"/>
                <w:bCs w:val="1"/>
                <w:i w:val="1"/>
                <w:iCs w:val="1"/>
                <w:color w:val="auto"/>
                <w:w w:val="90"/>
              </w:rPr>
              <w:t>(State or other jurisdiction of incorporation or organization)</w:t>
            </w:r>
          </w:p>
        </w:tc>
        <w:tc>
          <w:tcPr>
            <w:tcW w:w="6740" w:type="dxa"/>
            <w:vAlign w:val="bottom"/>
            <w:gridSpan w:val="2"/>
          </w:tcPr>
          <w:p>
            <w:pPr>
              <w:jc w:val="center"/>
              <w:ind w:right="759"/>
              <w:spacing w:after="0"/>
              <w:rPr>
                <w:sz w:val="20"/>
                <w:szCs w:val="20"/>
                <w:color w:val="auto"/>
              </w:rPr>
            </w:pPr>
            <w:r>
              <w:rPr>
                <w:rFonts w:ascii="Arial" w:cs="Arial" w:eastAsia="Arial" w:hAnsi="Arial"/>
                <w:sz w:val="14"/>
                <w:szCs w:val="14"/>
                <w:b w:val="1"/>
                <w:bCs w:val="1"/>
                <w:i w:val="1"/>
                <w:iCs w:val="1"/>
                <w:color w:val="auto"/>
                <w:w w:val="93"/>
              </w:rPr>
              <w:t>(I.R.S. Employer Identification No.)</w:t>
            </w:r>
          </w:p>
        </w:tc>
        <w:tc>
          <w:tcPr>
            <w:tcW w:w="0" w:type="dxa"/>
            <w:vAlign w:val="bottom"/>
          </w:tcPr>
          <w:p>
            <w:pPr>
              <w:spacing w:after="0"/>
              <w:rPr>
                <w:sz w:val="1"/>
                <w:szCs w:val="1"/>
                <w:color w:val="auto"/>
              </w:rPr>
            </w:pPr>
          </w:p>
        </w:tc>
      </w:tr>
      <w:tr>
        <w:trPr>
          <w:trHeight w:val="452"/>
        </w:trPr>
        <w:tc>
          <w:tcPr>
            <w:tcW w:w="3340" w:type="dxa"/>
            <w:vAlign w:val="bottom"/>
          </w:tcPr>
          <w:p>
            <w:pPr>
              <w:spacing w:after="0"/>
              <w:rPr>
                <w:sz w:val="24"/>
                <w:szCs w:val="24"/>
                <w:color w:val="auto"/>
              </w:rPr>
            </w:pPr>
          </w:p>
        </w:tc>
        <w:tc>
          <w:tcPr>
            <w:tcW w:w="4340" w:type="dxa"/>
            <w:vAlign w:val="bottom"/>
            <w:gridSpan w:val="2"/>
          </w:tcPr>
          <w:p>
            <w:pPr>
              <w:jc w:val="center"/>
              <w:ind w:left="139"/>
              <w:spacing w:after="0"/>
              <w:rPr>
                <w:sz w:val="20"/>
                <w:szCs w:val="20"/>
                <w:color w:val="auto"/>
              </w:rPr>
            </w:pPr>
            <w:r>
              <w:rPr>
                <w:rFonts w:ascii="Arial" w:cs="Arial" w:eastAsia="Arial" w:hAnsi="Arial"/>
                <w:sz w:val="18"/>
                <w:szCs w:val="18"/>
                <w:b w:val="1"/>
                <w:bCs w:val="1"/>
                <w:color w:val="auto"/>
                <w:w w:val="92"/>
              </w:rPr>
              <w:t>7373 Gateway Boulevard, Newark, CA 94560</w:t>
            </w:r>
          </w:p>
        </w:tc>
        <w:tc>
          <w:tcPr>
            <w:tcW w:w="3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3340" w:type="dxa"/>
            <w:vAlign w:val="bottom"/>
          </w:tcPr>
          <w:p>
            <w:pPr>
              <w:spacing w:after="0"/>
              <w:rPr>
                <w:sz w:val="15"/>
                <w:szCs w:val="15"/>
                <w:color w:val="auto"/>
              </w:rPr>
            </w:pPr>
          </w:p>
        </w:tc>
        <w:tc>
          <w:tcPr>
            <w:tcW w:w="4340" w:type="dxa"/>
            <w:vAlign w:val="bottom"/>
            <w:gridSpan w:val="2"/>
          </w:tcPr>
          <w:p>
            <w:pPr>
              <w:jc w:val="center"/>
              <w:ind w:left="159"/>
              <w:spacing w:after="0"/>
              <w:rPr>
                <w:sz w:val="20"/>
                <w:szCs w:val="20"/>
                <w:color w:val="auto"/>
              </w:rPr>
            </w:pPr>
            <w:r>
              <w:rPr>
                <w:rFonts w:ascii="Arial" w:cs="Arial" w:eastAsia="Arial" w:hAnsi="Arial"/>
                <w:sz w:val="14"/>
                <w:szCs w:val="14"/>
                <w:b w:val="1"/>
                <w:bCs w:val="1"/>
                <w:i w:val="1"/>
                <w:iCs w:val="1"/>
                <w:color w:val="auto"/>
                <w:w w:val="88"/>
              </w:rPr>
              <w:t>(Address of principal executive offices) (Zip code)</w:t>
            </w:r>
          </w:p>
        </w:tc>
        <w:tc>
          <w:tcPr>
            <w:tcW w:w="3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0"/>
        </w:trPr>
        <w:tc>
          <w:tcPr>
            <w:tcW w:w="3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00" w:type="dxa"/>
            <w:vAlign w:val="bottom"/>
          </w:tcPr>
          <w:p>
            <w:pPr>
              <w:jc w:val="center"/>
              <w:ind w:right="624"/>
              <w:spacing w:after="0"/>
              <w:rPr>
                <w:sz w:val="20"/>
                <w:szCs w:val="20"/>
                <w:color w:val="auto"/>
              </w:rPr>
            </w:pPr>
            <w:r>
              <w:rPr>
                <w:rFonts w:ascii="Arial" w:cs="Arial" w:eastAsia="Arial" w:hAnsi="Arial"/>
                <w:sz w:val="18"/>
                <w:szCs w:val="18"/>
                <w:b w:val="1"/>
                <w:bCs w:val="1"/>
                <w:color w:val="auto"/>
                <w:w w:val="90"/>
              </w:rPr>
              <w:t>(510) 648-3553</w:t>
            </w:r>
          </w:p>
        </w:tc>
        <w:tc>
          <w:tcPr>
            <w:tcW w:w="3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3340" w:type="dxa"/>
            <w:vAlign w:val="bottom"/>
          </w:tcPr>
          <w:p>
            <w:pPr>
              <w:spacing w:after="0"/>
              <w:rPr>
                <w:sz w:val="15"/>
                <w:szCs w:val="15"/>
                <w:color w:val="auto"/>
              </w:rPr>
            </w:pPr>
          </w:p>
        </w:tc>
        <w:tc>
          <w:tcPr>
            <w:tcW w:w="4340" w:type="dxa"/>
            <w:vAlign w:val="bottom"/>
            <w:gridSpan w:val="2"/>
          </w:tcPr>
          <w:p>
            <w:pPr>
              <w:jc w:val="center"/>
              <w:ind w:left="139"/>
              <w:spacing w:after="0"/>
              <w:rPr>
                <w:sz w:val="20"/>
                <w:szCs w:val="20"/>
                <w:color w:val="auto"/>
              </w:rPr>
            </w:pPr>
            <w:r>
              <w:rPr>
                <w:rFonts w:ascii="Arial" w:cs="Arial" w:eastAsia="Arial" w:hAnsi="Arial"/>
                <w:sz w:val="14"/>
                <w:szCs w:val="14"/>
                <w:b w:val="1"/>
                <w:bCs w:val="1"/>
                <w:i w:val="1"/>
                <w:iCs w:val="1"/>
                <w:color w:val="auto"/>
                <w:w w:val="89"/>
              </w:rPr>
              <w:t>(Registrant’s telephone number, including area code)</w:t>
            </w:r>
          </w:p>
        </w:tc>
        <w:tc>
          <w:tcPr>
            <w:tcW w:w="3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3340" w:type="dxa"/>
            <w:vAlign w:val="bottom"/>
          </w:tcPr>
          <w:p>
            <w:pPr>
              <w:spacing w:after="0"/>
              <w:rPr>
                <w:sz w:val="20"/>
                <w:szCs w:val="20"/>
                <w:color w:val="auto"/>
              </w:rPr>
            </w:pPr>
            <w:r>
              <w:rPr>
                <w:rFonts w:ascii="Arial" w:cs="Arial" w:eastAsia="Arial" w:hAnsi="Arial"/>
                <w:sz w:val="14"/>
                <w:szCs w:val="14"/>
                <w:color w:val="auto"/>
                <w:w w:val="93"/>
              </w:rPr>
              <w:t>Securities registered pursuant to Section 12(b) of the Act:</w:t>
            </w:r>
          </w:p>
        </w:tc>
        <w:tc>
          <w:tcPr>
            <w:tcW w:w="940" w:type="dxa"/>
            <w:vAlign w:val="bottom"/>
          </w:tcPr>
          <w:p>
            <w:pPr>
              <w:spacing w:after="0"/>
              <w:rPr>
                <w:sz w:val="23"/>
                <w:szCs w:val="23"/>
                <w:color w:val="auto"/>
              </w:rPr>
            </w:pPr>
          </w:p>
        </w:tc>
        <w:tc>
          <w:tcPr>
            <w:tcW w:w="3400" w:type="dxa"/>
            <w:vAlign w:val="bottom"/>
          </w:tcPr>
          <w:p>
            <w:pPr>
              <w:spacing w:after="0"/>
              <w:rPr>
                <w:sz w:val="23"/>
                <w:szCs w:val="23"/>
                <w:color w:val="auto"/>
              </w:rPr>
            </w:pPr>
          </w:p>
        </w:tc>
        <w:tc>
          <w:tcPr>
            <w:tcW w:w="3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0"/>
        </w:trPr>
        <w:tc>
          <w:tcPr>
            <w:tcW w:w="3340" w:type="dxa"/>
            <w:vAlign w:val="bottom"/>
          </w:tcPr>
          <w:p>
            <w:pPr>
              <w:jc w:val="center"/>
              <w:ind w:left="1139"/>
              <w:spacing w:after="0"/>
              <w:rPr>
                <w:sz w:val="20"/>
                <w:szCs w:val="20"/>
                <w:color w:val="auto"/>
              </w:rPr>
            </w:pPr>
            <w:r>
              <w:rPr>
                <w:rFonts w:ascii="Arial" w:cs="Arial" w:eastAsia="Arial" w:hAnsi="Arial"/>
                <w:sz w:val="18"/>
                <w:szCs w:val="18"/>
                <w:b w:val="1"/>
                <w:bCs w:val="1"/>
                <w:color w:val="auto"/>
                <w:w w:val="87"/>
              </w:rPr>
              <w:t>Title of each class</w:t>
            </w:r>
          </w:p>
        </w:tc>
        <w:tc>
          <w:tcPr>
            <w:tcW w:w="940" w:type="dxa"/>
            <w:vAlign w:val="bottom"/>
          </w:tcPr>
          <w:p>
            <w:pPr>
              <w:spacing w:after="0"/>
              <w:rPr>
                <w:sz w:val="24"/>
                <w:szCs w:val="24"/>
                <w:color w:val="auto"/>
              </w:rPr>
            </w:pPr>
          </w:p>
        </w:tc>
        <w:tc>
          <w:tcPr>
            <w:tcW w:w="3400" w:type="dxa"/>
            <w:vAlign w:val="bottom"/>
          </w:tcPr>
          <w:p>
            <w:pPr>
              <w:jc w:val="center"/>
              <w:spacing w:after="0"/>
              <w:rPr>
                <w:sz w:val="20"/>
                <w:szCs w:val="20"/>
                <w:color w:val="auto"/>
              </w:rPr>
            </w:pPr>
            <w:r>
              <w:rPr>
                <w:rFonts w:ascii="Arial" w:cs="Arial" w:eastAsia="Arial" w:hAnsi="Arial"/>
                <w:sz w:val="18"/>
                <w:szCs w:val="18"/>
                <w:b w:val="1"/>
                <w:bCs w:val="1"/>
                <w:color w:val="auto"/>
                <w:w w:val="89"/>
              </w:rPr>
              <w:t>Trading symbol(s)</w:t>
            </w:r>
          </w:p>
        </w:tc>
        <w:tc>
          <w:tcPr>
            <w:tcW w:w="334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c>
          <w:tcPr>
            <w:tcW w:w="0" w:type="dxa"/>
            <w:vAlign w:val="bottom"/>
          </w:tcPr>
          <w:p>
            <w:pPr>
              <w:spacing w:after="0"/>
              <w:rPr>
                <w:sz w:val="1"/>
                <w:szCs w:val="1"/>
                <w:color w:val="auto"/>
              </w:rPr>
            </w:pPr>
          </w:p>
        </w:tc>
      </w:tr>
      <w:tr>
        <w:trPr>
          <w:trHeight w:val="245"/>
        </w:trPr>
        <w:tc>
          <w:tcPr>
            <w:tcW w:w="4280" w:type="dxa"/>
            <w:vAlign w:val="bottom"/>
            <w:gridSpan w:val="2"/>
          </w:tcPr>
          <w:p>
            <w:pPr>
              <w:jc w:val="center"/>
              <w:ind w:left="179"/>
              <w:spacing w:after="0"/>
              <w:rPr>
                <w:sz w:val="20"/>
                <w:szCs w:val="20"/>
                <w:color w:val="auto"/>
              </w:rPr>
            </w:pPr>
            <w:r>
              <w:rPr>
                <w:rFonts w:ascii="Arial" w:cs="Arial" w:eastAsia="Arial" w:hAnsi="Arial"/>
                <w:sz w:val="14"/>
                <w:szCs w:val="14"/>
                <w:color w:val="auto"/>
                <w:w w:val="92"/>
              </w:rPr>
              <w:t>Class A Common Stock, $0.0001 par value per share</w:t>
            </w:r>
          </w:p>
        </w:tc>
        <w:tc>
          <w:tcPr>
            <w:tcW w:w="3400" w:type="dxa"/>
            <w:vAlign w:val="bottom"/>
            <w:vMerge w:val="restart"/>
          </w:tcPr>
          <w:p>
            <w:pPr>
              <w:jc w:val="center"/>
              <w:spacing w:after="0"/>
              <w:rPr>
                <w:sz w:val="20"/>
                <w:szCs w:val="20"/>
                <w:color w:val="auto"/>
              </w:rPr>
            </w:pPr>
            <w:r>
              <w:rPr>
                <w:rFonts w:ascii="Arial" w:cs="Arial" w:eastAsia="Arial" w:hAnsi="Arial"/>
                <w:sz w:val="14"/>
                <w:szCs w:val="14"/>
                <w:color w:val="auto"/>
              </w:rPr>
              <w:t>LCID</w:t>
            </w:r>
          </w:p>
        </w:tc>
        <w:tc>
          <w:tcPr>
            <w:tcW w:w="3340" w:type="dxa"/>
            <w:vAlign w:val="bottom"/>
            <w:vMerge w:val="restart"/>
          </w:tcPr>
          <w:p>
            <w:pPr>
              <w:jc w:val="center"/>
              <w:spacing w:after="0"/>
              <w:rPr>
                <w:sz w:val="20"/>
                <w:szCs w:val="20"/>
                <w:color w:val="auto"/>
              </w:rPr>
            </w:pPr>
            <w:r>
              <w:rPr>
                <w:rFonts w:ascii="Arial" w:cs="Arial" w:eastAsia="Arial" w:hAnsi="Arial"/>
                <w:sz w:val="14"/>
                <w:szCs w:val="14"/>
                <w:color w:val="auto"/>
                <w:w w:val="94"/>
              </w:rPr>
              <w:t>The Nasdaq Stock Market LLC</w:t>
            </w:r>
          </w:p>
        </w:tc>
        <w:tc>
          <w:tcPr>
            <w:tcW w:w="0" w:type="dxa"/>
            <w:vAlign w:val="bottom"/>
          </w:tcPr>
          <w:p>
            <w:pPr>
              <w:spacing w:after="0"/>
              <w:rPr>
                <w:sz w:val="1"/>
                <w:szCs w:val="1"/>
                <w:color w:val="auto"/>
              </w:rPr>
            </w:pPr>
          </w:p>
        </w:tc>
      </w:tr>
      <w:tr>
        <w:trPr>
          <w:trHeight w:val="81"/>
        </w:trPr>
        <w:tc>
          <w:tcPr>
            <w:tcW w:w="3340" w:type="dxa"/>
            <w:vAlign w:val="bottom"/>
          </w:tcPr>
          <w:p>
            <w:pPr>
              <w:spacing w:after="0"/>
              <w:rPr>
                <w:sz w:val="7"/>
                <w:szCs w:val="7"/>
                <w:color w:val="auto"/>
              </w:rPr>
            </w:pPr>
          </w:p>
        </w:tc>
        <w:tc>
          <w:tcPr>
            <w:tcW w:w="940" w:type="dxa"/>
            <w:vAlign w:val="bottom"/>
          </w:tcPr>
          <w:p>
            <w:pPr>
              <w:spacing w:after="0"/>
              <w:rPr>
                <w:sz w:val="7"/>
                <w:szCs w:val="7"/>
                <w:color w:val="auto"/>
              </w:rPr>
            </w:pPr>
          </w:p>
        </w:tc>
        <w:tc>
          <w:tcPr>
            <w:tcW w:w="3400" w:type="dxa"/>
            <w:vAlign w:val="bottom"/>
            <w:vMerge w:val="continue"/>
          </w:tcPr>
          <w:p>
            <w:pPr>
              <w:spacing w:after="0"/>
              <w:rPr>
                <w:sz w:val="7"/>
                <w:szCs w:val="7"/>
                <w:color w:val="auto"/>
              </w:rPr>
            </w:pPr>
          </w:p>
        </w:tc>
        <w:tc>
          <w:tcPr>
            <w:tcW w:w="33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37" w:lineRule="exact"/>
        <w:rPr>
          <w:sz w:val="24"/>
          <w:szCs w:val="24"/>
          <w:color w:val="auto"/>
        </w:rPr>
      </w:pPr>
    </w:p>
    <w:p>
      <w:pPr>
        <w:ind w:left="2600"/>
        <w:spacing w:after="0"/>
        <w:rPr>
          <w:sz w:val="20"/>
          <w:szCs w:val="20"/>
          <w:color w:val="auto"/>
        </w:rPr>
      </w:pPr>
      <w:r>
        <w:rPr>
          <w:rFonts w:ascii="Arial" w:cs="Arial" w:eastAsia="Arial" w:hAnsi="Arial"/>
          <w:sz w:val="18"/>
          <w:szCs w:val="18"/>
          <w:b w:val="1"/>
          <w:bCs w:val="1"/>
          <w:color w:val="auto"/>
        </w:rPr>
        <w:t>Securities registered pursuant to Section 12(g) of the Act: None</w:t>
      </w:r>
    </w:p>
    <w:p>
      <w:pPr>
        <w:spacing w:after="0" w:line="103" w:lineRule="exact"/>
        <w:rPr>
          <w:sz w:val="24"/>
          <w:szCs w:val="24"/>
          <w:color w:val="auto"/>
        </w:rPr>
      </w:pPr>
    </w:p>
    <w:p>
      <w:pPr>
        <w:ind w:right="3660"/>
        <w:spacing w:after="0" w:line="433" w:lineRule="auto"/>
        <w:rPr>
          <w:sz w:val="20"/>
          <w:szCs w:val="20"/>
          <w:color w:val="auto"/>
        </w:rPr>
      </w:pPr>
      <w:r>
        <w:rPr>
          <w:rFonts w:ascii="Arial" w:cs="Arial" w:eastAsia="Arial" w:hAnsi="Arial"/>
          <w:sz w:val="13"/>
          <w:szCs w:val="13"/>
          <w:color w:val="auto"/>
        </w:rPr>
        <w:t>Indicate by check mark if the registrant is a well-known seasoned issuer, as defined in Rule 405 of the Securities Act. o Yes x No Indicate by check mark if the registrant is not required to file reports pursuant to Section 13 or Section 15(d) of the Act. o Yes x No</w:t>
      </w:r>
    </w:p>
    <w:p>
      <w:pPr>
        <w:spacing w:after="0" w:line="1" w:lineRule="exact"/>
        <w:rPr>
          <w:sz w:val="24"/>
          <w:szCs w:val="24"/>
          <w:color w:val="auto"/>
        </w:rPr>
      </w:pPr>
    </w:p>
    <w:p>
      <w:pPr>
        <w:ind w:right="20"/>
        <w:spacing w:after="0" w:line="313"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x Yes o No</w:t>
      </w:r>
    </w:p>
    <w:p>
      <w:pPr>
        <w:spacing w:after="0" w:line="26" w:lineRule="exact"/>
        <w:rPr>
          <w:sz w:val="24"/>
          <w:szCs w:val="24"/>
          <w:color w:val="auto"/>
        </w:rPr>
      </w:pPr>
    </w:p>
    <w:p>
      <w:pPr>
        <w:spacing w:after="0" w:line="313" w:lineRule="auto"/>
        <w:rPr>
          <w:sz w:val="20"/>
          <w:szCs w:val="20"/>
          <w:color w:val="auto"/>
        </w:rPr>
      </w:pPr>
      <w:r>
        <w:rPr>
          <w:rFonts w:ascii="Arial" w:cs="Arial" w:eastAsia="Arial" w:hAnsi="Arial"/>
          <w:sz w:val="14"/>
          <w:szCs w:val="14"/>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x Yes o No</w:t>
      </w:r>
    </w:p>
    <w:p>
      <w:pPr>
        <w:spacing w:after="0" w:line="39" w:lineRule="exact"/>
        <w:rPr>
          <w:sz w:val="24"/>
          <w:szCs w:val="24"/>
          <w:color w:val="auto"/>
        </w:rPr>
      </w:pPr>
    </w:p>
    <w:p>
      <w:pPr>
        <w:spacing w:after="0" w:line="27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06" w:lineRule="exact"/>
        <w:rPr>
          <w:sz w:val="24"/>
          <w:szCs w:val="24"/>
          <w:color w:val="auto"/>
        </w:rPr>
      </w:pPr>
    </w:p>
    <w:tbl>
      <w:tblPr>
        <w:tblLayout w:type="fixed"/>
        <w:tblInd w:w="1180" w:type="dxa"/>
        <w:tblCellMar>
          <w:top w:w="0" w:type="dxa"/>
          <w:left w:w="0" w:type="dxa"/>
          <w:bottom w:w="0" w:type="dxa"/>
          <w:right w:w="0" w:type="dxa"/>
        </w:tblCellMar>
      </w:tblPr>
      <w:tr>
        <w:trPr>
          <w:trHeight w:val="182"/>
        </w:trPr>
        <w:tc>
          <w:tcPr>
            <w:tcW w:w="224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1700" w:type="dxa"/>
            <w:vAlign w:val="bottom"/>
            <w:vMerge w:val="restart"/>
          </w:tcPr>
          <w:p>
            <w:pPr>
              <w:jc w:val="right"/>
              <w:ind w:right="688"/>
              <w:spacing w:after="0"/>
              <w:rPr>
                <w:sz w:val="20"/>
                <w:szCs w:val="20"/>
                <w:color w:val="auto"/>
              </w:rPr>
            </w:pPr>
            <w:r>
              <w:rPr>
                <w:rFonts w:ascii="Arial" w:cs="Arial" w:eastAsia="Arial" w:hAnsi="Arial"/>
                <w:sz w:val="14"/>
                <w:szCs w:val="14"/>
                <w:color w:val="auto"/>
              </w:rPr>
              <w:t>x</w:t>
            </w:r>
          </w:p>
        </w:tc>
        <w:tc>
          <w:tcPr>
            <w:tcW w:w="3440" w:type="dxa"/>
            <w:vAlign w:val="bottom"/>
            <w:vMerge w:val="restart"/>
          </w:tcPr>
          <w:p>
            <w:pPr>
              <w:ind w:left="760"/>
              <w:spacing w:after="0"/>
              <w:rPr>
                <w:sz w:val="20"/>
                <w:szCs w:val="20"/>
                <w:color w:val="auto"/>
              </w:rPr>
            </w:pPr>
            <w:r>
              <w:rPr>
                <w:rFonts w:ascii="Arial" w:cs="Arial" w:eastAsia="Arial" w:hAnsi="Arial"/>
                <w:sz w:val="14"/>
                <w:szCs w:val="14"/>
                <w:color w:val="auto"/>
              </w:rPr>
              <w:t>Accelerated Filer</w:t>
            </w:r>
          </w:p>
        </w:tc>
        <w:tc>
          <w:tcPr>
            <w:tcW w:w="1060" w:type="dxa"/>
            <w:vAlign w:val="bottom"/>
            <w:vMerge w:val="restart"/>
          </w:tcPr>
          <w:p>
            <w:pPr>
              <w:ind w:left="980"/>
              <w:spacing w:after="0"/>
              <w:rPr>
                <w:sz w:val="20"/>
                <w:szCs w:val="20"/>
                <w:color w:val="auto"/>
              </w:rPr>
            </w:pPr>
            <w:r>
              <w:rPr>
                <w:rFonts w:ascii="Arial" w:cs="Arial" w:eastAsia="Arial" w:hAnsi="Arial"/>
                <w:sz w:val="14"/>
                <w:szCs w:val="14"/>
                <w:color w:val="auto"/>
                <w:w w:val="76"/>
              </w:rPr>
              <w:t>o</w:t>
            </w:r>
          </w:p>
        </w:tc>
        <w:tc>
          <w:tcPr>
            <w:tcW w:w="0" w:type="dxa"/>
            <w:vAlign w:val="bottom"/>
          </w:tcPr>
          <w:p>
            <w:pPr>
              <w:spacing w:after="0"/>
              <w:rPr>
                <w:sz w:val="1"/>
                <w:szCs w:val="1"/>
                <w:color w:val="auto"/>
              </w:rPr>
            </w:pPr>
          </w:p>
        </w:tc>
      </w:tr>
      <w:tr>
        <w:trPr>
          <w:trHeight w:val="81"/>
        </w:trPr>
        <w:tc>
          <w:tcPr>
            <w:tcW w:w="2240" w:type="dxa"/>
            <w:vAlign w:val="bottom"/>
          </w:tcPr>
          <w:p>
            <w:pPr>
              <w:spacing w:after="0"/>
              <w:rPr>
                <w:sz w:val="7"/>
                <w:szCs w:val="7"/>
                <w:color w:val="auto"/>
              </w:rPr>
            </w:pPr>
          </w:p>
        </w:tc>
        <w:tc>
          <w:tcPr>
            <w:tcW w:w="1700" w:type="dxa"/>
            <w:vAlign w:val="bottom"/>
            <w:vMerge w:val="continue"/>
          </w:tcPr>
          <w:p>
            <w:pPr>
              <w:spacing w:after="0"/>
              <w:rPr>
                <w:sz w:val="7"/>
                <w:szCs w:val="7"/>
                <w:color w:val="auto"/>
              </w:rPr>
            </w:pPr>
          </w:p>
        </w:tc>
        <w:tc>
          <w:tcPr>
            <w:tcW w:w="3440" w:type="dxa"/>
            <w:vAlign w:val="bottom"/>
            <w:vMerge w:val="continue"/>
          </w:tcPr>
          <w:p>
            <w:pPr>
              <w:spacing w:after="0"/>
              <w:rPr>
                <w:sz w:val="7"/>
                <w:szCs w:val="7"/>
                <w:color w:val="auto"/>
              </w:rPr>
            </w:pPr>
          </w:p>
        </w:tc>
        <w:tc>
          <w:tcPr>
            <w:tcW w:w="1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2240" w:type="dxa"/>
            <w:vAlign w:val="bottom"/>
          </w:tcPr>
          <w:p>
            <w:pPr>
              <w:spacing w:after="0"/>
              <w:rPr>
                <w:sz w:val="4"/>
                <w:szCs w:val="4"/>
                <w:color w:val="auto"/>
              </w:rPr>
            </w:pPr>
          </w:p>
        </w:tc>
        <w:tc>
          <w:tcPr>
            <w:tcW w:w="1700" w:type="dxa"/>
            <w:vAlign w:val="bottom"/>
          </w:tcPr>
          <w:p>
            <w:pPr>
              <w:spacing w:after="0"/>
              <w:rPr>
                <w:sz w:val="4"/>
                <w:szCs w:val="4"/>
                <w:color w:val="auto"/>
              </w:rPr>
            </w:pPr>
          </w:p>
        </w:tc>
        <w:tc>
          <w:tcPr>
            <w:tcW w:w="3440" w:type="dxa"/>
            <w:vAlign w:val="bottom"/>
          </w:tcPr>
          <w:p>
            <w:pPr>
              <w:spacing w:after="0"/>
              <w:rPr>
                <w:sz w:val="4"/>
                <w:szCs w:val="4"/>
                <w:color w:val="auto"/>
              </w:rPr>
            </w:pPr>
          </w:p>
        </w:tc>
        <w:tc>
          <w:tcPr>
            <w:tcW w:w="10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2240" w:type="dxa"/>
            <w:vAlign w:val="bottom"/>
            <w:vMerge w:val="restart"/>
          </w:tcPr>
          <w:p>
            <w:pPr>
              <w:ind w:left="20"/>
              <w:spacing w:after="0"/>
              <w:rPr>
                <w:sz w:val="20"/>
                <w:szCs w:val="20"/>
                <w:color w:val="auto"/>
              </w:rPr>
            </w:pPr>
            <w:r>
              <w:rPr>
                <w:rFonts w:ascii="Arial" w:cs="Arial" w:eastAsia="Arial" w:hAnsi="Arial"/>
                <w:sz w:val="14"/>
                <w:szCs w:val="14"/>
                <w:color w:val="auto"/>
              </w:rPr>
              <w:t>Non-accelerated Filer</w:t>
            </w:r>
          </w:p>
        </w:tc>
        <w:tc>
          <w:tcPr>
            <w:tcW w:w="1700" w:type="dxa"/>
            <w:vAlign w:val="bottom"/>
            <w:vMerge w:val="restart"/>
          </w:tcPr>
          <w:p>
            <w:pPr>
              <w:jc w:val="right"/>
              <w:ind w:right="688"/>
              <w:spacing w:after="0"/>
              <w:rPr>
                <w:sz w:val="20"/>
                <w:szCs w:val="20"/>
                <w:color w:val="auto"/>
              </w:rPr>
            </w:pPr>
            <w:r>
              <w:rPr>
                <w:rFonts w:ascii="Arial" w:cs="Arial" w:eastAsia="Arial" w:hAnsi="Arial"/>
                <w:sz w:val="14"/>
                <w:szCs w:val="14"/>
                <w:color w:val="auto"/>
              </w:rPr>
              <w:t>o</w:t>
            </w:r>
          </w:p>
        </w:tc>
        <w:tc>
          <w:tcPr>
            <w:tcW w:w="3440" w:type="dxa"/>
            <w:vAlign w:val="bottom"/>
          </w:tcPr>
          <w:p>
            <w:pPr>
              <w:ind w:left="800"/>
              <w:spacing w:after="0"/>
              <w:rPr>
                <w:sz w:val="20"/>
                <w:szCs w:val="20"/>
                <w:color w:val="auto"/>
              </w:rPr>
            </w:pPr>
            <w:r>
              <w:rPr>
                <w:rFonts w:ascii="Arial" w:cs="Arial" w:eastAsia="Arial" w:hAnsi="Arial"/>
                <w:sz w:val="14"/>
                <w:szCs w:val="14"/>
                <w:color w:val="auto"/>
              </w:rPr>
              <w:t>Smaller Reporting Company</w:t>
            </w:r>
          </w:p>
        </w:tc>
        <w:tc>
          <w:tcPr>
            <w:tcW w:w="1060" w:type="dxa"/>
            <w:vAlign w:val="bottom"/>
            <w:vMerge w:val="restart"/>
          </w:tcPr>
          <w:p>
            <w:pPr>
              <w:ind w:left="980"/>
              <w:spacing w:after="0"/>
              <w:rPr>
                <w:sz w:val="20"/>
                <w:szCs w:val="20"/>
                <w:color w:val="auto"/>
              </w:rPr>
            </w:pPr>
            <w:r>
              <w:rPr>
                <w:rFonts w:ascii="Arial" w:cs="Arial" w:eastAsia="Arial" w:hAnsi="Arial"/>
                <w:sz w:val="14"/>
                <w:szCs w:val="14"/>
                <w:color w:val="auto"/>
                <w:w w:val="76"/>
              </w:rPr>
              <w:t>o</w:t>
            </w:r>
          </w:p>
        </w:tc>
        <w:tc>
          <w:tcPr>
            <w:tcW w:w="0" w:type="dxa"/>
            <w:vAlign w:val="bottom"/>
          </w:tcPr>
          <w:p>
            <w:pPr>
              <w:spacing w:after="0"/>
              <w:rPr>
                <w:sz w:val="1"/>
                <w:szCs w:val="1"/>
                <w:color w:val="auto"/>
              </w:rPr>
            </w:pPr>
          </w:p>
        </w:tc>
      </w:tr>
      <w:tr>
        <w:trPr>
          <w:trHeight w:val="54"/>
        </w:trPr>
        <w:tc>
          <w:tcPr>
            <w:tcW w:w="2240" w:type="dxa"/>
            <w:vAlign w:val="bottom"/>
            <w:vMerge w:val="continue"/>
          </w:tcPr>
          <w:p>
            <w:pPr>
              <w:spacing w:after="0"/>
              <w:rPr>
                <w:sz w:val="4"/>
                <w:szCs w:val="4"/>
                <w:color w:val="auto"/>
              </w:rPr>
            </w:pPr>
          </w:p>
        </w:tc>
        <w:tc>
          <w:tcPr>
            <w:tcW w:w="1700" w:type="dxa"/>
            <w:vAlign w:val="bottom"/>
            <w:vMerge w:val="continue"/>
          </w:tcPr>
          <w:p>
            <w:pPr>
              <w:spacing w:after="0"/>
              <w:rPr>
                <w:sz w:val="4"/>
                <w:szCs w:val="4"/>
                <w:color w:val="auto"/>
              </w:rPr>
            </w:pPr>
          </w:p>
        </w:tc>
        <w:tc>
          <w:tcPr>
            <w:tcW w:w="3440" w:type="dxa"/>
            <w:vAlign w:val="bottom"/>
          </w:tcPr>
          <w:p>
            <w:pPr>
              <w:spacing w:after="0"/>
              <w:rPr>
                <w:sz w:val="4"/>
                <w:szCs w:val="4"/>
                <w:color w:val="auto"/>
              </w:rPr>
            </w:pPr>
          </w:p>
        </w:tc>
        <w:tc>
          <w:tcPr>
            <w:tcW w:w="10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22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440" w:type="dxa"/>
            <w:vAlign w:val="bottom"/>
          </w:tcPr>
          <w:p>
            <w:pPr>
              <w:ind w:left="800"/>
              <w:spacing w:after="0"/>
              <w:rPr>
                <w:sz w:val="20"/>
                <w:szCs w:val="20"/>
                <w:color w:val="auto"/>
              </w:rPr>
            </w:pPr>
            <w:r>
              <w:rPr>
                <w:rFonts w:ascii="Arial" w:cs="Arial" w:eastAsia="Arial" w:hAnsi="Arial"/>
                <w:sz w:val="14"/>
                <w:szCs w:val="14"/>
                <w:color w:val="auto"/>
              </w:rPr>
              <w:t>Emerging Growth Company</w:t>
            </w:r>
          </w:p>
        </w:tc>
        <w:tc>
          <w:tcPr>
            <w:tcW w:w="1060" w:type="dxa"/>
            <w:vAlign w:val="bottom"/>
            <w:vMerge w:val="restart"/>
          </w:tcPr>
          <w:p>
            <w:pPr>
              <w:ind w:left="980"/>
              <w:spacing w:after="0"/>
              <w:rPr>
                <w:sz w:val="20"/>
                <w:szCs w:val="20"/>
                <w:color w:val="auto"/>
              </w:rPr>
            </w:pPr>
            <w:r>
              <w:rPr>
                <w:rFonts w:ascii="Arial" w:cs="Arial" w:eastAsia="Arial" w:hAnsi="Arial"/>
                <w:sz w:val="14"/>
                <w:szCs w:val="14"/>
                <w:color w:val="auto"/>
                <w:w w:val="76"/>
              </w:rPr>
              <w:t>o</w:t>
            </w:r>
          </w:p>
        </w:tc>
        <w:tc>
          <w:tcPr>
            <w:tcW w:w="0" w:type="dxa"/>
            <w:vAlign w:val="bottom"/>
          </w:tcPr>
          <w:p>
            <w:pPr>
              <w:spacing w:after="0"/>
              <w:rPr>
                <w:sz w:val="1"/>
                <w:szCs w:val="1"/>
                <w:color w:val="auto"/>
              </w:rPr>
            </w:pPr>
          </w:p>
        </w:tc>
      </w:tr>
      <w:tr>
        <w:trPr>
          <w:trHeight w:val="54"/>
        </w:trPr>
        <w:tc>
          <w:tcPr>
            <w:tcW w:w="2240" w:type="dxa"/>
            <w:vAlign w:val="bottom"/>
          </w:tcPr>
          <w:p>
            <w:pPr>
              <w:spacing w:after="0"/>
              <w:rPr>
                <w:sz w:val="4"/>
                <w:szCs w:val="4"/>
                <w:color w:val="auto"/>
              </w:rPr>
            </w:pPr>
          </w:p>
        </w:tc>
        <w:tc>
          <w:tcPr>
            <w:tcW w:w="1700" w:type="dxa"/>
            <w:vAlign w:val="bottom"/>
          </w:tcPr>
          <w:p>
            <w:pPr>
              <w:spacing w:after="0"/>
              <w:rPr>
                <w:sz w:val="4"/>
                <w:szCs w:val="4"/>
                <w:color w:val="auto"/>
              </w:rPr>
            </w:pPr>
          </w:p>
        </w:tc>
        <w:tc>
          <w:tcPr>
            <w:tcW w:w="3440" w:type="dxa"/>
            <w:vAlign w:val="bottom"/>
          </w:tcPr>
          <w:p>
            <w:pPr>
              <w:spacing w:after="0"/>
              <w:rPr>
                <w:sz w:val="4"/>
                <w:szCs w:val="4"/>
                <w:color w:val="auto"/>
              </w:rPr>
            </w:pPr>
          </w:p>
        </w:tc>
        <w:tc>
          <w:tcPr>
            <w:tcW w:w="10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82" w:lineRule="exact"/>
        <w:rPr>
          <w:sz w:val="24"/>
          <w:szCs w:val="24"/>
          <w:color w:val="auto"/>
        </w:rPr>
      </w:pPr>
    </w:p>
    <w:p>
      <w:pPr>
        <w:spacing w:after="0" w:line="313" w:lineRule="auto"/>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6" w:lineRule="exact"/>
        <w:rPr>
          <w:sz w:val="24"/>
          <w:szCs w:val="24"/>
          <w:color w:val="auto"/>
        </w:rPr>
      </w:pPr>
    </w:p>
    <w:p>
      <w:pPr>
        <w:ind w:right="60"/>
        <w:spacing w:after="0" w:line="313" w:lineRule="auto"/>
        <w:rPr>
          <w:sz w:val="20"/>
          <w:szCs w:val="20"/>
          <w:color w:val="auto"/>
        </w:rPr>
      </w:pPr>
      <w:r>
        <w:rPr>
          <w:rFonts w:ascii="Arial" w:cs="Arial" w:eastAsia="Arial" w:hAnsi="Arial"/>
          <w:sz w:val="14"/>
          <w:szCs w:val="14"/>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x</w:t>
      </w:r>
    </w:p>
    <w:p>
      <w:pPr>
        <w:spacing w:after="0" w:line="39" w:lineRule="exact"/>
        <w:rPr>
          <w:sz w:val="24"/>
          <w:szCs w:val="24"/>
          <w:color w:val="auto"/>
        </w:rPr>
      </w:pPr>
    </w:p>
    <w:p>
      <w:pPr>
        <w:spacing w:after="0"/>
        <w:rPr>
          <w:sz w:val="20"/>
          <w:szCs w:val="20"/>
          <w:color w:val="auto"/>
        </w:rPr>
      </w:pPr>
      <w:r>
        <w:rPr>
          <w:rFonts w:ascii="Arial" w:cs="Arial" w:eastAsia="Arial" w:hAnsi="Arial"/>
          <w:sz w:val="13"/>
          <w:szCs w:val="13"/>
          <w:color w:val="auto"/>
        </w:rPr>
        <w:t>If securities are registered pursuant to Section 12(b) of the Act, indicate by check mark whether the financial statements of the registrant included in the filing reflect the correction of an error to</w:t>
      </w:r>
    </w:p>
    <w:p>
      <w:pPr>
        <w:spacing w:after="0" w:line="40" w:lineRule="exact"/>
        <w:rPr>
          <w:sz w:val="24"/>
          <w:szCs w:val="24"/>
          <w:color w:val="auto"/>
        </w:rPr>
      </w:pPr>
    </w:p>
    <w:p>
      <w:pPr>
        <w:spacing w:after="0"/>
        <w:tabs>
          <w:tab w:leader="none" w:pos="3580" w:val="left"/>
        </w:tabs>
        <w:rPr>
          <w:sz w:val="20"/>
          <w:szCs w:val="20"/>
          <w:color w:val="auto"/>
        </w:rPr>
      </w:pPr>
      <w:r>
        <w:rPr>
          <w:rFonts w:ascii="Arial" w:cs="Arial" w:eastAsia="Arial" w:hAnsi="Arial"/>
          <w:sz w:val="14"/>
          <w:szCs w:val="14"/>
          <w:color w:val="auto"/>
        </w:rPr>
        <w:t>previously issued financial statements.</w:t>
      </w:r>
      <w:r>
        <w:rPr>
          <w:sz w:val="20"/>
          <w:szCs w:val="20"/>
          <w:color w:val="auto"/>
        </w:rPr>
        <w:tab/>
      </w:r>
      <w:r>
        <w:rPr>
          <w:rFonts w:ascii="Arial" w:cs="Arial" w:eastAsia="Arial" w:hAnsi="Arial"/>
          <w:sz w:val="14"/>
          <w:szCs w:val="14"/>
          <w:color w:val="auto"/>
        </w:rPr>
        <w:t>o</w:t>
      </w:r>
    </w:p>
    <w:p>
      <w:pPr>
        <w:spacing w:after="0" w:line="96" w:lineRule="exact"/>
        <w:rPr>
          <w:sz w:val="24"/>
          <w:szCs w:val="24"/>
          <w:color w:val="auto"/>
        </w:rPr>
      </w:pPr>
    </w:p>
    <w:p>
      <w:pPr>
        <w:spacing w:after="0"/>
        <w:rPr>
          <w:sz w:val="20"/>
          <w:szCs w:val="20"/>
          <w:color w:val="auto"/>
        </w:rPr>
      </w:pPr>
      <w:r>
        <w:rPr>
          <w:rFonts w:ascii="Arial" w:cs="Arial" w:eastAsia="Arial" w:hAnsi="Arial"/>
          <w:sz w:val="13"/>
          <w:szCs w:val="13"/>
          <w:color w:val="auto"/>
        </w:rPr>
        <w:t>Indicate by check mark whether any of those error corrections are restatements that required a recovery analysis of incentive-based compensation received by any of the registrant’s executive</w:t>
      </w:r>
    </w:p>
    <w:p>
      <w:pPr>
        <w:spacing w:after="0" w:line="40" w:lineRule="exact"/>
        <w:rPr>
          <w:sz w:val="24"/>
          <w:szCs w:val="24"/>
          <w:color w:val="auto"/>
        </w:rPr>
      </w:pPr>
    </w:p>
    <w:p>
      <w:pPr>
        <w:spacing w:after="0"/>
        <w:tabs>
          <w:tab w:leader="none" w:pos="4900" w:val="left"/>
        </w:tabs>
        <w:rPr>
          <w:sz w:val="20"/>
          <w:szCs w:val="20"/>
          <w:color w:val="auto"/>
        </w:rPr>
      </w:pPr>
      <w:r>
        <w:rPr>
          <w:rFonts w:ascii="Arial" w:cs="Arial" w:eastAsia="Arial" w:hAnsi="Arial"/>
          <w:sz w:val="14"/>
          <w:szCs w:val="14"/>
          <w:color w:val="auto"/>
        </w:rPr>
        <w:t>officers during the relevant recovery period pursuant to §240.10D-1(b).</w:t>
      </w:r>
      <w:r>
        <w:rPr>
          <w:sz w:val="20"/>
          <w:szCs w:val="20"/>
          <w:color w:val="auto"/>
        </w:rPr>
        <w:tab/>
      </w:r>
      <w:r>
        <w:rPr>
          <w:rFonts w:ascii="Arial" w:cs="Arial" w:eastAsia="Arial" w:hAnsi="Arial"/>
          <w:sz w:val="14"/>
          <w:szCs w:val="14"/>
          <w:color w:val="auto"/>
        </w:rPr>
        <w:t>o</w:t>
      </w:r>
    </w:p>
    <w:p>
      <w:pPr>
        <w:spacing w:after="0" w:line="109" w:lineRule="exact"/>
        <w:rPr>
          <w:sz w:val="24"/>
          <w:szCs w:val="24"/>
          <w:color w:val="auto"/>
        </w:rPr>
      </w:pPr>
    </w:p>
    <w:p>
      <w:pPr>
        <w:spacing w:after="0"/>
        <w:tabs>
          <w:tab w:leader="none" w:pos="7060" w:val="left"/>
        </w:tabs>
        <w:rPr>
          <w:sz w:val="20"/>
          <w:szCs w:val="20"/>
          <w:color w:val="auto"/>
        </w:rPr>
      </w:pPr>
      <w:r>
        <w:rPr>
          <w:rFonts w:ascii="Arial" w:cs="Arial" w:eastAsia="Arial" w:hAnsi="Arial"/>
          <w:sz w:val="14"/>
          <w:szCs w:val="14"/>
          <w:color w:val="auto"/>
        </w:rPr>
        <w:t>Indicate by check mark whether the registrant is a shell company (as defined in Rule 12b-2 of the Exchange Act). o Yes</w:t>
      </w:r>
      <w:r>
        <w:rPr>
          <w:sz w:val="20"/>
          <w:szCs w:val="20"/>
          <w:color w:val="auto"/>
        </w:rPr>
        <w:tab/>
      </w:r>
      <w:r>
        <w:rPr>
          <w:rFonts w:ascii="Arial" w:cs="Arial" w:eastAsia="Arial" w:hAnsi="Arial"/>
          <w:sz w:val="14"/>
          <w:szCs w:val="14"/>
          <w:color w:val="auto"/>
        </w:rPr>
        <w:t>x No</w:t>
      </w:r>
    </w:p>
    <w:p>
      <w:pPr>
        <w:spacing w:after="0" w:line="109" w:lineRule="exact"/>
        <w:rPr>
          <w:sz w:val="24"/>
          <w:szCs w:val="24"/>
          <w:color w:val="auto"/>
        </w:rPr>
      </w:pPr>
    </w:p>
    <w:p>
      <w:pPr>
        <w:ind w:right="180"/>
        <w:spacing w:after="0" w:line="265" w:lineRule="auto"/>
        <w:rPr>
          <w:sz w:val="20"/>
          <w:szCs w:val="20"/>
          <w:color w:val="auto"/>
        </w:rPr>
      </w:pPr>
      <w:r>
        <w:rPr>
          <w:rFonts w:ascii="Arial" w:cs="Arial" w:eastAsia="Arial" w:hAnsi="Arial"/>
          <w:sz w:val="14"/>
          <w:szCs w:val="14"/>
          <w:color w:val="auto"/>
        </w:rPr>
        <w:t>The aggregate market value of the voting stock held by non-affiliates of the registrant, as of June 30, 2022 (the last business day of registrant’s second quarter of fiscal year 2022), was $11.3 billion based upon the last sale price reported for such date on the Nasdaq Stock Market LLC. Shares of common stock held by each executive officer, director, and holder of 5% or more of the outstanding common stock have been excluded in that such persons may be deemed to be affiliates. This determination of affiliate status is not necessarily a conclusive determination for other purposes.</w:t>
      </w:r>
    </w:p>
    <w:p>
      <w:pPr>
        <w:spacing w:after="0" w:line="220" w:lineRule="exact"/>
        <w:rPr>
          <w:sz w:val="24"/>
          <w:szCs w:val="24"/>
          <w:color w:val="auto"/>
        </w:rPr>
      </w:pPr>
    </w:p>
    <w:p>
      <w:pPr>
        <w:spacing w:after="0"/>
        <w:rPr>
          <w:sz w:val="20"/>
          <w:szCs w:val="20"/>
          <w:color w:val="auto"/>
        </w:rPr>
      </w:pPr>
      <w:r>
        <w:rPr>
          <w:rFonts w:ascii="Arial" w:cs="Arial" w:eastAsia="Arial" w:hAnsi="Arial"/>
          <w:sz w:val="14"/>
          <w:szCs w:val="14"/>
          <w:color w:val="auto"/>
        </w:rPr>
        <w:t>Number of shares of the registrant’s common stock outstanding at February 22, 2023: 1,830,450,459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385445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line="26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911860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937895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2600"/>
        <w:spacing w:after="0"/>
        <w:rPr>
          <w:sz w:val="20"/>
          <w:szCs w:val="20"/>
          <w:color w:val="auto"/>
        </w:rPr>
      </w:pPr>
      <w:r>
        <w:rPr>
          <w:rFonts w:ascii="Arial" w:cs="Arial" w:eastAsia="Arial" w:hAnsi="Arial"/>
          <w:sz w:val="18"/>
          <w:szCs w:val="18"/>
          <w:b w:val="1"/>
          <w:bCs w:val="1"/>
          <w:color w:val="auto"/>
        </w:rPr>
        <w:t>DOCUMENTS INCORPORATED BY REFERENCE:</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4"/>
          <w:szCs w:val="14"/>
          <w:color w:val="auto"/>
        </w:rPr>
        <w:t>Certain portions of the registrant’s definitive proxy statement for its annual meeting of stockholders (the “Proxy Statement”), to be filed with the Securities and Exchange Commission within 120 days after December 31, 2022, are incorporated by reference into Part III of this Annual Report on Form 10-K (this “Annual Report”). Except with respect to information specifically incorporated by reference in this Annual Report, the Proxy Statement shall not be deemed to be filed as part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356870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80" w:type="dxa"/>
            <w:vAlign w:val="bottom"/>
            <w:gridSpan w:val="16"/>
          </w:tcPr>
          <w:p>
            <w:pPr>
              <w:jc w:val="center"/>
              <w:ind w:right="2140"/>
              <w:spacing w:after="0"/>
              <w:rPr>
                <w:sz w:val="20"/>
                <w:szCs w:val="20"/>
                <w:color w:val="auto"/>
              </w:rPr>
            </w:pPr>
            <w:r>
              <w:rPr>
                <w:rFonts w:ascii="Arial" w:cs="Arial" w:eastAsia="Arial" w:hAnsi="Arial"/>
                <w:sz w:val="18"/>
                <w:szCs w:val="18"/>
                <w:b w:val="1"/>
                <w:bCs w:val="1"/>
                <w:color w:val="auto"/>
              </w:rPr>
              <w:t>INDEX TO ANNUAL REPORT ON FORM 10-K</w:t>
            </w:r>
          </w:p>
        </w:tc>
        <w:tc>
          <w:tcPr>
            <w:tcW w:w="1400" w:type="dxa"/>
            <w:vAlign w:val="bottom"/>
          </w:tcPr>
          <w:p>
            <w:pPr>
              <w:spacing w:after="0"/>
              <w:rPr>
                <w:sz w:val="20"/>
                <w:szCs w:val="20"/>
                <w:color w:val="auto"/>
              </w:rPr>
            </w:pPr>
          </w:p>
        </w:tc>
      </w:tr>
      <w:tr>
        <w:trPr>
          <w:trHeight w:val="445"/>
        </w:trPr>
        <w:tc>
          <w:tcPr>
            <w:tcW w:w="20" w:type="dxa"/>
            <w:vAlign w:val="bottom"/>
          </w:tcPr>
          <w:p>
            <w:pPr>
              <w:spacing w:after="0"/>
              <w:rPr>
                <w:sz w:val="24"/>
                <w:szCs w:val="24"/>
                <w:color w:val="auto"/>
              </w:rPr>
            </w:pPr>
          </w:p>
        </w:tc>
        <w:tc>
          <w:tcPr>
            <w:tcW w:w="1340" w:type="dxa"/>
            <w:vAlign w:val="bottom"/>
            <w:gridSpan w:val="6"/>
          </w:tcPr>
          <w:p>
            <w:pPr>
              <w:ind w:left="180"/>
              <w:spacing w:after="0"/>
              <w:rPr>
                <w:sz w:val="20"/>
                <w:szCs w:val="20"/>
                <w:color w:val="auto"/>
              </w:rPr>
            </w:pPr>
            <w:r>
              <w:rPr>
                <w:rFonts w:ascii="Arial" w:cs="Arial" w:eastAsia="Arial" w:hAnsi="Arial"/>
                <w:sz w:val="18"/>
                <w:szCs w:val="18"/>
                <w:b w:val="1"/>
                <w:bCs w:val="1"/>
                <w:color w:val="auto"/>
              </w:rPr>
              <w:t>FORM 10-K</w:t>
            </w: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93"/>
              </w:rPr>
              <w:t>PAGE</w:t>
            </w:r>
          </w:p>
        </w:tc>
      </w:tr>
      <w:tr>
        <w:trPr>
          <w:trHeight w:val="239"/>
        </w:trPr>
        <w:tc>
          <w:tcPr>
            <w:tcW w:w="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6"/>
          </w:tcPr>
          <w:p>
            <w:pPr>
              <w:ind w:left="420"/>
              <w:spacing w:after="0"/>
              <w:rPr>
                <w:sz w:val="20"/>
                <w:szCs w:val="20"/>
                <w:color w:val="auto"/>
              </w:rPr>
            </w:pPr>
            <w:r>
              <w:rPr>
                <w:rFonts w:ascii="Arial" w:cs="Arial" w:eastAsia="Arial" w:hAnsi="Arial"/>
                <w:sz w:val="18"/>
                <w:szCs w:val="18"/>
                <w:b w:val="1"/>
                <w:bCs w:val="1"/>
                <w:color w:val="auto"/>
              </w:rPr>
              <w:t>ITEM</w:t>
            </w:r>
          </w:p>
        </w:tc>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NUMBER</w:t>
            </w:r>
          </w:p>
        </w:tc>
      </w:tr>
      <w:tr>
        <w:trPr>
          <w:trHeight w:val="227"/>
        </w:trPr>
        <w:tc>
          <w:tcPr>
            <w:tcW w:w="20" w:type="dxa"/>
            <w:vAlign w:val="bottom"/>
          </w:tcPr>
          <w:p>
            <w:pPr>
              <w:spacing w:after="0"/>
              <w:rPr>
                <w:sz w:val="19"/>
                <w:szCs w:val="19"/>
                <w:color w:val="auto"/>
              </w:rPr>
            </w:pPr>
          </w:p>
        </w:tc>
        <w:tc>
          <w:tcPr>
            <w:tcW w:w="1340" w:type="dxa"/>
            <w:vAlign w:val="bottom"/>
            <w:gridSpan w:val="6"/>
          </w:tcPr>
          <w:p>
            <w:pPr>
              <w:spacing w:after="0"/>
              <w:rPr>
                <w:sz w:val="20"/>
                <w:szCs w:val="20"/>
                <w:color w:val="auto"/>
              </w:rPr>
            </w:pPr>
            <w:r>
              <w:rPr>
                <w:rFonts w:ascii="Arial" w:cs="Arial" w:eastAsia="Arial" w:hAnsi="Arial"/>
                <w:sz w:val="18"/>
                <w:szCs w:val="18"/>
                <w:color w:val="0000FF"/>
              </w:rPr>
              <w:t>PART I</w:t>
            </w:r>
          </w:p>
        </w:tc>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340" w:type="dxa"/>
            <w:vAlign w:val="bottom"/>
            <w:gridSpan w:val="6"/>
          </w:tcPr>
          <w:p>
            <w:pPr>
              <w:ind w:left="340"/>
              <w:spacing w:after="0"/>
              <w:rPr>
                <w:sz w:val="20"/>
                <w:szCs w:val="20"/>
                <w:color w:val="auto"/>
              </w:rPr>
            </w:pPr>
            <w:r>
              <w:rPr>
                <w:rFonts w:ascii="Arial" w:cs="Arial" w:eastAsia="Arial" w:hAnsi="Arial"/>
                <w:sz w:val="18"/>
                <w:szCs w:val="18"/>
                <w:color w:val="auto"/>
              </w:rPr>
              <w:t>ITEM 1.</w:t>
            </w:r>
          </w:p>
        </w:tc>
        <w:tc>
          <w:tcPr>
            <w:tcW w:w="20" w:type="dxa"/>
            <w:vAlign w:val="bottom"/>
          </w:tcPr>
          <w:p>
            <w:pPr>
              <w:spacing w:after="0"/>
              <w:rPr>
                <w:sz w:val="18"/>
                <w:szCs w:val="18"/>
                <w:color w:val="auto"/>
              </w:rPr>
            </w:pPr>
          </w:p>
        </w:tc>
        <w:tc>
          <w:tcPr>
            <w:tcW w:w="8460" w:type="dxa"/>
            <w:vAlign w:val="bottom"/>
            <w:gridSpan w:val="23"/>
          </w:tcPr>
          <w:p>
            <w:pPr>
              <w:spacing w:after="0"/>
              <w:rPr>
                <w:sz w:val="20"/>
                <w:szCs w:val="20"/>
                <w:color w:val="auto"/>
              </w:rPr>
            </w:pPr>
            <w:r>
              <w:rPr>
                <w:rFonts w:ascii="Arial" w:cs="Arial" w:eastAsia="Arial" w:hAnsi="Arial"/>
                <w:sz w:val="18"/>
                <w:szCs w:val="18"/>
                <w:color w:val="0000FF"/>
              </w:rPr>
              <w:t>BUSINESS</w:t>
            </w:r>
          </w:p>
        </w:tc>
        <w:tc>
          <w:tcPr>
            <w:tcW w:w="1400" w:type="dxa"/>
            <w:vAlign w:val="bottom"/>
          </w:tcPr>
          <w:p>
            <w:pPr>
              <w:jc w:val="center"/>
              <w:spacing w:after="0"/>
              <w:rPr>
                <w:sz w:val="20"/>
                <w:szCs w:val="20"/>
                <w:color w:val="auto"/>
              </w:rPr>
            </w:pPr>
            <w:r>
              <w:rPr>
                <w:rFonts w:ascii="Arial" w:cs="Arial" w:eastAsia="Arial" w:hAnsi="Arial"/>
                <w:sz w:val="18"/>
                <w:szCs w:val="18"/>
                <w:color w:val="auto"/>
                <w:w w:val="79"/>
              </w:rPr>
              <w:t>7</w:t>
            </w:r>
          </w:p>
        </w:tc>
      </w:tr>
      <w:tr>
        <w:trPr>
          <w:trHeight w:val="20"/>
        </w:trPr>
        <w:tc>
          <w:tcPr>
            <w:tcW w:w="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340" w:type="dxa"/>
            <w:vAlign w:val="bottom"/>
            <w:gridSpan w:val="6"/>
          </w:tcPr>
          <w:p>
            <w:pPr>
              <w:ind w:left="340"/>
              <w:spacing w:after="0"/>
              <w:rPr>
                <w:sz w:val="20"/>
                <w:szCs w:val="20"/>
                <w:color w:val="auto"/>
              </w:rPr>
            </w:pPr>
            <w:r>
              <w:rPr>
                <w:rFonts w:ascii="Arial" w:cs="Arial" w:eastAsia="Arial" w:hAnsi="Arial"/>
                <w:sz w:val="18"/>
                <w:szCs w:val="18"/>
                <w:color w:val="auto"/>
              </w:rPr>
              <w:t>ITEM 1A.</w:t>
            </w:r>
          </w:p>
        </w:tc>
        <w:tc>
          <w:tcPr>
            <w:tcW w:w="20" w:type="dxa"/>
            <w:vAlign w:val="bottom"/>
          </w:tcPr>
          <w:p>
            <w:pPr>
              <w:spacing w:after="0"/>
              <w:rPr>
                <w:sz w:val="18"/>
                <w:szCs w:val="18"/>
                <w:color w:val="auto"/>
              </w:rPr>
            </w:pPr>
          </w:p>
        </w:tc>
        <w:tc>
          <w:tcPr>
            <w:tcW w:w="8460" w:type="dxa"/>
            <w:vAlign w:val="bottom"/>
            <w:gridSpan w:val="23"/>
          </w:tcPr>
          <w:p>
            <w:pPr>
              <w:spacing w:after="0"/>
              <w:rPr>
                <w:sz w:val="20"/>
                <w:szCs w:val="20"/>
                <w:color w:val="auto"/>
              </w:rPr>
            </w:pPr>
            <w:r>
              <w:rPr>
                <w:rFonts w:ascii="Arial" w:cs="Arial" w:eastAsia="Arial" w:hAnsi="Arial"/>
                <w:sz w:val="18"/>
                <w:szCs w:val="18"/>
                <w:color w:val="0000FF"/>
              </w:rPr>
              <w:t>RISK FACTORS</w:t>
            </w:r>
          </w:p>
        </w:tc>
        <w:tc>
          <w:tcPr>
            <w:tcW w:w="1400" w:type="dxa"/>
            <w:vAlign w:val="bottom"/>
          </w:tcPr>
          <w:p>
            <w:pPr>
              <w:jc w:val="center"/>
              <w:spacing w:after="0"/>
              <w:rPr>
                <w:sz w:val="20"/>
                <w:szCs w:val="20"/>
                <w:color w:val="auto"/>
              </w:rPr>
            </w:pPr>
            <w:r>
              <w:rPr>
                <w:rFonts w:ascii="Arial" w:cs="Arial" w:eastAsia="Arial" w:hAnsi="Arial"/>
                <w:sz w:val="18"/>
                <w:szCs w:val="18"/>
                <w:color w:val="auto"/>
                <w:w w:val="89"/>
              </w:rPr>
              <w:t>22</w:t>
            </w:r>
          </w:p>
        </w:tc>
      </w:tr>
      <w:tr>
        <w:trPr>
          <w:trHeight w:val="20"/>
        </w:trPr>
        <w:tc>
          <w:tcPr>
            <w:tcW w:w="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80" w:type="dxa"/>
            <w:vAlign w:val="bottom"/>
            <w:tcBorders>
              <w:left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340" w:type="dxa"/>
            <w:vAlign w:val="bottom"/>
            <w:gridSpan w:val="6"/>
          </w:tcPr>
          <w:p>
            <w:pPr>
              <w:ind w:left="340"/>
              <w:spacing w:after="0"/>
              <w:rPr>
                <w:sz w:val="20"/>
                <w:szCs w:val="20"/>
                <w:color w:val="auto"/>
              </w:rPr>
            </w:pPr>
            <w:r>
              <w:rPr>
                <w:rFonts w:ascii="Arial" w:cs="Arial" w:eastAsia="Arial" w:hAnsi="Arial"/>
                <w:sz w:val="18"/>
                <w:szCs w:val="18"/>
                <w:color w:val="auto"/>
              </w:rPr>
              <w:t>ITEM 1B.</w:t>
            </w:r>
          </w:p>
        </w:tc>
        <w:tc>
          <w:tcPr>
            <w:tcW w:w="20" w:type="dxa"/>
            <w:vAlign w:val="bottom"/>
          </w:tcPr>
          <w:p>
            <w:pPr>
              <w:spacing w:after="0"/>
              <w:rPr>
                <w:sz w:val="18"/>
                <w:szCs w:val="18"/>
                <w:color w:val="auto"/>
              </w:rPr>
            </w:pPr>
          </w:p>
        </w:tc>
        <w:tc>
          <w:tcPr>
            <w:tcW w:w="2820" w:type="dxa"/>
            <w:vAlign w:val="bottom"/>
            <w:tcBorders>
              <w:bottom w:val="single" w:sz="8" w:color="0000FF"/>
            </w:tcBorders>
            <w:gridSpan w:val="10"/>
          </w:tcPr>
          <w:p>
            <w:pPr>
              <w:spacing w:after="0"/>
              <w:rPr>
                <w:sz w:val="20"/>
                <w:szCs w:val="20"/>
                <w:color w:val="auto"/>
              </w:rPr>
            </w:pPr>
            <w:r>
              <w:rPr>
                <w:rFonts w:ascii="Arial" w:cs="Arial" w:eastAsia="Arial" w:hAnsi="Arial"/>
                <w:sz w:val="18"/>
                <w:szCs w:val="18"/>
                <w:color w:val="0000FF"/>
                <w:w w:val="94"/>
              </w:rPr>
              <w:t>UNRESOLVED STAFF COMMENTS</w:t>
            </w:r>
          </w:p>
        </w:tc>
        <w:tc>
          <w:tcPr>
            <w:tcW w:w="5640" w:type="dxa"/>
            <w:vAlign w:val="bottom"/>
            <w:gridSpan w:val="13"/>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89"/>
              </w:rPr>
              <w:t>67</w:t>
            </w:r>
          </w:p>
        </w:tc>
      </w:tr>
      <w:tr>
        <w:trPr>
          <w:trHeight w:val="210"/>
        </w:trPr>
        <w:tc>
          <w:tcPr>
            <w:tcW w:w="20" w:type="dxa"/>
            <w:vAlign w:val="bottom"/>
          </w:tcPr>
          <w:p>
            <w:pPr>
              <w:spacing w:after="0"/>
              <w:rPr>
                <w:sz w:val="18"/>
                <w:szCs w:val="18"/>
                <w:color w:val="auto"/>
              </w:rPr>
            </w:pPr>
          </w:p>
        </w:tc>
        <w:tc>
          <w:tcPr>
            <w:tcW w:w="1340" w:type="dxa"/>
            <w:vAlign w:val="bottom"/>
            <w:gridSpan w:val="6"/>
          </w:tcPr>
          <w:p>
            <w:pPr>
              <w:ind w:left="340"/>
              <w:spacing w:after="0"/>
              <w:rPr>
                <w:sz w:val="20"/>
                <w:szCs w:val="20"/>
                <w:color w:val="auto"/>
              </w:rPr>
            </w:pPr>
            <w:r>
              <w:rPr>
                <w:rFonts w:ascii="Arial" w:cs="Arial" w:eastAsia="Arial" w:hAnsi="Arial"/>
                <w:sz w:val="18"/>
                <w:szCs w:val="18"/>
                <w:color w:val="auto"/>
              </w:rPr>
              <w:t>ITEM 2.</w:t>
            </w:r>
          </w:p>
        </w:tc>
        <w:tc>
          <w:tcPr>
            <w:tcW w:w="20" w:type="dxa"/>
            <w:vAlign w:val="bottom"/>
          </w:tcPr>
          <w:p>
            <w:pPr>
              <w:spacing w:after="0"/>
              <w:rPr>
                <w:sz w:val="18"/>
                <w:szCs w:val="18"/>
                <w:color w:val="auto"/>
              </w:rPr>
            </w:pPr>
          </w:p>
        </w:tc>
        <w:tc>
          <w:tcPr>
            <w:tcW w:w="106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color w:val="0000FF"/>
                <w:w w:val="89"/>
              </w:rPr>
              <w:t>PROPERTIES</w:t>
            </w:r>
          </w:p>
        </w:tc>
        <w:tc>
          <w:tcPr>
            <w:tcW w:w="7400" w:type="dxa"/>
            <w:vAlign w:val="bottom"/>
            <w:gridSpan w:val="20"/>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89"/>
              </w:rPr>
              <w:t>67</w:t>
            </w:r>
          </w:p>
        </w:tc>
      </w:tr>
      <w:tr>
        <w:trPr>
          <w:trHeight w:val="209"/>
        </w:trPr>
        <w:tc>
          <w:tcPr>
            <w:tcW w:w="20" w:type="dxa"/>
            <w:vAlign w:val="bottom"/>
          </w:tcPr>
          <w:p>
            <w:pPr>
              <w:spacing w:after="0"/>
              <w:rPr>
                <w:sz w:val="18"/>
                <w:szCs w:val="18"/>
                <w:color w:val="auto"/>
              </w:rPr>
            </w:pPr>
          </w:p>
        </w:tc>
        <w:tc>
          <w:tcPr>
            <w:tcW w:w="1340" w:type="dxa"/>
            <w:vAlign w:val="bottom"/>
            <w:gridSpan w:val="6"/>
          </w:tcPr>
          <w:p>
            <w:pPr>
              <w:ind w:left="340"/>
              <w:spacing w:after="0"/>
              <w:rPr>
                <w:sz w:val="20"/>
                <w:szCs w:val="20"/>
                <w:color w:val="auto"/>
              </w:rPr>
            </w:pPr>
            <w:r>
              <w:rPr>
                <w:rFonts w:ascii="Arial" w:cs="Arial" w:eastAsia="Arial" w:hAnsi="Arial"/>
                <w:sz w:val="18"/>
                <w:szCs w:val="18"/>
                <w:color w:val="auto"/>
              </w:rPr>
              <w:t>ITEM 3.</w:t>
            </w:r>
          </w:p>
        </w:tc>
        <w:tc>
          <w:tcPr>
            <w:tcW w:w="20" w:type="dxa"/>
            <w:vAlign w:val="bottom"/>
          </w:tcPr>
          <w:p>
            <w:pPr>
              <w:spacing w:after="0"/>
              <w:rPr>
                <w:sz w:val="18"/>
                <w:szCs w:val="18"/>
                <w:color w:val="auto"/>
              </w:rPr>
            </w:pPr>
          </w:p>
        </w:tc>
        <w:tc>
          <w:tcPr>
            <w:tcW w:w="1880" w:type="dxa"/>
            <w:vAlign w:val="bottom"/>
            <w:tcBorders>
              <w:bottom w:val="single" w:sz="8" w:color="0000FF"/>
            </w:tcBorders>
            <w:gridSpan w:val="6"/>
          </w:tcPr>
          <w:p>
            <w:pPr>
              <w:spacing w:after="0"/>
              <w:rPr>
                <w:sz w:val="20"/>
                <w:szCs w:val="20"/>
                <w:color w:val="auto"/>
              </w:rPr>
            </w:pPr>
            <w:r>
              <w:rPr>
                <w:rFonts w:ascii="Arial" w:cs="Arial" w:eastAsia="Arial" w:hAnsi="Arial"/>
                <w:sz w:val="18"/>
                <w:szCs w:val="18"/>
                <w:color w:val="0000FF"/>
                <w:w w:val="94"/>
              </w:rPr>
              <w:t>LEGAL PROCEEDINGS</w:t>
            </w:r>
          </w:p>
        </w:tc>
        <w:tc>
          <w:tcPr>
            <w:tcW w:w="6580" w:type="dxa"/>
            <w:vAlign w:val="bottom"/>
            <w:gridSpan w:val="17"/>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89"/>
              </w:rPr>
              <w:t>68</w:t>
            </w:r>
          </w:p>
        </w:tc>
      </w:tr>
      <w:tr>
        <w:trPr>
          <w:trHeight w:val="209"/>
        </w:trPr>
        <w:tc>
          <w:tcPr>
            <w:tcW w:w="20" w:type="dxa"/>
            <w:vAlign w:val="bottom"/>
          </w:tcPr>
          <w:p>
            <w:pPr>
              <w:spacing w:after="0"/>
              <w:rPr>
                <w:sz w:val="18"/>
                <w:szCs w:val="18"/>
                <w:color w:val="auto"/>
              </w:rPr>
            </w:pPr>
          </w:p>
        </w:tc>
        <w:tc>
          <w:tcPr>
            <w:tcW w:w="1340" w:type="dxa"/>
            <w:vAlign w:val="bottom"/>
            <w:gridSpan w:val="6"/>
          </w:tcPr>
          <w:p>
            <w:pPr>
              <w:ind w:left="340"/>
              <w:spacing w:after="0"/>
              <w:rPr>
                <w:sz w:val="20"/>
                <w:szCs w:val="20"/>
                <w:color w:val="auto"/>
              </w:rPr>
            </w:pPr>
            <w:r>
              <w:rPr>
                <w:rFonts w:ascii="Arial" w:cs="Arial" w:eastAsia="Arial" w:hAnsi="Arial"/>
                <w:sz w:val="18"/>
                <w:szCs w:val="18"/>
                <w:color w:val="auto"/>
              </w:rPr>
              <w:t>ITEM 4.</w:t>
            </w:r>
          </w:p>
        </w:tc>
        <w:tc>
          <w:tcPr>
            <w:tcW w:w="20" w:type="dxa"/>
            <w:vAlign w:val="bottom"/>
          </w:tcPr>
          <w:p>
            <w:pPr>
              <w:spacing w:after="0"/>
              <w:rPr>
                <w:sz w:val="18"/>
                <w:szCs w:val="18"/>
                <w:color w:val="auto"/>
              </w:rPr>
            </w:pPr>
          </w:p>
        </w:tc>
        <w:tc>
          <w:tcPr>
            <w:tcW w:w="8460" w:type="dxa"/>
            <w:vAlign w:val="bottom"/>
            <w:gridSpan w:val="23"/>
          </w:tcPr>
          <w:p>
            <w:pPr>
              <w:spacing w:after="0"/>
              <w:rPr>
                <w:sz w:val="20"/>
                <w:szCs w:val="20"/>
                <w:color w:val="auto"/>
              </w:rPr>
            </w:pPr>
            <w:r>
              <w:rPr>
                <w:rFonts w:ascii="Arial" w:cs="Arial" w:eastAsia="Arial" w:hAnsi="Arial"/>
                <w:sz w:val="18"/>
                <w:szCs w:val="18"/>
                <w:color w:val="0000FF"/>
              </w:rPr>
              <w:t>MINE SAFETY DISCLOSURES</w:t>
            </w:r>
          </w:p>
        </w:tc>
        <w:tc>
          <w:tcPr>
            <w:tcW w:w="1400" w:type="dxa"/>
            <w:vAlign w:val="bottom"/>
          </w:tcPr>
          <w:p>
            <w:pPr>
              <w:jc w:val="center"/>
              <w:spacing w:after="0"/>
              <w:rPr>
                <w:sz w:val="20"/>
                <w:szCs w:val="20"/>
                <w:color w:val="auto"/>
              </w:rPr>
            </w:pPr>
            <w:r>
              <w:rPr>
                <w:rFonts w:ascii="Arial" w:cs="Arial" w:eastAsia="Arial" w:hAnsi="Arial"/>
                <w:sz w:val="18"/>
                <w:szCs w:val="18"/>
                <w:color w:val="auto"/>
                <w:w w:val="89"/>
              </w:rPr>
              <w:t>68</w:t>
            </w:r>
          </w:p>
        </w:tc>
      </w:tr>
      <w:tr>
        <w:trPr>
          <w:trHeight w:val="372"/>
        </w:trPr>
        <w:tc>
          <w:tcPr>
            <w:tcW w:w="20" w:type="dxa"/>
            <w:vAlign w:val="bottom"/>
          </w:tcPr>
          <w:p>
            <w:pPr>
              <w:spacing w:after="0"/>
              <w:rPr>
                <w:sz w:val="24"/>
                <w:szCs w:val="24"/>
                <w:color w:val="auto"/>
              </w:rPr>
            </w:pPr>
          </w:p>
        </w:tc>
        <w:tc>
          <w:tcPr>
            <w:tcW w:w="1340" w:type="dxa"/>
            <w:vAlign w:val="bottom"/>
            <w:gridSpan w:val="6"/>
          </w:tcPr>
          <w:p>
            <w:pPr>
              <w:spacing w:after="0"/>
              <w:rPr>
                <w:sz w:val="20"/>
                <w:szCs w:val="20"/>
                <w:color w:val="auto"/>
              </w:rPr>
            </w:pPr>
            <w:r>
              <w:rPr>
                <w:rFonts w:ascii="Arial" w:cs="Arial" w:eastAsia="Arial" w:hAnsi="Arial"/>
                <w:sz w:val="18"/>
                <w:szCs w:val="18"/>
                <w:color w:val="0000FF"/>
              </w:rPr>
              <w:t>PART II</w:t>
            </w:r>
          </w:p>
        </w:tc>
        <w:tc>
          <w:tcPr>
            <w:tcW w:w="20" w:type="dxa"/>
            <w:vAlign w:val="bottom"/>
          </w:tcPr>
          <w:p>
            <w:pPr>
              <w:spacing w:after="0"/>
              <w:rPr>
                <w:sz w:val="24"/>
                <w:szCs w:val="24"/>
                <w:color w:val="auto"/>
              </w:rPr>
            </w:pPr>
          </w:p>
        </w:tc>
        <w:tc>
          <w:tcPr>
            <w:tcW w:w="84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68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340" w:type="dxa"/>
            <w:vAlign w:val="bottom"/>
            <w:gridSpan w:val="6"/>
          </w:tcPr>
          <w:p>
            <w:pPr>
              <w:ind w:left="340"/>
              <w:spacing w:after="0"/>
              <w:rPr>
                <w:sz w:val="20"/>
                <w:szCs w:val="20"/>
                <w:color w:val="auto"/>
              </w:rPr>
            </w:pPr>
            <w:r>
              <w:rPr>
                <w:rFonts w:ascii="Arial" w:cs="Arial" w:eastAsia="Arial" w:hAnsi="Arial"/>
                <w:sz w:val="18"/>
                <w:szCs w:val="18"/>
                <w:color w:val="auto"/>
              </w:rPr>
              <w:t>ITEM 5.</w:t>
            </w:r>
          </w:p>
        </w:tc>
        <w:tc>
          <w:tcPr>
            <w:tcW w:w="20" w:type="dxa"/>
            <w:vAlign w:val="bottom"/>
          </w:tcPr>
          <w:p>
            <w:pPr>
              <w:spacing w:after="0"/>
              <w:rPr>
                <w:sz w:val="18"/>
                <w:szCs w:val="18"/>
                <w:color w:val="auto"/>
              </w:rPr>
            </w:pPr>
          </w:p>
        </w:tc>
        <w:tc>
          <w:tcPr>
            <w:tcW w:w="8460" w:type="dxa"/>
            <w:vAlign w:val="bottom"/>
            <w:gridSpan w:val="23"/>
          </w:tcPr>
          <w:p>
            <w:pPr>
              <w:spacing w:after="0"/>
              <w:rPr>
                <w:sz w:val="20"/>
                <w:szCs w:val="20"/>
                <w:color w:val="auto"/>
              </w:rPr>
            </w:pPr>
            <w:r>
              <w:rPr>
                <w:rFonts w:ascii="Arial" w:cs="Arial" w:eastAsia="Arial" w:hAnsi="Arial"/>
                <w:sz w:val="18"/>
                <w:szCs w:val="18"/>
                <w:color w:val="0000FF"/>
                <w:w w:val="98"/>
              </w:rPr>
              <w:t>MARKET FOR REGISTRANT'S COMMON EQUITY, RELATED STOCKHOLDER MATTERS AND ISSUER</w:t>
            </w:r>
          </w:p>
        </w:tc>
        <w:tc>
          <w:tcPr>
            <w:tcW w:w="1400" w:type="dxa"/>
            <w:vAlign w:val="bottom"/>
          </w:tcPr>
          <w:p>
            <w:pPr>
              <w:jc w:val="center"/>
              <w:spacing w:after="0"/>
              <w:rPr>
                <w:sz w:val="20"/>
                <w:szCs w:val="20"/>
                <w:color w:val="auto"/>
              </w:rPr>
            </w:pPr>
            <w:r>
              <w:rPr>
                <w:rFonts w:ascii="Arial" w:cs="Arial" w:eastAsia="Arial" w:hAnsi="Arial"/>
                <w:sz w:val="18"/>
                <w:szCs w:val="18"/>
                <w:color w:val="auto"/>
                <w:w w:val="89"/>
              </w:rPr>
              <w:t>69</w:t>
            </w:r>
          </w:p>
        </w:tc>
      </w:tr>
      <w:tr>
        <w:trPr>
          <w:trHeight w:val="156"/>
        </w:trPr>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20" w:type="dxa"/>
            <w:vAlign w:val="bottom"/>
            <w:tcBorders>
              <w:top w:val="single" w:sz="8" w:color="0000FF"/>
            </w:tcBorders>
            <w:gridSpan w:val="22"/>
          </w:tcPr>
          <w:p>
            <w:pPr>
              <w:spacing w:after="0" w:line="156" w:lineRule="exact"/>
              <w:rPr>
                <w:sz w:val="20"/>
                <w:szCs w:val="20"/>
                <w:color w:val="auto"/>
              </w:rPr>
            </w:pPr>
            <w:r>
              <w:rPr>
                <w:rFonts w:ascii="Arial" w:cs="Arial" w:eastAsia="Arial" w:hAnsi="Arial"/>
                <w:sz w:val="18"/>
                <w:szCs w:val="18"/>
                <w:color w:val="0000FF"/>
              </w:rPr>
              <w:t>PURCHASES OF EQUITY SECURITIES</w:t>
            </w:r>
          </w:p>
        </w:tc>
        <w:tc>
          <w:tcPr>
            <w:tcW w:w="240" w:type="dxa"/>
            <w:vAlign w:val="bottom"/>
          </w:tcPr>
          <w:p>
            <w:pPr>
              <w:spacing w:after="0"/>
              <w:rPr>
                <w:sz w:val="13"/>
                <w:szCs w:val="13"/>
                <w:color w:val="auto"/>
              </w:rPr>
            </w:pPr>
          </w:p>
        </w:tc>
        <w:tc>
          <w:tcPr>
            <w:tcW w:w="1400" w:type="dxa"/>
            <w:vAlign w:val="bottom"/>
          </w:tcPr>
          <w:p>
            <w:pPr>
              <w:spacing w:after="0"/>
              <w:rPr>
                <w:sz w:val="13"/>
                <w:szCs w:val="13"/>
                <w:color w:val="auto"/>
              </w:rPr>
            </w:pPr>
          </w:p>
        </w:tc>
      </w:tr>
      <w:tr>
        <w:trPr>
          <w:trHeight w:val="223"/>
        </w:trPr>
        <w:tc>
          <w:tcPr>
            <w:tcW w:w="20" w:type="dxa"/>
            <w:vAlign w:val="bottom"/>
          </w:tcPr>
          <w:p>
            <w:pPr>
              <w:spacing w:after="0"/>
              <w:rPr>
                <w:sz w:val="19"/>
                <w:szCs w:val="19"/>
                <w:color w:val="auto"/>
              </w:rPr>
            </w:pPr>
          </w:p>
        </w:tc>
        <w:tc>
          <w:tcPr>
            <w:tcW w:w="1340" w:type="dxa"/>
            <w:vAlign w:val="bottom"/>
            <w:gridSpan w:val="6"/>
          </w:tcPr>
          <w:p>
            <w:pPr>
              <w:ind w:left="340"/>
              <w:spacing w:after="0"/>
              <w:rPr>
                <w:sz w:val="20"/>
                <w:szCs w:val="20"/>
                <w:color w:val="auto"/>
              </w:rPr>
            </w:pPr>
            <w:r>
              <w:rPr>
                <w:rFonts w:ascii="Arial" w:cs="Arial" w:eastAsia="Arial" w:hAnsi="Arial"/>
                <w:sz w:val="18"/>
                <w:szCs w:val="18"/>
                <w:color w:val="auto"/>
              </w:rPr>
              <w:t>ITEM 6.</w:t>
            </w:r>
          </w:p>
        </w:tc>
        <w:tc>
          <w:tcPr>
            <w:tcW w:w="20" w:type="dxa"/>
            <w:vAlign w:val="bottom"/>
          </w:tcPr>
          <w:p>
            <w:pPr>
              <w:spacing w:after="0"/>
              <w:rPr>
                <w:sz w:val="19"/>
                <w:szCs w:val="19"/>
                <w:color w:val="auto"/>
              </w:rPr>
            </w:pPr>
          </w:p>
        </w:tc>
        <w:tc>
          <w:tcPr>
            <w:tcW w:w="1040" w:type="dxa"/>
            <w:vAlign w:val="bottom"/>
            <w:tcBorders>
              <w:top w:val="single" w:sz="8" w:color="0000FF"/>
              <w:bottom w:val="single" w:sz="8" w:color="0000FF"/>
            </w:tcBorders>
            <w:gridSpan w:val="2"/>
          </w:tcPr>
          <w:p>
            <w:pPr>
              <w:spacing w:after="0"/>
              <w:rPr>
                <w:sz w:val="20"/>
                <w:szCs w:val="20"/>
                <w:color w:val="auto"/>
              </w:rPr>
            </w:pPr>
            <w:r>
              <w:rPr>
                <w:rFonts w:ascii="Arial" w:cs="Arial" w:eastAsia="Arial" w:hAnsi="Arial"/>
                <w:sz w:val="18"/>
                <w:szCs w:val="18"/>
                <w:color w:val="0000FF"/>
                <w:w w:val="93"/>
              </w:rPr>
              <w:t>[RESERVED]</w:t>
            </w:r>
          </w:p>
        </w:tc>
        <w:tc>
          <w:tcPr>
            <w:tcW w:w="2040" w:type="dxa"/>
            <w:vAlign w:val="bottom"/>
            <w:tcBorders>
              <w:top w:val="single" w:sz="8" w:color="0000FF"/>
            </w:tcBorders>
            <w:gridSpan w:val="9"/>
          </w:tcPr>
          <w:p>
            <w:pPr>
              <w:spacing w:after="0"/>
              <w:rPr>
                <w:sz w:val="19"/>
                <w:szCs w:val="19"/>
                <w:color w:val="auto"/>
              </w:rPr>
            </w:pPr>
          </w:p>
        </w:tc>
        <w:tc>
          <w:tcPr>
            <w:tcW w:w="5380" w:type="dxa"/>
            <w:vAlign w:val="bottom"/>
            <w:gridSpan w:val="12"/>
          </w:tcPr>
          <w:p>
            <w:pPr>
              <w:spacing w:after="0"/>
              <w:rPr>
                <w:sz w:val="19"/>
                <w:szCs w:val="19"/>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89"/>
              </w:rPr>
              <w:t>70</w:t>
            </w:r>
          </w:p>
        </w:tc>
      </w:tr>
      <w:tr>
        <w:trPr>
          <w:trHeight w:val="209"/>
        </w:trPr>
        <w:tc>
          <w:tcPr>
            <w:tcW w:w="20" w:type="dxa"/>
            <w:vAlign w:val="bottom"/>
          </w:tcPr>
          <w:p>
            <w:pPr>
              <w:spacing w:after="0"/>
              <w:rPr>
                <w:sz w:val="18"/>
                <w:szCs w:val="18"/>
                <w:color w:val="auto"/>
              </w:rPr>
            </w:pPr>
          </w:p>
        </w:tc>
        <w:tc>
          <w:tcPr>
            <w:tcW w:w="1340" w:type="dxa"/>
            <w:vAlign w:val="bottom"/>
            <w:gridSpan w:val="6"/>
          </w:tcPr>
          <w:p>
            <w:pPr>
              <w:ind w:left="340"/>
              <w:spacing w:after="0"/>
              <w:rPr>
                <w:sz w:val="20"/>
                <w:szCs w:val="20"/>
                <w:color w:val="auto"/>
              </w:rPr>
            </w:pPr>
            <w:r>
              <w:rPr>
                <w:rFonts w:ascii="Arial" w:cs="Arial" w:eastAsia="Arial" w:hAnsi="Arial"/>
                <w:sz w:val="18"/>
                <w:szCs w:val="18"/>
                <w:color w:val="auto"/>
              </w:rPr>
              <w:t>ITEM 7.</w:t>
            </w:r>
          </w:p>
        </w:tc>
        <w:tc>
          <w:tcPr>
            <w:tcW w:w="20" w:type="dxa"/>
            <w:vAlign w:val="bottom"/>
          </w:tcPr>
          <w:p>
            <w:pPr>
              <w:spacing w:after="0"/>
              <w:rPr>
                <w:sz w:val="18"/>
                <w:szCs w:val="18"/>
                <w:color w:val="auto"/>
              </w:rPr>
            </w:pPr>
          </w:p>
        </w:tc>
        <w:tc>
          <w:tcPr>
            <w:tcW w:w="8460" w:type="dxa"/>
            <w:vAlign w:val="bottom"/>
            <w:gridSpan w:val="23"/>
          </w:tcPr>
          <w:p>
            <w:pPr>
              <w:spacing w:after="0"/>
              <w:rPr>
                <w:sz w:val="20"/>
                <w:szCs w:val="20"/>
                <w:color w:val="auto"/>
              </w:rPr>
            </w:pPr>
            <w:r>
              <w:rPr>
                <w:rFonts w:ascii="Arial" w:cs="Arial" w:eastAsia="Arial" w:hAnsi="Arial"/>
                <w:sz w:val="18"/>
                <w:szCs w:val="18"/>
                <w:color w:val="0000FF"/>
              </w:rPr>
              <w:t>MANAGEMENT'S DISCUSSION AND ANALYSIS OF FINANCIAL CONDITION AND RESULTS OF</w:t>
            </w:r>
          </w:p>
        </w:tc>
        <w:tc>
          <w:tcPr>
            <w:tcW w:w="1400" w:type="dxa"/>
            <w:vAlign w:val="bottom"/>
          </w:tcPr>
          <w:p>
            <w:pPr>
              <w:jc w:val="center"/>
              <w:spacing w:after="0"/>
              <w:rPr>
                <w:sz w:val="20"/>
                <w:szCs w:val="20"/>
                <w:color w:val="auto"/>
              </w:rPr>
            </w:pPr>
            <w:r>
              <w:rPr>
                <w:rFonts w:ascii="Arial" w:cs="Arial" w:eastAsia="Arial" w:hAnsi="Arial"/>
                <w:sz w:val="18"/>
                <w:szCs w:val="18"/>
                <w:color w:val="auto"/>
                <w:w w:val="89"/>
              </w:rPr>
              <w:t>71</w:t>
            </w:r>
          </w:p>
        </w:tc>
      </w:tr>
      <w:tr>
        <w:trPr>
          <w:trHeight w:val="156"/>
        </w:trPr>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00" w:type="dxa"/>
            <w:vAlign w:val="bottom"/>
            <w:tcBorders>
              <w:top w:val="single" w:sz="8" w:color="0000FF"/>
              <w:bottom w:val="single" w:sz="8" w:color="0000FF"/>
            </w:tcBorders>
            <w:gridSpan w:val="4"/>
          </w:tcPr>
          <w:p>
            <w:pPr>
              <w:spacing w:after="0" w:line="156" w:lineRule="exact"/>
              <w:rPr>
                <w:sz w:val="20"/>
                <w:szCs w:val="20"/>
                <w:color w:val="auto"/>
              </w:rPr>
            </w:pPr>
            <w:r>
              <w:rPr>
                <w:rFonts w:ascii="Arial" w:cs="Arial" w:eastAsia="Arial" w:hAnsi="Arial"/>
                <w:sz w:val="18"/>
                <w:szCs w:val="18"/>
                <w:color w:val="0000FF"/>
                <w:w w:val="91"/>
              </w:rPr>
              <w:t>OPERATIONS</w:t>
            </w:r>
          </w:p>
        </w:tc>
        <w:tc>
          <w:tcPr>
            <w:tcW w:w="6640" w:type="dxa"/>
            <w:vAlign w:val="bottom"/>
            <w:tcBorders>
              <w:top w:val="single" w:sz="8" w:color="0000FF"/>
            </w:tcBorders>
            <w:gridSpan w:val="15"/>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20" w:type="dxa"/>
            <w:vAlign w:val="bottom"/>
            <w:gridSpan w:val="2"/>
          </w:tcPr>
          <w:p>
            <w:pPr>
              <w:spacing w:after="0"/>
              <w:rPr>
                <w:sz w:val="13"/>
                <w:szCs w:val="13"/>
                <w:color w:val="auto"/>
              </w:rPr>
            </w:pPr>
          </w:p>
        </w:tc>
        <w:tc>
          <w:tcPr>
            <w:tcW w:w="1400" w:type="dxa"/>
            <w:vAlign w:val="bottom"/>
          </w:tcPr>
          <w:p>
            <w:pPr>
              <w:spacing w:after="0"/>
              <w:rPr>
                <w:sz w:val="13"/>
                <w:szCs w:val="13"/>
                <w:color w:val="auto"/>
              </w:rPr>
            </w:pPr>
          </w:p>
        </w:tc>
      </w:tr>
      <w:tr>
        <w:trPr>
          <w:trHeight w:val="223"/>
        </w:trPr>
        <w:tc>
          <w:tcPr>
            <w:tcW w:w="20" w:type="dxa"/>
            <w:vAlign w:val="bottom"/>
          </w:tcPr>
          <w:p>
            <w:pPr>
              <w:spacing w:after="0"/>
              <w:rPr>
                <w:sz w:val="19"/>
                <w:szCs w:val="19"/>
                <w:color w:val="auto"/>
              </w:rPr>
            </w:pPr>
          </w:p>
        </w:tc>
        <w:tc>
          <w:tcPr>
            <w:tcW w:w="1340" w:type="dxa"/>
            <w:vAlign w:val="bottom"/>
            <w:gridSpan w:val="6"/>
          </w:tcPr>
          <w:p>
            <w:pPr>
              <w:ind w:left="340"/>
              <w:spacing w:after="0"/>
              <w:rPr>
                <w:sz w:val="20"/>
                <w:szCs w:val="20"/>
                <w:color w:val="auto"/>
              </w:rPr>
            </w:pPr>
            <w:r>
              <w:rPr>
                <w:rFonts w:ascii="Arial" w:cs="Arial" w:eastAsia="Arial" w:hAnsi="Arial"/>
                <w:sz w:val="18"/>
                <w:szCs w:val="18"/>
                <w:color w:val="auto"/>
              </w:rPr>
              <w:t>ITEM 7A.</w:t>
            </w:r>
          </w:p>
        </w:tc>
        <w:tc>
          <w:tcPr>
            <w:tcW w:w="20" w:type="dxa"/>
            <w:vAlign w:val="bottom"/>
          </w:tcPr>
          <w:p>
            <w:pPr>
              <w:spacing w:after="0"/>
              <w:rPr>
                <w:sz w:val="19"/>
                <w:szCs w:val="19"/>
                <w:color w:val="auto"/>
              </w:rPr>
            </w:pPr>
          </w:p>
        </w:tc>
        <w:tc>
          <w:tcPr>
            <w:tcW w:w="6140" w:type="dxa"/>
            <w:vAlign w:val="bottom"/>
            <w:tcBorders>
              <w:bottom w:val="single" w:sz="8" w:color="0000FF"/>
            </w:tcBorders>
            <w:gridSpan w:val="16"/>
          </w:tcPr>
          <w:p>
            <w:pPr>
              <w:spacing w:after="0"/>
              <w:rPr>
                <w:sz w:val="20"/>
                <w:szCs w:val="20"/>
                <w:color w:val="auto"/>
              </w:rPr>
            </w:pPr>
            <w:r>
              <w:rPr>
                <w:rFonts w:ascii="Arial" w:cs="Arial" w:eastAsia="Arial" w:hAnsi="Arial"/>
                <w:sz w:val="18"/>
                <w:szCs w:val="18"/>
                <w:color w:val="0000FF"/>
                <w:w w:val="98"/>
              </w:rPr>
              <w:t>QUANTITATIVE AND QUALITATIVE DISCLOSURES ABOUT MARKET RISK</w:t>
            </w:r>
          </w:p>
        </w:tc>
        <w:tc>
          <w:tcPr>
            <w:tcW w:w="2320" w:type="dxa"/>
            <w:vAlign w:val="bottom"/>
            <w:gridSpan w:val="7"/>
          </w:tcPr>
          <w:p>
            <w:pPr>
              <w:spacing w:after="0"/>
              <w:rPr>
                <w:sz w:val="19"/>
                <w:szCs w:val="19"/>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89"/>
              </w:rPr>
              <w:t>85</w:t>
            </w:r>
          </w:p>
        </w:tc>
      </w:tr>
      <w:tr>
        <w:trPr>
          <w:trHeight w:val="210"/>
        </w:trPr>
        <w:tc>
          <w:tcPr>
            <w:tcW w:w="20" w:type="dxa"/>
            <w:vAlign w:val="bottom"/>
          </w:tcPr>
          <w:p>
            <w:pPr>
              <w:spacing w:after="0"/>
              <w:rPr>
                <w:sz w:val="18"/>
                <w:szCs w:val="18"/>
                <w:color w:val="auto"/>
              </w:rPr>
            </w:pPr>
          </w:p>
        </w:tc>
        <w:tc>
          <w:tcPr>
            <w:tcW w:w="1340" w:type="dxa"/>
            <w:vAlign w:val="bottom"/>
            <w:gridSpan w:val="6"/>
          </w:tcPr>
          <w:p>
            <w:pPr>
              <w:ind w:left="340"/>
              <w:spacing w:after="0"/>
              <w:rPr>
                <w:sz w:val="20"/>
                <w:szCs w:val="20"/>
                <w:color w:val="auto"/>
              </w:rPr>
            </w:pPr>
            <w:r>
              <w:rPr>
                <w:rFonts w:ascii="Arial" w:cs="Arial" w:eastAsia="Arial" w:hAnsi="Arial"/>
                <w:sz w:val="18"/>
                <w:szCs w:val="18"/>
                <w:color w:val="auto"/>
              </w:rPr>
              <w:t>ITEM 8.</w:t>
            </w:r>
          </w:p>
        </w:tc>
        <w:tc>
          <w:tcPr>
            <w:tcW w:w="20" w:type="dxa"/>
            <w:vAlign w:val="bottom"/>
          </w:tcPr>
          <w:p>
            <w:pPr>
              <w:spacing w:after="0"/>
              <w:rPr>
                <w:sz w:val="18"/>
                <w:szCs w:val="18"/>
                <w:color w:val="auto"/>
              </w:rPr>
            </w:pPr>
          </w:p>
        </w:tc>
        <w:tc>
          <w:tcPr>
            <w:tcW w:w="4660" w:type="dxa"/>
            <w:vAlign w:val="bottom"/>
            <w:tcBorders>
              <w:bottom w:val="single" w:sz="8" w:color="0000FF"/>
            </w:tcBorders>
            <w:gridSpan w:val="14"/>
          </w:tcPr>
          <w:p>
            <w:pPr>
              <w:spacing w:after="0"/>
              <w:rPr>
                <w:sz w:val="20"/>
                <w:szCs w:val="20"/>
                <w:color w:val="auto"/>
              </w:rPr>
            </w:pPr>
            <w:r>
              <w:rPr>
                <w:rFonts w:ascii="Arial" w:cs="Arial" w:eastAsia="Arial" w:hAnsi="Arial"/>
                <w:sz w:val="18"/>
                <w:szCs w:val="18"/>
                <w:color w:val="0000FF"/>
                <w:w w:val="96"/>
              </w:rPr>
              <w:t>FINANCIAL STATEMENTS AND SUPPLEMENTARY DATA</w:t>
            </w:r>
          </w:p>
        </w:tc>
        <w:tc>
          <w:tcPr>
            <w:tcW w:w="3800" w:type="dxa"/>
            <w:vAlign w:val="bottom"/>
            <w:gridSpan w:val="9"/>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89"/>
              </w:rPr>
              <w:t>86</w:t>
            </w:r>
          </w:p>
        </w:tc>
      </w:tr>
      <w:tr>
        <w:trPr>
          <w:trHeight w:val="209"/>
        </w:trPr>
        <w:tc>
          <w:tcPr>
            <w:tcW w:w="20" w:type="dxa"/>
            <w:vAlign w:val="bottom"/>
          </w:tcPr>
          <w:p>
            <w:pPr>
              <w:spacing w:after="0"/>
              <w:rPr>
                <w:sz w:val="18"/>
                <w:szCs w:val="18"/>
                <w:color w:val="auto"/>
              </w:rPr>
            </w:pPr>
          </w:p>
        </w:tc>
        <w:tc>
          <w:tcPr>
            <w:tcW w:w="1340" w:type="dxa"/>
            <w:vAlign w:val="bottom"/>
            <w:gridSpan w:val="6"/>
          </w:tcPr>
          <w:p>
            <w:pPr>
              <w:ind w:left="340"/>
              <w:spacing w:after="0"/>
              <w:rPr>
                <w:sz w:val="20"/>
                <w:szCs w:val="20"/>
                <w:color w:val="auto"/>
              </w:rPr>
            </w:pPr>
            <w:r>
              <w:rPr>
                <w:rFonts w:ascii="Arial" w:cs="Arial" w:eastAsia="Arial" w:hAnsi="Arial"/>
                <w:sz w:val="18"/>
                <w:szCs w:val="18"/>
                <w:color w:val="auto"/>
              </w:rPr>
              <w:t>ITEM 9.</w:t>
            </w:r>
          </w:p>
        </w:tc>
        <w:tc>
          <w:tcPr>
            <w:tcW w:w="20" w:type="dxa"/>
            <w:vAlign w:val="bottom"/>
          </w:tcPr>
          <w:p>
            <w:pPr>
              <w:spacing w:after="0"/>
              <w:rPr>
                <w:sz w:val="18"/>
                <w:szCs w:val="18"/>
                <w:color w:val="auto"/>
              </w:rPr>
            </w:pPr>
          </w:p>
        </w:tc>
        <w:tc>
          <w:tcPr>
            <w:tcW w:w="8460" w:type="dxa"/>
            <w:vAlign w:val="bottom"/>
            <w:gridSpan w:val="23"/>
          </w:tcPr>
          <w:p>
            <w:pPr>
              <w:spacing w:after="0"/>
              <w:rPr>
                <w:sz w:val="20"/>
                <w:szCs w:val="20"/>
                <w:color w:val="auto"/>
              </w:rPr>
            </w:pPr>
            <w:r>
              <w:rPr>
                <w:rFonts w:ascii="Arial" w:cs="Arial" w:eastAsia="Arial" w:hAnsi="Arial"/>
                <w:sz w:val="18"/>
                <w:szCs w:val="18"/>
                <w:color w:val="0000FF"/>
              </w:rPr>
              <w:t>CHANGES IN AND DISAGREEMENTS WITH ACCOUNTANTS ON ACCOUNTING AND FINANCIAL</w:t>
            </w:r>
          </w:p>
        </w:tc>
        <w:tc>
          <w:tcPr>
            <w:tcW w:w="1400" w:type="dxa"/>
            <w:vAlign w:val="bottom"/>
          </w:tcPr>
          <w:p>
            <w:pPr>
              <w:jc w:val="center"/>
              <w:spacing w:after="0"/>
              <w:rPr>
                <w:sz w:val="20"/>
                <w:szCs w:val="20"/>
                <w:color w:val="auto"/>
              </w:rPr>
            </w:pPr>
            <w:r>
              <w:rPr>
                <w:rFonts w:ascii="Arial" w:cs="Arial" w:eastAsia="Arial" w:hAnsi="Arial"/>
                <w:sz w:val="18"/>
                <w:szCs w:val="18"/>
                <w:color w:val="auto"/>
                <w:w w:val="93"/>
              </w:rPr>
              <w:t>128</w:t>
            </w:r>
          </w:p>
        </w:tc>
      </w:tr>
      <w:tr>
        <w:trPr>
          <w:trHeight w:val="156"/>
        </w:trPr>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940" w:type="dxa"/>
            <w:vAlign w:val="bottom"/>
            <w:tcBorders>
              <w:top w:val="single" w:sz="8" w:color="0000FF"/>
            </w:tcBorders>
            <w:gridSpan w:val="21"/>
          </w:tcPr>
          <w:p>
            <w:pPr>
              <w:spacing w:after="0" w:line="156" w:lineRule="exact"/>
              <w:rPr>
                <w:sz w:val="20"/>
                <w:szCs w:val="20"/>
                <w:color w:val="auto"/>
              </w:rPr>
            </w:pPr>
            <w:r>
              <w:rPr>
                <w:rFonts w:ascii="Arial" w:cs="Arial" w:eastAsia="Arial" w:hAnsi="Arial"/>
                <w:sz w:val="18"/>
                <w:szCs w:val="18"/>
                <w:color w:val="0000FF"/>
              </w:rPr>
              <w:t>DISCLOSURES</w:t>
            </w:r>
          </w:p>
        </w:tc>
        <w:tc>
          <w:tcPr>
            <w:tcW w:w="520" w:type="dxa"/>
            <w:vAlign w:val="bottom"/>
            <w:gridSpan w:val="2"/>
          </w:tcPr>
          <w:p>
            <w:pPr>
              <w:spacing w:after="0"/>
              <w:rPr>
                <w:sz w:val="13"/>
                <w:szCs w:val="13"/>
                <w:color w:val="auto"/>
              </w:rPr>
            </w:pPr>
          </w:p>
        </w:tc>
        <w:tc>
          <w:tcPr>
            <w:tcW w:w="140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gridSpan w:val="5"/>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340" w:type="dxa"/>
            <w:vAlign w:val="bottom"/>
            <w:gridSpan w:val="6"/>
          </w:tcPr>
          <w:p>
            <w:pPr>
              <w:ind w:left="340"/>
              <w:spacing w:after="0"/>
              <w:rPr>
                <w:sz w:val="20"/>
                <w:szCs w:val="20"/>
                <w:color w:val="auto"/>
              </w:rPr>
            </w:pPr>
            <w:r>
              <w:rPr>
                <w:rFonts w:ascii="Arial" w:cs="Arial" w:eastAsia="Arial" w:hAnsi="Arial"/>
                <w:sz w:val="18"/>
                <w:szCs w:val="18"/>
                <w:color w:val="auto"/>
              </w:rPr>
              <w:t>ITEM 9A.</w:t>
            </w:r>
          </w:p>
        </w:tc>
        <w:tc>
          <w:tcPr>
            <w:tcW w:w="20" w:type="dxa"/>
            <w:vAlign w:val="bottom"/>
          </w:tcPr>
          <w:p>
            <w:pPr>
              <w:spacing w:after="0"/>
              <w:rPr>
                <w:sz w:val="19"/>
                <w:szCs w:val="19"/>
                <w:color w:val="auto"/>
              </w:rPr>
            </w:pPr>
          </w:p>
        </w:tc>
        <w:tc>
          <w:tcPr>
            <w:tcW w:w="2600" w:type="dxa"/>
            <w:vAlign w:val="bottom"/>
            <w:tcBorders>
              <w:bottom w:val="single" w:sz="8" w:color="0000FF"/>
            </w:tcBorders>
            <w:gridSpan w:val="9"/>
          </w:tcPr>
          <w:p>
            <w:pPr>
              <w:spacing w:after="0"/>
              <w:rPr>
                <w:sz w:val="20"/>
                <w:szCs w:val="20"/>
                <w:color w:val="auto"/>
              </w:rPr>
            </w:pPr>
            <w:r>
              <w:rPr>
                <w:rFonts w:ascii="Arial" w:cs="Arial" w:eastAsia="Arial" w:hAnsi="Arial"/>
                <w:sz w:val="18"/>
                <w:szCs w:val="18"/>
                <w:color w:val="0000FF"/>
                <w:w w:val="93"/>
              </w:rPr>
              <w:t>CONTROLS AND PROCEDURES</w:t>
            </w:r>
          </w:p>
        </w:tc>
        <w:tc>
          <w:tcPr>
            <w:tcW w:w="5860" w:type="dxa"/>
            <w:vAlign w:val="bottom"/>
            <w:gridSpan w:val="14"/>
          </w:tcPr>
          <w:p>
            <w:pPr>
              <w:spacing w:after="0"/>
              <w:rPr>
                <w:sz w:val="19"/>
                <w:szCs w:val="19"/>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93"/>
              </w:rPr>
              <w:t>128</w:t>
            </w:r>
          </w:p>
        </w:tc>
      </w:tr>
      <w:tr>
        <w:trPr>
          <w:trHeight w:val="209"/>
        </w:trPr>
        <w:tc>
          <w:tcPr>
            <w:tcW w:w="20" w:type="dxa"/>
            <w:vAlign w:val="bottom"/>
          </w:tcPr>
          <w:p>
            <w:pPr>
              <w:spacing w:after="0"/>
              <w:rPr>
                <w:sz w:val="18"/>
                <w:szCs w:val="18"/>
                <w:color w:val="auto"/>
              </w:rPr>
            </w:pPr>
          </w:p>
        </w:tc>
        <w:tc>
          <w:tcPr>
            <w:tcW w:w="1340" w:type="dxa"/>
            <w:vAlign w:val="bottom"/>
            <w:gridSpan w:val="6"/>
          </w:tcPr>
          <w:p>
            <w:pPr>
              <w:ind w:left="340"/>
              <w:spacing w:after="0"/>
              <w:rPr>
                <w:sz w:val="20"/>
                <w:szCs w:val="20"/>
                <w:color w:val="auto"/>
              </w:rPr>
            </w:pPr>
            <w:r>
              <w:rPr>
                <w:rFonts w:ascii="Arial" w:cs="Arial" w:eastAsia="Arial" w:hAnsi="Arial"/>
                <w:sz w:val="18"/>
                <w:szCs w:val="18"/>
                <w:color w:val="auto"/>
              </w:rPr>
              <w:t>ITEM 9B.</w:t>
            </w:r>
          </w:p>
        </w:tc>
        <w:tc>
          <w:tcPr>
            <w:tcW w:w="20" w:type="dxa"/>
            <w:vAlign w:val="bottom"/>
          </w:tcPr>
          <w:p>
            <w:pPr>
              <w:spacing w:after="0"/>
              <w:rPr>
                <w:sz w:val="18"/>
                <w:szCs w:val="18"/>
                <w:color w:val="auto"/>
              </w:rPr>
            </w:pPr>
          </w:p>
        </w:tc>
        <w:tc>
          <w:tcPr>
            <w:tcW w:w="8460" w:type="dxa"/>
            <w:vAlign w:val="bottom"/>
            <w:gridSpan w:val="23"/>
          </w:tcPr>
          <w:p>
            <w:pPr>
              <w:spacing w:after="0"/>
              <w:rPr>
                <w:sz w:val="20"/>
                <w:szCs w:val="20"/>
                <w:color w:val="auto"/>
              </w:rPr>
            </w:pPr>
            <w:r>
              <w:rPr>
                <w:rFonts w:ascii="Arial" w:cs="Arial" w:eastAsia="Arial" w:hAnsi="Arial"/>
                <w:sz w:val="18"/>
                <w:szCs w:val="18"/>
                <w:color w:val="0000FF"/>
              </w:rPr>
              <w:t>OTHER INFORMATION</w:t>
            </w:r>
          </w:p>
        </w:tc>
        <w:tc>
          <w:tcPr>
            <w:tcW w:w="1400" w:type="dxa"/>
            <w:vAlign w:val="bottom"/>
          </w:tcPr>
          <w:p>
            <w:pPr>
              <w:jc w:val="center"/>
              <w:spacing w:after="0"/>
              <w:rPr>
                <w:sz w:val="20"/>
                <w:szCs w:val="20"/>
                <w:color w:val="auto"/>
              </w:rPr>
            </w:pPr>
            <w:r>
              <w:rPr>
                <w:rFonts w:ascii="Arial" w:cs="Arial" w:eastAsia="Arial" w:hAnsi="Arial"/>
                <w:sz w:val="18"/>
                <w:szCs w:val="18"/>
                <w:color w:val="auto"/>
                <w:w w:val="93"/>
              </w:rPr>
              <w:t>128</w:t>
            </w:r>
          </w:p>
        </w:tc>
      </w:tr>
      <w:tr>
        <w:trPr>
          <w:trHeight w:val="20"/>
        </w:trPr>
        <w:tc>
          <w:tcPr>
            <w:tcW w:w="2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80" w:type="dxa"/>
            <w:vAlign w:val="bottom"/>
            <w:gridSpan w:val="6"/>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40" w:type="dxa"/>
            <w:vAlign w:val="bottom"/>
            <w:gridSpan w:val="4"/>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340" w:type="dxa"/>
            <w:vAlign w:val="bottom"/>
            <w:gridSpan w:val="6"/>
          </w:tcPr>
          <w:p>
            <w:pPr>
              <w:ind w:left="340"/>
              <w:spacing w:after="0"/>
              <w:rPr>
                <w:sz w:val="20"/>
                <w:szCs w:val="20"/>
                <w:color w:val="auto"/>
              </w:rPr>
            </w:pPr>
            <w:r>
              <w:rPr>
                <w:rFonts w:ascii="Arial" w:cs="Arial" w:eastAsia="Arial" w:hAnsi="Arial"/>
                <w:sz w:val="18"/>
                <w:szCs w:val="18"/>
                <w:color w:val="auto"/>
              </w:rPr>
              <w:t>ITEM 9C.</w:t>
            </w:r>
          </w:p>
        </w:tc>
        <w:tc>
          <w:tcPr>
            <w:tcW w:w="20" w:type="dxa"/>
            <w:vAlign w:val="bottom"/>
          </w:tcPr>
          <w:p>
            <w:pPr>
              <w:spacing w:after="0"/>
              <w:rPr>
                <w:sz w:val="18"/>
                <w:szCs w:val="18"/>
                <w:color w:val="auto"/>
              </w:rPr>
            </w:pPr>
          </w:p>
        </w:tc>
        <w:tc>
          <w:tcPr>
            <w:tcW w:w="8460" w:type="dxa"/>
            <w:vAlign w:val="bottom"/>
            <w:gridSpan w:val="23"/>
          </w:tcPr>
          <w:p>
            <w:pPr>
              <w:spacing w:after="0"/>
              <w:rPr>
                <w:sz w:val="20"/>
                <w:szCs w:val="20"/>
                <w:color w:val="auto"/>
              </w:rPr>
            </w:pPr>
            <w:r>
              <w:rPr>
                <w:rFonts w:ascii="Arial" w:cs="Arial" w:eastAsia="Arial" w:hAnsi="Arial"/>
                <w:sz w:val="18"/>
                <w:szCs w:val="18"/>
                <w:color w:val="0000FF"/>
              </w:rPr>
              <w:t>DISCLOSURE REGARDING FOREIGN JURISDICTIONS THAT PREVENT INSPECTION</w:t>
            </w:r>
          </w:p>
        </w:tc>
        <w:tc>
          <w:tcPr>
            <w:tcW w:w="1400" w:type="dxa"/>
            <w:vAlign w:val="bottom"/>
          </w:tcPr>
          <w:p>
            <w:pPr>
              <w:jc w:val="center"/>
              <w:spacing w:after="0"/>
              <w:rPr>
                <w:sz w:val="20"/>
                <w:szCs w:val="20"/>
                <w:color w:val="auto"/>
              </w:rPr>
            </w:pPr>
            <w:r>
              <w:rPr>
                <w:rFonts w:ascii="Arial" w:cs="Arial" w:eastAsia="Arial" w:hAnsi="Arial"/>
                <w:sz w:val="18"/>
                <w:szCs w:val="18"/>
                <w:color w:val="auto"/>
                <w:w w:val="93"/>
              </w:rPr>
              <w:t>128</w:t>
            </w:r>
          </w:p>
        </w:tc>
      </w:tr>
      <w:tr>
        <w:trPr>
          <w:trHeight w:val="358"/>
        </w:trPr>
        <w:tc>
          <w:tcPr>
            <w:tcW w:w="20" w:type="dxa"/>
            <w:vAlign w:val="bottom"/>
          </w:tcPr>
          <w:p>
            <w:pPr>
              <w:spacing w:after="0"/>
              <w:rPr>
                <w:sz w:val="24"/>
                <w:szCs w:val="24"/>
                <w:color w:val="auto"/>
              </w:rPr>
            </w:pPr>
          </w:p>
        </w:tc>
        <w:tc>
          <w:tcPr>
            <w:tcW w:w="1340" w:type="dxa"/>
            <w:vAlign w:val="bottom"/>
            <w:gridSpan w:val="6"/>
          </w:tcPr>
          <w:p>
            <w:pPr>
              <w:spacing w:after="0"/>
              <w:rPr>
                <w:sz w:val="20"/>
                <w:szCs w:val="20"/>
                <w:color w:val="auto"/>
              </w:rPr>
            </w:pPr>
            <w:r>
              <w:rPr>
                <w:rFonts w:ascii="Arial" w:cs="Arial" w:eastAsia="Arial" w:hAnsi="Arial"/>
                <w:sz w:val="18"/>
                <w:szCs w:val="18"/>
                <w:color w:val="0000FF"/>
              </w:rPr>
              <w:t>PART III</w:t>
            </w:r>
          </w:p>
        </w:tc>
        <w:tc>
          <w:tcPr>
            <w:tcW w:w="20" w:type="dxa"/>
            <w:vAlign w:val="bottom"/>
          </w:tcPr>
          <w:p>
            <w:pPr>
              <w:spacing w:after="0"/>
              <w:rPr>
                <w:sz w:val="24"/>
                <w:szCs w:val="24"/>
                <w:color w:val="auto"/>
              </w:rPr>
            </w:pPr>
          </w:p>
        </w:tc>
        <w:tc>
          <w:tcPr>
            <w:tcW w:w="84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68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90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114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720" w:type="dxa"/>
            <w:vAlign w:val="bottom"/>
            <w:tcBorders>
              <w:top w:val="single" w:sz="8" w:color="0000FF"/>
            </w:tcBorders>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80" w:type="dxa"/>
            <w:vAlign w:val="bottom"/>
            <w:gridSpan w:val="6"/>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40" w:type="dxa"/>
            <w:vAlign w:val="bottom"/>
            <w:gridSpan w:val="4"/>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90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340" w:type="dxa"/>
            <w:vAlign w:val="bottom"/>
            <w:gridSpan w:val="6"/>
          </w:tcPr>
          <w:p>
            <w:pPr>
              <w:ind w:left="340"/>
              <w:spacing w:after="0"/>
              <w:rPr>
                <w:sz w:val="20"/>
                <w:szCs w:val="20"/>
                <w:color w:val="auto"/>
              </w:rPr>
            </w:pPr>
            <w:r>
              <w:rPr>
                <w:rFonts w:ascii="Arial" w:cs="Arial" w:eastAsia="Arial" w:hAnsi="Arial"/>
                <w:sz w:val="18"/>
                <w:szCs w:val="18"/>
                <w:color w:val="auto"/>
              </w:rPr>
              <w:t>ITEM 10.</w:t>
            </w:r>
          </w:p>
        </w:tc>
        <w:tc>
          <w:tcPr>
            <w:tcW w:w="20" w:type="dxa"/>
            <w:vAlign w:val="bottom"/>
          </w:tcPr>
          <w:p>
            <w:pPr>
              <w:spacing w:after="0"/>
              <w:rPr>
                <w:sz w:val="18"/>
                <w:szCs w:val="18"/>
                <w:color w:val="auto"/>
              </w:rPr>
            </w:pPr>
          </w:p>
        </w:tc>
        <w:tc>
          <w:tcPr>
            <w:tcW w:w="5800" w:type="dxa"/>
            <w:vAlign w:val="bottom"/>
            <w:tcBorders>
              <w:bottom w:val="single" w:sz="8" w:color="0000FF"/>
            </w:tcBorders>
            <w:gridSpan w:val="15"/>
          </w:tcPr>
          <w:p>
            <w:pPr>
              <w:spacing w:after="0"/>
              <w:rPr>
                <w:sz w:val="20"/>
                <w:szCs w:val="20"/>
                <w:color w:val="auto"/>
              </w:rPr>
            </w:pPr>
            <w:r>
              <w:rPr>
                <w:rFonts w:ascii="Arial" w:cs="Arial" w:eastAsia="Arial" w:hAnsi="Arial"/>
                <w:sz w:val="18"/>
                <w:szCs w:val="18"/>
                <w:color w:val="0000FF"/>
                <w:w w:val="94"/>
              </w:rPr>
              <w:t>DIRECTORS, EXECUTIVE OFFICERS AND CORPORATE GOVERNANCE</w:t>
            </w:r>
          </w:p>
        </w:tc>
        <w:tc>
          <w:tcPr>
            <w:tcW w:w="2660" w:type="dxa"/>
            <w:vAlign w:val="bottom"/>
            <w:gridSpan w:val="8"/>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93"/>
              </w:rPr>
              <w:t>129</w:t>
            </w:r>
          </w:p>
        </w:tc>
      </w:tr>
      <w:tr>
        <w:trPr>
          <w:trHeight w:val="209"/>
        </w:trPr>
        <w:tc>
          <w:tcPr>
            <w:tcW w:w="20" w:type="dxa"/>
            <w:vAlign w:val="bottom"/>
          </w:tcPr>
          <w:p>
            <w:pPr>
              <w:spacing w:after="0"/>
              <w:rPr>
                <w:sz w:val="18"/>
                <w:szCs w:val="18"/>
                <w:color w:val="auto"/>
              </w:rPr>
            </w:pPr>
          </w:p>
        </w:tc>
        <w:tc>
          <w:tcPr>
            <w:tcW w:w="1340" w:type="dxa"/>
            <w:vAlign w:val="bottom"/>
            <w:gridSpan w:val="6"/>
          </w:tcPr>
          <w:p>
            <w:pPr>
              <w:ind w:left="340"/>
              <w:spacing w:after="0"/>
              <w:rPr>
                <w:sz w:val="20"/>
                <w:szCs w:val="20"/>
                <w:color w:val="auto"/>
              </w:rPr>
            </w:pPr>
            <w:r>
              <w:rPr>
                <w:rFonts w:ascii="Arial" w:cs="Arial" w:eastAsia="Arial" w:hAnsi="Arial"/>
                <w:sz w:val="18"/>
                <w:szCs w:val="18"/>
                <w:color w:val="auto"/>
              </w:rPr>
              <w:t>ITEM 11.</w:t>
            </w:r>
          </w:p>
        </w:tc>
        <w:tc>
          <w:tcPr>
            <w:tcW w:w="20" w:type="dxa"/>
            <w:vAlign w:val="bottom"/>
          </w:tcPr>
          <w:p>
            <w:pPr>
              <w:spacing w:after="0"/>
              <w:rPr>
                <w:sz w:val="18"/>
                <w:szCs w:val="18"/>
                <w:color w:val="auto"/>
              </w:rPr>
            </w:pPr>
          </w:p>
        </w:tc>
        <w:tc>
          <w:tcPr>
            <w:tcW w:w="2440" w:type="dxa"/>
            <w:vAlign w:val="bottom"/>
            <w:tcBorders>
              <w:bottom w:val="single" w:sz="8" w:color="0000FF"/>
            </w:tcBorders>
            <w:gridSpan w:val="8"/>
          </w:tcPr>
          <w:p>
            <w:pPr>
              <w:spacing w:after="0"/>
              <w:rPr>
                <w:sz w:val="20"/>
                <w:szCs w:val="20"/>
                <w:color w:val="auto"/>
              </w:rPr>
            </w:pPr>
            <w:r>
              <w:rPr>
                <w:rFonts w:ascii="Arial" w:cs="Arial" w:eastAsia="Arial" w:hAnsi="Arial"/>
                <w:sz w:val="18"/>
                <w:szCs w:val="18"/>
                <w:color w:val="0000FF"/>
                <w:w w:val="95"/>
              </w:rPr>
              <w:t>EXECUTIVE COMPENSATION</w:t>
            </w:r>
          </w:p>
        </w:tc>
        <w:tc>
          <w:tcPr>
            <w:tcW w:w="6020" w:type="dxa"/>
            <w:vAlign w:val="bottom"/>
            <w:gridSpan w:val="15"/>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93"/>
              </w:rPr>
              <w:t>129</w:t>
            </w:r>
          </w:p>
        </w:tc>
      </w:tr>
      <w:tr>
        <w:trPr>
          <w:trHeight w:val="210"/>
        </w:trPr>
        <w:tc>
          <w:tcPr>
            <w:tcW w:w="20" w:type="dxa"/>
            <w:vAlign w:val="bottom"/>
          </w:tcPr>
          <w:p>
            <w:pPr>
              <w:spacing w:after="0"/>
              <w:rPr>
                <w:sz w:val="18"/>
                <w:szCs w:val="18"/>
                <w:color w:val="auto"/>
              </w:rPr>
            </w:pPr>
          </w:p>
        </w:tc>
        <w:tc>
          <w:tcPr>
            <w:tcW w:w="1340" w:type="dxa"/>
            <w:vAlign w:val="bottom"/>
            <w:gridSpan w:val="6"/>
          </w:tcPr>
          <w:p>
            <w:pPr>
              <w:ind w:left="340"/>
              <w:spacing w:after="0"/>
              <w:rPr>
                <w:sz w:val="20"/>
                <w:szCs w:val="20"/>
                <w:color w:val="auto"/>
              </w:rPr>
            </w:pPr>
            <w:r>
              <w:rPr>
                <w:rFonts w:ascii="Arial" w:cs="Arial" w:eastAsia="Arial" w:hAnsi="Arial"/>
                <w:sz w:val="18"/>
                <w:szCs w:val="18"/>
                <w:color w:val="auto"/>
              </w:rPr>
              <w:t>ITEM 12.</w:t>
            </w:r>
          </w:p>
        </w:tc>
        <w:tc>
          <w:tcPr>
            <w:tcW w:w="20" w:type="dxa"/>
            <w:vAlign w:val="bottom"/>
          </w:tcPr>
          <w:p>
            <w:pPr>
              <w:spacing w:after="0"/>
              <w:rPr>
                <w:sz w:val="18"/>
                <w:szCs w:val="18"/>
                <w:color w:val="auto"/>
              </w:rPr>
            </w:pPr>
          </w:p>
        </w:tc>
        <w:tc>
          <w:tcPr>
            <w:tcW w:w="8460" w:type="dxa"/>
            <w:vAlign w:val="bottom"/>
            <w:gridSpan w:val="23"/>
          </w:tcPr>
          <w:p>
            <w:pPr>
              <w:spacing w:after="0"/>
              <w:rPr>
                <w:sz w:val="20"/>
                <w:szCs w:val="20"/>
                <w:color w:val="auto"/>
              </w:rPr>
            </w:pPr>
            <w:r>
              <w:rPr>
                <w:rFonts w:ascii="Arial" w:cs="Arial" w:eastAsia="Arial" w:hAnsi="Arial"/>
                <w:sz w:val="18"/>
                <w:szCs w:val="18"/>
                <w:color w:val="0000FF"/>
              </w:rPr>
              <w:t>SECURITY OWNERSHIP OF CERTAIN BENEFICIAL OWNER AND MANAGEMENT AND RELATED</w:t>
            </w:r>
          </w:p>
        </w:tc>
        <w:tc>
          <w:tcPr>
            <w:tcW w:w="1400" w:type="dxa"/>
            <w:vAlign w:val="bottom"/>
          </w:tcPr>
          <w:p>
            <w:pPr>
              <w:jc w:val="center"/>
              <w:spacing w:after="0"/>
              <w:rPr>
                <w:sz w:val="20"/>
                <w:szCs w:val="20"/>
                <w:color w:val="auto"/>
              </w:rPr>
            </w:pPr>
            <w:r>
              <w:rPr>
                <w:rFonts w:ascii="Arial" w:cs="Arial" w:eastAsia="Arial" w:hAnsi="Arial"/>
                <w:sz w:val="18"/>
                <w:szCs w:val="18"/>
                <w:color w:val="auto"/>
                <w:w w:val="93"/>
              </w:rPr>
              <w:t>129</w:t>
            </w:r>
          </w:p>
        </w:tc>
      </w:tr>
      <w:tr>
        <w:trPr>
          <w:trHeight w:val="155"/>
        </w:trPr>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180" w:type="dxa"/>
            <w:vAlign w:val="bottom"/>
            <w:tcBorders>
              <w:top w:val="single" w:sz="8" w:color="0000FF"/>
              <w:bottom w:val="single" w:sz="8" w:color="0000FF"/>
            </w:tcBorders>
            <w:gridSpan w:val="7"/>
          </w:tcPr>
          <w:p>
            <w:pPr>
              <w:spacing w:after="0" w:line="156" w:lineRule="exact"/>
              <w:rPr>
                <w:sz w:val="20"/>
                <w:szCs w:val="20"/>
                <w:color w:val="auto"/>
              </w:rPr>
            </w:pPr>
            <w:r>
              <w:rPr>
                <w:rFonts w:ascii="Arial" w:cs="Arial" w:eastAsia="Arial" w:hAnsi="Arial"/>
                <w:sz w:val="18"/>
                <w:szCs w:val="18"/>
                <w:color w:val="0000FF"/>
                <w:w w:val="94"/>
              </w:rPr>
              <w:t>STOCKHOLDER MATTERS</w:t>
            </w:r>
          </w:p>
        </w:tc>
        <w:tc>
          <w:tcPr>
            <w:tcW w:w="5720" w:type="dxa"/>
            <w:vAlign w:val="bottom"/>
            <w:tcBorders>
              <w:top w:val="single" w:sz="8" w:color="0000FF"/>
            </w:tcBorders>
            <w:gridSpan w:val="13"/>
          </w:tcPr>
          <w:p>
            <w:pPr>
              <w:spacing w:after="0"/>
              <w:rPr>
                <w:sz w:val="13"/>
                <w:szCs w:val="13"/>
                <w:color w:val="auto"/>
              </w:rPr>
            </w:pPr>
          </w:p>
        </w:tc>
        <w:tc>
          <w:tcPr>
            <w:tcW w:w="560" w:type="dxa"/>
            <w:vAlign w:val="bottom"/>
            <w:gridSpan w:val="3"/>
          </w:tcPr>
          <w:p>
            <w:pPr>
              <w:spacing w:after="0"/>
              <w:rPr>
                <w:sz w:val="13"/>
                <w:szCs w:val="13"/>
                <w:color w:val="auto"/>
              </w:rPr>
            </w:pPr>
          </w:p>
        </w:tc>
        <w:tc>
          <w:tcPr>
            <w:tcW w:w="1400" w:type="dxa"/>
            <w:vAlign w:val="bottom"/>
          </w:tcPr>
          <w:p>
            <w:pPr>
              <w:spacing w:after="0"/>
              <w:rPr>
                <w:sz w:val="13"/>
                <w:szCs w:val="13"/>
                <w:color w:val="auto"/>
              </w:rPr>
            </w:pPr>
          </w:p>
        </w:tc>
      </w:tr>
      <w:tr>
        <w:trPr>
          <w:trHeight w:val="223"/>
        </w:trPr>
        <w:tc>
          <w:tcPr>
            <w:tcW w:w="20" w:type="dxa"/>
            <w:vAlign w:val="bottom"/>
          </w:tcPr>
          <w:p>
            <w:pPr>
              <w:spacing w:after="0"/>
              <w:rPr>
                <w:sz w:val="19"/>
                <w:szCs w:val="19"/>
                <w:color w:val="auto"/>
              </w:rPr>
            </w:pPr>
          </w:p>
        </w:tc>
        <w:tc>
          <w:tcPr>
            <w:tcW w:w="1340" w:type="dxa"/>
            <w:vAlign w:val="bottom"/>
            <w:gridSpan w:val="6"/>
          </w:tcPr>
          <w:p>
            <w:pPr>
              <w:ind w:left="340"/>
              <w:spacing w:after="0"/>
              <w:rPr>
                <w:sz w:val="20"/>
                <w:szCs w:val="20"/>
                <w:color w:val="auto"/>
              </w:rPr>
            </w:pPr>
            <w:r>
              <w:rPr>
                <w:rFonts w:ascii="Arial" w:cs="Arial" w:eastAsia="Arial" w:hAnsi="Arial"/>
                <w:sz w:val="18"/>
                <w:szCs w:val="18"/>
                <w:color w:val="auto"/>
              </w:rPr>
              <w:t>ITEM 13.</w:t>
            </w:r>
          </w:p>
        </w:tc>
        <w:tc>
          <w:tcPr>
            <w:tcW w:w="20" w:type="dxa"/>
            <w:vAlign w:val="bottom"/>
          </w:tcPr>
          <w:p>
            <w:pPr>
              <w:spacing w:after="0"/>
              <w:rPr>
                <w:sz w:val="19"/>
                <w:szCs w:val="19"/>
                <w:color w:val="auto"/>
              </w:rPr>
            </w:pPr>
          </w:p>
        </w:tc>
        <w:tc>
          <w:tcPr>
            <w:tcW w:w="7700" w:type="dxa"/>
            <w:vAlign w:val="bottom"/>
            <w:tcBorders>
              <w:bottom w:val="single" w:sz="8" w:color="0000FF"/>
            </w:tcBorders>
            <w:gridSpan w:val="18"/>
          </w:tcPr>
          <w:p>
            <w:pPr>
              <w:spacing w:after="0"/>
              <w:rPr>
                <w:sz w:val="20"/>
                <w:szCs w:val="20"/>
                <w:color w:val="auto"/>
              </w:rPr>
            </w:pPr>
            <w:r>
              <w:rPr>
                <w:rFonts w:ascii="Arial" w:cs="Arial" w:eastAsia="Arial" w:hAnsi="Arial"/>
                <w:sz w:val="18"/>
                <w:szCs w:val="18"/>
                <w:color w:val="0000FF"/>
                <w:w w:val="95"/>
              </w:rPr>
              <w:t>CERTAIN RELATIONSHIPS AND RELATED TRANSACTIONS, AND DIRECTOR INDEPENDENCE</w:t>
            </w:r>
          </w:p>
        </w:tc>
        <w:tc>
          <w:tcPr>
            <w:tcW w:w="760" w:type="dxa"/>
            <w:vAlign w:val="bottom"/>
            <w:gridSpan w:val="5"/>
          </w:tcPr>
          <w:p>
            <w:pPr>
              <w:spacing w:after="0"/>
              <w:rPr>
                <w:sz w:val="19"/>
                <w:szCs w:val="19"/>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93"/>
              </w:rPr>
              <w:t>129</w:t>
            </w:r>
          </w:p>
        </w:tc>
      </w:tr>
      <w:tr>
        <w:trPr>
          <w:trHeight w:val="210"/>
        </w:trPr>
        <w:tc>
          <w:tcPr>
            <w:tcW w:w="20" w:type="dxa"/>
            <w:vAlign w:val="bottom"/>
          </w:tcPr>
          <w:p>
            <w:pPr>
              <w:spacing w:after="0"/>
              <w:rPr>
                <w:sz w:val="18"/>
                <w:szCs w:val="18"/>
                <w:color w:val="auto"/>
              </w:rPr>
            </w:pPr>
          </w:p>
        </w:tc>
        <w:tc>
          <w:tcPr>
            <w:tcW w:w="1340" w:type="dxa"/>
            <w:vAlign w:val="bottom"/>
            <w:gridSpan w:val="6"/>
          </w:tcPr>
          <w:p>
            <w:pPr>
              <w:ind w:left="340"/>
              <w:spacing w:after="0"/>
              <w:rPr>
                <w:sz w:val="20"/>
                <w:szCs w:val="20"/>
                <w:color w:val="auto"/>
              </w:rPr>
            </w:pPr>
            <w:r>
              <w:rPr>
                <w:rFonts w:ascii="Arial" w:cs="Arial" w:eastAsia="Arial" w:hAnsi="Arial"/>
                <w:sz w:val="18"/>
                <w:szCs w:val="18"/>
                <w:color w:val="auto"/>
              </w:rPr>
              <w:t>ITEM 14.</w:t>
            </w:r>
          </w:p>
        </w:tc>
        <w:tc>
          <w:tcPr>
            <w:tcW w:w="20" w:type="dxa"/>
            <w:vAlign w:val="bottom"/>
          </w:tcPr>
          <w:p>
            <w:pPr>
              <w:spacing w:after="0"/>
              <w:rPr>
                <w:sz w:val="18"/>
                <w:szCs w:val="18"/>
                <w:color w:val="auto"/>
              </w:rPr>
            </w:pPr>
          </w:p>
        </w:tc>
        <w:tc>
          <w:tcPr>
            <w:tcW w:w="8460" w:type="dxa"/>
            <w:vAlign w:val="bottom"/>
            <w:gridSpan w:val="23"/>
          </w:tcPr>
          <w:p>
            <w:pPr>
              <w:spacing w:after="0"/>
              <w:rPr>
                <w:sz w:val="20"/>
                <w:szCs w:val="20"/>
                <w:color w:val="auto"/>
              </w:rPr>
            </w:pPr>
            <w:r>
              <w:rPr>
                <w:rFonts w:ascii="Arial" w:cs="Arial" w:eastAsia="Arial" w:hAnsi="Arial"/>
                <w:sz w:val="18"/>
                <w:szCs w:val="18"/>
                <w:color w:val="0000FF"/>
              </w:rPr>
              <w:t>PRINCIPAL ACCOUNTANT FEES AND SERVICES</w:t>
            </w:r>
          </w:p>
        </w:tc>
        <w:tc>
          <w:tcPr>
            <w:tcW w:w="1400" w:type="dxa"/>
            <w:vAlign w:val="bottom"/>
          </w:tcPr>
          <w:p>
            <w:pPr>
              <w:jc w:val="center"/>
              <w:spacing w:after="0"/>
              <w:rPr>
                <w:sz w:val="20"/>
                <w:szCs w:val="20"/>
                <w:color w:val="auto"/>
              </w:rPr>
            </w:pPr>
            <w:r>
              <w:rPr>
                <w:rFonts w:ascii="Arial" w:cs="Arial" w:eastAsia="Arial" w:hAnsi="Arial"/>
                <w:sz w:val="18"/>
                <w:szCs w:val="18"/>
                <w:color w:val="auto"/>
                <w:w w:val="93"/>
              </w:rPr>
              <w:t>129</w:t>
            </w:r>
          </w:p>
        </w:tc>
      </w:tr>
      <w:tr>
        <w:trPr>
          <w:trHeight w:val="372"/>
        </w:trPr>
        <w:tc>
          <w:tcPr>
            <w:tcW w:w="20" w:type="dxa"/>
            <w:vAlign w:val="bottom"/>
          </w:tcPr>
          <w:p>
            <w:pPr>
              <w:spacing w:after="0"/>
              <w:rPr>
                <w:sz w:val="24"/>
                <w:szCs w:val="24"/>
                <w:color w:val="auto"/>
              </w:rPr>
            </w:pPr>
          </w:p>
        </w:tc>
        <w:tc>
          <w:tcPr>
            <w:tcW w:w="68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color w:val="0000FF"/>
                <w:w w:val="94"/>
              </w:rPr>
              <w:t>PART IV</w:t>
            </w:r>
          </w:p>
        </w:tc>
        <w:tc>
          <w:tcPr>
            <w:tcW w:w="66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68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900" w:type="dxa"/>
            <w:vAlign w:val="bottom"/>
            <w:tcBorders>
              <w:top w:val="single" w:sz="8" w:color="0000FF"/>
            </w:tcBorders>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09"/>
        </w:trPr>
        <w:tc>
          <w:tcPr>
            <w:tcW w:w="20" w:type="dxa"/>
            <w:vAlign w:val="bottom"/>
          </w:tcPr>
          <w:p>
            <w:pPr>
              <w:spacing w:after="0"/>
              <w:rPr>
                <w:sz w:val="18"/>
                <w:szCs w:val="18"/>
                <w:color w:val="auto"/>
              </w:rPr>
            </w:pPr>
          </w:p>
        </w:tc>
        <w:tc>
          <w:tcPr>
            <w:tcW w:w="1340" w:type="dxa"/>
            <w:vAlign w:val="bottom"/>
            <w:gridSpan w:val="6"/>
          </w:tcPr>
          <w:p>
            <w:pPr>
              <w:ind w:left="340"/>
              <w:spacing w:after="0"/>
              <w:rPr>
                <w:sz w:val="20"/>
                <w:szCs w:val="20"/>
                <w:color w:val="auto"/>
              </w:rPr>
            </w:pPr>
            <w:r>
              <w:rPr>
                <w:rFonts w:ascii="Arial" w:cs="Arial" w:eastAsia="Arial" w:hAnsi="Arial"/>
                <w:sz w:val="18"/>
                <w:szCs w:val="18"/>
                <w:color w:val="auto"/>
              </w:rPr>
              <w:t>ITEM 15.</w:t>
            </w:r>
          </w:p>
        </w:tc>
        <w:tc>
          <w:tcPr>
            <w:tcW w:w="20" w:type="dxa"/>
            <w:vAlign w:val="bottom"/>
          </w:tcPr>
          <w:p>
            <w:pPr>
              <w:spacing w:after="0"/>
              <w:rPr>
                <w:sz w:val="18"/>
                <w:szCs w:val="18"/>
                <w:color w:val="auto"/>
              </w:rPr>
            </w:pPr>
          </w:p>
        </w:tc>
        <w:tc>
          <w:tcPr>
            <w:tcW w:w="8460" w:type="dxa"/>
            <w:vAlign w:val="bottom"/>
            <w:gridSpan w:val="23"/>
          </w:tcPr>
          <w:p>
            <w:pPr>
              <w:spacing w:after="0"/>
              <w:rPr>
                <w:sz w:val="20"/>
                <w:szCs w:val="20"/>
                <w:color w:val="auto"/>
              </w:rPr>
            </w:pPr>
            <w:r>
              <w:rPr>
                <w:rFonts w:ascii="Arial" w:cs="Arial" w:eastAsia="Arial" w:hAnsi="Arial"/>
                <w:sz w:val="18"/>
                <w:szCs w:val="18"/>
                <w:color w:val="0000FF"/>
              </w:rPr>
              <w:t>EXHIBITS AND FINANCIAL STATEMENT SCHEDULES</w:t>
            </w:r>
          </w:p>
        </w:tc>
        <w:tc>
          <w:tcPr>
            <w:tcW w:w="1400" w:type="dxa"/>
            <w:vAlign w:val="bottom"/>
          </w:tcPr>
          <w:p>
            <w:pPr>
              <w:jc w:val="center"/>
              <w:spacing w:after="0"/>
              <w:rPr>
                <w:sz w:val="20"/>
                <w:szCs w:val="20"/>
                <w:color w:val="auto"/>
              </w:rPr>
            </w:pPr>
            <w:r>
              <w:rPr>
                <w:rFonts w:ascii="Arial" w:cs="Arial" w:eastAsia="Arial" w:hAnsi="Arial"/>
                <w:sz w:val="18"/>
                <w:szCs w:val="18"/>
                <w:color w:val="auto"/>
                <w:w w:val="93"/>
              </w:rPr>
              <w:t>130</w:t>
            </w:r>
          </w:p>
        </w:tc>
      </w:tr>
      <w:tr>
        <w:trPr>
          <w:trHeight w:val="210"/>
        </w:trPr>
        <w:tc>
          <w:tcPr>
            <w:tcW w:w="20" w:type="dxa"/>
            <w:vAlign w:val="bottom"/>
          </w:tcPr>
          <w:p>
            <w:pPr>
              <w:spacing w:after="0"/>
              <w:rPr>
                <w:sz w:val="18"/>
                <w:szCs w:val="18"/>
                <w:color w:val="auto"/>
              </w:rPr>
            </w:pPr>
          </w:p>
        </w:tc>
        <w:tc>
          <w:tcPr>
            <w:tcW w:w="1340" w:type="dxa"/>
            <w:vAlign w:val="bottom"/>
            <w:gridSpan w:val="6"/>
          </w:tcPr>
          <w:p>
            <w:pPr>
              <w:ind w:left="340"/>
              <w:spacing w:after="0"/>
              <w:rPr>
                <w:sz w:val="20"/>
                <w:szCs w:val="20"/>
                <w:color w:val="auto"/>
              </w:rPr>
            </w:pPr>
            <w:r>
              <w:rPr>
                <w:rFonts w:ascii="Arial" w:cs="Arial" w:eastAsia="Arial" w:hAnsi="Arial"/>
                <w:sz w:val="18"/>
                <w:szCs w:val="18"/>
                <w:color w:val="auto"/>
              </w:rPr>
              <w:t>ITEM 16.</w:t>
            </w:r>
          </w:p>
        </w:tc>
        <w:tc>
          <w:tcPr>
            <w:tcW w:w="20" w:type="dxa"/>
            <w:vAlign w:val="bottom"/>
          </w:tcPr>
          <w:p>
            <w:pPr>
              <w:spacing w:after="0"/>
              <w:rPr>
                <w:sz w:val="18"/>
                <w:szCs w:val="18"/>
                <w:color w:val="auto"/>
              </w:rPr>
            </w:pPr>
          </w:p>
        </w:tc>
        <w:tc>
          <w:tcPr>
            <w:tcW w:w="4420" w:type="dxa"/>
            <w:vAlign w:val="bottom"/>
            <w:tcBorders>
              <w:top w:val="single" w:sz="8" w:color="0000FF"/>
            </w:tcBorders>
            <w:gridSpan w:val="13"/>
          </w:tcPr>
          <w:p>
            <w:pPr>
              <w:spacing w:after="0"/>
              <w:rPr>
                <w:sz w:val="20"/>
                <w:szCs w:val="20"/>
                <w:color w:val="auto"/>
              </w:rPr>
            </w:pPr>
            <w:r>
              <w:rPr>
                <w:rFonts w:ascii="Arial" w:cs="Arial" w:eastAsia="Arial" w:hAnsi="Arial"/>
                <w:sz w:val="18"/>
                <w:szCs w:val="18"/>
                <w:color w:val="0000FF"/>
              </w:rPr>
              <w:t>FORM 10-K SUMMARY</w:t>
            </w:r>
          </w:p>
        </w:tc>
        <w:tc>
          <w:tcPr>
            <w:tcW w:w="4040" w:type="dxa"/>
            <w:vAlign w:val="bottom"/>
            <w:gridSpan w:val="10"/>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93"/>
              </w:rPr>
              <w:t>132</w:t>
            </w:r>
          </w:p>
        </w:tc>
      </w:tr>
      <w:tr>
        <w:trPr>
          <w:trHeight w:val="210"/>
        </w:trPr>
        <w:tc>
          <w:tcPr>
            <w:tcW w:w="20" w:type="dxa"/>
            <w:vAlign w:val="bottom"/>
          </w:tcPr>
          <w:p>
            <w:pPr>
              <w:spacing w:after="0"/>
              <w:rPr>
                <w:sz w:val="18"/>
                <w:szCs w:val="18"/>
                <w:color w:val="auto"/>
              </w:rPr>
            </w:pPr>
          </w:p>
        </w:tc>
        <w:tc>
          <w:tcPr>
            <w:tcW w:w="1340" w:type="dxa"/>
            <w:vAlign w:val="bottom"/>
            <w:gridSpan w:val="6"/>
          </w:tcPr>
          <w:p>
            <w:pPr>
              <w:spacing w:after="0"/>
              <w:rPr>
                <w:sz w:val="20"/>
                <w:szCs w:val="20"/>
                <w:color w:val="auto"/>
              </w:rPr>
            </w:pPr>
            <w:r>
              <w:rPr>
                <w:rFonts w:ascii="Arial" w:cs="Arial" w:eastAsia="Arial" w:hAnsi="Arial"/>
                <w:sz w:val="18"/>
                <w:szCs w:val="18"/>
                <w:color w:val="0000FF"/>
              </w:rPr>
              <w:t>SIGNATURES</w:t>
            </w:r>
          </w:p>
        </w:tc>
        <w:tc>
          <w:tcPr>
            <w:tcW w:w="20" w:type="dxa"/>
            <w:vAlign w:val="bottom"/>
          </w:tcPr>
          <w:p>
            <w:pPr>
              <w:spacing w:after="0"/>
              <w:rPr>
                <w:sz w:val="18"/>
                <w:szCs w:val="18"/>
                <w:color w:val="auto"/>
              </w:rPr>
            </w:pPr>
          </w:p>
        </w:tc>
        <w:tc>
          <w:tcPr>
            <w:tcW w:w="840" w:type="dxa"/>
            <w:vAlign w:val="bottom"/>
            <w:tcBorders>
              <w:top w:val="single" w:sz="8" w:color="0000FF"/>
            </w:tcBorders>
          </w:tcPr>
          <w:p>
            <w:pPr>
              <w:spacing w:after="0"/>
              <w:rPr>
                <w:sz w:val="18"/>
                <w:szCs w:val="18"/>
                <w:color w:val="auto"/>
              </w:rPr>
            </w:pPr>
          </w:p>
        </w:tc>
        <w:tc>
          <w:tcPr>
            <w:tcW w:w="20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680" w:type="dxa"/>
            <w:vAlign w:val="bottom"/>
            <w:tcBorders>
              <w:top w:val="single" w:sz="8" w:color="0000FF"/>
            </w:tcBorders>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93"/>
              </w:rPr>
              <w:t>133</w:t>
            </w:r>
          </w:p>
        </w:tc>
      </w:tr>
      <w:tr>
        <w:trPr>
          <w:trHeight w:val="830"/>
        </w:trPr>
        <w:tc>
          <w:tcPr>
            <w:tcW w:w="20" w:type="dxa"/>
            <w:vAlign w:val="bottom"/>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40" w:type="dxa"/>
            <w:vAlign w:val="bottom"/>
          </w:tcPr>
          <w:p>
            <w:pPr>
              <w:spacing w:after="0"/>
              <w:rPr>
                <w:sz w:val="24"/>
                <w:szCs w:val="24"/>
                <w:color w:val="auto"/>
              </w:rPr>
            </w:pPr>
          </w:p>
        </w:tc>
        <w:tc>
          <w:tcPr>
            <w:tcW w:w="4440" w:type="dxa"/>
            <w:vAlign w:val="bottom"/>
            <w:gridSpan w:val="14"/>
          </w:tcPr>
          <w:p>
            <w:pPr>
              <w:jc w:val="right"/>
              <w:ind w:right="140"/>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83" w:right="3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color w:val="auto"/>
        </w:rPr>
        <w:t>CAUTIONARY NOTE REGARDING FORWARD-LOOKING STATEMENTS</w:t>
      </w:r>
    </w:p>
    <w:p>
      <w:pPr>
        <w:spacing w:after="0" w:line="22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This Annual Report contains statements that express our opinions, expectations, beliefs, plans, objectives, assumptions or projections regarding future events or future results and therefore are, or may be deemed to be, “forward-looking statements” within the meaning of Section 27A of the Securities Act of 1933 (the “Securities Act”), and Section 21E of the Securities and Exchange Act of 1934 (the “Exchange Act”). Forward-looking statements may be identified by the use of words such as “estimate,” “plan,” “project,” “forecast,” “intend,” “will,” “shall,” “expect,” “anticipate,” “believe,” “seek,” “target,” “continue,” “could,” “may,” “might,” “possible,” “potential,” “predict” or other similar expressions that predict or indicate future events or trends or that are not statements of historical matters. They appear in a number of places throughout this Annual Report and include, but are not limited to, statements regarding our intentions, beliefs or current expectations concerning, among other things, results of operations, financial condition, liquidity, capital expenditures, prospects, growth, production volumes, strategies and the markets in which we operate, including expectations of financial and operational metrics, projections of market opportunity, market share and product sales, expectations and timing related to commercial product launches, future strategies and products, including with respect to energy storage systems and automotive partnerships, technology, manufacturing capabilities and facilities, studio openings, sales channels and strategies, future vehicle programs, expansion and the potential success of our go-to-market strategy, our financial and operating outlook, future market launches and international expansion, including our planned manufacturing facility in Saudi Arabia and related timing and value to Lucid, and our needs for additional financing. Such forward-looking statements are based on available current market material and our current expectations, beliefs and forecasts concerning future developments. Factors that may impact such forward-looking statements include:</w:t>
      </w:r>
    </w:p>
    <w:p>
      <w:pPr>
        <w:spacing w:after="0" w:line="63" w:lineRule="exact"/>
        <w:rPr>
          <w:sz w:val="20"/>
          <w:szCs w:val="20"/>
          <w:color w:val="auto"/>
        </w:rPr>
      </w:pPr>
    </w:p>
    <w:p>
      <w:pPr>
        <w:ind w:left="660" w:right="38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domestic and foreign business, market, financial, political and legal conditions, including a potential global economic recession or other downturn and the ongoing conflict between Russia and Ukraine;</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related to changes in overall demand for our products and services and cancellation of reservations and orders for our vehicles;</w:t>
      </w:r>
    </w:p>
    <w:p>
      <w:pPr>
        <w:spacing w:after="0" w:line="117" w:lineRule="exact"/>
        <w:rPr>
          <w:rFonts w:ascii="Arial" w:cs="Arial" w:eastAsia="Arial" w:hAnsi="Arial"/>
          <w:sz w:val="18"/>
          <w:szCs w:val="18"/>
          <w:color w:val="auto"/>
        </w:rPr>
      </w:pPr>
    </w:p>
    <w:p>
      <w:pPr>
        <w:ind w:left="660" w:right="26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related to prices and availability of commodities, our supply chain, logistics, inventory management and quality control, and our ability to complete the tooling of our manufacturing facilities over time and scale production of Lucid Air and other vehicles;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related to the uncertainty of our projected financial information;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related to the timing of expected business milestones and commercial product launches;</w:t>
      </w:r>
    </w:p>
    <w:p>
      <w:pPr>
        <w:spacing w:after="0" w:line="117" w:lineRule="exact"/>
        <w:rPr>
          <w:rFonts w:ascii="Arial" w:cs="Arial" w:eastAsia="Arial" w:hAnsi="Arial"/>
          <w:sz w:val="18"/>
          <w:szCs w:val="18"/>
          <w:color w:val="auto"/>
        </w:rPr>
      </w:pPr>
    </w:p>
    <w:p>
      <w:pPr>
        <w:ind w:left="660" w:right="30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related to the expansion of our manufacturing facility, the construction of new manufacturing facilities and the increase of our production capacity;</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manage expenses and control costs;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related to future market adoption of our offerings;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effects of competition and the pace and depth of electric vehicle adoption generally on our future business;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regulatory requirements, governmental incentives and fuel and energy prices;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rapidly innovate;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enter into or maintain partnerships with original equipment manufacturers, vendors and technology providers;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effectively manage our growth and recruit and retain key employees, including our chief executive officer and executive team;</w:t>
      </w:r>
    </w:p>
    <w:p>
      <w:pPr>
        <w:spacing w:after="0" w:line="128" w:lineRule="exact"/>
        <w:rPr>
          <w:rFonts w:ascii="Arial" w:cs="Arial" w:eastAsia="Arial" w:hAnsi="Arial"/>
          <w:sz w:val="17"/>
          <w:szCs w:val="17"/>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related to potential vehicle recalls;</w:t>
      </w:r>
    </w:p>
    <w:p>
      <w:pPr>
        <w:spacing w:after="0" w:line="117" w:lineRule="exact"/>
        <w:rPr>
          <w:rFonts w:ascii="Arial" w:cs="Arial" w:eastAsia="Arial" w:hAnsi="Arial"/>
          <w:sz w:val="18"/>
          <w:szCs w:val="18"/>
          <w:color w:val="auto"/>
        </w:rPr>
      </w:pPr>
    </w:p>
    <w:p>
      <w:pPr>
        <w:ind w:left="660" w:right="38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establish and expand our brand, and capture additional market share, and the risks associated with negative press or reputational harm;</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effectively utilize zero emission vehicle credits and obtain and utilize certain tax and other incentives;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issue equity or equity-linked securities in the future;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pay interest and principal on our indebtedness;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future changes to vehicle specifications which may impact performance, pricing, and other expectations;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outcome of any potential litigation, government and regulatory proceedings, investigations and inquiries;</w:t>
      </w:r>
    </w:p>
    <w:p>
      <w:pPr>
        <w:spacing w:after="0" w:line="117" w:lineRule="exact"/>
        <w:rPr>
          <w:rFonts w:ascii="Arial" w:cs="Arial" w:eastAsia="Arial" w:hAnsi="Arial"/>
          <w:sz w:val="18"/>
          <w:szCs w:val="18"/>
          <w:color w:val="auto"/>
        </w:rPr>
      </w:pPr>
    </w:p>
    <w:p>
      <w:pPr>
        <w:ind w:left="660" w:right="58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the global COVID-19 pandemic on our supply chain, projected results of operations, financial performance or other financial metrics, or on any of the foregoing risks; and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factors disclosed in this Annual Report or our other filings with the Securities and Exchange Commission (the “SEC”).</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73" w:right="359" w:bottom="1440" w:gutter="0" w:footer="0" w:header="0"/>
        </w:sectPr>
      </w:pPr>
    </w:p>
    <w:bookmarkStart w:id="4" w:name="page5"/>
    <w:bookmarkEnd w:id="4"/>
    <w:p>
      <w:pPr>
        <w:spacing w:after="0" w:line="268" w:lineRule="auto"/>
        <w:rPr>
          <w:sz w:val="20"/>
          <w:szCs w:val="20"/>
          <w:color w:val="auto"/>
        </w:rPr>
      </w:pPr>
      <w:r>
        <w:rPr>
          <w:rFonts w:ascii="Arial" w:cs="Arial" w:eastAsia="Arial" w:hAnsi="Arial"/>
          <w:sz w:val="17"/>
          <w:szCs w:val="17"/>
          <w:color w:val="auto"/>
        </w:rPr>
        <w:t>The forward-looking statements contained in this Annual Report are based on our current expectations and beliefs concerning future developments and their potential effects on our business. There can be no assurance that future developments affecting our business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factors described under the heading “Risk Factors” in Item 1A of Part I of this Annual Report. Should one or more of these risks or uncertainties materialize, or should any of the assumptions prove incorrect, actual results may vary in material respects from those projected in these forward-looking statements. There may be additional risks that Lucid currently does not know or that Lucid currently believes are immaterial that could also cause actual results to differ from those contained in the forward-looking statements. In addition, forward-looking statements reflect our expectations, plans or forecasts of future events and views as of the date of this Annual Report. We anticipate that subsequent events and developments will cause our assessments to change. However, while we may elect to update the forward-looking statements at some point in the future, we do not undertake any obligation to update or revise any forward-looking statements, whether as a result of new information, future events or otherwise, except as may be required under applicable securities laws. The forward-looking statements should not be relied upon as representing our assessments as of any date subsequent to the date of this Annual Report.</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Frequently Used Terms</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Unless otherwise stated in Part II Item 8. Financial Statements and Supplementary Data, or the context otherwise requires, references in this Annual Report to:</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“2026 Notes” are to the 1.25% Convertible Senior Notes due 2026;</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“AMP-1” are to our Advanced Manufacturing Plant 1 in Casa Grande, Arizona;</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“AMP-2” are to our planned Advanced Manufacturing Plant 2, which is currently under construction in Saudi Arabia;</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“Ayar” are to Ayar Third Investment Company, an affiliate of PIF and the controlling stockholder of the Company;</w:t>
      </w:r>
    </w:p>
    <w:p>
      <w:pPr>
        <w:spacing w:after="0" w:line="25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“Board” or “Board of Directors” are, prior to consummation of the Transactions, to the board of directors of Legacy Lucid, and, following consummation of the Transactions, to the board of directors of Lucid Group Inc., a Delaware corporation;</w:t>
      </w:r>
    </w:p>
    <w:p>
      <w:pPr>
        <w:spacing w:after="0" w:line="197" w:lineRule="exact"/>
        <w:rPr>
          <w:sz w:val="20"/>
          <w:szCs w:val="20"/>
          <w:color w:val="auto"/>
        </w:rPr>
      </w:pPr>
    </w:p>
    <w:p>
      <w:pPr>
        <w:ind w:right="820"/>
        <w:spacing w:after="0" w:line="342" w:lineRule="auto"/>
        <w:rPr>
          <w:sz w:val="20"/>
          <w:szCs w:val="20"/>
          <w:color w:val="auto"/>
        </w:rPr>
      </w:pPr>
      <w:r>
        <w:rPr>
          <w:rFonts w:ascii="Arial" w:cs="Arial" w:eastAsia="Arial" w:hAnsi="Arial"/>
          <w:sz w:val="16"/>
          <w:szCs w:val="16"/>
          <w:color w:val="auto"/>
        </w:rPr>
        <w:t>“Churchill” or “CCIV” are to Churchill Capital Corp IV, a Delaware corporation and our predecessor company prior to the consummation of the Transactions, which changed its name to Lucid Group, Inc. following the consummation of the Transactions, and its consolidated subsidiaries;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“Churchill’s Class A common stock” are to Churchill’s Class A common stock, par value $0.0001 per share;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“Churchill’s Class B common stock” are to Churchill’s Class B common stock, par value $0.0001 per share;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“Churchill IPO” are to the initial public offering by Churchill which closed on August 3, 2020;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“Closing” are to the consummation of the Transactions;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“Closing Date” are to July 23, 2021, the date on which the Transactions were consummated;</w:t>
      </w:r>
    </w:p>
    <w:p>
      <w:pPr>
        <w:spacing w:after="0" w:line="252"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color w:val="auto"/>
        </w:rPr>
        <w:t>“common stock” are, prior to the consummation of the Transactions, to Churchill’s Class A common stock and Churchill’s Class B common stock and, following the consummation of the Transactions, to the common stock of Lucid Group, Inc., par value $0.0001 per share;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“ESG” are to Environmental, Social and Governance;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“EV” are to electric vehicle;</w:t>
      </w:r>
    </w:p>
    <w:p>
      <w:pPr>
        <w:spacing w:after="0" w:line="252"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“Investor Rights Agreement” are to the Investor Rights Agreement, dated as of February 22, 2021 and as may be amended from time to time, by and among the Company, the Sponsor, Ayar and certain other parties thereto, ;</w:t>
      </w:r>
    </w:p>
    <w:p>
      <w:pPr>
        <w:spacing w:after="0" w:line="19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“Legacy Lucid” are to Atieva, Inc., d/b/a Lucid Motors, an exempted company incorporated with limited liability under the laws of the Cayman Islands, and its consolidated subsidiaries before the Closing Date;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“Legacy Lucid Common Shares” are to the common shares, par value $0.0001 per share, of Legacy Lucid;</w:t>
      </w:r>
    </w:p>
    <w:p>
      <w:pPr>
        <w:sectPr>
          <w:pgSz w:w="11900" w:h="16838" w:orient="portrait"/>
          <w:cols w:equalWidth="0" w:num="1">
            <w:col w:w="11220"/>
          </w:cols>
          <w:pgMar w:left="320" w:top="989" w:right="359" w:bottom="1440" w:gutter="0" w:footer="0" w:header="0"/>
        </w:sect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9" w:right="359" w:bottom="1440" w:gutter="0" w:footer="0" w:header="0"/>
          <w:type w:val="continuous"/>
        </w:sectPr>
      </w:pPr>
    </w:p>
    <w:bookmarkStart w:id="5" w:name="page6"/>
    <w:bookmarkEnd w:id="5"/>
    <w:p>
      <w:pPr>
        <w:ind w:right="140"/>
        <w:spacing w:after="0" w:line="277" w:lineRule="auto"/>
        <w:rPr>
          <w:sz w:val="20"/>
          <w:szCs w:val="20"/>
          <w:color w:val="auto"/>
        </w:rPr>
      </w:pPr>
      <w:r>
        <w:rPr>
          <w:rFonts w:ascii="Arial" w:cs="Arial" w:eastAsia="Arial" w:hAnsi="Arial"/>
          <w:sz w:val="18"/>
          <w:szCs w:val="18"/>
          <w:color w:val="auto"/>
        </w:rPr>
        <w:t>“Legacy Lucid Options” are to all issued and outstanding options to purchase or otherwise acquire Legacy Lucid Common Shares (whether or not vested) held by any person, including share options granted under any Legacy Lucid Share Plan;</w:t>
      </w:r>
    </w:p>
    <w:p>
      <w:pPr>
        <w:spacing w:after="0" w:line="197"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“Legacy Lucid Preferred Shares” are to, collectively, Legacy Lucid Series A Preferred Shares, Legacy Lucid Series B Preferred Shares, Legacy Lucid Series C Preferred Shares, Legacy Lucid Series D Preferred Shares and Legacy Lucid Series E Preferred Shares;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“Legacy Lucid Series A Preferred Shares” are to the Series A preferred shares, par value $0.0001 per share, of Legacy Lucid;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“Legacy Lucid Series B Preferred Shares” are to the Series B preferred shares, par value $0.0001 per share, of Legacy Lucid;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“Legacy Lucid Series C Preferred Shares” are to the Series C preferred shares, par value $0.0001 per share, of Legacy Lucid;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“Legacy Lucid Series D Preferred Shares” are to the Series D preferred shares, par value $0.0001 per share, of Legacy Lucid;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“Legacy Lucid Series E Preferred Shares” are to the Series E preferred shares, par value $0.0001 per share, of Legacy Lucid;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“Legacy Lucid Shares” are to the Legacy Lucid Common Shares and Legacy Lucid Preferred Shares;</w:t>
      </w:r>
    </w:p>
    <w:p>
      <w:pPr>
        <w:spacing w:after="0" w:line="25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“Legacy Lucid RSUs” are to all issued and outstanding restricted stock unit awards with respect to Legacy Lucid Common Shares outstanding under any Legacy Lucid Share Plan;</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color w:val="auto"/>
        </w:rPr>
        <w:t>“Lucid Options” are to all issued and outstanding options to purchase shares of common stock immediately following the closing of the Merger;</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“LPM-1” are to our Lucid Powertrain Manufacturing Plant-1 in Casa Grande, Arizona;</w:t>
      </w:r>
    </w:p>
    <w:p>
      <w:pPr>
        <w:spacing w:after="0" w:line="25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“Lucid RSUs” are to all issued and outstanding restricted stock unit awards with respect to shares of common stock immediately following the closing of the Merger;</w:t>
      </w:r>
    </w:p>
    <w:p>
      <w:pPr>
        <w:spacing w:after="0" w:line="19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“Merger” are to the merger of a merger subsidiary of Churchill and Atieva, Inc., with Atieva, Inc. surviving such merger as a wholly owned subsidiary of Churchill;</w:t>
      </w:r>
    </w:p>
    <w:p>
      <w:pPr>
        <w:spacing w:after="0" w:line="197" w:lineRule="exact"/>
        <w:rPr>
          <w:sz w:val="20"/>
          <w:szCs w:val="20"/>
          <w:color w:val="auto"/>
        </w:rPr>
      </w:pPr>
    </w:p>
    <w:p>
      <w:pPr>
        <w:ind w:right="380"/>
        <w:spacing w:after="0" w:line="263" w:lineRule="auto"/>
        <w:rPr>
          <w:sz w:val="20"/>
          <w:szCs w:val="20"/>
          <w:color w:val="auto"/>
        </w:rPr>
      </w:pPr>
      <w:r>
        <w:rPr>
          <w:rFonts w:ascii="Arial" w:cs="Arial" w:eastAsia="Arial" w:hAnsi="Arial"/>
          <w:sz w:val="18"/>
          <w:szCs w:val="18"/>
          <w:color w:val="auto"/>
        </w:rPr>
        <w:t>“Merger Agreement” are to that certain Agreement and Plan of Merger, dated as of February 22, 2021, by and among Churchill, Legacy Lucid and Air Merger Sub, Inc., a Delaware corporation and a direct, wholly-owned subsidiary of Churchill, as the same has been or may be amended, modified, supplemented or waived from time to time;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“PIF” are to the Public Investment Fund, the sovereign wealth fund of Saudi Arabia;</w:t>
      </w:r>
    </w:p>
    <w:p>
      <w:pPr>
        <w:spacing w:after="0" w:line="252"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“PIPE Investment” are to the private placement subscription agreements that Churchill entered into contemporaneously with the execution of the Merger Agreement whereby Churchill has agreed to issue and sell to certain investors $2.5 billion of Churchill’s Class A common stock at a purchase price of $15.00 per share. The PIPE Investment closed simultaneously with the Closing of the Merger;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“PIPE Investors” are to the investors participating in the PIPE Investment;</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“Private Placement Warrants” are to Churchill’s warrants issued to the Sponsor in a private placement simultaneously with the closing of the Churchill IPO;</w:t>
      </w:r>
    </w:p>
    <w:p>
      <w:pPr>
        <w:spacing w:after="0" w:line="275"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“Promissory Note” are to the unsecured promissory note issued by Churchill to the Sponsor in an aggregate principal amount of $1,500,000. The Sponsor has elected to exercise its option to convert the unpaid balance of the Promissory Note of $1,500,000 into Working Capital Warrants;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“Sponsor” are to Churchill Sponsor IV LLC, a Delaware limited liability company and an affiliate of M. Klein and Company;</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“Transactions” are to the Merger, together with the other transactions consummated under the Merger Agreement and the related agreements;</w:t>
      </w:r>
    </w:p>
    <w:p>
      <w:pPr>
        <w:spacing w:after="0" w:line="264"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“Warrant Agreement” are to the Warrant Agreement, dated July 29, 2020, entered into in connection with the Churchill IPO by and between Continental Stock Transfer &amp; Trust Company and Churchill; and</w:t>
      </w:r>
    </w:p>
    <w:p>
      <w:pPr>
        <w:sectPr>
          <w:pgSz w:w="11900" w:h="16838" w:orient="portrait"/>
          <w:cols w:equalWidth="0" w:num="1">
            <w:col w:w="11240"/>
          </w:cols>
          <w:pgMar w:left="320" w:top="1016" w:right="339" w:bottom="1440" w:gutter="0" w:footer="0" w:header="0"/>
        </w:sect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type w:val="continuous"/>
        </w:sectPr>
      </w:pPr>
    </w:p>
    <w:bookmarkStart w:id="6" w:name="page7"/>
    <w:bookmarkEnd w:id="6"/>
    <w:p>
      <w:pPr>
        <w:ind w:right="220"/>
        <w:spacing w:after="0" w:line="277" w:lineRule="auto"/>
        <w:rPr>
          <w:sz w:val="20"/>
          <w:szCs w:val="20"/>
          <w:color w:val="auto"/>
        </w:rPr>
      </w:pPr>
      <w:r>
        <w:rPr>
          <w:rFonts w:ascii="Arial" w:cs="Arial" w:eastAsia="Arial" w:hAnsi="Arial"/>
          <w:sz w:val="18"/>
          <w:szCs w:val="18"/>
          <w:color w:val="auto"/>
        </w:rPr>
        <w:t>“Working Capital Warrants” are to the warrants to purchase Churchill’s Class A common stock pursuant to the terms of the Promissory Note, on terms identical to the terms of the Private Placement Warrants.</w:t>
      </w:r>
    </w:p>
    <w:p>
      <w:pPr>
        <w:spacing w:after="0" w:line="197"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Unless the context otherwise requires, all references in this section to “Lucid,” the “Company,” “we,” “us,” “our,” and other similar terms refer to Legacy Lucid and its subsidiaries prior to the Closing, and Lucid Group, Inc., a Delaware corporation, and its subsidiaries after the Closing.</w:t>
      </w:r>
    </w:p>
    <w:p>
      <w:pPr>
        <w:spacing w:after="0" w:line="20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773" w:right="51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PART 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OVERVIEW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Mission</w:t>
      </w:r>
    </w:p>
    <w:p>
      <w:pPr>
        <w:spacing w:after="0" w:line="229" w:lineRule="exact"/>
        <w:rPr>
          <w:sz w:val="20"/>
          <w:szCs w:val="20"/>
          <w:color w:val="auto"/>
        </w:rPr>
      </w:pPr>
    </w:p>
    <w:p>
      <w:pPr>
        <w:ind w:right="280" w:firstLine="359"/>
        <w:spacing w:after="0" w:line="277" w:lineRule="auto"/>
        <w:rPr>
          <w:sz w:val="20"/>
          <w:szCs w:val="20"/>
          <w:color w:val="auto"/>
        </w:rPr>
      </w:pPr>
      <w:r>
        <w:rPr>
          <w:rFonts w:ascii="Arial" w:cs="Arial" w:eastAsia="Arial" w:hAnsi="Arial"/>
          <w:sz w:val="18"/>
          <w:szCs w:val="18"/>
          <w:color w:val="auto"/>
        </w:rPr>
        <w:t>Lucid’s mission is to inspire the adoption of sustainable energy by creating advanced technologies and the most captivating luxury electric vehicles (“EV”), centered around the human experience.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Us</w:t>
      </w:r>
    </w:p>
    <w:p>
      <w:pPr>
        <w:spacing w:after="0" w:line="229"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Lucid is a technology and automotive company that is setting new standards with its advanced luxury electric vehicles, beginning with Lucid Air, the longest-range, fastest-charging car on the market today. Lucid (i) designs, engineers and builds electric vehicles, EV powertrains and battery systems in-house using our own equipment and factories, (ii) offers a refined customer experience at our own geographically distributed retail and service locations and through direct-to-consumer online and retail sales and (iii) boasts a strong product roadmap of future vehicle programs and technologies. Our focus on in-house technology innovation, vertical integration, and a “clean-sheet” approach to engineering and design have led to the development of the award-winning Lucid Air.</w:t>
      </w:r>
    </w:p>
    <w:p>
      <w:pPr>
        <w:spacing w:after="0" w:line="192"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Lucid Air is a luxury sedan that redefines both the luxury car segment and the electric vehicle space, with industry-leading EPA-estimated range of up to 516 miles on a single charge (depending on vehicle configuration). This range is enabled by an efficient, powerful powertrain that Lucid developed and builds in-house through vertically integrated manufacturing capacity. EPA estimated ranges and MPGe are provided for vehicles equipped with 19-inch wheels, and actual range and MPGe will vary dependent on many factors including battery age, driving habits, charging habits, temperatures, accessory use, and other factors. Our Space Concept underpins Lucid Air’s design, merging a spacious interior with a smaller exterior footprint that is reminiscent of a high-performance car. This achievement is enabled by our miniaturized drive-train components, which also results in increased storage capacity.</w:t>
      </w:r>
    </w:p>
    <w:p>
      <w:pPr>
        <w:spacing w:after="0" w:line="164"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Lucid Air is manufactured at our greenfield electric vehicle manufacturing facility in Casa Grande, Arizona, Advanced Manufacturing Plant-1 (“AMP-1”)</w:t>
      </w:r>
      <w:r>
        <w:rPr>
          <w:rFonts w:ascii="Arial" w:cs="Arial" w:eastAsia="Arial" w:hAnsi="Arial"/>
          <w:sz w:val="16"/>
          <w:szCs w:val="16"/>
          <w:i w:val="1"/>
          <w:iCs w:val="1"/>
          <w:color w:val="auto"/>
        </w:rPr>
        <w:t>.</w:t>
      </w:r>
      <w:r>
        <w:rPr>
          <w:rFonts w:ascii="Arial" w:cs="Arial" w:eastAsia="Arial" w:hAnsi="Arial"/>
          <w:sz w:val="16"/>
          <w:szCs w:val="16"/>
          <w:color w:val="auto"/>
        </w:rPr>
        <w:t xml:space="preserve"> Our manufacturing footprint in Casa Grande also includes the Lucid Powertrain Manufacturing Plant-1 (“LPM-1”)</w:t>
      </w:r>
      <w:r>
        <w:rPr>
          <w:rFonts w:ascii="Arial" w:cs="Arial" w:eastAsia="Arial" w:hAnsi="Arial"/>
          <w:sz w:val="16"/>
          <w:szCs w:val="16"/>
          <w:i w:val="1"/>
          <w:iCs w:val="1"/>
          <w:color w:val="auto"/>
        </w:rPr>
        <w:t>,</w:t>
      </w:r>
      <w:r>
        <w:rPr>
          <w:rFonts w:ascii="Arial" w:cs="Arial" w:eastAsia="Arial" w:hAnsi="Arial"/>
          <w:sz w:val="16"/>
          <w:szCs w:val="16"/>
          <w:color w:val="auto"/>
        </w:rPr>
        <w:t xml:space="preserve"> located a short distance from AMP-1. Once AMP-1 is fully built out, our vehicle manufacturing footprint in Casa Grande is expected to exceed 5 million square feet on approximately 495 acres. Our current manufacturing footprint has an annual output capacity of up to 34,000 vehicles per year followed by incremental build-out over time to deploy capital efficiently. Expansion activities are underway to bring capacity at our Arizona site to 90,000 vehicles per year within 2024. By building AMP-1 from a clean slate, we expect to achieve greater operational efficiencies and more consistent production quality than would be possible through outsourced manufacturing or adaptation of an existing facility. An emphasis on vertical integration of manufacturing capabilities provides us the opportunity to improve product margins relative to an outsourced manufacturing arrangement. We expect to diversify our vehicle portfolio and increase production capacity through localization of manufacturing in other geographies. In 2022, we broke ground on Lucid’s new advanced electric vehicle manufacturing facility in Saudi Arabia (“AMP-2”), which we anticipate a capacity of 155,000 units upon completion.</w:t>
      </w:r>
    </w:p>
    <w:p>
      <w:pPr>
        <w:spacing w:after="0" w:line="168"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We sell vehicles directly to consumers through our retail sales network and through direct online sales including through Lucid Financial Services. As of December 31, 2022, we have opened thirty-one studios and service centers in North America, three in Europe and one in the Middle East. We believe that owning our sales network provides an opportunity to closely manage the customer experience, gather direct customer feedback, and ensure that customer interactions are on-brand and tailored to our customers’ needs.</w:t>
      </w:r>
    </w:p>
    <w:p>
      <w:pPr>
        <w:spacing w:after="0" w:line="18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own and operate a vehicle service network comprised of service centers in major metropolitan areas and a fleet of mobile service vehicles. In addition to our in-house service capabilities, we established and continue to grow an approved list of specially trained collision repair shops which also serve as repair hubs for our mobile service offerings in some cases. We have contracted with a third-party roadside assistance partner for urgent roadside needs. As a technology company, we also complement our in-house service offerings through remote vehicle diagnostics capabilities and over-the-air (“OTA”) updates. This combination of in-house capabilities, ancillary service partners, and remote support and update capability is expected to serve our customers’ high service expectations.</w:t>
      </w:r>
    </w:p>
    <w:p>
      <w:pPr>
        <w:spacing w:after="0" w:line="192" w:lineRule="exact"/>
        <w:rPr>
          <w:sz w:val="20"/>
          <w:szCs w:val="20"/>
          <w:color w:val="auto"/>
        </w:rPr>
      </w:pPr>
    </w:p>
    <w:p>
      <w:pPr>
        <w:ind w:right="440"/>
        <w:spacing w:after="0" w:line="301" w:lineRule="auto"/>
        <w:rPr>
          <w:sz w:val="20"/>
          <w:szCs w:val="20"/>
          <w:color w:val="auto"/>
        </w:rPr>
      </w:pPr>
      <w:r>
        <w:rPr>
          <w:rFonts w:ascii="Arial" w:cs="Arial" w:eastAsia="Arial" w:hAnsi="Arial"/>
          <w:sz w:val="16"/>
          <w:szCs w:val="16"/>
          <w:color w:val="auto"/>
        </w:rPr>
        <w:t>We began delivering Lucid Air to customers in October 2021. We expect to launch additional vehicles over the coming decade. We have already commenced design and engineering work for Lucid Gravity, a luxury sports utility vehicle (“SUV”) that is expected to leverage and expand the technological advancements from Lucid Air. We expect to begin production of Lucid Gravity in 2024. After Lucid Air and Lucid Gravity, we plan to leverage and expand our technological and manufacturing advancements to develop and manufacture progressively higher volume vehicles segments.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Market Opportunity</w:t>
      </w:r>
    </w:p>
    <w:p>
      <w:pPr>
        <w:spacing w:after="0" w:line="229"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We believe Lucid Air is a fully electric sedan that targets “Post-Luxury” consumers. We look past traditional definitions of luxury in order to appeal to customers who expect more. We recognize that luxury in the automotive space is shifting. While legacy luxury automakers emphasize status, opulence, and indulgence, the Lucid brand embraces elegance, modernity, sustainability, and a sense of well-being.</w:t>
      </w:r>
    </w:p>
    <w:p>
      <w:pPr>
        <w:spacing w:after="0" w:line="184"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color w:val="auto"/>
        </w:rPr>
        <w:t>We have the opportunity to define electric luxury by uniting our California aesthetic with our high-tech and Silicon Valley roots. Current luxury vehicles are based on traditions established by internal combustion automotive manufacture and design. We believe that we are leading the next wave of innovation in the vehicle space. With Lucid Air, we target consumers who desire electric vehicles with a high-end aesthetic and the accompanying luxury experience.</w:t>
      </w:r>
    </w:p>
    <w:p>
      <w:pPr>
        <w:spacing w:after="0" w:line="149" w:lineRule="exact"/>
        <w:rPr>
          <w:sz w:val="20"/>
          <w:szCs w:val="20"/>
          <w:color w:val="auto"/>
        </w:rPr>
      </w:pPr>
    </w:p>
    <w:p>
      <w:pPr>
        <w:jc w:val="both"/>
        <w:ind w:right="220"/>
        <w:spacing w:after="0" w:line="263" w:lineRule="auto"/>
        <w:rPr>
          <w:sz w:val="20"/>
          <w:szCs w:val="20"/>
          <w:color w:val="auto"/>
        </w:rPr>
      </w:pPr>
      <w:r>
        <w:rPr>
          <w:rFonts w:ascii="Arial" w:cs="Arial" w:eastAsia="Arial" w:hAnsi="Arial"/>
          <w:sz w:val="18"/>
          <w:szCs w:val="18"/>
          <w:color w:val="auto"/>
        </w:rPr>
        <w:t>Our initial product, Lucid Air, competes in the global luxury car market. Our competitive advantage is defined by our leading EV technology, developed entirely in-house. Lucid Air offers the longest range and fastest charging capability of any electric vehicle currently available. It is also among the fastest accelerating, the most efficient, and most aerodynamic of any EV currently available.</w:t>
      </w:r>
    </w:p>
    <w:p>
      <w:pPr>
        <w:spacing w:after="0" w:line="184" w:lineRule="exact"/>
        <w:rPr>
          <w:sz w:val="20"/>
          <w:szCs w:val="20"/>
          <w:color w:val="auto"/>
        </w:rPr>
      </w:pPr>
    </w:p>
    <w:p>
      <w:pPr>
        <w:ind w:right="300"/>
        <w:spacing w:after="0" w:line="311" w:lineRule="auto"/>
        <w:rPr>
          <w:sz w:val="20"/>
          <w:szCs w:val="20"/>
          <w:color w:val="auto"/>
        </w:rPr>
      </w:pPr>
      <w:r>
        <w:rPr>
          <w:rFonts w:ascii="Arial" w:cs="Arial" w:eastAsia="Arial" w:hAnsi="Arial"/>
          <w:sz w:val="16"/>
          <w:szCs w:val="16"/>
          <w:color w:val="auto"/>
        </w:rPr>
        <w:t>We define the luxury automotive experience as one comprised of several essential elements, including: (i) luxury in product, with high-end comfort and significant attention to detail in design, content, materials, fit and finish, (ii) superior customer interaction, with high-touch customer interactions throughout both the sales cycle and ownership journey, and (iii) convenient service that exceeds that of a non-luxury automotive experience.</w:t>
      </w:r>
    </w:p>
    <w:p>
      <w:pPr>
        <w:spacing w:after="0" w:line="149"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Through a focus on the luxury market, we are defining an exclusive and recognizable brand that is synonymous with luxury and performance. Over time, Lucid intends to develop and manufacture new products that will enter higher-volume vehicle segments. Our ultimate goal is to make an impact on the global climate crisis through mass production of advanced technologies and electric vehicles.</w:t>
      </w:r>
    </w:p>
    <w:p>
      <w:pPr>
        <w:spacing w:after="0" w:line="184" w:lineRule="exact"/>
        <w:rPr>
          <w:sz w:val="20"/>
          <w:szCs w:val="20"/>
          <w:color w:val="auto"/>
        </w:rPr>
      </w:pPr>
    </w:p>
    <w:p>
      <w:pPr>
        <w:ind w:right="240"/>
        <w:spacing w:after="0" w:line="311" w:lineRule="auto"/>
        <w:rPr>
          <w:sz w:val="20"/>
          <w:szCs w:val="20"/>
          <w:color w:val="auto"/>
        </w:rPr>
      </w:pPr>
      <w:r>
        <w:rPr>
          <w:rFonts w:ascii="Arial" w:cs="Arial" w:eastAsia="Arial" w:hAnsi="Arial"/>
          <w:sz w:val="16"/>
          <w:szCs w:val="16"/>
          <w:color w:val="auto"/>
        </w:rPr>
        <w:t>Increased government mandates for electrification, combined with consumers’ growing desire for clean energy vehicles, are driving electrification of the automotive industry at a rapid pace and on a global scale. The market is still nascent, with approximately 13% of global new passenger vehicle sales in 2022 expected to be battery electric vehicle (“BEV”) and plug-in hybrid electric vehicle, according to an estimate from the International Energy Agency.</w:t>
      </w:r>
    </w:p>
    <w:p>
      <w:pPr>
        <w:spacing w:after="0" w:line="149" w:lineRule="exact"/>
        <w:rPr>
          <w:sz w:val="20"/>
          <w:szCs w:val="20"/>
          <w:color w:val="auto"/>
        </w:rPr>
      </w:pPr>
    </w:p>
    <w:p>
      <w:pPr>
        <w:jc w:val="both"/>
        <w:ind w:right="40"/>
        <w:spacing w:after="0" w:line="286" w:lineRule="auto"/>
        <w:rPr>
          <w:sz w:val="20"/>
          <w:szCs w:val="20"/>
          <w:color w:val="auto"/>
        </w:rPr>
      </w:pPr>
      <w:r>
        <w:rPr>
          <w:rFonts w:ascii="Arial" w:cs="Arial" w:eastAsia="Arial" w:hAnsi="Arial"/>
          <w:sz w:val="17"/>
          <w:szCs w:val="17"/>
          <w:color w:val="auto"/>
        </w:rPr>
        <w:t>Lucid Air is defining Lucid as a brand. The design of Lucid Air captures the potential of electrification through a fusion of art and science. As our flagship product, Lucid Air is intended to establish the bar for excellence across all our future products and experiences. We started delivering vehicles to customers in North America in 2021. In 2022, we delivered our first vehicles to customers in Europe and the Middle East.</w:t>
      </w:r>
    </w:p>
    <w:p>
      <w:pPr>
        <w:spacing w:after="0" w:line="165"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Our second vehicle, Lucid Gravity, is planned as an electric luxury SUV underpinned by efficiency, performance, and a spacious interior to set it apart in the SUV class, similar to how Lucid Air stands out in its class. Beyond Lucid Air and Lucid Gravity, our business plan contemplates the release of additional vehicles through the next decade including lower-priced models.</w:t>
      </w:r>
    </w:p>
    <w:p>
      <w:pPr>
        <w:spacing w:after="0" w:line="184"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Beyond the sale of Lucid branded vehicles, we believe that our technological prowess and manufacturing capabilities present a further opportunity to generate revenue and combat climate change through the sale or licensing of electric vehicle powertrain and battery technology to third parties. Such powertrain and battery arrangements could facilitate and accelerate the shift to electrification for traditional automotive original equipment manufacturers (“OEMs”) and “capex-light” EV companies alike and thereby enable the global production of electric vehicles in greater volumes and at varying price points. We believe that the sale or licensing of our technology would also enable us to refine our manufacturing efficiencies and the real world, practical operation of our technologies.</w:t>
      </w:r>
    </w:p>
    <w:p>
      <w:pPr>
        <w:spacing w:after="0" w:line="192"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We further believe that our battery systems expertise positions us to produce compelling stationary energy storage system (“ESS”) products. ESS is a technologically adjacent opportunity which can leverage the modular design of our battery packs and our extensive experience with battery pack and battery management systems. By seeking to address the residential, commercial, and utility-scale energy storage markets, we can further address climate change through enhanced flexibility, efficiency, and stability of the electrical grid. We can also offer to customers an ability to add resiliency to their home’s power supply in the event of an outage through our future ESS products or Lucid Air’s planned vehicle-to-grid (“V2G”) capabilities.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Competitive Strengths</w:t>
      </w:r>
    </w:p>
    <w:p>
      <w:pPr>
        <w:spacing w:after="0" w:line="229" w:lineRule="exact"/>
        <w:rPr>
          <w:sz w:val="20"/>
          <w:szCs w:val="20"/>
          <w:color w:val="auto"/>
        </w:rPr>
      </w:pPr>
    </w:p>
    <w:p>
      <w:pPr>
        <w:ind w:left="660" w:right="200" w:hanging="328"/>
        <w:spacing w:after="0" w:line="286" w:lineRule="auto"/>
        <w:tabs>
          <w:tab w:leader="none" w:pos="655" w:val="left"/>
        </w:tabs>
        <w:numPr>
          <w:ilvl w:val="0"/>
          <w:numId w:val="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Proven, Real World Validation. </w:t>
      </w:r>
      <w:r>
        <w:rPr>
          <w:rFonts w:ascii="Arial" w:cs="Arial" w:eastAsia="Arial" w:hAnsi="Arial"/>
          <w:sz w:val="17"/>
          <w:szCs w:val="17"/>
          <w:color w:val="auto"/>
        </w:rPr>
        <w:t>Our battery technology has been developed over the past decade and has been validated as world-class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technology. Through our prototype and production vehicles and our role as the sole battery supplier to the second generation of the premier EV racing series, our patented battery technology has driven more than 36 million real world miles since Lucid’s inception.</w:t>
      </w:r>
    </w:p>
    <w:p>
      <w:pPr>
        <w:spacing w:after="0" w:line="165" w:lineRule="exact"/>
        <w:rPr>
          <w:rFonts w:ascii="Arial" w:cs="Arial" w:eastAsia="Arial" w:hAnsi="Arial"/>
          <w:sz w:val="17"/>
          <w:szCs w:val="17"/>
          <w:color w:val="auto"/>
        </w:rPr>
      </w:pPr>
    </w:p>
    <w:p>
      <w:pPr>
        <w:ind w:left="660" w:right="400" w:hanging="328"/>
        <w:spacing w:after="0" w:line="311" w:lineRule="auto"/>
        <w:tabs>
          <w:tab w:leader="none" w:pos="655" w:val="left"/>
        </w:tabs>
        <w:numPr>
          <w:ilvl w:val="0"/>
          <w:numId w:val="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Highly Differentiated Performance. </w:t>
      </w:r>
      <w:r>
        <w:rPr>
          <w:rFonts w:ascii="Arial" w:cs="Arial" w:eastAsia="Arial" w:hAnsi="Arial"/>
          <w:sz w:val="16"/>
          <w:szCs w:val="16"/>
          <w:color w:val="auto"/>
        </w:rPr>
        <w:t>Our advancements in battery pack and drivetrain technology, created through a clean-sheet approach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engineering, have resulted in compelling performance and efficiency in our vehicles. Lucid Air is available in a configuration with 1,111 horsepower, a zero to 60 miles per hour acceleration time of 2.5 seconds and a quarter-mile time of less than 10 seconds.</w:t>
      </w:r>
    </w:p>
    <w:p>
      <w:pPr>
        <w:spacing w:after="0" w:line="148" w:lineRule="exact"/>
        <w:rPr>
          <w:rFonts w:ascii="Arial" w:cs="Arial" w:eastAsia="Arial" w:hAnsi="Arial"/>
          <w:sz w:val="16"/>
          <w:szCs w:val="16"/>
          <w:color w:val="auto"/>
        </w:rPr>
      </w:pPr>
    </w:p>
    <w:p>
      <w:pPr>
        <w:ind w:left="660" w:hanging="328"/>
        <w:spacing w:after="0" w:line="255"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Revolutionary Powertrain Technology. </w:t>
      </w:r>
      <w:r>
        <w:rPr>
          <w:rFonts w:ascii="Arial" w:cs="Arial" w:eastAsia="Arial" w:hAnsi="Arial"/>
          <w:sz w:val="18"/>
          <w:szCs w:val="18"/>
          <w:color w:val="auto"/>
        </w:rPr>
        <w:t>Leveraging Lucid’s in-house powertrain technology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some variants of Lucid Air have received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independent validation by the EPA for an industry-leading estimated range of up to 516 miles on a single charge. Some variants of Lucid Air with 900V+ electrical architecture can achieve sufficient charge in approximately 22 minutes to travel 300 miles. This charging speed is facilitated by our multi-function, high-voltage, bi-directional charging unit that is expected to allow V2G capabilities (“Wunderbox”), enabling a Lucid Air to serve as a back-up power source for residential applications in emergency outages. In the future, we plan to introduce this functionality via OTA updates and additional grid required hardware components.</w:t>
      </w:r>
    </w:p>
    <w:p>
      <w:pPr>
        <w:spacing w:after="0" w:line="192" w:lineRule="exact"/>
        <w:rPr>
          <w:rFonts w:ascii="Arial" w:cs="Arial" w:eastAsia="Arial" w:hAnsi="Arial"/>
          <w:sz w:val="18"/>
          <w:szCs w:val="18"/>
          <w:color w:val="auto"/>
        </w:rPr>
      </w:pPr>
    </w:p>
    <w:p>
      <w:pPr>
        <w:ind w:left="660" w:right="100" w:hanging="328"/>
        <w:spacing w:after="0" w:line="291" w:lineRule="auto"/>
        <w:tabs>
          <w:tab w:leader="none" w:pos="655" w:val="left"/>
        </w:tabs>
        <w:numPr>
          <w:ilvl w:val="0"/>
          <w:numId w:val="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Directly Owned Manufacturing. </w:t>
      </w:r>
      <w:r>
        <w:rPr>
          <w:rFonts w:ascii="Arial" w:cs="Arial" w:eastAsia="Arial" w:hAnsi="Arial"/>
          <w:sz w:val="16"/>
          <w:szCs w:val="16"/>
          <w:color w:val="auto"/>
        </w:rPr>
        <w:t>Lucid vehicles are currently produced at Lucid’s AMP-1, the first purpose-built, greenfield EV manufacturing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facility in North America. With Lucid Air already in production, expansion activities are underway to enable the concurrent production of Lucid Air and Lucid Gravity. Key elements of our vehicle engineering enable efficient and advanced manufacturing processes with a high degree of quality control. For example, the aircraft-inspired riveted and bonded monocoque body structure is designed to enhance structural efficiency and replace spot welds in the manufacturing process. Additionally, Lucid manufactures and assembles our complete electric powertrain at LPM-1, including assembly of battery packs, integrated drive units, and the Wunderbox. We designed the LPM-1 facility to facilitate the future establishment of similar facilities for an expanded, global manufacturing footprint for vehicles.</w:t>
      </w:r>
    </w:p>
    <w:p>
      <w:pPr>
        <w:spacing w:after="0" w:line="166" w:lineRule="exact"/>
        <w:rPr>
          <w:rFonts w:ascii="Arial" w:cs="Arial" w:eastAsia="Arial" w:hAnsi="Arial"/>
          <w:sz w:val="16"/>
          <w:szCs w:val="16"/>
          <w:color w:val="auto"/>
        </w:rPr>
      </w:pPr>
    </w:p>
    <w:p>
      <w:pPr>
        <w:ind w:left="660" w:hanging="328"/>
        <w:spacing w:after="0" w:line="275" w:lineRule="auto"/>
        <w:tabs>
          <w:tab w:leader="none" w:pos="655" w:val="left"/>
        </w:tabs>
        <w:numPr>
          <w:ilvl w:val="0"/>
          <w:numId w:val="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In-House Sales and Service. </w:t>
      </w:r>
      <w:r>
        <w:rPr>
          <w:rFonts w:ascii="Arial" w:cs="Arial" w:eastAsia="Arial" w:hAnsi="Arial"/>
          <w:sz w:val="17"/>
          <w:szCs w:val="17"/>
          <w:color w:val="auto"/>
        </w:rPr>
        <w:t>Consistent with the focus on quality in our manufacturing processes, we implement a direct sales and service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strategy to maintain control over the customer experience and ensure that interactions are aligned with the Lucid brand. We enable this tight control over the customer experience by vertically integrating our sales operations instead of relying on a traditional outsourced dealership model. We are also scaling our own service operations to support customers, in addition to growing our established network of partnerships with body shops and other ancillary service partners that meet our expectations for customer service.</w:t>
      </w:r>
    </w:p>
    <w:p>
      <w:pPr>
        <w:spacing w:after="0" w:line="176" w:lineRule="exact"/>
        <w:rPr>
          <w:rFonts w:ascii="Arial" w:cs="Arial" w:eastAsia="Arial" w:hAnsi="Arial"/>
          <w:sz w:val="17"/>
          <w:szCs w:val="17"/>
          <w:color w:val="auto"/>
        </w:rPr>
      </w:pPr>
    </w:p>
    <w:p>
      <w:pPr>
        <w:ind w:left="660" w:right="140" w:hanging="328"/>
        <w:spacing w:after="0" w:line="259"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Product Design. </w:t>
      </w:r>
      <w:r>
        <w:rPr>
          <w:rFonts w:ascii="Arial" w:cs="Arial" w:eastAsia="Arial" w:hAnsi="Arial"/>
          <w:sz w:val="18"/>
          <w:szCs w:val="18"/>
          <w:color w:val="auto"/>
        </w:rPr>
        <w:t>Our first vehicle, Lucid Air, fuses art and science to capture the potential of electrification. As our flagship product, the Air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establishes the bar for excellence across all our products and experiences. Our “Space Concept” represents a technical breakthrough, achieved through a ground-up rethink in the way an automobile is designed. Our reimagining of the car has resulted in class-leading interior space for the driver, passengers, and storage within a compact and efficient exterior.</w:t>
      </w:r>
    </w:p>
    <w:p>
      <w:pPr>
        <w:spacing w:after="0" w:line="186" w:lineRule="exact"/>
        <w:rPr>
          <w:rFonts w:ascii="Arial" w:cs="Arial" w:eastAsia="Arial" w:hAnsi="Arial"/>
          <w:sz w:val="18"/>
          <w:szCs w:val="18"/>
          <w:color w:val="auto"/>
        </w:rPr>
      </w:pPr>
    </w:p>
    <w:p>
      <w:pPr>
        <w:ind w:left="660" w:right="20" w:hanging="328"/>
        <w:spacing w:after="0" w:line="25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Favorable Market Trends. </w:t>
      </w:r>
      <w:r>
        <w:rPr>
          <w:rFonts w:ascii="Arial" w:cs="Arial" w:eastAsia="Arial" w:hAnsi="Arial"/>
          <w:sz w:val="18"/>
          <w:szCs w:val="18"/>
          <w:color w:val="auto"/>
        </w:rPr>
        <w:t>As consumers seek brands that align with their values, we are positioned to address the desires and needs of a new</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generation of “post-luxury consumers.” Lucid Air is the first true luxury electric vehicle and positions us to build its brand and reputation. By building the Lucid brand and achieving scale and efficiency in our manufacturing footprint, we believe we will have the opportunity over time to create more attainable technology to allow broader adoption in the EV space and the ability to capitalize on adjacent market opportunities such as marine, aviation, and stationary energy storage applications.</w:t>
      </w:r>
    </w:p>
    <w:p>
      <w:pPr>
        <w:spacing w:after="0" w:line="187" w:lineRule="exact"/>
        <w:rPr>
          <w:rFonts w:ascii="Arial" w:cs="Arial" w:eastAsia="Arial" w:hAnsi="Arial"/>
          <w:sz w:val="18"/>
          <w:szCs w:val="18"/>
          <w:color w:val="auto"/>
        </w:rPr>
      </w:pPr>
    </w:p>
    <w:p>
      <w:pPr>
        <w:jc w:val="both"/>
        <w:ind w:left="660" w:right="180" w:hanging="328"/>
        <w:spacing w:after="0" w:line="259"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Management Team Experience</w:t>
      </w:r>
      <w:r>
        <w:rPr>
          <w:rFonts w:ascii="Arial" w:cs="Arial" w:eastAsia="Arial" w:hAnsi="Arial"/>
          <w:sz w:val="18"/>
          <w:szCs w:val="18"/>
          <w:color w:val="auto"/>
        </w:rPr>
        <w:t>. We have assembled a seasoned management team with deep experience in the automotive, EV, and disruptive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technology spaces, led by Peter Rawlinson, who served as the Chief Engineer of the Tesla Model S program. The management team is rounded out by executives with significant industry experience from such companies as Apple, Intel, Tesla, Mazda, Audi, Volkswagen, General Motors, and Ford, among others.</w:t>
      </w:r>
    </w:p>
    <w:p>
      <w:pPr>
        <w:spacing w:after="0" w:line="186" w:lineRule="exact"/>
        <w:rPr>
          <w:rFonts w:ascii="Arial" w:cs="Arial" w:eastAsia="Arial" w:hAnsi="Arial"/>
          <w:sz w:val="18"/>
          <w:szCs w:val="18"/>
          <w:color w:val="auto"/>
        </w:rPr>
      </w:pPr>
    </w:p>
    <w:p>
      <w:pPr>
        <w:ind w:left="660" w:right="300" w:hanging="328"/>
        <w:spacing w:after="0" w:line="263"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Strategic Partnerships. </w:t>
      </w:r>
      <w:r>
        <w:rPr>
          <w:rFonts w:ascii="Arial" w:cs="Arial" w:eastAsia="Arial" w:hAnsi="Arial"/>
          <w:sz w:val="18"/>
          <w:szCs w:val="18"/>
          <w:color w:val="auto"/>
        </w:rPr>
        <w:t>We have established strong relationships with suppliers and partners to deliver Lucid Air. We have battery cell supply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agreements in place with leading suppliers in the electric vehicle space and a commercial partnership with Electrify America to deliver a differentiated charging experience for our customers.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Growth Strategy</w:t>
      </w:r>
    </w:p>
    <w:p>
      <w:pPr>
        <w:spacing w:after="0" w:line="229" w:lineRule="exact"/>
        <w:rPr>
          <w:sz w:val="20"/>
          <w:szCs w:val="20"/>
          <w:color w:val="auto"/>
        </w:rPr>
      </w:pPr>
    </w:p>
    <w:p>
      <w:pPr>
        <w:ind w:right="340" w:firstLine="360"/>
        <w:spacing w:after="0" w:line="308" w:lineRule="auto"/>
        <w:rPr>
          <w:sz w:val="20"/>
          <w:szCs w:val="20"/>
          <w:color w:val="auto"/>
        </w:rPr>
      </w:pPr>
      <w:r>
        <w:rPr>
          <w:rFonts w:ascii="Arial" w:cs="Arial" w:eastAsia="Arial" w:hAnsi="Arial"/>
          <w:sz w:val="17"/>
          <w:szCs w:val="17"/>
          <w:color w:val="auto"/>
        </w:rPr>
        <w:t>We aim to create opportunity as an automotive company, an energy storage systems manufacturer and a technology supplier for other automotive OEMs and other applications such as aircraft (including eVTOL), heavy machinery, agriculture, and marine transportation.</w:t>
      </w:r>
    </w:p>
    <w:p>
      <w:pPr>
        <w:spacing w:after="0" w:line="20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985" w:right="419" w:bottom="1440" w:gutter="0" w:footer="0" w:header="0"/>
        </w:sectPr>
      </w:pPr>
    </w:p>
    <w:bookmarkStart w:id="10" w:name="page11"/>
    <w:bookmarkEnd w:id="10"/>
    <w:p>
      <w:pPr>
        <w:ind w:left="660" w:right="20" w:hanging="328"/>
        <w:spacing w:after="0" w:line="259"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Vehicle Roadmap. </w:t>
      </w:r>
      <w:r>
        <w:rPr>
          <w:rFonts w:ascii="Arial" w:cs="Arial" w:eastAsia="Arial" w:hAnsi="Arial"/>
          <w:sz w:val="18"/>
          <w:szCs w:val="18"/>
          <w:color w:val="auto"/>
        </w:rPr>
        <w:t>We have established a planned roadmap for future vehicle lines that includes a variety of vehicle types that are expected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perform well in various customer segments. By utilizing Lucid Air to establish the brand, we plan to leverage economies of scale and efficiency of operations to unlock sales in more mass market segments. We will seek to establish a strong customer base in the luxury and premium vehicle markets across the globe.</w:t>
      </w:r>
    </w:p>
    <w:p>
      <w:pPr>
        <w:spacing w:after="0" w:line="186" w:lineRule="exact"/>
        <w:rPr>
          <w:rFonts w:ascii="Arial" w:cs="Arial" w:eastAsia="Arial" w:hAnsi="Arial"/>
          <w:sz w:val="18"/>
          <w:szCs w:val="18"/>
          <w:color w:val="auto"/>
        </w:rPr>
      </w:pPr>
    </w:p>
    <w:p>
      <w:pPr>
        <w:ind w:left="660" w:right="60" w:hanging="328"/>
        <w:spacing w:after="0" w:line="254"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International Expansion. </w:t>
      </w:r>
      <w:r>
        <w:rPr>
          <w:rFonts w:ascii="Arial" w:cs="Arial" w:eastAsia="Arial" w:hAnsi="Arial"/>
          <w:sz w:val="18"/>
          <w:szCs w:val="18"/>
          <w:color w:val="auto"/>
        </w:rPr>
        <w:t>We expect to establish manufacturing facilities in multiple geographies along with a retail and service footprint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throughout each geographic area. These manufacturing facilities could include facilities for component subassembly, vehicle kit reassembly, complete built unit vehicle production and/or energy storage systems. We believe that establishing a global manufacturing footprint will help us to grow the brand, scale the business and address market demand in the Middle East, European and Asia-Pacific markets, while also taking action to address climate change. We anticipate that localized supply chain, production, distribution and retail can yield cost savings and environmental benefits with reduced transportation of product to the customer. We began construction of a manufacturing facility in Saudi Arabia in May 2022. See “—Manufacturing.”</w:t>
      </w:r>
    </w:p>
    <w:p>
      <w:pPr>
        <w:spacing w:after="0" w:line="194" w:lineRule="exact"/>
        <w:rPr>
          <w:rFonts w:ascii="Arial" w:cs="Arial" w:eastAsia="Arial" w:hAnsi="Arial"/>
          <w:sz w:val="18"/>
          <w:szCs w:val="18"/>
          <w:color w:val="auto"/>
        </w:rPr>
      </w:pPr>
    </w:p>
    <w:p>
      <w:pPr>
        <w:ind w:left="660" w:right="60" w:hanging="328"/>
        <w:spacing w:after="0" w:line="273" w:lineRule="auto"/>
        <w:tabs>
          <w:tab w:leader="none" w:pos="655" w:val="left"/>
        </w:tabs>
        <w:numPr>
          <w:ilvl w:val="0"/>
          <w:numId w:val="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Energy Storage Systems. </w:t>
      </w:r>
      <w:r>
        <w:rPr>
          <w:rFonts w:ascii="Arial" w:cs="Arial" w:eastAsia="Arial" w:hAnsi="Arial"/>
          <w:sz w:val="17"/>
          <w:szCs w:val="17"/>
          <w:color w:val="auto"/>
        </w:rPr>
        <w:t>We plan to leverage advancements in battery pack design and manufacture learned through development of Lucid Air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produce stationary ESS solutions. This technologically adjacent business opportunity can leverage our extensive battery pack and battery management systems experience and expertise and has the potential to utilize the modular design of our battery pack to efficiently mass produce energy storage systems for residential, commercial and utility-scale applications. We intend to explore more cost-effective battery cell chemistries than those used in electric vehicle batteries, given the lower importance of gravimetrical energy density in ESS cells. We currently have a prototype ESS product operating at our headquarters in Newark, California.</w:t>
      </w:r>
    </w:p>
    <w:p>
      <w:pPr>
        <w:spacing w:after="0" w:line="177" w:lineRule="exact"/>
        <w:rPr>
          <w:rFonts w:ascii="Arial" w:cs="Arial" w:eastAsia="Arial" w:hAnsi="Arial"/>
          <w:sz w:val="17"/>
          <w:szCs w:val="17"/>
          <w:color w:val="auto"/>
        </w:rPr>
      </w:pPr>
    </w:p>
    <w:p>
      <w:pPr>
        <w:ind w:left="660" w:right="40" w:hanging="328"/>
        <w:spacing w:after="0" w:line="263"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Technology Outbound Sales &amp; Licensing. </w:t>
      </w:r>
      <w:r>
        <w:rPr>
          <w:rFonts w:ascii="Arial" w:cs="Arial" w:eastAsia="Arial" w:hAnsi="Arial"/>
          <w:sz w:val="18"/>
          <w:szCs w:val="18"/>
          <w:color w:val="auto"/>
        </w:rPr>
        <w:t>We are actively engaged in supplying racing teams in a premier EV racing series with front drive unit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software. We expect to expand this technology division to supply our world class technology beyond the world of racing to help accelerate the adoption of EVs.</w:t>
      </w:r>
    </w:p>
    <w:p>
      <w:pPr>
        <w:spacing w:after="0" w:line="184" w:lineRule="exact"/>
        <w:rPr>
          <w:sz w:val="20"/>
          <w:szCs w:val="20"/>
          <w:color w:val="auto"/>
        </w:rPr>
      </w:pPr>
    </w:p>
    <w:p>
      <w:pPr>
        <w:jc w:val="both"/>
        <w:ind w:right="480"/>
        <w:spacing w:after="0" w:line="311" w:lineRule="auto"/>
        <w:rPr>
          <w:sz w:val="20"/>
          <w:szCs w:val="20"/>
          <w:color w:val="auto"/>
        </w:rPr>
      </w:pPr>
      <w:r>
        <w:rPr>
          <w:rFonts w:ascii="Arial" w:cs="Arial" w:eastAsia="Arial" w:hAnsi="Arial"/>
          <w:sz w:val="16"/>
          <w:szCs w:val="16"/>
          <w:color w:val="auto"/>
        </w:rPr>
        <w:t>We are motivated to achieve a future where transportation is sustainable and works with the planet, not against it. The sale of technology solutions to traditional automotive OEMs would support that goal, as would sales to customers in the marine and aviation sectors. Our technology is modular and readily customizable, enhancing our suitability for build-to-print powertrain and battery solutions for other manufacturers.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Vehicles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Lucid Air</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expect our first product, Lucid Air, to define Lucid as a brand. Lucid Air is designed to fuse art and science to capture the potential of electrification. As our flagship product, Lucid Air is intended to establish the bar for excellence across all our future products and experiences.</w:t>
      </w:r>
    </w:p>
    <w:p>
      <w:pPr>
        <w:spacing w:after="0" w:line="170"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Lucid Air is a state-of-the-art luxury electric sedan featuring a California-inspired design and underpinned by our race-proven battery and its powertrain technology. Featuring luxurious interior space in a mid-size exterior footprint, some variants of Lucid Air offer an EPA-estimated range of up to 516 miles on a single charge.</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Lucid Space Concept offers class-leading interior space and a massive front trunk (or “frunk”) with a capacity of around 280 liters. From the start of its development, we used the Lucid Space Concept to increase interior space. This new approach to sedan architecture takes advantage of our miniaturized EV drivetrain to deliver full-size interior volume within a mid-size exterior footprint. This technical breakthrough resulted in class-leading interior space for the driver, passengers, and storage within a compact, agile, and efficient exterior.</w:t>
      </w:r>
    </w:p>
    <w:p>
      <w:pPr>
        <w:spacing w:after="0" w:line="18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Space Concept was achieved through a ground-up rethink in the way an automobile is designed. The launch edition of Lucid Air offers a “bench” style rear seat that provides expansive space for three adults with class leading legroom. Some variants of Lucid Air’s interior are capped with a glass canopy that creates an even more extravagant sense of space. Despite its expansive interior, Lucid Air is more compact on the exterior than leading internal combustion engine (“ICE”) vehicles in the same class and segment.</w:t>
      </w:r>
    </w:p>
    <w:p>
      <w:pPr>
        <w:spacing w:after="0" w:line="187"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The centerpiece of Lucid Air’s human-machine interface is its “Glass Cockpit,” a beautifully integrated, configurable infotainment system that is designed to provide a seamless connected experience for the driver. This system is presented on a compound three-screen display assembly that curves in front of the driver — including two touch screens. This display is designed to sit in the driver’s line of sight to increase operator safety and reduce time looking away from the road. The Glass Cockpit is augmented by a retractable center screen for a more immersive user interface.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11" w:name="page12"/>
    <w:bookmarkEnd w:id="11"/>
    <w:p>
      <w:pPr>
        <w:spacing w:after="0" w:line="257" w:lineRule="auto"/>
        <w:rPr>
          <w:sz w:val="20"/>
          <w:szCs w:val="20"/>
          <w:color w:val="auto"/>
        </w:rPr>
      </w:pPr>
      <w:r>
        <w:rPr>
          <w:rFonts w:ascii="Arial" w:cs="Arial" w:eastAsia="Arial" w:hAnsi="Arial"/>
          <w:sz w:val="18"/>
          <w:szCs w:val="18"/>
          <w:color w:val="auto"/>
        </w:rPr>
        <w:t>Lucid Air has the looks to match its advanced powertrain, with clean styling up front emphasized by slim headlights and a chrome strip that spans from one corner to the other. The hood features sculpting over the wheels to further emphasize power, and the windshield flows as one piece of glass all the way back to the B-pillar. The sleek lines work well with Lucid Air’s short overhangs and large wheels. This pleasing shape is also functional, providing Lucid Air Pure a low coefficient of drag at a mere 0.197 and enabling greater range and performance. Each of Lucid Air’s interior themes is crafted with colors and materials that evoke iconic California locations at various times of day and night.</w:t>
      </w:r>
    </w:p>
    <w:p>
      <w:pPr>
        <w:spacing w:after="0" w:line="18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Efficiency is the ultimate measure of EV technology, and we believe our technology leads the industry in this respect, with a market-leading EPA-estimated 140 MPGe (miles per gallon equivalent) and on-road efficiency of greater than 4.5 miles per kilowatt-hour for some variants of Lucid Air. The highly aerodynamic design of Lucid Air provides longer range, driving faster miles-per-minute charging and the ability to provide equivalent range with a smaller, lower-cost battery pack.</w:t>
      </w:r>
    </w:p>
    <w:p>
      <w:pPr>
        <w:spacing w:after="0" w:line="187" w:lineRule="exact"/>
        <w:rPr>
          <w:sz w:val="20"/>
          <w:szCs w:val="20"/>
          <w:color w:val="auto"/>
        </w:rPr>
      </w:pPr>
    </w:p>
    <w:p>
      <w:pPr>
        <w:ind w:right="580"/>
        <w:spacing w:after="0" w:line="308" w:lineRule="auto"/>
        <w:rPr>
          <w:sz w:val="20"/>
          <w:szCs w:val="20"/>
          <w:color w:val="auto"/>
        </w:rPr>
      </w:pPr>
      <w:r>
        <w:rPr>
          <w:rFonts w:ascii="Arial" w:cs="Arial" w:eastAsia="Arial" w:hAnsi="Arial"/>
          <w:sz w:val="17"/>
          <w:szCs w:val="17"/>
          <w:color w:val="auto"/>
        </w:rPr>
        <w:t>Its advanced technology and efficiency have enabled us to design Lucid Air to achieve both long range and high performance. These attributes have historically been mutually exclusive design goals, and Lucid Air’s achievements in this regard further validates its technology.</w:t>
      </w:r>
    </w:p>
    <w:p>
      <w:pPr>
        <w:spacing w:after="0" w:line="146"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Lucid Air is offered at various price points with different specifications. Following the limited-availability Lucid Air Dream Edition, which began deliveries in October 2021, we are now producing and delivering Grand Touring, Touring, and Pure variants of Lucid Air. Lucid Air Touring is the quintessential Lucid Air, with better performance, range, energy efficiency, aerodynamics, and packaging than many other competitors. Lucid Air Pure is the most accessible variant in Lucid Air line, and still offers up to 410 miles of EPA-estimated range.</w:t>
      </w:r>
    </w:p>
    <w:p>
      <w:pPr>
        <w:spacing w:after="0" w:line="18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As discussed in “— </w:t>
      </w:r>
      <w:r>
        <w:rPr>
          <w:rFonts w:ascii="Arial" w:cs="Arial" w:eastAsia="Arial" w:hAnsi="Arial"/>
          <w:sz w:val="18"/>
          <w:szCs w:val="18"/>
          <w:i w:val="1"/>
          <w:iCs w:val="1"/>
          <w:color w:val="auto"/>
        </w:rPr>
        <w:t>Technology</w:t>
      </w:r>
      <w:r>
        <w:rPr>
          <w:rFonts w:ascii="Arial" w:cs="Arial" w:eastAsia="Arial" w:hAnsi="Arial"/>
          <w:sz w:val="18"/>
          <w:szCs w:val="18"/>
          <w:color w:val="auto"/>
        </w:rPr>
        <w:t>” below, Lucid Air is underpinned by the Lucid Electric Advanced Platform (“LEAP”), which is designed to support other vehicle variants to enable greater capital deployment efficiency and speed to market.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Vehicle Programs</w:t>
      </w:r>
    </w:p>
    <w:p>
      <w:pPr>
        <w:spacing w:after="0" w:line="22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first vehicle planned to share some of Lucid Air’s components and systems is Lucid Gravity, which we expect to start producing in 2024. We expect Lucid Gravity to achieve many of the same attributes that make Lucid Air special, including a class-leading spacious interior in a more compact and efficient exterior. We anticipate that the use of carry over Air components will enable efficiency in design, engineering and capital expenditure deployment for Lucid Gravity. We expect to have installed production capacity of 90,000 units per year at AMP-1 coincident with Lucid Gravity launch to accommodate for both Lucid Air and some of Lucid Gravity volumes.</w:t>
      </w:r>
    </w:p>
    <w:p>
      <w:pPr>
        <w:spacing w:after="0" w:line="188"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In August 2022, we announced Lucid Air Sapphire, our highest performance Air, featuring our very first three-motor powertrain. We engineered every component to deliver the pinnacle of electric performance and expect that the vehicle will have over 1,200 horsepower, the ability to accelerate from zero to 60 miles per hour in less than 2 seconds, and a quarter-mile time below 9 seconds.</w:t>
      </w:r>
    </w:p>
    <w:p>
      <w:pPr>
        <w:spacing w:after="0" w:line="18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We have also developed a roadmap with additional vehicles and platforms to make its vehicles more accessible at a variety of price points. We plan to start at the high end to establish our brand but expect to manufacture progressively higher volume vehicle segments over time.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Technology</w:t>
      </w:r>
    </w:p>
    <w:p>
      <w:pPr>
        <w:spacing w:after="0" w:line="229"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We are a technology and automotive company. We seek to set new standards for sustainable transportation with Lucid Air, and we do so in part by focusing on proprietary, in-house technology development. We have developed cutting-edge electric vehicle technology that we believe sets a new benchmark for EVs. Core to our DNA is the achievement of technical excellence.</w:t>
      </w:r>
    </w:p>
    <w:p>
      <w:pPr>
        <w:spacing w:after="0" w:line="184"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Our in-house engineering team is focused on delivering innovation in all facets of vehicle development, including hardware and software development, vehicle design, and passenger comfort. The development of Lucid Air was predicated on the premise that miniaturizing the powertrain would allow us to redesign what a car can be from the ground up.</w:t>
      </w:r>
    </w:p>
    <w:p>
      <w:pPr>
        <w:spacing w:after="0" w:line="184"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We have refined our battery technologies over many years in real-world applications, including more than 36 million miles of vehicle testing and the supply of battery packs to all teams in the premier EV racing series. We have used the data accumulated from these activities to refine our technology and thoughtfully develop Lucid Air.</w:t>
      </w:r>
    </w:p>
    <w:p>
      <w:pPr>
        <w:spacing w:after="0" w:line="184"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We believe our in-house research and development organization establishes us as a leader across multiple technologies and areas of expertise. Our technological achievements include significant advancements to the core technologies that drive an electric vehicle. Areas where our in-house engineering has driven advancement include:</w:t>
      </w:r>
    </w:p>
    <w:p>
      <w:pPr>
        <w:spacing w:after="0" w:line="184" w:lineRule="exact"/>
        <w:rPr>
          <w:sz w:val="20"/>
          <w:szCs w:val="20"/>
          <w:color w:val="auto"/>
        </w:rPr>
      </w:pPr>
    </w:p>
    <w:p>
      <w:pPr>
        <w:ind w:left="660" w:right="200" w:hanging="328"/>
        <w:spacing w:after="0" w:line="301" w:lineRule="auto"/>
        <w:tabs>
          <w:tab w:leader="none" w:pos="655" w:val="left"/>
        </w:tabs>
        <w:numPr>
          <w:ilvl w:val="0"/>
          <w:numId w:val="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Battery Pack. </w:t>
      </w:r>
      <w:r>
        <w:rPr>
          <w:rFonts w:ascii="Arial" w:cs="Arial" w:eastAsia="Arial" w:hAnsi="Arial"/>
          <w:sz w:val="16"/>
          <w:szCs w:val="16"/>
          <w:color w:val="auto"/>
        </w:rPr>
        <w:t>Lucid Air’s battery pack translates our motorsport experience and more than 36 million miles of real-world testing into a compact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energy dense unit that was developed in-house with a clean-sheet approach to engineering. The battery pack is designed to be scalable and modular, providing opportunities for cost and range variations as we develop future LEAP platforms. It is also designed for performance, with advanced end-cooling technology and an advanced low-resistance architecture to reduce heat loss and increase range.</w:t>
      </w:r>
    </w:p>
    <w:p>
      <w:pPr>
        <w:sectPr>
          <w:pgSz w:w="11900" w:h="16838" w:orient="portrait"/>
          <w:cols w:equalWidth="0" w:num="1">
            <w:col w:w="11240"/>
          </w:cols>
          <w:pgMar w:left="320" w:top="989" w:right="339" w:bottom="1440" w:gutter="0" w:footer="0" w:header="0"/>
        </w:sect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type w:val="continuous"/>
        </w:sectPr>
      </w:pPr>
    </w:p>
    <w:bookmarkStart w:id="12" w:name="page13"/>
    <w:bookmarkEnd w:id="12"/>
    <w:p>
      <w:pPr>
        <w:ind w:left="328" w:right="120"/>
        <w:spacing w:after="0" w:line="301" w:lineRule="auto"/>
        <w:rPr>
          <w:sz w:val="20"/>
          <w:szCs w:val="20"/>
          <w:color w:val="auto"/>
        </w:rPr>
      </w:pPr>
      <w:r>
        <w:rPr>
          <w:rFonts w:ascii="Arial" w:cs="Arial" w:eastAsia="Arial" w:hAnsi="Arial"/>
          <w:sz w:val="16"/>
          <w:szCs w:val="16"/>
          <w:color w:val="auto"/>
        </w:rPr>
        <w:t>Our battery pack incorporates battery cells from suppliers that have extensive experience in the development and manufacturing of cells for high-performance electric vehicle applications and robust battery cycle life. The battery cells incorporated into our battery packs are required to conform to our high standards, including with respect to our targets for range, energy density, recharge/discharge rates and other characteristics, and to support our compact, energy-dense battery pack form. We have battery cell supply agreements with these suppliers in place.</w:t>
      </w:r>
    </w:p>
    <w:p>
      <w:pPr>
        <w:spacing w:after="0" w:line="157" w:lineRule="exact"/>
        <w:rPr>
          <w:sz w:val="20"/>
          <w:szCs w:val="20"/>
          <w:color w:val="auto"/>
        </w:rPr>
      </w:pPr>
    </w:p>
    <w:p>
      <w:pPr>
        <w:ind w:left="328" w:right="340"/>
        <w:spacing w:after="0" w:line="263" w:lineRule="auto"/>
        <w:rPr>
          <w:sz w:val="20"/>
          <w:szCs w:val="20"/>
          <w:color w:val="auto"/>
        </w:rPr>
      </w:pPr>
      <w:r>
        <w:rPr>
          <w:rFonts w:ascii="Arial" w:cs="Arial" w:eastAsia="Arial" w:hAnsi="Arial"/>
          <w:sz w:val="18"/>
          <w:szCs w:val="18"/>
          <w:color w:val="auto"/>
        </w:rPr>
        <w:t>Our battery pack supports our vision to revolutionize EV technology through mass industrialization. Our single piece injection molded battery module is race derived yet designed for mass production, with electrical “bus bar” connectors that are integrally captured in the molding in a single operation — a profound technological advancement.</w:t>
      </w:r>
    </w:p>
    <w:p>
      <w:pPr>
        <w:spacing w:after="0" w:line="184" w:lineRule="exact"/>
        <w:rPr>
          <w:sz w:val="20"/>
          <w:szCs w:val="20"/>
          <w:color w:val="auto"/>
        </w:rPr>
      </w:pPr>
    </w:p>
    <w:p>
      <w:pPr>
        <w:ind w:left="328" w:right="240"/>
        <w:spacing w:after="0" w:line="277" w:lineRule="auto"/>
        <w:rPr>
          <w:sz w:val="20"/>
          <w:szCs w:val="20"/>
          <w:color w:val="auto"/>
        </w:rPr>
      </w:pPr>
      <w:r>
        <w:rPr>
          <w:rFonts w:ascii="Arial" w:cs="Arial" w:eastAsia="Arial" w:hAnsi="Arial"/>
          <w:sz w:val="18"/>
          <w:szCs w:val="18"/>
          <w:color w:val="auto"/>
        </w:rPr>
        <w:t>We believe the technology developed for the battery pack in Lucid Air can transfer to our other vehicles, to the industrialization of mass-market vehicles, and to technologically adjacent markets. See “— </w:t>
      </w:r>
      <w:r>
        <w:rPr>
          <w:rFonts w:ascii="Arial" w:cs="Arial" w:eastAsia="Arial" w:hAnsi="Arial"/>
          <w:sz w:val="18"/>
          <w:szCs w:val="18"/>
          <w:i w:val="1"/>
          <w:iCs w:val="1"/>
          <w:color w:val="auto"/>
        </w:rPr>
        <w:t>Growth Strategy</w:t>
      </w:r>
      <w:r>
        <w:rPr>
          <w:rFonts w:ascii="Arial" w:cs="Arial" w:eastAsia="Arial" w:hAnsi="Arial"/>
          <w:sz w:val="18"/>
          <w:szCs w:val="18"/>
          <w:color w:val="auto"/>
        </w:rPr>
        <w:t>.”</w:t>
      </w:r>
    </w:p>
    <w:p>
      <w:pPr>
        <w:spacing w:after="0" w:line="170" w:lineRule="exact"/>
        <w:rPr>
          <w:sz w:val="20"/>
          <w:szCs w:val="20"/>
          <w:color w:val="auto"/>
        </w:rPr>
      </w:pPr>
    </w:p>
    <w:p>
      <w:pPr>
        <w:ind w:left="328" w:hanging="328"/>
        <w:spacing w:after="0"/>
        <w:tabs>
          <w:tab w:leader="none" w:pos="328" w:val="left"/>
        </w:tabs>
        <w:numPr>
          <w:ilvl w:val="0"/>
          <w:numId w:val="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Lucid Electric Advanced Platform. </w:t>
      </w:r>
      <w:r>
        <w:rPr>
          <w:rFonts w:ascii="Arial" w:cs="Arial" w:eastAsia="Arial" w:hAnsi="Arial"/>
          <w:sz w:val="16"/>
          <w:szCs w:val="16"/>
          <w:color w:val="auto"/>
        </w:rPr>
        <w:t>The LEAP platform was designed and developed in-house, incorporating our six key powertrain elements:</w:t>
      </w:r>
    </w:p>
    <w:p>
      <w:pPr>
        <w:spacing w:after="0" w:line="46" w:lineRule="exact"/>
        <w:rPr>
          <w:rFonts w:ascii="Arial" w:cs="Arial" w:eastAsia="Arial" w:hAnsi="Arial"/>
          <w:sz w:val="16"/>
          <w:szCs w:val="16"/>
          <w:color w:val="auto"/>
        </w:rPr>
      </w:pPr>
    </w:p>
    <w:p>
      <w:pPr>
        <w:ind w:left="548" w:hanging="224"/>
        <w:spacing w:after="0"/>
        <w:tabs>
          <w:tab w:leader="none" w:pos="548" w:val="left"/>
        </w:tabs>
        <w:numPr>
          <w:ilvl w:val="1"/>
          <w:numId w:val="7"/>
        </w:numPr>
        <w:rPr>
          <w:rFonts w:ascii="Arial" w:cs="Arial" w:eastAsia="Arial" w:hAnsi="Arial"/>
          <w:sz w:val="17"/>
          <w:szCs w:val="17"/>
          <w:color w:val="auto"/>
        </w:rPr>
      </w:pPr>
      <w:r>
        <w:rPr>
          <w:rFonts w:ascii="Arial" w:cs="Arial" w:eastAsia="Arial" w:hAnsi="Arial"/>
          <w:sz w:val="17"/>
          <w:szCs w:val="17"/>
          <w:color w:val="auto"/>
        </w:rPr>
        <w:t>Battery Pack &amp; Battery Management Software, (ii) Electric Motors, (iii) Power Electronics, (iv) Transmission, (v) Control Software and</w:t>
      </w:r>
    </w:p>
    <w:p>
      <w:pPr>
        <w:spacing w:after="0" w:line="20" w:lineRule="exact"/>
        <w:rPr>
          <w:rFonts w:ascii="Arial" w:cs="Arial" w:eastAsia="Arial" w:hAnsi="Arial"/>
          <w:sz w:val="17"/>
          <w:szCs w:val="17"/>
          <w:color w:val="auto"/>
        </w:rPr>
      </w:pPr>
    </w:p>
    <w:p>
      <w:pPr>
        <w:jc w:val="both"/>
        <w:ind w:left="328" w:right="380" w:hanging="4"/>
        <w:spacing w:after="0" w:line="302" w:lineRule="auto"/>
        <w:tabs>
          <w:tab w:leader="none" w:pos="630" w:val="left"/>
        </w:tabs>
        <w:numPr>
          <w:ilvl w:val="1"/>
          <w:numId w:val="8"/>
        </w:numPr>
        <w:rPr>
          <w:rFonts w:ascii="Arial" w:cs="Arial" w:eastAsia="Arial" w:hAnsi="Arial"/>
          <w:sz w:val="16"/>
          <w:szCs w:val="16"/>
          <w:color w:val="auto"/>
        </w:rPr>
      </w:pPr>
      <w:r>
        <w:rPr>
          <w:rFonts w:ascii="Arial" w:cs="Arial" w:eastAsia="Arial" w:hAnsi="Arial"/>
          <w:sz w:val="16"/>
          <w:szCs w:val="16"/>
          <w:color w:val="auto"/>
        </w:rPr>
        <w:t>Two-Way Onboard Boost-Charger (with bi-directional features expected to be enabled by OTA at a later date). The LEAP structure is an enabling factor allowing the Lucid Space Concept to support class-leading interior and cargo room for a luxury or electric vehicle. We further expect to capture additional market share by diversifying our vehicle lineup supported by mid-size and larger platforms over time.</w:t>
      </w:r>
    </w:p>
    <w:p>
      <w:pPr>
        <w:spacing w:after="0" w:line="155" w:lineRule="exact"/>
        <w:rPr>
          <w:rFonts w:ascii="Arial" w:cs="Arial" w:eastAsia="Arial" w:hAnsi="Arial"/>
          <w:sz w:val="16"/>
          <w:szCs w:val="16"/>
          <w:color w:val="auto"/>
        </w:rPr>
      </w:pPr>
    </w:p>
    <w:p>
      <w:pPr>
        <w:jc w:val="both"/>
        <w:ind w:left="328" w:right="200" w:hanging="328"/>
        <w:spacing w:after="0" w:line="263" w:lineRule="auto"/>
        <w:tabs>
          <w:tab w:leader="none" w:pos="323"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Integrated Electric Motor, Inverter and Transmission Drive Unit. </w:t>
      </w:r>
      <w:r>
        <w:rPr>
          <w:rFonts w:ascii="Arial" w:cs="Arial" w:eastAsia="Arial" w:hAnsi="Arial"/>
          <w:sz w:val="18"/>
          <w:szCs w:val="18"/>
          <w:color w:val="auto"/>
        </w:rPr>
        <w:t>For our motor and gearbox system, we developed permanent magnet motors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in-house. Combining these motors with an inverter and an integrated gearbox and differential creates an advanced electric drive unit that weighs just 163lb (74kg) and is small enough to fit inside a carry-on roller bag.</w:t>
      </w:r>
    </w:p>
    <w:p>
      <w:pPr>
        <w:spacing w:after="0" w:line="183" w:lineRule="exact"/>
        <w:rPr>
          <w:rFonts w:ascii="Arial" w:cs="Arial" w:eastAsia="Arial" w:hAnsi="Arial"/>
          <w:sz w:val="18"/>
          <w:szCs w:val="18"/>
          <w:color w:val="auto"/>
        </w:rPr>
      </w:pPr>
    </w:p>
    <w:p>
      <w:pPr>
        <w:ind w:left="328" w:right="720"/>
        <w:spacing w:after="0" w:line="277" w:lineRule="auto"/>
        <w:rPr>
          <w:rFonts w:ascii="Arial" w:cs="Arial" w:eastAsia="Arial" w:hAnsi="Arial"/>
          <w:sz w:val="18"/>
          <w:szCs w:val="18"/>
          <w:color w:val="auto"/>
        </w:rPr>
      </w:pPr>
      <w:r>
        <w:rPr>
          <w:rFonts w:ascii="Arial" w:cs="Arial" w:eastAsia="Arial" w:hAnsi="Arial"/>
          <w:sz w:val="18"/>
          <w:szCs w:val="18"/>
          <w:color w:val="auto"/>
        </w:rPr>
        <w:t>The Lucid drive unit is capable of producing up to 670hp with power density up to 9.0hp/kg, depending on vehicle trim and variant. This compactness allows for one, two or even three units to be used to power a Lucid Air.</w:t>
      </w:r>
    </w:p>
    <w:p>
      <w:pPr>
        <w:spacing w:after="0" w:line="170" w:lineRule="exact"/>
        <w:rPr>
          <w:rFonts w:ascii="Arial" w:cs="Arial" w:eastAsia="Arial" w:hAnsi="Arial"/>
          <w:sz w:val="18"/>
          <w:szCs w:val="18"/>
          <w:color w:val="auto"/>
        </w:rPr>
      </w:pPr>
    </w:p>
    <w:p>
      <w:pPr>
        <w:jc w:val="both"/>
        <w:ind w:left="328" w:right="200"/>
        <w:spacing w:after="0" w:line="286" w:lineRule="auto"/>
        <w:rPr>
          <w:rFonts w:ascii="Arial" w:cs="Arial" w:eastAsia="Arial" w:hAnsi="Arial"/>
          <w:sz w:val="18"/>
          <w:szCs w:val="18"/>
          <w:color w:val="auto"/>
        </w:rPr>
      </w:pPr>
      <w:r>
        <w:rPr>
          <w:rFonts w:ascii="Arial" w:cs="Arial" w:eastAsia="Arial" w:hAnsi="Arial"/>
          <w:sz w:val="17"/>
          <w:szCs w:val="17"/>
          <w:color w:val="auto"/>
        </w:rPr>
        <w:t>The enablers of these electric motor characteristics include a set of inventions that are part of our intellectual property portfolio. Most notably, a new motor winding technology has been introduced to increase power output and reduce electrical losses. The motor also features an innovative cooling system that more effectively removes heat from the stator winding, reducing losses and boosting efficiency.</w:t>
      </w:r>
    </w:p>
    <w:p>
      <w:pPr>
        <w:spacing w:after="0" w:line="165" w:lineRule="exact"/>
        <w:rPr>
          <w:rFonts w:ascii="Arial" w:cs="Arial" w:eastAsia="Arial" w:hAnsi="Arial"/>
          <w:sz w:val="18"/>
          <w:szCs w:val="18"/>
          <w:color w:val="auto"/>
        </w:rPr>
      </w:pPr>
    </w:p>
    <w:p>
      <w:pPr>
        <w:ind w:left="328"/>
        <w:spacing w:after="0" w:line="279" w:lineRule="auto"/>
        <w:rPr>
          <w:rFonts w:ascii="Arial" w:cs="Arial" w:eastAsia="Arial" w:hAnsi="Arial"/>
          <w:sz w:val="18"/>
          <w:szCs w:val="18"/>
          <w:color w:val="auto"/>
        </w:rPr>
      </w:pPr>
      <w:r>
        <w:rPr>
          <w:rFonts w:ascii="Arial" w:cs="Arial" w:eastAsia="Arial" w:hAnsi="Arial"/>
          <w:sz w:val="17"/>
          <w:szCs w:val="17"/>
          <w:color w:val="auto"/>
        </w:rPr>
        <w:t>The compactness of these electric drive units lays the foundation for our Space Concept vehicle design approach. The fully integrated transmission and differential also contribute to this approach. Together, these components comprise a unified, integrated rotational system that is both lightweight and extremely efficient. Meanwhile, we leverage a high voltage, silicon-carbide MOSFET (metal–oxide–semiconductor field-effect transistor) system in our inverters to increase efficiency, especially in real-world driving conditions.</w:t>
      </w:r>
    </w:p>
    <w:p>
      <w:pPr>
        <w:spacing w:after="0" w:line="171" w:lineRule="exact"/>
        <w:rPr>
          <w:rFonts w:ascii="Arial" w:cs="Arial" w:eastAsia="Arial" w:hAnsi="Arial"/>
          <w:sz w:val="18"/>
          <w:szCs w:val="18"/>
          <w:color w:val="auto"/>
        </w:rPr>
      </w:pPr>
    </w:p>
    <w:p>
      <w:pPr>
        <w:ind w:left="328" w:right="100"/>
        <w:spacing w:after="0" w:line="259" w:lineRule="auto"/>
        <w:rPr>
          <w:rFonts w:ascii="Arial" w:cs="Arial" w:eastAsia="Arial" w:hAnsi="Arial"/>
          <w:sz w:val="18"/>
          <w:szCs w:val="18"/>
          <w:color w:val="auto"/>
        </w:rPr>
      </w:pPr>
      <w:r>
        <w:rPr>
          <w:rFonts w:ascii="Arial" w:cs="Arial" w:eastAsia="Arial" w:hAnsi="Arial"/>
          <w:sz w:val="18"/>
          <w:szCs w:val="18"/>
          <w:color w:val="auto"/>
        </w:rPr>
        <w:t>The obsessive pursuit of lightweight construction contributes to overall efficiency, our technology improves the key components of its powertrain while extracting even more performance. For example, Lucid Air Grand Touring has an official EPA-estimated range of up to 516 miles which is the longest range of any vehicle on the EPA’s list. Nine of the top ten entries on the EPA range list are Lucid Air variants. Less weight leads to increased efficiency, even as performance is elevated to new levels.</w:t>
      </w:r>
    </w:p>
    <w:p>
      <w:pPr>
        <w:spacing w:after="0" w:line="186" w:lineRule="exact"/>
        <w:rPr>
          <w:rFonts w:ascii="Arial" w:cs="Arial" w:eastAsia="Arial" w:hAnsi="Arial"/>
          <w:sz w:val="18"/>
          <w:szCs w:val="18"/>
          <w:color w:val="auto"/>
        </w:rPr>
      </w:pPr>
    </w:p>
    <w:p>
      <w:pPr>
        <w:ind w:left="328" w:right="480"/>
        <w:spacing w:after="0" w:line="277" w:lineRule="auto"/>
        <w:rPr>
          <w:rFonts w:ascii="Arial" w:cs="Arial" w:eastAsia="Arial" w:hAnsi="Arial"/>
          <w:sz w:val="18"/>
          <w:szCs w:val="18"/>
          <w:color w:val="auto"/>
        </w:rPr>
      </w:pPr>
      <w:r>
        <w:rPr>
          <w:rFonts w:ascii="Arial" w:cs="Arial" w:eastAsia="Arial" w:hAnsi="Arial"/>
          <w:sz w:val="18"/>
          <w:szCs w:val="18"/>
          <w:color w:val="auto"/>
        </w:rPr>
        <w:t>Finally, we have also achieved breakthroughs in the advanced thermal management system within our electric motors. We have patented our efficient cooling design, which enables even higher levels of efficiency and performance.</w:t>
      </w:r>
    </w:p>
    <w:p>
      <w:pPr>
        <w:spacing w:after="0" w:line="170" w:lineRule="exact"/>
        <w:rPr>
          <w:rFonts w:ascii="Arial" w:cs="Arial" w:eastAsia="Arial" w:hAnsi="Arial"/>
          <w:sz w:val="18"/>
          <w:szCs w:val="18"/>
          <w:color w:val="auto"/>
        </w:rPr>
      </w:pPr>
    </w:p>
    <w:p>
      <w:pPr>
        <w:ind w:left="328" w:right="180" w:hanging="328"/>
        <w:spacing w:after="0" w:line="259" w:lineRule="auto"/>
        <w:tabs>
          <w:tab w:leader="none" w:pos="323"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Bidirectional Charging</w:t>
      </w:r>
      <w:r>
        <w:rPr>
          <w:rFonts w:ascii="Arial" w:cs="Arial" w:eastAsia="Arial" w:hAnsi="Arial"/>
          <w:sz w:val="18"/>
          <w:szCs w:val="18"/>
          <w:color w:val="auto"/>
        </w:rPr>
        <w:t>. Our proprietary technology is designed to enable ultra-fast DC and bi-directional AC charging. The 900V+ architecture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our Wunderbox are key enablers inside the Air’s electrical platform. The Wunderbox is a multi-function unit, developed in-house to ensure compatibility with charging systems of differing voltages. It enables “boost-charging” when needed, such as when connected to 400V charging infrastructure.</w:t>
      </w:r>
    </w:p>
    <w:p>
      <w:pPr>
        <w:spacing w:after="0" w:line="186" w:lineRule="exact"/>
        <w:rPr>
          <w:rFonts w:ascii="Arial" w:cs="Arial" w:eastAsia="Arial" w:hAnsi="Arial"/>
          <w:sz w:val="18"/>
          <w:szCs w:val="18"/>
          <w:color w:val="auto"/>
        </w:rPr>
      </w:pPr>
    </w:p>
    <w:p>
      <w:pPr>
        <w:ind w:left="328" w:right="560"/>
        <w:spacing w:after="0" w:line="277" w:lineRule="auto"/>
        <w:rPr>
          <w:rFonts w:ascii="Arial" w:cs="Arial" w:eastAsia="Arial" w:hAnsi="Arial"/>
          <w:sz w:val="18"/>
          <w:szCs w:val="18"/>
          <w:color w:val="auto"/>
        </w:rPr>
      </w:pPr>
      <w:r>
        <w:rPr>
          <w:rFonts w:ascii="Arial" w:cs="Arial" w:eastAsia="Arial" w:hAnsi="Arial"/>
          <w:sz w:val="18"/>
          <w:szCs w:val="18"/>
          <w:color w:val="auto"/>
        </w:rPr>
        <w:t>The Wunderbox is a key enabler for Lucid Air’s industry-leading charging speeds. Our customers can charge up to 300kW-DC at a DC fast charging station, such as those available through our partnership with Electrify America.</w:t>
      </w:r>
    </w:p>
    <w:p>
      <w:pPr>
        <w:spacing w:after="0" w:line="170" w:lineRule="exact"/>
        <w:rPr>
          <w:rFonts w:ascii="Arial" w:cs="Arial" w:eastAsia="Arial" w:hAnsi="Arial"/>
          <w:sz w:val="18"/>
          <w:szCs w:val="18"/>
          <w:color w:val="auto"/>
        </w:rPr>
      </w:pPr>
    </w:p>
    <w:p>
      <w:pPr>
        <w:ind w:left="328" w:right="500"/>
        <w:spacing w:after="0" w:line="342" w:lineRule="auto"/>
        <w:rPr>
          <w:rFonts w:ascii="Arial" w:cs="Arial" w:eastAsia="Arial" w:hAnsi="Arial"/>
          <w:sz w:val="18"/>
          <w:szCs w:val="18"/>
          <w:color w:val="auto"/>
        </w:rPr>
      </w:pPr>
      <w:r>
        <w:rPr>
          <w:rFonts w:ascii="Arial" w:cs="Arial" w:eastAsia="Arial" w:hAnsi="Arial"/>
          <w:sz w:val="16"/>
          <w:szCs w:val="16"/>
          <w:color w:val="auto"/>
        </w:rPr>
        <w:t>The Wunderbox is also designed to enable a wide array of future-ready, bi-directional power delivery features, such as V2G applications for situations such as managing home power outages. We expect to enable bi-directional functionality via an OTA update in the future.</w:t>
      </w:r>
    </w:p>
    <w:p>
      <w:pPr>
        <w:spacing w:after="0" w:line="123" w:lineRule="exact"/>
        <w:rPr>
          <w:rFonts w:ascii="Arial" w:cs="Arial" w:eastAsia="Arial" w:hAnsi="Arial"/>
          <w:sz w:val="18"/>
          <w:szCs w:val="18"/>
          <w:color w:val="auto"/>
        </w:rPr>
      </w:pPr>
    </w:p>
    <w:p>
      <w:pPr>
        <w:jc w:val="both"/>
        <w:ind w:left="328" w:right="100" w:hanging="328"/>
        <w:spacing w:after="0" w:line="263" w:lineRule="auto"/>
        <w:tabs>
          <w:tab w:leader="none" w:pos="323"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Infotainment System. </w:t>
      </w:r>
      <w:r>
        <w:rPr>
          <w:rFonts w:ascii="Arial" w:cs="Arial" w:eastAsia="Arial" w:hAnsi="Arial"/>
          <w:sz w:val="18"/>
          <w:szCs w:val="18"/>
          <w:color w:val="auto"/>
        </w:rPr>
        <w:t>Lucid Air is designed as a true software-defined vehicle, with future ready hardware to allow it to evolve over time to best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meet customer needs long after they take delivery. With highly advanced processing capabilities, the system is designed to leverage data analytics and OTA updates to improve and refresh the vehicle over time.</w:t>
      </w:r>
    </w:p>
    <w:p>
      <w:pPr>
        <w:sectPr>
          <w:pgSz w:w="11900" w:h="16838" w:orient="portrait"/>
          <w:cols w:equalWidth="0" w:num="1">
            <w:col w:w="10908"/>
          </w:cols>
          <w:pgMar w:left="652" w:top="989" w:right="339" w:bottom="1440" w:gutter="0" w:footer="0" w:header="0"/>
        </w:sectPr>
      </w:pPr>
    </w:p>
    <w:p>
      <w:pPr>
        <w:spacing w:after="0" w:line="238" w:lineRule="exact"/>
        <w:rPr>
          <w:sz w:val="20"/>
          <w:szCs w:val="20"/>
          <w:color w:val="auto"/>
        </w:rPr>
      </w:pPr>
    </w:p>
    <w:p>
      <w:pPr>
        <w:jc w:val="center"/>
        <w:ind w:right="312"/>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85090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8"/>
          </w:cols>
          <w:pgMar w:left="652" w:top="989" w:right="339" w:bottom="1440" w:gutter="0" w:footer="0" w:header="0"/>
          <w:type w:val="continuous"/>
        </w:sectPr>
      </w:pPr>
    </w:p>
    <w:bookmarkStart w:id="13" w:name="page14"/>
    <w:bookmarkEnd w:id="13"/>
    <w:p>
      <w:pPr>
        <w:ind w:left="660"/>
        <w:spacing w:after="0" w:line="275" w:lineRule="auto"/>
        <w:rPr>
          <w:sz w:val="20"/>
          <w:szCs w:val="20"/>
          <w:color w:val="auto"/>
        </w:rPr>
      </w:pPr>
      <w:r>
        <w:rPr>
          <w:rFonts w:ascii="Arial" w:cs="Arial" w:eastAsia="Arial" w:hAnsi="Arial"/>
          <w:sz w:val="17"/>
          <w:szCs w:val="17"/>
          <w:color w:val="auto"/>
        </w:rPr>
        <w:t>Lucid has deployed more than 50 OTA software updates for improvements and bug fixes since customers deliveries began in October 2021. In October 2022, we introduced Lucid UX 2.0, its most extensive software update to that point, with hundreds of updates and new features for every Lucid Air on the road. These included new capabilities for the DreamDrive advanced driver assistance systems, enhanced system performance, and new on-screen layouts to make Lucid UX more ergonomically friendly than ever. These software updates are developed, coded, validated, and deployed by Lucid’s in-house hardware and software engineering teams.</w:t>
      </w:r>
    </w:p>
    <w:p>
      <w:pPr>
        <w:spacing w:after="0" w:line="176" w:lineRule="exact"/>
        <w:rPr>
          <w:sz w:val="20"/>
          <w:szCs w:val="20"/>
          <w:color w:val="auto"/>
        </w:rPr>
      </w:pPr>
    </w:p>
    <w:p>
      <w:pPr>
        <w:ind w:left="660" w:right="40" w:hanging="328"/>
        <w:spacing w:after="0" w:line="257"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Lucid DreamDrive. </w:t>
      </w:r>
      <w:r>
        <w:rPr>
          <w:rFonts w:ascii="Arial" w:cs="Arial" w:eastAsia="Arial" w:hAnsi="Arial"/>
          <w:sz w:val="18"/>
          <w:szCs w:val="18"/>
          <w:color w:val="auto"/>
        </w:rPr>
        <w:t>Lucid Air is equipped with an extensive sensor suite, high on-board computing power, and back-up systems for advanced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driver assistance systems (“ADAS”) and, over time, increased levels of partial autonomy. With 32 sensors onboard, Lucid Air features the most comprehensive sensor suite among currently available production vehicles. Lucid Air includes certain features with Level 2 ADAS functionality and is capable of software upgrades via OTA update. Further, by collecting and analyzing fleet data, we expect to enhance our ADAS features and improve the Lucid experience over time.</w:t>
      </w:r>
    </w:p>
    <w:p>
      <w:pPr>
        <w:spacing w:after="0" w:line="187" w:lineRule="exact"/>
        <w:rPr>
          <w:rFonts w:ascii="Arial" w:cs="Arial" w:eastAsia="Arial" w:hAnsi="Arial"/>
          <w:sz w:val="18"/>
          <w:szCs w:val="18"/>
          <w:color w:val="auto"/>
        </w:rPr>
      </w:pPr>
    </w:p>
    <w:p>
      <w:pPr>
        <w:ind w:left="660" w:right="580" w:hanging="328"/>
        <w:spacing w:after="0" w:line="277"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Lucid’s Micro Lens Array Lighting</w:t>
      </w:r>
      <w:r>
        <w:rPr>
          <w:rFonts w:ascii="Arial" w:cs="Arial" w:eastAsia="Arial" w:hAnsi="Arial"/>
          <w:sz w:val="18"/>
          <w:szCs w:val="18"/>
          <w:color w:val="auto"/>
        </w:rPr>
        <w:t>. A revolution in optical technology, our in-house created and engineered Intelligent Micro Lens Array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(“MLA”) headlights provide an incredibly homogeneous and luminant headlamp and lighting function.</w:t>
      </w:r>
    </w:p>
    <w:p>
      <w:pPr>
        <w:spacing w:after="0" w:line="170" w:lineRule="exact"/>
        <w:rPr>
          <w:rFonts w:ascii="Arial" w:cs="Arial" w:eastAsia="Arial" w:hAnsi="Arial"/>
          <w:sz w:val="18"/>
          <w:szCs w:val="18"/>
          <w:color w:val="auto"/>
        </w:rPr>
      </w:pPr>
    </w:p>
    <w:p>
      <w:pPr>
        <w:ind w:left="660" w:right="40"/>
        <w:spacing w:after="0" w:line="277" w:lineRule="auto"/>
        <w:rPr>
          <w:rFonts w:ascii="Arial" w:cs="Arial" w:eastAsia="Arial" w:hAnsi="Arial"/>
          <w:sz w:val="18"/>
          <w:szCs w:val="18"/>
          <w:color w:val="auto"/>
        </w:rPr>
      </w:pPr>
      <w:r>
        <w:rPr>
          <w:rFonts w:ascii="Arial" w:cs="Arial" w:eastAsia="Arial" w:hAnsi="Arial"/>
          <w:sz w:val="18"/>
          <w:szCs w:val="18"/>
          <w:color w:val="auto"/>
        </w:rPr>
        <w:t>The MLA system is designed to automatically adapt to driving situations and provide exceptional outward visibility that makes it easier to see and avoid objects on the road.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243" w:lineRule="exact"/>
        <w:rPr>
          <w:sz w:val="20"/>
          <w:szCs w:val="20"/>
          <w:color w:val="auto"/>
        </w:rPr>
      </w:pPr>
    </w:p>
    <w:p>
      <w:pPr>
        <w:ind w:right="220"/>
        <w:spacing w:after="0" w:line="270" w:lineRule="auto"/>
        <w:rPr>
          <w:sz w:val="20"/>
          <w:szCs w:val="20"/>
          <w:color w:val="auto"/>
        </w:rPr>
      </w:pPr>
      <w:r>
        <w:rPr>
          <w:rFonts w:ascii="Arial" w:cs="Arial" w:eastAsia="Arial" w:hAnsi="Arial"/>
          <w:sz w:val="17"/>
          <w:szCs w:val="17"/>
          <w:color w:val="auto"/>
        </w:rPr>
        <w:t>We have built North America’s first greenfield, purpose-built EV manufacturing facilities, in Casa Grande, Arizona. Lucid’s manufacturing activities are carried out at Lucid’s vehicle manufacturing plant, AMP-1, and dedicated powertrain manufacturing facility, LPM-1. Vertically integrating key manufacturing activities provides Lucid the opportunity to improve product margins relative to an out-sourced manufacturing arrangement.</w:t>
      </w:r>
    </w:p>
    <w:p>
      <w:pPr>
        <w:spacing w:after="0" w:line="177"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AMP-1 began production of Lucid Air in September 2021. Within AMP-1, we produce vehicles using innovative production processes and state-of-the-art equipment. Key elements of our vehicle engineering enable efficient and advanced manufacturing processes with a high degree of quality control.</w:t>
      </w:r>
    </w:p>
    <w:p>
      <w:pPr>
        <w:spacing w:after="0" w:line="124"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Phase 2 of our manufacturing expansion was kicked off in mid-2021 and is expected to add approximately 3 million square feet of manufacturing space to our facilities in Casa Grande. The Phase 2 expansion activities are expected to enable a 90,000 units per year installed capacity within 2024. Future expansions of AMP-1 are being planned to account for the launch of future vehicle programs intended to be manufactured in Arizona and to accommodate growth in sales volumes. Our AMP-1 Phase 2 facility will manufacture all current products as well as the much anticipated Lucid Gravity. Once AMP-1 is fully built out, our vehicle manufacturing footprint in Casa Grande is expected to exceed 5 million square feet on approximately 495 acres. By building the factory from a clean slate and leveraging decades of industry experience, we expect to achieve (i) greater capital efficiencies, (ii) greater operational efficiencies, and (iii) consistent production quality. The key activities that currently take place in AMP-1 include body shell manufacture, painting of body shells, and general assembly. As part of the Phase 2 expansion, we are bringing stamping, powertrain production and logistics operations on-site.</w:t>
      </w:r>
    </w:p>
    <w:p>
      <w:pPr>
        <w:spacing w:after="0" w:line="16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 global footprint with localized manufacturing will enable us to serve market demand with locally manufactured vehicles. The production processes in AMP-1 and LPM-1 were designed to be highly repeatable and scalable to standardize manufacturing operations and build efficiency in our capital planning and deployment. Our plan to develop greenfield facilities internationally will start with our production manufacturing operations in Saudi Arabia where we began our construction in 2022.</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Supply Chain</w:t>
      </w:r>
    </w:p>
    <w:p>
      <w:pPr>
        <w:spacing w:after="0" w:line="22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Our supplier partners remain key in delivering our plan. Our vehicle contains thousands of parts and materials from suppliers around the globe. Lucid’s sourcing plans utilize a comprehensive qualification process to assess technical capability, quality, cost, footprint, etc. Challenges in supply chain remain, so collaborative relationships are essential. Lucid works closely with suppliers in the upfront development process and in supporting production needs and requirements. In December 2022, we announced a multi-year sourcing agreement for lithium-ion batteries with Panasonic Energy Co., Ltd. and certain of its affiliates.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Go-To-Market Strategy</w:t>
      </w:r>
    </w:p>
    <w:p>
      <w:pPr>
        <w:spacing w:after="0" w:line="229"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As of February 21, 2023, we had over 28,000 refundable reservations and non-refundable orders for cars yet to be delivered that reflect potential sales of over $2.7 billion. In addition, we have an agreement with the Ministry of Finance of Saudi Arabia, under which the Government of Saudi Arabia and its entities and corporate subsidiaries undertook to purchase up to 100,000 vehicles over a ten-year period, with an initial commitment to purchase 50,000 vehicles and an option to purchase up to an additional 50,000 vehicles over the same period. We believe that our customer traction is strong and will continue to grow as brand awareness increases.</w:t>
      </w:r>
    </w:p>
    <w:p>
      <w:pPr>
        <w:spacing w:after="0" w:line="2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73" w:right="359" w:bottom="1440" w:gutter="0" w:footer="0" w:header="0"/>
        </w:sectPr>
      </w:pPr>
    </w:p>
    <w:bookmarkStart w:id="14" w:name="page15"/>
    <w:bookmarkEnd w:id="14"/>
    <w:p>
      <w:pPr>
        <w:ind w:right="40"/>
        <w:spacing w:after="0" w:line="263" w:lineRule="auto"/>
        <w:rPr>
          <w:sz w:val="20"/>
          <w:szCs w:val="20"/>
          <w:color w:val="auto"/>
        </w:rPr>
      </w:pPr>
      <w:r>
        <w:rPr>
          <w:rFonts w:ascii="Arial" w:cs="Arial" w:eastAsia="Arial" w:hAnsi="Arial"/>
          <w:sz w:val="18"/>
          <w:szCs w:val="18"/>
          <w:color w:val="auto"/>
        </w:rPr>
        <w:t>Our typical customer journey begins through our advanced digital platform. We use social media to educate customers regarding our brand identity, explain the creation of our technology and highlight the people behind our design and technology. The goal is to cultivate a sense of brand loyalty with our customers.</w:t>
      </w:r>
    </w:p>
    <w:p>
      <w:pPr>
        <w:spacing w:after="0" w:line="184"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This initial engagement drives customers to our website to learn more about our story and Lucid Air. On the website, customers can experience our online vehicle configurator, which provides an immersive and customizable opportunity to interact with our vehicles in a virtual setting. From there, we provide the customer with the option to either place a reservation online or visit one of our retail stores or gallery locations, which we refer to as “Studios.” We believe that our direct-to-consumer sales model, combined with a digitally enhanced luxury experience through our website and a refined in-store experience, creates opportunities to tailor to each customer’s purchase and ownership preferences. Customers have the option to visit a Studio in person, make their inquiries entirely online, or enjoy a combination of the two experiences.</w:t>
      </w:r>
    </w:p>
    <w:p>
      <w:pPr>
        <w:spacing w:after="0" w:line="178"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In developing our Studios, we partnered with leading California-based design firms to build a network of retail spaces to enable customers to experience the brand and our products in locations that underscore our design aesthetic. Like Lucid Air, the interiors of Lucid Studios showcase color and material themes that represent specific locations within California, the Golden State, as well as our focus on innovation with immersive digital and technology experiences. Our Studios are intended to provide a pressure-free environment for our customers to comfortably experience the brand and our products. Like Lucid Air itself, Lucid Studios draw inspiration from the beauty, innovation, and diversity of our home state of California.</w:t>
      </w:r>
    </w:p>
    <w:p>
      <w:pPr>
        <w:spacing w:after="0" w:line="176"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Retail locations serve both as our sales channels and marketing tools in high-foot-traffic areas within urban areas. As of December 31, 2022, Lucid had thirty-five Studios and service center locations opened, including our first locations in Europe and Middle East markets. Lucid expects to increase coverage throughout North America, Europe, and Middle East markets in 2023. These markets are rapidly adopting electric vehicles, and we believe that establishing a strong retail presence will enhance our opportunity to increase our share of our total addressable market.</w:t>
      </w:r>
    </w:p>
    <w:p>
      <w:pPr>
        <w:spacing w:after="0" w:line="171"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With a focus on convenience, our service operations include vehicle and customer support at customers’ physical locations through our mobile service offerings and certified partners for roadside assistance and collision repairs, as well as through our network of brick-and-mortar service centers. Lucid Air is also designed to enable OTA updates and remote diagnostics.</w:t>
      </w:r>
    </w:p>
    <w:p>
      <w:pPr>
        <w:spacing w:after="0" w:line="184"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Rather than investing in a proprietary charging network, we leverage Electrify America as our primary high-power charging network partner in the United States. This partnership allows us to avoid the capital intensity of establishing our own network and provides our customers with access to an established network across the United States. Electrify America’s DC power levels of up to 350KW and network coverage were the key selection criteria in selecting it as a partner. Electrify America’s premium charging experience provides EV drivers with convenient charging locations that offer amenities like shopping, food and restrooms, and we believe this offering provides a delightful experience to our customers.</w:t>
      </w:r>
    </w:p>
    <w:p>
      <w:pPr>
        <w:spacing w:after="0" w:line="176"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Additionally, Lucid Air is compatible with Combined Charging System (“CCS”) based public and commercial charging stations. For at home charging, the Lucid Connected Home Charging Station can be installed to provide convenient, simple, and seamless charging at home. In the future, we expect to support bi-directional capabilities with Lucid Air and Lucid Connected Home Charging Station.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Regulations and Credits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Regulations</w:t>
      </w:r>
    </w:p>
    <w:p>
      <w:pPr>
        <w:spacing w:after="0" w:line="22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operate in an industry that is subject to extensive environmental regulation, which has become more stringent over time. The laws and regulations to which we are or may become subject govern, among other things, water use; air emissions; use of recycled materials; energy sources; the storage, handling, treatment, transportation, and disposal of hazardous materials; the protection of the environment, natural resources, and endangered species; and the remediation of environmental contamination. Compliance with such laws and regulations at an international, regional, national, state, provincial and local level is and will be an important aspect of our ability to continue our operations.</w:t>
      </w:r>
    </w:p>
    <w:p>
      <w:pPr>
        <w:spacing w:after="0" w:line="188"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Environmental standards applicable to us are established by United States laws and regulations, standards adopted by regulatory agencies and the permits and licenses we are required to obtain. Each of these sources is subject to periodic modifications and what we anticipate will be increasingly stringent requirements. Violations of these laws, regulations or permits and licenses may result in substantial civil and criminal fines, penalties and orders to cease the violating operations or to conduct or pay for corrective works. In some instances, violations may also result in the suspension or revocation of permits and licenses.</w:t>
      </w:r>
    </w:p>
    <w:p>
      <w:pPr>
        <w:spacing w:after="0" w:line="188"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Many countries have announced a requirement for the sale of zero-emission vehicles only within proscribed timeframes, some as early as 2030, and we as an electric vehicle manufacturer are already able to comply with these requirements across our entire product portfolio as we expand. Our competitors, by contrast, will need to reconcile an expensive infrastructure with factories and equipment tailored for production of ICE vehicles, along with workforces trained to produce ICE vehicles and intellectual property portfolios geared for ICE vehicles.</w:t>
      </w:r>
    </w:p>
    <w:p>
      <w:pPr>
        <w:sectPr>
          <w:pgSz w:w="11900" w:h="16838" w:orient="portrait"/>
          <w:cols w:equalWidth="0" w:num="1">
            <w:col w:w="11240"/>
          </w:cols>
          <w:pgMar w:left="320" w:top="989" w:right="339" w:bottom="1440" w:gutter="0" w:footer="0" w:header="0"/>
        </w:sect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8"/>
          <w:szCs w:val="18"/>
          <w:b w:val="1"/>
          <w:bCs w:val="1"/>
          <w:i w:val="1"/>
          <w:iCs w:val="1"/>
          <w:color w:val="auto"/>
        </w:rPr>
        <w:t>Emissions Credits</w:t>
      </w:r>
    </w:p>
    <w:p>
      <w:pPr>
        <w:spacing w:after="0" w:line="2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expect that the manufacture, sale, and/or registration of Zero Emission Vehicles (“ZEVs”) in various regions will earn certain regulatory credits that we can sell to other manufacturers. This may include ZEV credits in up to 16 U.S. jurisdictions referred to collectively as the “ZEV States” that require compliance with program mandates (California, Colorado, Connecticut, Maine, Maryland, Massachusetts, Minnesota, Nevada, New Jersey, New Mexico, New York, Oregon, Rhode Island, Vermont, Virginia and Washington). This would also include Corporate Average Fuel Economy (“CAFE”) credits under the U.S. Department of Transportation standards, greenhouse gas credits from the U.S. Environmental Protection Agency (the “EPA”) and similar credits in each of Europe, Canada, and China.</w:t>
      </w:r>
    </w:p>
    <w:p>
      <w:pPr>
        <w:spacing w:after="0" w:line="192"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ZEV credits are calculated under applicable regulation and are paid in relation to ZEVs sold and registered, including Battery Electric Vehicles (“BEVs”). ZEV programs generally assign ZEV credits to each vehicle manufacturer. Vehicle manufacturers are required to maintain ZEV credits equal to a</w:t>
      </w:r>
    </w:p>
    <w:p>
      <w:pPr>
        <w:jc w:val="both"/>
        <w:ind w:right="360"/>
        <w:spacing w:after="0" w:line="255" w:lineRule="auto"/>
        <w:rPr>
          <w:sz w:val="20"/>
          <w:szCs w:val="20"/>
          <w:color w:val="auto"/>
        </w:rPr>
      </w:pPr>
      <w:r>
        <w:rPr>
          <w:rFonts w:ascii="Arial" w:cs="Arial" w:eastAsia="Arial" w:hAnsi="Arial"/>
          <w:sz w:val="18"/>
          <w:szCs w:val="18"/>
          <w:color w:val="auto"/>
        </w:rPr>
        <w:t>set percentage of non-electric vehicles sold and registered in California and ZEV States. Each vehicle sold and registered in the state earns a number of credits based on the drivetrain type and the all-electric range of the vehicle under the Urban Dynamometer Driving Schedule Test Cycle. BEVs receive between 1 and 4 credits per vehicle sold and registered in the state, based on range.</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color w:val="auto"/>
        </w:rPr>
        <w:t>For reference, the ZEV credit requirement in California was 14.5% in 2022 and will rise to 22% in 2025. If a vehicle manufacturer does not sell enough</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EVs to meet its quota, it can choose to buy credits from other manufacturers who do or it would be required to pay a $5,000 fine for each credit it is short.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We expect this requirement to provide an opportunity to generate revenue from the sale of ZEV credits.</w:t>
      </w:r>
    </w:p>
    <w:p>
      <w:pPr>
        <w:spacing w:after="0" w:line="211" w:lineRule="exact"/>
        <w:rPr>
          <w:sz w:val="20"/>
          <w:szCs w:val="20"/>
          <w:color w:val="auto"/>
        </w:rPr>
      </w:pPr>
    </w:p>
    <w:p>
      <w:pPr>
        <w:jc w:val="both"/>
        <w:ind w:right="40"/>
        <w:spacing w:after="0" w:line="311" w:lineRule="auto"/>
        <w:rPr>
          <w:sz w:val="20"/>
          <w:szCs w:val="20"/>
          <w:color w:val="auto"/>
        </w:rPr>
      </w:pPr>
      <w:r>
        <w:rPr>
          <w:rFonts w:ascii="Arial" w:cs="Arial" w:eastAsia="Arial" w:hAnsi="Arial"/>
          <w:sz w:val="16"/>
          <w:szCs w:val="16"/>
          <w:color w:val="auto"/>
        </w:rPr>
        <w:t>While we expect these environmental regulations to provide a tailwind to our growth, it is possible for certain regulations to result in margin pressures. For example, regulations that effectively impose electric vehicle production quotas on auto manufacturers may lead to an oversupply of electric vehicles, which in turn could promote price decreases. Changes to these incentives and regulations could affect our revenues and gross margins.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Credits and Benefits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may benefit from additional opportunities under government regulations and legislation, such as the following:</w:t>
      </w:r>
    </w:p>
    <w:p>
      <w:pPr>
        <w:spacing w:after="0" w:line="225" w:lineRule="exact"/>
        <w:rPr>
          <w:sz w:val="20"/>
          <w:szCs w:val="20"/>
          <w:color w:val="auto"/>
        </w:rPr>
      </w:pPr>
    </w:p>
    <w:p>
      <w:pPr>
        <w:ind w:left="660" w:right="200" w:hanging="328"/>
        <w:spacing w:after="0" w:line="286" w:lineRule="auto"/>
        <w:tabs>
          <w:tab w:leader="none" w:pos="655" w:val="left"/>
        </w:tabs>
        <w:numPr>
          <w:ilvl w:val="0"/>
          <w:numId w:val="10"/>
        </w:numPr>
        <w:rPr>
          <w:rFonts w:ascii="Arial" w:cs="Arial" w:eastAsia="Arial" w:hAnsi="Arial"/>
          <w:sz w:val="17"/>
          <w:szCs w:val="17"/>
          <w:color w:val="auto"/>
        </w:rPr>
      </w:pPr>
      <w:r>
        <w:rPr>
          <w:rFonts w:ascii="Arial" w:cs="Arial" w:eastAsia="Arial" w:hAnsi="Arial"/>
          <w:sz w:val="17"/>
          <w:szCs w:val="17"/>
          <w:color w:val="auto"/>
        </w:rPr>
        <w:t>Customer tax credits and other benefits arising from government regulation may spur interest in our products and business. Our electric vehicles may be eligible for incentives for electric vehicles such as in Norway, which currently waives various toll charges and road taxes for battery electric vehicles and high-occupancy lane driving privileges available to purchasers in certain U.S. states such as California.</w:t>
      </w:r>
    </w:p>
    <w:p>
      <w:pPr>
        <w:spacing w:after="0" w:line="165" w:lineRule="exact"/>
        <w:rPr>
          <w:rFonts w:ascii="Arial" w:cs="Arial" w:eastAsia="Arial" w:hAnsi="Arial"/>
          <w:sz w:val="17"/>
          <w:szCs w:val="17"/>
          <w:color w:val="auto"/>
        </w:rPr>
      </w:pPr>
    </w:p>
    <w:p>
      <w:pPr>
        <w:ind w:left="660" w:right="80" w:hanging="328"/>
        <w:spacing w:after="0" w:line="257"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may be eligible for various tax credits, abatements and other benefits, including: the federal 30C Alternative Fuel Infrastructure tax credit for alternative fuel infrastructure; the federal 45X Advanced Energy Production Credit; the federal 48C manufacturing investment tax credit for investments in manufacturing facilities for clean energy technologies; the Qualified Facilities tax credit in Arizona; a California sales and use tax exclusion under the California Alternative Energy and Advanced Transportation Financing Authority; and other hiring and job training grants and income tax credits in both Arizona and California.</w:t>
      </w:r>
    </w:p>
    <w:p>
      <w:pPr>
        <w:spacing w:after="0" w:line="187" w:lineRule="exact"/>
        <w:rPr>
          <w:rFonts w:ascii="Arial" w:cs="Arial" w:eastAsia="Arial" w:hAnsi="Arial"/>
          <w:sz w:val="18"/>
          <w:szCs w:val="18"/>
          <w:color w:val="auto"/>
        </w:rPr>
      </w:pPr>
    </w:p>
    <w:p>
      <w:pPr>
        <w:ind w:left="660" w:right="680" w:hanging="328"/>
        <w:spacing w:after="0" w:line="277"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may also be eligible for a loan pursuant to the Advanced Technology Vehicles Manufacturing Loan Program administered by the U.S. Department of Energy.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EPA Emissions and Certificate of Conformity</w:t>
      </w:r>
    </w:p>
    <w:p>
      <w:pPr>
        <w:spacing w:after="0" w:line="22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U.S. Clean Air Act requires that we obtain a Certificate of Conformity issued by the EPA and a California Executive Order issued by the California Air Resources Board (“CARB”) certifying that our vehicles comply with applicable emissions requirements. A Certificate of Conformity is required for vehicles sold in the United States, and an Executive Order from the CARB is required for vehicles sold in states that have adopted California standards. CARB sets the California standards for emissions control for certain regulated pollutants for new vehicles and engines sold in California. States that have adopted the California emission standards as approved by EPA also recognize the CARB Executive Order for sales of vehicles. In addition to California, there are 17 states plus the District of Columbia that have adopted California’s stricter emissions (Low-Emission Vehicle, “LEV”) standards, including New York, Massachusetts, Vermont, Maine, Pennsylvania, Connecticut, Rhode Island, Washington, Oregon, New Jersey, Maryland, Delaware, Colorado, Minnesota, Nevada, Virginia and New Mexico.</w:t>
      </w:r>
    </w:p>
    <w:p>
      <w:pPr>
        <w:spacing w:after="0" w:line="192"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 xml:space="preserve">Although Lucid Air has zero emissions, we are required to seek an EPA Certificate of Conformity and, for vehicles sold in California or any of the other 18 U.S. jurisdictions that have adopted the stricter California emission standards, a CARB Executive Order. </w:t>
      </w:r>
      <w:r>
        <w:rPr>
          <w:rFonts w:ascii="Arial" w:cs="Arial" w:eastAsia="Arial" w:hAnsi="Arial"/>
          <w:sz w:val="18"/>
          <w:szCs w:val="18"/>
          <w:color w:val="231F20"/>
        </w:rPr>
        <w:t>Compliance with the program is required in each</w:t>
      </w:r>
      <w:r>
        <w:rPr>
          <w:rFonts w:ascii="Arial" w:cs="Arial" w:eastAsia="Arial" w:hAnsi="Arial"/>
          <w:sz w:val="18"/>
          <w:szCs w:val="18"/>
          <w:color w:val="auto"/>
        </w:rPr>
        <w:t xml:space="preserve"> </w:t>
      </w:r>
      <w:r>
        <w:rPr>
          <w:rFonts w:ascii="Arial" w:cs="Arial" w:eastAsia="Arial" w:hAnsi="Arial"/>
          <w:sz w:val="18"/>
          <w:szCs w:val="18"/>
          <w:color w:val="231F20"/>
        </w:rPr>
        <w:t>state two model years following adoption of the program.</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i w:val="1"/>
          <w:iCs w:val="1"/>
          <w:color w:val="auto"/>
        </w:rPr>
        <w:t>Vehicle Safety and Testing</w:t>
      </w:r>
    </w:p>
    <w:p>
      <w:pPr>
        <w:spacing w:after="0" w:line="22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Our vehicles are subject to, and will be required to comply with, numerous regulatory requirements established by the National Highway Traffic Safety Administration (“NHTSA”), including applicable U.S. Federal Motor Vehicle Safety Standards (“FMVSS”). Lucid Air fully complies with all applicable FMVSS without any exemptions, and we expect our future vehicles to either fully comply or comply with limited exemptions related to new technologies. Additionally, there are regulatory changes being considered for several FMVSS, and while we anticipate compliance, there is no assurance that we will comply with such changes under the final versions as enacted.</w:t>
      </w:r>
    </w:p>
    <w:p>
      <w:pPr>
        <w:spacing w:after="0" w:line="18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must self-certify that our vehicles meet all applicable FMVSS, as well as the NHTSA bumper standard, or otherwise are exempt, before our vehicles can be sold in the United States. Numerous FMVSS will apply to our vehicles, such as crash-worthiness requirements, crash avoidance requirements and EV-specific requirements. We will also be required to comply with other federal laws and regulations administered by NHTSA, including, among other things, ensuring our vehicles do not contain defects related to motor vehicle safety, recall requirements, the CAFE standards, Theft Prevention Act standards, consumer information labeling requirements, reporting required notices, bulletins and other communications, Early Warning Reporting, foreign recall reporting, and owner’s manual requirements.</w:t>
      </w:r>
    </w:p>
    <w:p>
      <w:pPr>
        <w:spacing w:after="0" w:line="192"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The Automobile Information and Disclosure Act requires manufacturers of motor vehicles to disclose certain information regarding the manufacturer’s suggested retail price, optional equipment and pricing. In addition, this law requires inclusion of city and highway fuel economy ratings, as determined by the EPA, as well as crash test ratings as determined by NHTSA if such tests are conducted.</w:t>
      </w:r>
    </w:p>
    <w:p>
      <w:pPr>
        <w:spacing w:after="0" w:line="184" w:lineRule="exact"/>
        <w:rPr>
          <w:sz w:val="20"/>
          <w:szCs w:val="20"/>
          <w:color w:val="auto"/>
        </w:rPr>
      </w:pPr>
    </w:p>
    <w:p>
      <w:pPr>
        <w:ind w:right="220"/>
        <w:spacing w:after="0" w:line="301" w:lineRule="auto"/>
        <w:rPr>
          <w:sz w:val="20"/>
          <w:szCs w:val="20"/>
          <w:color w:val="auto"/>
        </w:rPr>
      </w:pPr>
      <w:r>
        <w:rPr>
          <w:rFonts w:ascii="Arial" w:cs="Arial" w:eastAsia="Arial" w:hAnsi="Arial"/>
          <w:sz w:val="16"/>
          <w:szCs w:val="16"/>
          <w:color w:val="auto"/>
        </w:rPr>
        <w:t>We intend to expand our offerings outside of the United States, and in connection with such expansion our vehicles will be subject to foreign safety, environmental and other regulations. Many of those regulations are different from those applicable in the United States and may require redesign and/or retesting. For example, the European Union (“E.U.”) has established approval and oversight rules requiring that a national authority certify compliance with heightened safety rules, emissions limits and production requirements before vehicles can be sold in each E.U. member state.</w:t>
      </w:r>
    </w:p>
    <w:p>
      <w:pPr>
        <w:spacing w:after="0" w:line="157"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color w:val="auto"/>
        </w:rPr>
        <w:t>In addition to the various territorial legal requirements, we are obligated to meet, Lucid Air is engineered with the expectation that it will deliver overall five-star performance in the two main voluntary vehicle safety performance assessment programs, the U.S. New Car Assessment Program (“NCAP”) and the Euro NCAP. Five-star is the maximum attainable score. These programs have introduced several additional safety related tests aimed at improving the safety of passenger vehicles, both for occupants and pedestrians involved in collisions with vehicles. Some of these tests are derived from legal requirements, such as side impact, but have higher performance requirements. Others are unique to the programs. Areas covered by these tests included:</w:t>
      </w:r>
    </w:p>
    <w:p>
      <w:pPr>
        <w:spacing w:after="0" w:line="53"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Mobile Progressive Deformable Barrier;</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Full Width Rigid Barrier;</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Mobile Side Impact Barrier;</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Side Pole;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Far Side Impact;</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Whiplash;</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Vulnerable Road Users (Pedestrians and Cyclists);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Safety Assist;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Rescue and Extrication.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ADAS Regulations</w:t>
      </w:r>
    </w:p>
    <w:p>
      <w:pPr>
        <w:spacing w:after="0" w:line="225"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We have equipped Lucid Air with certain advanced driver assistance features. Generally, laws pertaining to driver assistance features and self-driving vehicles are evolving globally, and in some cases may create restrictions on advanced driver assistance or self-driving features that Lucid may develop.</w:t>
      </w:r>
    </w:p>
    <w:p>
      <w:pPr>
        <w:spacing w:after="0" w:line="12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While there are currently no U.S. federal regulations specifically pertaining to self-driving vehicles or self-driving equipment, NHTSA has published recommended guidelines on self-driving vehicles and retains the authority to investigate and/or act on the safety of any vehicle, equipment or features operating on public roads. Certain U.S. states also have legal restrictions on the operation, registration or licensure of self-driving vehicles, and many other states are considering similar restrictions. This regulatory patchwork increases the legal complexity with respect to self-driving vehicles in the United States.</w:t>
      </w:r>
    </w:p>
    <w:p>
      <w:pPr>
        <w:spacing w:after="0" w:line="24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989" w:right="419" w:bottom="1440" w:gutter="0" w:footer="0" w:header="0"/>
        </w:sectPr>
      </w:pPr>
    </w:p>
    <w:bookmarkStart w:id="17" w:name="page18"/>
    <w:bookmarkEnd w:id="17"/>
    <w:p>
      <w:pPr>
        <w:ind w:right="200"/>
        <w:spacing w:after="0" w:line="275" w:lineRule="auto"/>
        <w:rPr>
          <w:sz w:val="20"/>
          <w:szCs w:val="20"/>
          <w:color w:val="auto"/>
        </w:rPr>
      </w:pPr>
      <w:r>
        <w:rPr>
          <w:rFonts w:ascii="Arial" w:cs="Arial" w:eastAsia="Arial" w:hAnsi="Arial"/>
          <w:sz w:val="17"/>
          <w:szCs w:val="17"/>
          <w:color w:val="auto"/>
        </w:rPr>
        <w:t>In markets that follow the regulations of the United Nations Economic Commission for Europe, some requirements restrict the design of advanced driver assistance or self-driving features, which can compromise or prevent their use entirely. Other applicable laws, both current and proposed, may hinder the path and timeline to introducing such features in the markets where they apply. Other jurisdictions, including China, continue to consider self-driving regulation. Any implemented regulations may differ materially from those in the United States and Europe, which may further increase the legal complexity of advanced driver assistance and self-driving features and limit or prevent certain features.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Automobile Manufacturer and Dealer Regulation</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the United States, state laws regulate the manufacture, distribution, sale and service of automobiles, and generally require motor vehicle manufacturers and dealers to be licensed in order to sell vehicles directly to residents. Certain states do not permit automobile manufacturers to be licensed as dealers or to act in the capacity of a dealer, or otherwise restrict a manufacturer’s ability to deliver or service vehicles. To sell vehicles to residents of states where we are not licensed as a dealer, we expect to conduct the transfer of title out of the state. In certain such states, we expect to open Studios that serve an educational purpose and where the title transfer may not occur.</w:t>
      </w:r>
    </w:p>
    <w:p>
      <w:pPr>
        <w:spacing w:after="0" w:line="188"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Some automobile dealer trade associations have challenged the legality of our operations and direct selling operations by OEMs in court and have used administrative and legislative processes to attempt to prohibit or limit such OEMs’ ability to operate existing stores or expand to new locations. Certain dealer associations have also actively lobbied state licensing agencies and legislators to interpret existing laws or enact new laws in ways not favorable to our planned direct sales and service model. We expect dealer trade associations to continue to lobby state licensing agencies and legislators to interpret existing laws or enact new laws in ways not favorable to our business model; however, we intend to oppose such efforts to limit our ability to operate and intend to proactively support legislation that enables our business model.</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Battery Safety and Testing Regulation</w:t>
      </w:r>
    </w:p>
    <w:p>
      <w:pPr>
        <w:spacing w:after="0" w:line="22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Our battery packs are designed to conform to mandatory regulations that govern transport of “dangerous goods,” defined to include lithium-ion batteries, which may present a risk in transportation. The governing regulations, which are issued by the Pipeline and Hazardous Materials Safety Administration, are based on the United Nations (“U.N.”) Recommendations on the Safe Transport of Dangerous Goods Model Regulations and related U.N. Manual Tests and Criteria. The regulations vary by mode of shipping transportation, such as by ocean vessel, rail, truck or air. We plan to complete all applicable transportation tests for our battery packs, demonstrating our compliance with applicable regulations. We use lithium-ion cells in the high voltage battery packs in our vehicles. The use, storage and disposal of battery packs is regulated under federal law.</w:t>
      </w:r>
    </w:p>
    <w:p>
      <w:pPr>
        <w:spacing w:after="0" w:line="178"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Our battery packs are intended to meet the applicable compliance requirements of the UN Manual of Tests and Criteria demonstrating our ability to ship battery packs by any method. These tests include:</w:t>
      </w:r>
    </w:p>
    <w:p>
      <w:pPr>
        <w:spacing w:after="0" w:line="62"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Altitude simulation — simulating air transport;</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Thermal cycling — assessing cell and battery seal integrity;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Vibration — simulating vibration during transport;</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Shock — simulating possible impacts during transport;</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External short circuit — simulating an external short circuit;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Overcharge — evaluating the ability of a rechargeable battery to withstand overcharging.</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color w:val="auto"/>
        </w:rPr>
        <w:t>We face competition from both traditional automotive OEMs and an increasing number of newer companies focused on electric and other alternative fuel vehicles. We expect this competition to increase, particularly as the transportation sector continues to shift towards low-emission, zero-emission or carbon neutral solutions.</w:t>
      </w:r>
    </w:p>
    <w:p>
      <w:pPr>
        <w:spacing w:after="0" w:line="184"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Lucid Air and planned future vehicles are expected to compete with both traditional luxury internal combustion vehicles from established automotive OEMs and electric and other alternative fuel vehicles from both new manufacturers and established automotive OEMs, many of which have entered or have announced plans to enter the alternative fuel and electric vehicle market. Many major automobile manufacturers, including luxury automobile manufacturers, have electric vehicles available today, and other current and prospective automobile manufacturers are also developing electric vehicles. In addition, numerous manufacturers offer hybrid vehicles, including plug-in versions, with which our vehicles will also compete.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We believe the primary competitive factors on which we will compete include, but are not limited to:</w:t>
      </w:r>
    </w:p>
    <w:p>
      <w:pPr>
        <w:spacing w:after="0" w:line="117"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product quality, reliability and safety;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range, efficiency and charging speeds;</w:t>
      </w:r>
    </w:p>
    <w:p>
      <w:pPr>
        <w:sectPr>
          <w:pgSz w:w="11900" w:h="16838" w:orient="portrait"/>
          <w:cols w:equalWidth="0" w:num="1">
            <w:col w:w="11240"/>
          </w:cols>
          <w:pgMar w:left="320" w:top="989" w:right="339" w:bottom="1440" w:gutter="0" w:footer="0" w:header="0"/>
        </w:sect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type w:val="continuous"/>
        </w:sectPr>
      </w:pPr>
    </w:p>
    <w:bookmarkStart w:id="18" w:name="page19"/>
    <w:bookmarkEnd w:id="18"/>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product performance;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technological innovation, including with respect to ADAS features;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access to charging options;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design, styling and luxury;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service options and customer experience;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management team experience at bringing electric vehicles and other disruptive technologies to market;</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manufacturing efficiency;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brand recognition and prestige;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product price.</w:t>
      </w:r>
    </w:p>
    <w:p>
      <w:pPr>
        <w:spacing w:after="0" w:line="22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We believe that we are favorably positioned to compete on the basis of these factors. However, many of our current and potential competitors have substantially greater financial, technical, manufacturing, marketing and other resources than us. Our competitors may be able to deploy greater resources to the design, development, manufacturing, distribution, promotion, sales, marketing and support of their products. Additionally, many of our competitors also have greater name recognition, longer operating histories, larger sales forces, broader customer and industry relationships and other tangible and intangible resources that exceed ours. Furthermore, many of our competitors operate with a traditional sales and dealer distribution model for vehicles that may be viewed more favorably by potential customers. These competitors also compete with us in recruiting and retaining qualified research and development, sales, marketing and management personnel, as well as in acquiring technologies complementary to, or necessary for, our products. Additional mergers and acquisitions in the electric vehicle and luxury automotive markets may result in even more resources being concentrated in our competitors.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Intellectual property is important to our business. Our commercial success depends in part on our ability to obtain, maintain and protect the intellectual property and other proprietary technology that we develop, to operate without infringing, misappropriating or otherwise violating the intellectual property and proprietary rights of others, and to prevent others from infringing, misappropriating or violating our intellectual property and proprietary rights. We rely on a combination of patents, trademarks, trade secrets, know-how, continuing technological innovation, confidential information and other measures to develop and maintain our proprietary position including through employee, contractor, consultant and third-party nondisclosure and invention assignment agreements and other contractual arrangements.</w:t>
      </w:r>
    </w:p>
    <w:p>
      <w:pPr>
        <w:spacing w:after="0" w:line="192"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 xml:space="preserve">Regardless of the coverage we seek under our existing patent applications, there is always a risk that alterations from our products or processes may provide sufficient basis for a competitor to avoid infringement claims. In addition, the coverage claimed in a patent application can be significantly reduced before a patent is issued and courts can reinterpret patent scope after issuance. Many jurisdictions, including the United States, permit third parties to challenge issued patents in administrative proceedings, which may result in further narrowing or even </w:t>
      </w:r>
      <w:r>
        <w:rPr>
          <w:rFonts w:ascii="Arial" w:cs="Arial" w:eastAsia="Arial" w:hAnsi="Arial"/>
          <w:sz w:val="16"/>
          <w:szCs w:val="16"/>
          <w:b w:val="1"/>
          <w:bCs w:val="1"/>
          <w:color w:val="auto"/>
        </w:rPr>
        <w:t>c</w:t>
      </w:r>
      <w:r>
        <w:rPr>
          <w:rFonts w:ascii="Arial" w:cs="Arial" w:eastAsia="Arial" w:hAnsi="Arial"/>
          <w:sz w:val="16"/>
          <w:szCs w:val="16"/>
          <w:color w:val="auto"/>
        </w:rPr>
        <w:t>ancellation of patent claims. We cannot provide any assurance that any patents will be issued from our pending or any future applications or that any current or future issued patents will adequately protect our intellectual property. For this and other risks related to our proprietary technology, inventions and improvements, please see the section entitled “</w:t>
      </w:r>
      <w:r>
        <w:rPr>
          <w:rFonts w:ascii="Arial" w:cs="Arial" w:eastAsia="Arial" w:hAnsi="Arial"/>
          <w:sz w:val="16"/>
          <w:szCs w:val="16"/>
          <w:i w:val="1"/>
          <w:iCs w:val="1"/>
          <w:color w:val="auto"/>
        </w:rPr>
        <w:t>Risk</w:t>
      </w:r>
      <w:r>
        <w:rPr>
          <w:rFonts w:ascii="Arial" w:cs="Arial" w:eastAsia="Arial" w:hAnsi="Arial"/>
          <w:sz w:val="16"/>
          <w:szCs w:val="16"/>
          <w:color w:val="auto"/>
        </w:rPr>
        <w:t xml:space="preserve"> </w:t>
      </w:r>
      <w:r>
        <w:rPr>
          <w:rFonts w:ascii="Arial" w:cs="Arial" w:eastAsia="Arial" w:hAnsi="Arial"/>
          <w:sz w:val="16"/>
          <w:szCs w:val="16"/>
          <w:i w:val="1"/>
          <w:iCs w:val="1"/>
          <w:color w:val="auto"/>
        </w:rPr>
        <w:t>Factors — Risks Related to Our Business and Operations  — Risks Related to Intellectual Property.</w:t>
      </w:r>
      <w:r>
        <w:rPr>
          <w:rFonts w:ascii="Arial" w:cs="Arial" w:eastAsia="Arial" w:hAnsi="Arial"/>
          <w:sz w:val="16"/>
          <w:szCs w:val="16"/>
          <w:color w:val="auto"/>
        </w:rPr>
        <w:t>”</w:t>
      </w:r>
    </w:p>
    <w:p>
      <w:pPr>
        <w:spacing w:after="0" w:line="16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As of December 31, 2022, we owned approximately 179 issued U.S. patents, 59 pending U.S. patent applications, 203 issued foreign patents, 30 pending foreign patent applications and 77 pending Patent Cooperation Treaty patent applications.</w:t>
      </w:r>
    </w:p>
    <w:p>
      <w:pPr>
        <w:spacing w:after="0" w:line="170" w:lineRule="exact"/>
        <w:rPr>
          <w:sz w:val="20"/>
          <w:szCs w:val="20"/>
          <w:color w:val="auto"/>
        </w:rPr>
      </w:pPr>
    </w:p>
    <w:p>
      <w:pPr>
        <w:ind w:right="780"/>
        <w:spacing w:after="0" w:line="342" w:lineRule="auto"/>
        <w:rPr>
          <w:sz w:val="20"/>
          <w:szCs w:val="20"/>
          <w:color w:val="auto"/>
        </w:rPr>
      </w:pPr>
      <w:r>
        <w:rPr>
          <w:rFonts w:ascii="Arial" w:cs="Arial" w:eastAsia="Arial" w:hAnsi="Arial"/>
          <w:sz w:val="16"/>
          <w:szCs w:val="16"/>
          <w:color w:val="auto"/>
        </w:rPr>
        <w:t>As of December 31, 2022, we also owned 19 pending U.S. trademark applications, 4 registered U.S. trademarks as well as 235 registered foreign trademarks and 227 pending foreign trademark applications in approximately 31 countries worldwide in addition to the European Union.</w:t>
      </w:r>
    </w:p>
    <w:p>
      <w:pPr>
        <w:spacing w:after="0" w:line="124"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As of December 31, 2022, we also owned 20 issued U.S. design patents, 52 pending U.S. design patent applications, plus 75 issued foreign design patents/industrial designs and 22 pending foreign design patent/industrial design applications.</w:t>
      </w:r>
    </w:p>
    <w:p>
      <w:pPr>
        <w:spacing w:after="0" w:line="17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expect to develop additional intellectual property and proprietary technology as our engineering and validation activities proceed. Technologies that we have and intend to invest in and develop include engineering software, powertrain systems and controls, infotainment, cybersecurity, telematics and electrical architecture hardware and software. As we develop our technology, we will continue to build our intellectual property portfolio, including by pursuing patent and other intellectual property protection when we believe it is possible, cost-effective, beneficial and consistent with our overall intellectual property protection strategy.</w:t>
      </w:r>
    </w:p>
    <w:p>
      <w:pPr>
        <w:spacing w:after="0" w:line="18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In addition to the intellectual property that we own, we also procure key technologies under our supply chain agreements, and we license key technologies under our license agreements.</w:t>
      </w:r>
    </w:p>
    <w:p>
      <w:pPr>
        <w:sectPr>
          <w:pgSz w:w="11900" w:h="16838" w:orient="portrait"/>
          <w:cols w:equalWidth="0" w:num="1">
            <w:col w:w="11220"/>
          </w:cols>
          <w:pgMar w:left="320" w:top="881" w:right="359" w:bottom="1440" w:gutter="0" w:footer="0" w:header="0"/>
        </w:sect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1" w:right="359" w:bottom="1440" w:gutter="0" w:footer="0" w:header="0"/>
          <w:type w:val="continuous"/>
        </w:sectPr>
      </w:pPr>
    </w:p>
    <w:bookmarkStart w:id="19" w:name="page20"/>
    <w:bookmarkEnd w:id="19"/>
    <w:p>
      <w:pPr>
        <w:ind w:left="340"/>
        <w:spacing w:after="0"/>
        <w:rPr>
          <w:sz w:val="20"/>
          <w:szCs w:val="20"/>
          <w:color w:val="auto"/>
        </w:rPr>
      </w:pPr>
      <w:r>
        <w:rPr>
          <w:rFonts w:ascii="Arial" w:cs="Arial" w:eastAsia="Arial" w:hAnsi="Arial"/>
          <w:sz w:val="18"/>
          <w:szCs w:val="18"/>
          <w:color w:val="auto"/>
        </w:rPr>
        <w:t>See “—</w:t>
      </w:r>
      <w:r>
        <w:rPr>
          <w:rFonts w:ascii="Arial" w:cs="Arial" w:eastAsia="Arial" w:hAnsi="Arial"/>
          <w:sz w:val="18"/>
          <w:szCs w:val="18"/>
          <w:i w:val="1"/>
          <w:iCs w:val="1"/>
          <w:color w:val="auto"/>
        </w:rPr>
        <w:t> Our Vehicles</w:t>
      </w:r>
      <w:r>
        <w:rPr>
          <w:rFonts w:ascii="Arial" w:cs="Arial" w:eastAsia="Arial" w:hAnsi="Arial"/>
          <w:sz w:val="18"/>
          <w:szCs w:val="18"/>
          <w:color w:val="auto"/>
        </w:rPr>
        <w:t>” and “— </w:t>
      </w:r>
      <w:r>
        <w:rPr>
          <w:rFonts w:ascii="Arial" w:cs="Arial" w:eastAsia="Arial" w:hAnsi="Arial"/>
          <w:sz w:val="18"/>
          <w:szCs w:val="18"/>
          <w:i w:val="1"/>
          <w:iCs w:val="1"/>
          <w:color w:val="auto"/>
        </w:rPr>
        <w:t>Technology</w:t>
      </w:r>
      <w:r>
        <w:rPr>
          <w:rFonts w:ascii="Arial" w:cs="Arial" w:eastAsia="Arial" w:hAnsi="Arial"/>
          <w:sz w:val="18"/>
          <w:szCs w:val="18"/>
          <w:color w:val="auto"/>
        </w:rPr>
        <w:t>” above for more information.</w:t>
      </w:r>
    </w:p>
    <w:p>
      <w:pPr>
        <w:spacing w:after="0" w:line="225"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The terms of individual issued patents extend for varying periods depending on the date of filing of the patent application or the date of patent issuance and the legal term of patents in the countries in which they are obtained. Generally, utility patents issued for applications filed in the United States are granted a term of 20 years from the earliest effective filing date of a non-provisional patent application, assuming the patent has not been terminally disclaimed over a commonly-owned patent or a patent naming a common inventor, or over a patent not commonly owned but that was disqualified as prior art as the result of activities undertaken within the scope of a joint research agreement. The life of a patent, and the protection it affords, is therefore limited and once the patent lives of our issued patents have expired, we may face competition, including from other competing technologies. The duration of foreign patents varies in accordance with provisions of applicable local law, but typically is also 20 years from the earliest effective filing date. The actual protection afforded by a patent may vary from country to country and can depend upon many factors, including the type of patent, the scope of its coverage, the availability of patent term adjustments or extensions, the availability of legal remedies in a particular country and the validity and enforceability of the patent. As a result, our owned patent portfolio may not provide us with sufficient rights to exclude others from commercializing products similar or identical to ours.</w:t>
      </w:r>
    </w:p>
    <w:p>
      <w:pPr>
        <w:spacing w:after="0" w:line="182"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Furthermore, we rely upon trade secrets and know-how, confidential information, unpatented technologies, continuing technological innovation and other proprietary information to develop, protect and maintain our competitive position and aspects of our business that are not amenable to, or that we do not presently consider appropriate for, patent protection and prevent competitors from reverse engineering or copying our technologies. However, the foregoing rights, technologies and information are difficult to protect. We seek to protect them by, in part, using confidentiality agreements with our employees and consultants and any potential commercial partners and collaborators and invention assignment agreements with our employees. We also have implemented or intend to implement confidentiality agreements or invention assignment agreements with our selected consultants and any potential commercial partners. These agreements are designed to protect our proprietary information and, in the case of the invention assignment agreements, to grant us ownership of technologies that are developed through a relationship with a third party. These agreements may be breached, and we may not have adequate remedies for any breach. There can be no assurance that these agreements will be self-executing or otherwise provide meaningful protection for our trade secrets or other intellectual property or proprietary information. In addition, our trade secrets may otherwise become known or be independently discovered by competitors. To the extent that our commercial partners, collaborators, employees and consultants use intellectual property owned by others in their work for us, disputes may arise as to the rights in related or resulting know-how and inventions.</w:t>
      </w:r>
    </w:p>
    <w:p>
      <w:pPr>
        <w:spacing w:after="0" w:line="168"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Our commercial success will also depend in part on not infringing, misappropriating or otherwise violating the intellectual or proprietary rights of third parties. The issuance of third-party patents could require us to alter our development or commercial strategies, change our products or processes, obtain licenses to additional third-party patents or other intellectual property or cease certain activities. Our breach of any license agreements or failure to obtain a license to proprietary rights that we may require to develop or commercialize our future products or technologies may have an adverse impact on us. Given that patent applications in the United States and certain other jurisdictions are maintained in secrecy for 18 months or potentially longer, and since publication of discoveries in the scientific or patent literature often lags behind actual discoveries, we cannot be certain of the patent protection being sought by third parties and/or the priority of inventions covered by such patent applications. Moreover, we may have to participate in interference, revocation, derivation, re-examination, post-grant review, inter parts review or opposition proceedings brought by third parties or declared by the U.S. Patent and Trademark Office or an equivalent foreign body. See “</w:t>
      </w:r>
      <w:r>
        <w:rPr>
          <w:rFonts w:ascii="Arial" w:cs="Arial" w:eastAsia="Arial" w:hAnsi="Arial"/>
          <w:sz w:val="16"/>
          <w:szCs w:val="16"/>
          <w:i w:val="1"/>
          <w:iCs w:val="1"/>
          <w:color w:val="auto"/>
        </w:rPr>
        <w:t>Risk Factors — Risks Related to Our Business and Operations — Risks Related to</w:t>
      </w:r>
      <w:r>
        <w:rPr>
          <w:rFonts w:ascii="Arial" w:cs="Arial" w:eastAsia="Arial" w:hAnsi="Arial"/>
          <w:sz w:val="16"/>
          <w:szCs w:val="16"/>
          <w:color w:val="auto"/>
        </w:rPr>
        <w:t xml:space="preserve"> </w:t>
      </w:r>
      <w:r>
        <w:rPr>
          <w:rFonts w:ascii="Arial" w:cs="Arial" w:eastAsia="Arial" w:hAnsi="Arial"/>
          <w:sz w:val="16"/>
          <w:szCs w:val="16"/>
          <w:i w:val="1"/>
          <w:iCs w:val="1"/>
          <w:color w:val="auto"/>
        </w:rPr>
        <w:t>Intellectual Property</w:t>
      </w:r>
      <w:r>
        <w:rPr>
          <w:rFonts w:ascii="Arial" w:cs="Arial" w:eastAsia="Arial" w:hAnsi="Arial"/>
          <w:sz w:val="16"/>
          <w:szCs w:val="16"/>
          <w:color w:val="auto"/>
        </w:rPr>
        <w:t>” for more information regarding these and other risks related to our intellectual property portfolio and their potential effect on us.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 RESOURCES</w:t>
      </w:r>
    </w:p>
    <w:p>
      <w:pPr>
        <w:spacing w:after="0" w:line="229"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At Lucid, we strongly believe in the power of our talented employees and partners to create, build, and support the world’s most captivating luxury electric vehicles available in the market. We seek to attract and retain a workforce whose respective professional and personal backgrounds can help craft an unparalleled suite of state-of-the-art, technologically advanced, California-inspired vehicles for consumers worldwide.</w:t>
      </w:r>
    </w:p>
    <w:p>
      <w:pPr>
        <w:spacing w:after="0" w:line="165" w:lineRule="exact"/>
        <w:rPr>
          <w:sz w:val="20"/>
          <w:szCs w:val="20"/>
          <w:color w:val="auto"/>
        </w:rPr>
      </w:pPr>
    </w:p>
    <w:p>
      <w:pPr>
        <w:ind w:right="400"/>
        <w:spacing w:after="0" w:line="263" w:lineRule="auto"/>
        <w:rPr>
          <w:sz w:val="20"/>
          <w:szCs w:val="20"/>
          <w:color w:val="auto"/>
        </w:rPr>
      </w:pPr>
      <w:r>
        <w:rPr>
          <w:rFonts w:ascii="Arial" w:cs="Arial" w:eastAsia="Arial" w:hAnsi="Arial"/>
          <w:sz w:val="18"/>
          <w:szCs w:val="18"/>
          <w:color w:val="auto"/>
        </w:rPr>
        <w:t>Towards these goals, as of December 31, 2022, we employed approximately 7,200 employees globally. Our employees are primarily based in Newark, California at our headquarters, in Casa Grande</w:t>
      </w:r>
      <w:r>
        <w:rPr>
          <w:rFonts w:ascii="Arial" w:cs="Arial" w:eastAsia="Arial" w:hAnsi="Arial"/>
          <w:sz w:val="18"/>
          <w:szCs w:val="18"/>
          <w:color w:val="231F20"/>
        </w:rPr>
        <w:t>, Arizona at our electric vehicle manufacturing facility, and throughout the United States and Canada,</w:t>
      </w:r>
      <w:r>
        <w:rPr>
          <w:rFonts w:ascii="Arial" w:cs="Arial" w:eastAsia="Arial" w:hAnsi="Arial"/>
          <w:sz w:val="18"/>
          <w:szCs w:val="18"/>
          <w:color w:val="auto"/>
        </w:rPr>
        <w:t xml:space="preserve"> </w:t>
      </w:r>
      <w:r>
        <w:rPr>
          <w:rFonts w:ascii="Arial" w:cs="Arial" w:eastAsia="Arial" w:hAnsi="Arial"/>
          <w:sz w:val="18"/>
          <w:szCs w:val="18"/>
          <w:color w:val="231F20"/>
        </w:rPr>
        <w:t>Europe, and Saudi Arabia at our retail store and service centers.</w:t>
      </w:r>
    </w:p>
    <w:p>
      <w:pPr>
        <w:spacing w:after="0" w:line="184"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231F20"/>
        </w:rPr>
        <w:t>None of our employees are represented by a labor union. We have never experienced any work stoppages and we believe that our employee relations are good.</w:t>
      </w:r>
    </w:p>
    <w:p>
      <w:pPr>
        <w:spacing w:after="0" w:line="170"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231F20"/>
        </w:rPr>
        <w:t xml:space="preserve">We believe that our mission-first passion to inspire the adoption of sustainable transportation would not be possible without a broad array of experiences, professional and personal backgrounds, and individual identities across our team. </w:t>
      </w:r>
      <w:r>
        <w:rPr>
          <w:rFonts w:ascii="Arial" w:cs="Arial" w:eastAsia="Arial" w:hAnsi="Arial"/>
          <w:sz w:val="17"/>
          <w:szCs w:val="17"/>
          <w:color w:val="000000"/>
        </w:rPr>
        <w:t>We work hard to attract a pool of diverse candidates for all open</w:t>
      </w:r>
      <w:r>
        <w:rPr>
          <w:rFonts w:ascii="Arial" w:cs="Arial" w:eastAsia="Arial" w:hAnsi="Arial"/>
          <w:sz w:val="17"/>
          <w:szCs w:val="17"/>
          <w:color w:val="231F20"/>
        </w:rPr>
        <w:t xml:space="preserve"> </w:t>
      </w:r>
      <w:r>
        <w:rPr>
          <w:rFonts w:ascii="Arial" w:cs="Arial" w:eastAsia="Arial" w:hAnsi="Arial"/>
          <w:sz w:val="17"/>
          <w:szCs w:val="17"/>
          <w:color w:val="000000"/>
        </w:rPr>
        <w:t xml:space="preserve">positions. As of </w:t>
      </w:r>
      <w:r>
        <w:rPr>
          <w:rFonts w:ascii="Arial" w:cs="Arial" w:eastAsia="Arial" w:hAnsi="Arial"/>
          <w:sz w:val="17"/>
          <w:szCs w:val="17"/>
          <w:color w:val="231F20"/>
        </w:rPr>
        <w:t>December 31, 2022</w:t>
      </w:r>
      <w:r>
        <w:rPr>
          <w:rFonts w:ascii="Arial" w:cs="Arial" w:eastAsia="Arial" w:hAnsi="Arial"/>
          <w:sz w:val="17"/>
          <w:szCs w:val="17"/>
          <w:color w:val="000000"/>
        </w:rPr>
        <w:t>, approximately 69% of Lucid’s employees in the United States were identified as Black or African American, Hispanic or Latino, Asian, American Indian or Alaskan Native, Native Hawaiian or Pacific Islander, and two or more races or ethnicities.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i w:val="1"/>
          <w:iCs w:val="1"/>
          <w:color w:val="auto"/>
        </w:rPr>
        <w:t>Our Culture</w:t>
      </w:r>
    </w:p>
    <w:p>
      <w:pPr>
        <w:spacing w:after="0" w:line="225" w:lineRule="exact"/>
        <w:rPr>
          <w:sz w:val="20"/>
          <w:szCs w:val="20"/>
          <w:color w:val="auto"/>
        </w:rPr>
      </w:pPr>
    </w:p>
    <w:p>
      <w:pPr>
        <w:ind w:right="160"/>
        <w:spacing w:after="0" w:line="311" w:lineRule="auto"/>
        <w:rPr>
          <w:sz w:val="20"/>
          <w:szCs w:val="20"/>
          <w:color w:val="auto"/>
        </w:rPr>
      </w:pPr>
      <w:r>
        <w:rPr>
          <w:rFonts w:ascii="Arial" w:cs="Arial" w:eastAsia="Arial" w:hAnsi="Arial"/>
          <w:sz w:val="16"/>
          <w:szCs w:val="16"/>
          <w:color w:val="auto"/>
        </w:rPr>
        <w:t>When design is led by inspiration, invention by insight, and engineering by experience, we believe that nothing is impossible. Thinking beyond what is in front of us and designing for a world where life is the most important journey we will ever take, we believe in the dream ahead. Our relentless focus on innovation, luxury, and sustainability moves us toward a future where you no longer must choose between doing great things and doing the right thing.</w:t>
      </w:r>
    </w:p>
    <w:p>
      <w:pPr>
        <w:spacing w:after="0" w:line="1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a collective of future visionaries; those who can think and do differently, that thrive on challenge and collaboration. Inspired by infinite possibilities, we strive to make a profound difference in the world. We are a team that values innovation, harnesses our passions, and embraces the entrepreneurial mind of limitless potential. We recognize, welcome, and appreciate the unique experiences and diverse perspectives that each of our employees bring with them, that in turn fuel our shared successes.</w:t>
      </w:r>
    </w:p>
    <w:p>
      <w:pPr>
        <w:spacing w:after="0" w:line="18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strive to foster an open, egalitarian culture where all ideas and concerns can be raised to any member of leadership. It is a core belief that each employee has a unique lens which helps propel Lucid’s mission forward. To that end, we urge all employees to communicate their thoughts and to use any channel they deem warranted to share their perspective towards our mission. This approach helps fuel innovation, prevent stumbling blocks, and engages all employees towards being a member of one, unified team.</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Safety</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have instilled an expectation and culture of safety in our workplace. As a manufacturing company, we are committed to ensuring workplace health, safety and environmental protection for our employees, suppliers, business partners, customers, and all our stakeholders. We protect the health and safety of our employees through a proactive and systematic approach to safety and health management. To demonstrate this, in 2022, we achieved ISO 45001 certification for our Arizona manufacturing site which validates our system of continuous improvement to reduce occupational risk and improve worker safety.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Diversity, Equity and Inclusion</w:t>
      </w:r>
    </w:p>
    <w:p>
      <w:pPr>
        <w:spacing w:after="0" w:line="225"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At Lucid, diversity, equity, inclusion is an essential part of who we are. We value the diverse perspectives, experiences, and identities of our employees who reflect the communities we serve. Our differences spark innovation and drive us forward, which is why we are committed to fostering an equitable and inclusive culture that empowers us to bring our best selves to work and achieve our mission to build a better future together.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Our people centric and data-driven DEI strategy focuses on three pillars:</w:t>
      </w:r>
    </w:p>
    <w:p>
      <w:pPr>
        <w:spacing w:after="0" w:line="117"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Growing a diverse workforce by attracting, hiring, and promoting talent from all backgrounds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Fostering an equitable and inclusive culture by promoting policies, practices, and programs that support and engage all employees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Being key contributors to the community by engaging with and investing in local communities where we operate</w:t>
      </w:r>
    </w:p>
    <w:p>
      <w:pPr>
        <w:spacing w:after="0" w:line="225"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Of note, Lucid sponsors five employee resource groups to support and empower historically excluded affinities: Women at Lucid, Pride at Lucid, Veterans at Lucid, Black at Lucid, and Sustainability at Lucid. These five groups help foster Lucid’s inclusive and dynamic workforce while helping to fuel our business objective of centering our suite of vehicles on the human experience.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and Benefits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offer competitive compensation to attract and retain the best people in the world, and we help care for our people so they can focus on our mission. Our employees' total compensation package includes market-competitive cash compensation and equity awards to all employees. We offer full-time employees equity at the time of hire and through annual equity grants because we want them to be owners of the company and committed to our long-term success. In 2022, we strengthened our support for employees and their families through the introduction of new on-demand, personalized mental health therapy and coaching. We are pleased to support employees and families through a comprehensive suite of insurance and retirement offerings, most of which can be individually selected by each employee to best fit their needs.</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ENVIRONMENTAL IMPACT</w:t>
      </w:r>
    </w:p>
    <w:p>
      <w:pPr>
        <w:spacing w:after="0" w:line="22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231F20"/>
        </w:rPr>
        <w:t>As an electric vehicle company relentlessly focused on efficiency, our products are a key part of transforming the transportation space to a more sustainable model. Through our blend of performance engineered, battery electric powertrain systems with post-luxury design, we seek to entice luxury vehicle customers to switch from ICE vehicles to energy efficient, sustainable electric transportation. But having sustainable products alone is not enough; we are dedicated to a holistic environmental, social, and governance (“ESG”) strategy to maximize our ability to positively impact our environment and society, meet investor expectations, and instill pride and purpose in our employees and customers.</w:t>
      </w:r>
    </w:p>
    <w:p>
      <w:pPr>
        <w:spacing w:after="0" w:line="188" w:lineRule="exact"/>
        <w:rPr>
          <w:sz w:val="20"/>
          <w:szCs w:val="20"/>
          <w:color w:val="auto"/>
        </w:rPr>
      </w:pPr>
    </w:p>
    <w:p>
      <w:pPr>
        <w:ind w:left="660" w:right="60" w:hanging="328"/>
        <w:spacing w:after="0" w:line="291" w:lineRule="auto"/>
        <w:tabs>
          <w:tab w:leader="none" w:pos="655" w:val="left"/>
        </w:tabs>
        <w:numPr>
          <w:ilvl w:val="0"/>
          <w:numId w:val="16"/>
        </w:numPr>
        <w:rPr>
          <w:rFonts w:ascii="Arial" w:cs="Arial" w:eastAsia="Arial" w:hAnsi="Arial"/>
          <w:sz w:val="16"/>
          <w:szCs w:val="16"/>
          <w:color w:val="231F20"/>
        </w:rPr>
      </w:pPr>
      <w:r>
        <w:rPr>
          <w:rFonts w:ascii="Arial" w:cs="Arial" w:eastAsia="Arial" w:hAnsi="Arial"/>
          <w:sz w:val="16"/>
          <w:szCs w:val="16"/>
          <w:b w:val="1"/>
          <w:bCs w:val="1"/>
          <w:i w:val="1"/>
          <w:iCs w:val="1"/>
          <w:color w:val="231F20"/>
        </w:rPr>
        <w:t>ESG Strategy</w:t>
      </w:r>
      <w:r>
        <w:rPr>
          <w:rFonts w:ascii="Arial" w:cs="Arial" w:eastAsia="Arial" w:hAnsi="Arial"/>
          <w:sz w:val="16"/>
          <w:szCs w:val="16"/>
          <w:i w:val="1"/>
          <w:iCs w:val="1"/>
          <w:color w:val="231F20"/>
        </w:rPr>
        <w:t>:</w:t>
      </w:r>
      <w:r>
        <w:rPr>
          <w:rFonts w:ascii="Arial" w:cs="Arial" w:eastAsia="Arial" w:hAnsi="Arial"/>
          <w:sz w:val="16"/>
          <w:szCs w:val="16"/>
          <w:b w:val="1"/>
          <w:bCs w:val="1"/>
          <w:i w:val="1"/>
          <w:iCs w:val="1"/>
          <w:color w:val="231F20"/>
        </w:rPr>
        <w:t xml:space="preserve"> </w:t>
      </w:r>
      <w:r>
        <w:rPr>
          <w:rFonts w:ascii="Arial" w:cs="Arial" w:eastAsia="Arial" w:hAnsi="Arial"/>
          <w:sz w:val="16"/>
          <w:szCs w:val="16"/>
          <w:color w:val="231F20"/>
        </w:rPr>
        <w:t>Our dedicated ESG team is driving our efforts to implement leading environmental, social, and governance strategy and program.</w:t>
      </w:r>
      <w:r>
        <w:rPr>
          <w:rFonts w:ascii="Arial" w:cs="Arial" w:eastAsia="Arial" w:hAnsi="Arial"/>
          <w:sz w:val="16"/>
          <w:szCs w:val="16"/>
          <w:b w:val="1"/>
          <w:bCs w:val="1"/>
          <w:i w:val="1"/>
          <w:iCs w:val="1"/>
          <w:color w:val="231F20"/>
        </w:rPr>
        <w:t xml:space="preserve"> </w:t>
      </w:r>
      <w:r>
        <w:rPr>
          <w:rFonts w:ascii="Arial" w:cs="Arial" w:eastAsia="Arial" w:hAnsi="Arial"/>
          <w:sz w:val="16"/>
          <w:szCs w:val="16"/>
          <w:color w:val="231F20"/>
        </w:rPr>
        <w:t>In 2021, we completed a high-level ESG materiality assessment to identify key topics for our ESG strategy. This effort included insight on investors, ratings and rankings, company leadership interviews, research on peers and consumer trends, and a business/investor media review. During 2022, we continued to keep a pulse on the dynamic ESG field to allocate resources to the most sig</w:t>
      </w:r>
      <w:r>
        <w:rPr>
          <w:rFonts w:ascii="Arial" w:cs="Arial" w:eastAsia="Arial" w:hAnsi="Arial"/>
          <w:sz w:val="16"/>
          <w:szCs w:val="16"/>
          <w:color w:val="000000"/>
        </w:rPr>
        <w:t>nificant ESG topics to our business. Our</w:t>
      </w:r>
      <w:r>
        <w:rPr>
          <w:rFonts w:ascii="Arial" w:cs="Arial" w:eastAsia="Arial" w:hAnsi="Arial"/>
          <w:sz w:val="16"/>
          <w:szCs w:val="16"/>
          <w:color w:val="231F20"/>
        </w:rPr>
        <w:t xml:space="preserve"> </w:t>
      </w:r>
      <w:r>
        <w:rPr>
          <w:rFonts w:ascii="Arial" w:cs="Arial" w:eastAsia="Arial" w:hAnsi="Arial"/>
          <w:sz w:val="16"/>
          <w:szCs w:val="16"/>
          <w:color w:val="000000"/>
        </w:rPr>
        <w:t>ESG Steering Committee, comprised of senior executive leaders, met on a regular basis in 2022 to drive our strategic roadmapping in the ESG topics such as climate and GHG emissions, DEI, and ESG partnerships. We enhanced our ESG disclosures, and plan to continue to build our internal capabilities for data collection and disclosure for high-level reporting on ESG performance, in alignment with leading industry standards.</w:t>
      </w:r>
    </w:p>
    <w:p>
      <w:pPr>
        <w:spacing w:after="0" w:line="166" w:lineRule="exact"/>
        <w:rPr>
          <w:rFonts w:ascii="Arial" w:cs="Arial" w:eastAsia="Arial" w:hAnsi="Arial"/>
          <w:sz w:val="16"/>
          <w:szCs w:val="16"/>
          <w:color w:val="231F20"/>
        </w:rPr>
      </w:pPr>
    </w:p>
    <w:p>
      <w:pPr>
        <w:ind w:left="660" w:right="20" w:hanging="328"/>
        <w:spacing w:after="0" w:line="289" w:lineRule="auto"/>
        <w:tabs>
          <w:tab w:leader="none" w:pos="655" w:val="left"/>
        </w:tabs>
        <w:numPr>
          <w:ilvl w:val="0"/>
          <w:numId w:val="1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Product Efficiency: </w:t>
      </w:r>
      <w:r>
        <w:rPr>
          <w:rFonts w:ascii="Arial" w:cs="Arial" w:eastAsia="Arial" w:hAnsi="Arial"/>
          <w:sz w:val="16"/>
          <w:szCs w:val="16"/>
          <w:color w:val="auto"/>
        </w:rPr>
        <w:t>Efficiency is a key measure of the in-house technology embedded in our products, contributing to our goal of a best-in-class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experience for our customers while benefitting the environment. Lucid Air is the longest-range electric vehicle rated by the U.S. EPA (Lucid Air Grand Touring has an EPA-estimated range of up to 516 miles per charge), has some of the highest MPGe energy efficiency ratings from the EPA (Lucid Air Touring and Lucid Air Pure AWD are rated 140 MPGe combined city hwy), and Lucid Air Pure has one of the lowest coefficient of drag of any vehicle on the market (0.197 coefficient of drag). These achievements are based on a relentless focus on efficiency through the electric vehicle powertrain, battery pack and system, and a highly aerodynamic design. This focus on efficiency also enables our vehicles to travel further per electron of energy. Each extra mile that we extract per kWh of energy means less energy required and fewer carbon emissions from the electrical grid. This same efficient technology and approach enables the possibility of vehicles with smaller, lower-cost battery packs that retain competitive range — which in turn would benefit the environment by requiring fewer battery cells per vehicle.</w:t>
      </w:r>
    </w:p>
    <w:p>
      <w:pPr>
        <w:spacing w:after="0" w:line="166" w:lineRule="exact"/>
        <w:rPr>
          <w:rFonts w:ascii="Arial" w:cs="Arial" w:eastAsia="Arial" w:hAnsi="Arial"/>
          <w:sz w:val="16"/>
          <w:szCs w:val="16"/>
          <w:color w:val="auto"/>
        </w:rPr>
      </w:pPr>
    </w:p>
    <w:p>
      <w:pPr>
        <w:ind w:left="660" w:right="20" w:hanging="328"/>
        <w:spacing w:after="0" w:line="296" w:lineRule="auto"/>
        <w:tabs>
          <w:tab w:leader="none" w:pos="655" w:val="left"/>
        </w:tabs>
        <w:numPr>
          <w:ilvl w:val="0"/>
          <w:numId w:val="1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Future Adaptations of our Technology: </w:t>
      </w:r>
      <w:r>
        <w:rPr>
          <w:rFonts w:ascii="Arial" w:cs="Arial" w:eastAsia="Arial" w:hAnsi="Arial"/>
          <w:sz w:val="16"/>
          <w:szCs w:val="16"/>
          <w:color w:val="auto"/>
        </w:rPr>
        <w:t>We are exploring opportunities to adapt and expand the impact of our technology. For example, we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expect our battery systems expertise to enable us to produce compelling stationary energy storage system (“ESS”) products that offer flexibility, efficiency, and stability to our customers and the electrical grid across the residential, commercial, and utility-scale energy storage sectors. We also expect our battery systems and powertrain expertise to enable customers to power their homes through vehicle-to-grid (“V2G”) charging capabilities, adding resiliency to customers’ power supply and reducing impact on the grid during power outages and shortages.</w:t>
      </w:r>
    </w:p>
    <w:p>
      <w:pPr>
        <w:spacing w:after="0" w:line="161" w:lineRule="exact"/>
        <w:rPr>
          <w:rFonts w:ascii="Arial" w:cs="Arial" w:eastAsia="Arial" w:hAnsi="Arial"/>
          <w:sz w:val="16"/>
          <w:szCs w:val="16"/>
          <w:color w:val="auto"/>
        </w:rPr>
      </w:pPr>
    </w:p>
    <w:p>
      <w:pPr>
        <w:jc w:val="both"/>
        <w:ind w:left="660" w:hanging="328"/>
        <w:spacing w:after="0" w:line="270" w:lineRule="auto"/>
        <w:tabs>
          <w:tab w:leader="none" w:pos="655" w:val="left"/>
        </w:tabs>
        <w:numPr>
          <w:ilvl w:val="0"/>
          <w:numId w:val="1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Environmental Operations: </w:t>
      </w:r>
      <w:r>
        <w:rPr>
          <w:rFonts w:ascii="Arial" w:cs="Arial" w:eastAsia="Arial" w:hAnsi="Arial"/>
          <w:sz w:val="17"/>
          <w:szCs w:val="17"/>
          <w:color w:val="auto"/>
        </w:rPr>
        <w:t>Our factory in Casa Grande, Arizona, is the first greenfield EV factory in North America, and it was designed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minimize carbon emissions where practical through energy efficient design and plans for renewable energy generation onsite. We strive to reduce the environmental impact of manufacturing while maintaining our relentless drive to produce high-quality vehicles for our customers. We currently have up to a 1 mega-watt (“MW”) capacity solar power system in Arizona (with a total capacity of up to 2 MW including our headquarters in California) and we are actively working to increase renewable energy generation. Our operations pair with an environmental, health, and safety policy that encompasses training, measurement, and monitoring of data, and corrective actions for continuous improvement. Additionally, to emphasize our focus on quality, environment, and occupational health and safety, our Arizona factory has been ISO 9001, 45001, and 14001 certified, a globally recognized Quality Management System (“QMS”), Occupational Health and Safety Management System (“OH&amp;S MS”), and Environmental Management System (“EMS”) respectively.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GOVERNANCE</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We recognize that sound governance practices are critical to ethical business practices and our overall success as an organization and business.</w:t>
      </w:r>
    </w:p>
    <w:p>
      <w:pPr>
        <w:spacing w:after="0" w:line="237" w:lineRule="exact"/>
        <w:rPr>
          <w:sz w:val="20"/>
          <w:szCs w:val="20"/>
          <w:color w:val="auto"/>
        </w:rPr>
      </w:pPr>
    </w:p>
    <w:p>
      <w:pPr>
        <w:jc w:val="both"/>
        <w:ind w:left="660" w:hanging="328"/>
        <w:spacing w:after="0" w:line="263" w:lineRule="auto"/>
        <w:tabs>
          <w:tab w:leader="none" w:pos="655" w:val="left"/>
        </w:tabs>
        <w:numPr>
          <w:ilvl w:val="0"/>
          <w:numId w:val="17"/>
        </w:numPr>
        <w:rPr>
          <w:rFonts w:ascii="Arial" w:cs="Arial" w:eastAsia="Arial" w:hAnsi="Arial"/>
          <w:sz w:val="18"/>
          <w:szCs w:val="18"/>
          <w:i w:val="1"/>
          <w:iCs w:val="1"/>
          <w:color w:val="auto"/>
        </w:rPr>
      </w:pPr>
      <w:r>
        <w:rPr>
          <w:rFonts w:ascii="Arial" w:cs="Arial" w:eastAsia="Arial" w:hAnsi="Arial"/>
          <w:sz w:val="18"/>
          <w:szCs w:val="18"/>
          <w:b w:val="1"/>
          <w:bCs w:val="1"/>
          <w:i w:val="1"/>
          <w:iCs w:val="1"/>
          <w:color w:val="auto"/>
        </w:rPr>
        <w:t xml:space="preserve">Corporate Governance: </w:t>
      </w:r>
      <w:r>
        <w:rPr>
          <w:rFonts w:ascii="Arial" w:cs="Arial" w:eastAsia="Arial" w:hAnsi="Arial"/>
          <w:sz w:val="18"/>
          <w:szCs w:val="18"/>
          <w:color w:val="auto"/>
        </w:rPr>
        <w:t>Our corporate governance best practices include: a majority independent Board under SEC and Nasdaq rules; a diverse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Board with 3 female directors and 3 members of under-represented communities; an independent chairman of the Board; and no classified board structure (all directors must be elected every year).</w:t>
      </w:r>
    </w:p>
    <w:p>
      <w:pPr>
        <w:spacing w:after="0" w:line="183" w:lineRule="exact"/>
        <w:rPr>
          <w:rFonts w:ascii="Arial" w:cs="Arial" w:eastAsia="Arial" w:hAnsi="Arial"/>
          <w:sz w:val="18"/>
          <w:szCs w:val="18"/>
          <w:i w:val="1"/>
          <w:iCs w:val="1"/>
          <w:color w:val="auto"/>
        </w:rPr>
      </w:pPr>
    </w:p>
    <w:p>
      <w:pPr>
        <w:ind w:left="660" w:hanging="328"/>
        <w:spacing w:after="0" w:line="277" w:lineRule="auto"/>
        <w:tabs>
          <w:tab w:leader="none" w:pos="655" w:val="left"/>
        </w:tabs>
        <w:numPr>
          <w:ilvl w:val="0"/>
          <w:numId w:val="17"/>
        </w:numPr>
        <w:rPr>
          <w:rFonts w:ascii="Arial" w:cs="Arial" w:eastAsia="Arial" w:hAnsi="Arial"/>
          <w:sz w:val="18"/>
          <w:szCs w:val="18"/>
          <w:i w:val="1"/>
          <w:iCs w:val="1"/>
          <w:color w:val="auto"/>
        </w:rPr>
      </w:pPr>
      <w:r>
        <w:rPr>
          <w:rFonts w:ascii="Arial" w:cs="Arial" w:eastAsia="Arial" w:hAnsi="Arial"/>
          <w:sz w:val="18"/>
          <w:szCs w:val="18"/>
          <w:b w:val="1"/>
          <w:bCs w:val="1"/>
          <w:i w:val="1"/>
          <w:iCs w:val="1"/>
          <w:color w:val="auto"/>
        </w:rPr>
        <w:t xml:space="preserve">Business Ethics: </w:t>
      </w:r>
      <w:r>
        <w:rPr>
          <w:rFonts w:ascii="Arial" w:cs="Arial" w:eastAsia="Arial" w:hAnsi="Arial"/>
          <w:sz w:val="18"/>
          <w:szCs w:val="18"/>
          <w:color w:val="auto"/>
        </w:rPr>
        <w:t>We have a publicly available Code of Business Conduct and Ethics and a framework to receive and investigate reports of policy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violations.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2" w:name="page23"/>
    <w:bookmarkEnd w:id="22"/>
    <w:p>
      <w:pPr>
        <w:ind w:left="660" w:right="80" w:hanging="328"/>
        <w:spacing w:after="0" w:line="301" w:lineRule="auto"/>
        <w:tabs>
          <w:tab w:leader="none" w:pos="655" w:val="left"/>
        </w:tabs>
        <w:numPr>
          <w:ilvl w:val="0"/>
          <w:numId w:val="18"/>
        </w:numPr>
        <w:rPr>
          <w:rFonts w:ascii="Arial" w:cs="Arial" w:eastAsia="Arial" w:hAnsi="Arial"/>
          <w:sz w:val="16"/>
          <w:szCs w:val="16"/>
          <w:i w:val="1"/>
          <w:iCs w:val="1"/>
          <w:color w:val="231F20"/>
        </w:rPr>
      </w:pPr>
      <w:r>
        <w:rPr>
          <w:rFonts w:ascii="Arial" w:cs="Arial" w:eastAsia="Arial" w:hAnsi="Arial"/>
          <w:sz w:val="16"/>
          <w:szCs w:val="16"/>
          <w:b w:val="1"/>
          <w:bCs w:val="1"/>
          <w:i w:val="1"/>
          <w:iCs w:val="1"/>
          <w:color w:val="231F20"/>
        </w:rPr>
        <w:t xml:space="preserve">Compliance: </w:t>
      </w:r>
      <w:r>
        <w:rPr>
          <w:rFonts w:ascii="Arial" w:cs="Arial" w:eastAsia="Arial" w:hAnsi="Arial"/>
          <w:sz w:val="16"/>
          <w:szCs w:val="16"/>
          <w:color w:val="231F20"/>
        </w:rPr>
        <w:t>We are implementing a robust compliance program centered around a clear statement of principles and an expectation for both legal</w:t>
      </w:r>
      <w:r>
        <w:rPr>
          <w:rFonts w:ascii="Arial" w:cs="Arial" w:eastAsia="Arial" w:hAnsi="Arial"/>
          <w:sz w:val="16"/>
          <w:szCs w:val="16"/>
          <w:b w:val="1"/>
          <w:bCs w:val="1"/>
          <w:i w:val="1"/>
          <w:iCs w:val="1"/>
          <w:color w:val="231F20"/>
        </w:rPr>
        <w:t xml:space="preserve"> </w:t>
      </w:r>
      <w:r>
        <w:rPr>
          <w:rFonts w:ascii="Arial" w:cs="Arial" w:eastAsia="Arial" w:hAnsi="Arial"/>
          <w:sz w:val="16"/>
          <w:szCs w:val="16"/>
          <w:color w:val="231F20"/>
        </w:rPr>
        <w:t>compliance and high ethical standards. We intend to achieve these goals through ongoing training and discussions with our employees, clear policies and guidelines, internal controls over financial transactions, technological solutions to automate screenings for legal compliance and a reporting hotline which enables employees and service providers to share allegations of any legal or ethical matters on an anonymous basis.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231F20"/>
        </w:rPr>
        <w:t>We are required to file annual, quarterly and current reports, proxy statements and other information with the SEC. We also maintain an Internet website at https://www.lucidmotors.com. Through our website, we make available, free of charge, the following documents of Lucid as soon as reasonably practicable after they are electronically filed with, or furnished to, the SEC: Annual Reports on Form 10-K; proxy statements for our annual and special shareholder meetings; Quarterly Reports on Form 10-Q; Current Reports on Form 8-K; Forms 3, 4 and 5 and Schedules 13D; and amendments to those documents. Our SEC filings are available on the SEC’s website at www.sec.gov.</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Our website, the SEC’s website and the information contained therein or linked thereto are not part of this Annual Report.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i w:val="1"/>
          <w:iCs w:val="1"/>
          <w:color w:val="auto"/>
        </w:rPr>
        <w:t>A description of the risks and uncertainties associated with our business is set forth below. You should carefully consider the risks and uncertainties described below, as well as the other information in this Annual Report, including our consolidated financial statements and the related notes and “Management’s Discussion and Analysis of Financial Condition and Results of Operations.” The occurrence of any of the events or developments described below, or of additional risks and uncertainties not presently known to us or that we currently deem immaterial, could materially and adversely affect our business, results of operations, financial condition and growth prospects. In such an event, the market price of our common stock could decline, and you could lose all or part of your investment.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 Summary</w:t>
      </w:r>
    </w:p>
    <w:p>
      <w:pPr>
        <w:spacing w:after="0" w:line="229"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i w:val="1"/>
          <w:iCs w:val="1"/>
          <w:color w:val="auto"/>
        </w:rPr>
        <w:t>Our business is subject to numerous risks and uncertainties, including those highlighted in this section titled Item 1A. “Risk Factors,” that represent challenges that we face in connection with the successful implementation of our strategy and growth of our business. The occurrence of one or more of the events or circumstances described in this section titled Item 1A. “Risk Factors,” alone or in combination with other events or circumstances, may have an adverse effect on our business, cash flows, financial condition and results of operations. Such risks include, but are not limited to:</w:t>
      </w:r>
    </w:p>
    <w:p>
      <w:pPr>
        <w:spacing w:after="0" w:line="49" w:lineRule="exact"/>
        <w:rPr>
          <w:sz w:val="20"/>
          <w:szCs w:val="20"/>
          <w:color w:val="auto"/>
        </w:rPr>
      </w:pPr>
    </w:p>
    <w:p>
      <w:pPr>
        <w:ind w:left="660" w:right="180" w:hanging="328"/>
        <w:spacing w:after="0" w:line="277" w:lineRule="auto"/>
        <w:tabs>
          <w:tab w:leader="none" w:pos="655" w:val="left"/>
        </w:tabs>
        <w:numPr>
          <w:ilvl w:val="0"/>
          <w:numId w:val="19"/>
        </w:numPr>
        <w:rPr>
          <w:rFonts w:ascii="Arial" w:cs="Arial" w:eastAsia="Arial" w:hAnsi="Arial"/>
          <w:sz w:val="18"/>
          <w:szCs w:val="18"/>
          <w:color w:val="231F20"/>
        </w:rPr>
      </w:pPr>
      <w:r>
        <w:rPr>
          <w:rFonts w:ascii="Arial" w:cs="Arial" w:eastAsia="Arial" w:hAnsi="Arial"/>
          <w:sz w:val="18"/>
          <w:szCs w:val="18"/>
          <w:color w:val="auto"/>
        </w:rPr>
        <w:t>Our limited operating history makes evaluating our business and future prospects difficult and may increase the risk of investing in our common stock.</w:t>
      </w:r>
    </w:p>
    <w:p>
      <w:pPr>
        <w:spacing w:after="0" w:line="62" w:lineRule="exact"/>
        <w:rPr>
          <w:rFonts w:ascii="Arial" w:cs="Arial" w:eastAsia="Arial" w:hAnsi="Arial"/>
          <w:sz w:val="18"/>
          <w:szCs w:val="18"/>
          <w:color w:val="231F20"/>
        </w:rPr>
      </w:pPr>
    </w:p>
    <w:p>
      <w:pPr>
        <w:ind w:left="660" w:hanging="328"/>
        <w:spacing w:after="0"/>
        <w:tabs>
          <w:tab w:leader="none" w:pos="660" w:val="left"/>
        </w:tabs>
        <w:numPr>
          <w:ilvl w:val="0"/>
          <w:numId w:val="19"/>
        </w:numPr>
        <w:rPr>
          <w:rFonts w:ascii="Arial" w:cs="Arial" w:eastAsia="Arial" w:hAnsi="Arial"/>
          <w:sz w:val="16"/>
          <w:szCs w:val="16"/>
          <w:color w:val="231F20"/>
        </w:rPr>
      </w:pPr>
      <w:r>
        <w:rPr>
          <w:rFonts w:ascii="Arial" w:cs="Arial" w:eastAsia="Arial" w:hAnsi="Arial"/>
          <w:sz w:val="16"/>
          <w:szCs w:val="16"/>
          <w:color w:val="auto"/>
        </w:rPr>
        <w:t>We have incurred net losses each year since our inception and expect to incur increasing expenses and substantial losses for the foreseeable future.</w:t>
      </w:r>
    </w:p>
    <w:p>
      <w:pPr>
        <w:spacing w:after="0" w:line="140" w:lineRule="exact"/>
        <w:rPr>
          <w:rFonts w:ascii="Arial" w:cs="Arial" w:eastAsia="Arial" w:hAnsi="Arial"/>
          <w:sz w:val="16"/>
          <w:szCs w:val="16"/>
          <w:color w:val="231F20"/>
        </w:rPr>
      </w:pPr>
    </w:p>
    <w:p>
      <w:pPr>
        <w:ind w:left="660" w:hanging="328"/>
        <w:spacing w:after="0"/>
        <w:tabs>
          <w:tab w:leader="none" w:pos="660" w:val="left"/>
        </w:tabs>
        <w:numPr>
          <w:ilvl w:val="0"/>
          <w:numId w:val="19"/>
        </w:numPr>
        <w:rPr>
          <w:rFonts w:ascii="Arial" w:cs="Arial" w:eastAsia="Arial" w:hAnsi="Arial"/>
          <w:sz w:val="18"/>
          <w:szCs w:val="18"/>
          <w:color w:val="231F20"/>
        </w:rPr>
      </w:pPr>
      <w:r>
        <w:rPr>
          <w:rFonts w:ascii="Arial" w:cs="Arial" w:eastAsia="Arial" w:hAnsi="Arial"/>
          <w:sz w:val="18"/>
          <w:szCs w:val="18"/>
          <w:color w:val="auto"/>
        </w:rPr>
        <w:t>We may be unable to adequately control the substantial costs associated with our operations.</w:t>
      </w:r>
    </w:p>
    <w:p>
      <w:pPr>
        <w:spacing w:after="0" w:line="117" w:lineRule="exact"/>
        <w:rPr>
          <w:rFonts w:ascii="Arial" w:cs="Arial" w:eastAsia="Arial" w:hAnsi="Arial"/>
          <w:sz w:val="18"/>
          <w:szCs w:val="18"/>
          <w:color w:val="231F20"/>
        </w:rPr>
      </w:pPr>
    </w:p>
    <w:p>
      <w:pPr>
        <w:ind w:left="660" w:hanging="328"/>
        <w:spacing w:after="0"/>
        <w:tabs>
          <w:tab w:leader="none" w:pos="660" w:val="left"/>
        </w:tabs>
        <w:numPr>
          <w:ilvl w:val="0"/>
          <w:numId w:val="19"/>
        </w:numPr>
        <w:rPr>
          <w:rFonts w:ascii="Arial" w:cs="Arial" w:eastAsia="Arial" w:hAnsi="Arial"/>
          <w:sz w:val="18"/>
          <w:szCs w:val="18"/>
          <w:color w:val="231F20"/>
        </w:rPr>
      </w:pPr>
      <w:r>
        <w:rPr>
          <w:rFonts w:ascii="Arial" w:cs="Arial" w:eastAsia="Arial" w:hAnsi="Arial"/>
          <w:sz w:val="18"/>
          <w:szCs w:val="18"/>
          <w:color w:val="auto"/>
        </w:rPr>
        <w:t>Reservations and orders for our vehicles are cancellable.</w:t>
      </w:r>
    </w:p>
    <w:p>
      <w:pPr>
        <w:spacing w:after="0" w:line="117" w:lineRule="exact"/>
        <w:rPr>
          <w:rFonts w:ascii="Arial" w:cs="Arial" w:eastAsia="Arial" w:hAnsi="Arial"/>
          <w:sz w:val="18"/>
          <w:szCs w:val="18"/>
          <w:color w:val="231F20"/>
        </w:rPr>
      </w:pPr>
    </w:p>
    <w:p>
      <w:pPr>
        <w:ind w:left="660" w:right="120" w:hanging="328"/>
        <w:spacing w:after="0" w:line="277" w:lineRule="auto"/>
        <w:tabs>
          <w:tab w:leader="none" w:pos="655" w:val="left"/>
        </w:tabs>
        <w:numPr>
          <w:ilvl w:val="0"/>
          <w:numId w:val="19"/>
        </w:numPr>
        <w:rPr>
          <w:rFonts w:ascii="Arial" w:cs="Arial" w:eastAsia="Arial" w:hAnsi="Arial"/>
          <w:sz w:val="18"/>
          <w:szCs w:val="18"/>
          <w:color w:val="231F20"/>
        </w:rPr>
      </w:pPr>
      <w:r>
        <w:rPr>
          <w:rFonts w:ascii="Arial" w:cs="Arial" w:eastAsia="Arial" w:hAnsi="Arial"/>
          <w:sz w:val="18"/>
          <w:szCs w:val="18"/>
          <w:color w:val="auto"/>
        </w:rPr>
        <w:t>A global economic recession or other downturn may have a material adverse impact on our business, prospects, results of operation and financial condition.</w:t>
      </w:r>
    </w:p>
    <w:p>
      <w:pPr>
        <w:spacing w:after="0" w:line="62" w:lineRule="exact"/>
        <w:rPr>
          <w:rFonts w:ascii="Arial" w:cs="Arial" w:eastAsia="Arial" w:hAnsi="Arial"/>
          <w:sz w:val="18"/>
          <w:szCs w:val="18"/>
          <w:color w:val="231F20"/>
        </w:rPr>
      </w:pPr>
    </w:p>
    <w:p>
      <w:pPr>
        <w:ind w:left="660" w:right="140" w:hanging="328"/>
        <w:spacing w:after="0" w:line="277" w:lineRule="auto"/>
        <w:tabs>
          <w:tab w:leader="none" w:pos="655" w:val="left"/>
        </w:tabs>
        <w:numPr>
          <w:ilvl w:val="0"/>
          <w:numId w:val="19"/>
        </w:numPr>
        <w:rPr>
          <w:rFonts w:ascii="Arial" w:cs="Arial" w:eastAsia="Arial" w:hAnsi="Arial"/>
          <w:sz w:val="18"/>
          <w:szCs w:val="18"/>
          <w:color w:val="231F20"/>
        </w:rPr>
      </w:pPr>
      <w:r>
        <w:rPr>
          <w:rFonts w:ascii="Arial" w:cs="Arial" w:eastAsia="Arial" w:hAnsi="Arial"/>
          <w:sz w:val="18"/>
          <w:szCs w:val="18"/>
          <w:color w:val="auto"/>
        </w:rPr>
        <w:t>We currently depend on revenue generated from a single model and in the foreseeable future will be significantly dependent on a limited number of models.</w:t>
      </w:r>
    </w:p>
    <w:p>
      <w:pPr>
        <w:spacing w:after="0" w:line="62" w:lineRule="exact"/>
        <w:rPr>
          <w:rFonts w:ascii="Arial" w:cs="Arial" w:eastAsia="Arial" w:hAnsi="Arial"/>
          <w:sz w:val="18"/>
          <w:szCs w:val="18"/>
          <w:color w:val="231F20"/>
        </w:rPr>
      </w:pPr>
    </w:p>
    <w:p>
      <w:pPr>
        <w:ind w:left="660" w:hanging="328"/>
        <w:spacing w:after="0"/>
        <w:tabs>
          <w:tab w:leader="none" w:pos="660" w:val="left"/>
        </w:tabs>
        <w:numPr>
          <w:ilvl w:val="0"/>
          <w:numId w:val="19"/>
        </w:numPr>
        <w:rPr>
          <w:rFonts w:ascii="Arial" w:cs="Arial" w:eastAsia="Arial" w:hAnsi="Arial"/>
          <w:sz w:val="18"/>
          <w:szCs w:val="18"/>
          <w:color w:val="231F20"/>
        </w:rPr>
      </w:pPr>
      <w:r>
        <w:rPr>
          <w:rFonts w:ascii="Arial" w:cs="Arial" w:eastAsia="Arial" w:hAnsi="Arial"/>
          <w:sz w:val="18"/>
          <w:szCs w:val="18"/>
          <w:color w:val="auto"/>
        </w:rPr>
        <w:t>Our business and prospects depend significantly on our brand.</w:t>
      </w:r>
    </w:p>
    <w:p>
      <w:pPr>
        <w:spacing w:after="0" w:line="117" w:lineRule="exact"/>
        <w:rPr>
          <w:rFonts w:ascii="Arial" w:cs="Arial" w:eastAsia="Arial" w:hAnsi="Arial"/>
          <w:sz w:val="18"/>
          <w:szCs w:val="18"/>
          <w:color w:val="231F20"/>
        </w:rPr>
      </w:pPr>
    </w:p>
    <w:p>
      <w:pPr>
        <w:ind w:left="660" w:hanging="328"/>
        <w:spacing w:after="0"/>
        <w:tabs>
          <w:tab w:leader="none" w:pos="660" w:val="left"/>
        </w:tabs>
        <w:numPr>
          <w:ilvl w:val="0"/>
          <w:numId w:val="19"/>
        </w:numPr>
        <w:rPr>
          <w:rFonts w:ascii="Arial" w:cs="Arial" w:eastAsia="Arial" w:hAnsi="Arial"/>
          <w:sz w:val="18"/>
          <w:szCs w:val="18"/>
          <w:color w:val="231F20"/>
        </w:rPr>
      </w:pPr>
      <w:r>
        <w:rPr>
          <w:rFonts w:ascii="Arial" w:cs="Arial" w:eastAsia="Arial" w:hAnsi="Arial"/>
          <w:sz w:val="18"/>
          <w:szCs w:val="18"/>
          <w:color w:val="auto"/>
        </w:rPr>
        <w:t>We will not have a third-party retail product distribution and full-service network.</w:t>
      </w:r>
    </w:p>
    <w:p>
      <w:pPr>
        <w:spacing w:after="0" w:line="117" w:lineRule="exact"/>
        <w:rPr>
          <w:rFonts w:ascii="Arial" w:cs="Arial" w:eastAsia="Arial" w:hAnsi="Arial"/>
          <w:sz w:val="18"/>
          <w:szCs w:val="18"/>
          <w:color w:val="231F20"/>
        </w:rPr>
      </w:pPr>
    </w:p>
    <w:p>
      <w:pPr>
        <w:ind w:left="660" w:right="860" w:hanging="328"/>
        <w:spacing w:after="0" w:line="277" w:lineRule="auto"/>
        <w:tabs>
          <w:tab w:leader="none" w:pos="655" w:val="left"/>
        </w:tabs>
        <w:numPr>
          <w:ilvl w:val="0"/>
          <w:numId w:val="19"/>
        </w:numPr>
        <w:rPr>
          <w:rFonts w:ascii="Arial" w:cs="Arial" w:eastAsia="Arial" w:hAnsi="Arial"/>
          <w:sz w:val="18"/>
          <w:szCs w:val="18"/>
          <w:color w:val="231F20"/>
        </w:rPr>
      </w:pPr>
      <w:r>
        <w:rPr>
          <w:rFonts w:ascii="Arial" w:cs="Arial" w:eastAsia="Arial" w:hAnsi="Arial"/>
          <w:sz w:val="18"/>
          <w:szCs w:val="18"/>
          <w:color w:val="auto"/>
        </w:rPr>
        <w:t>If we fail to manage our future growth effectively, we may not be able to develop, manufacture, distribute, market and sell our vehicles successfully.</w:t>
      </w:r>
    </w:p>
    <w:p>
      <w:pPr>
        <w:spacing w:after="0" w:line="62" w:lineRule="exact"/>
        <w:rPr>
          <w:rFonts w:ascii="Arial" w:cs="Arial" w:eastAsia="Arial" w:hAnsi="Arial"/>
          <w:sz w:val="18"/>
          <w:szCs w:val="18"/>
          <w:color w:val="231F20"/>
        </w:rPr>
      </w:pPr>
    </w:p>
    <w:p>
      <w:pPr>
        <w:ind w:left="660" w:right="80" w:hanging="328"/>
        <w:spacing w:after="0" w:line="277" w:lineRule="auto"/>
        <w:tabs>
          <w:tab w:leader="none" w:pos="655" w:val="left"/>
        </w:tabs>
        <w:numPr>
          <w:ilvl w:val="0"/>
          <w:numId w:val="19"/>
        </w:numPr>
        <w:rPr>
          <w:rFonts w:ascii="Arial" w:cs="Arial" w:eastAsia="Arial" w:hAnsi="Arial"/>
          <w:sz w:val="18"/>
          <w:szCs w:val="18"/>
          <w:color w:val="231F20"/>
        </w:rPr>
      </w:pPr>
      <w:r>
        <w:rPr>
          <w:rFonts w:ascii="Arial" w:cs="Arial" w:eastAsia="Arial" w:hAnsi="Arial"/>
          <w:sz w:val="18"/>
          <w:szCs w:val="18"/>
          <w:color w:val="auto"/>
        </w:rPr>
        <w:t>We face risks associated with international operations, including unfavorable regulatory, political, tax and labor conditions, which could harm our business.</w:t>
      </w:r>
    </w:p>
    <w:p>
      <w:pPr>
        <w:spacing w:after="0" w:line="62" w:lineRule="exact"/>
        <w:rPr>
          <w:rFonts w:ascii="Arial" w:cs="Arial" w:eastAsia="Arial" w:hAnsi="Arial"/>
          <w:sz w:val="18"/>
          <w:szCs w:val="18"/>
          <w:color w:val="231F20"/>
        </w:rPr>
      </w:pPr>
    </w:p>
    <w:p>
      <w:pPr>
        <w:ind w:left="660" w:hanging="328"/>
        <w:spacing w:after="0"/>
        <w:tabs>
          <w:tab w:leader="none" w:pos="660" w:val="left"/>
        </w:tabs>
        <w:numPr>
          <w:ilvl w:val="0"/>
          <w:numId w:val="19"/>
        </w:numPr>
        <w:rPr>
          <w:rFonts w:ascii="Arial" w:cs="Arial" w:eastAsia="Arial" w:hAnsi="Arial"/>
          <w:sz w:val="17"/>
          <w:szCs w:val="17"/>
          <w:color w:val="231F20"/>
        </w:rPr>
      </w:pPr>
      <w:r>
        <w:rPr>
          <w:rFonts w:ascii="Arial" w:cs="Arial" w:eastAsia="Arial" w:hAnsi="Arial"/>
          <w:sz w:val="17"/>
          <w:szCs w:val="17"/>
          <w:color w:val="auto"/>
        </w:rPr>
        <w:t>The automotive industry has significant barriers to entry that we must overcome in order to manufacture and sell electric vehicles at scale.</w:t>
      </w:r>
    </w:p>
    <w:p>
      <w:pPr>
        <w:spacing w:after="0" w:line="128" w:lineRule="exact"/>
        <w:rPr>
          <w:rFonts w:ascii="Arial" w:cs="Arial" w:eastAsia="Arial" w:hAnsi="Arial"/>
          <w:sz w:val="17"/>
          <w:szCs w:val="17"/>
          <w:color w:val="231F20"/>
        </w:rPr>
      </w:pPr>
    </w:p>
    <w:p>
      <w:pPr>
        <w:ind w:left="660" w:hanging="328"/>
        <w:spacing w:after="0"/>
        <w:tabs>
          <w:tab w:leader="none" w:pos="660" w:val="left"/>
        </w:tabs>
        <w:numPr>
          <w:ilvl w:val="0"/>
          <w:numId w:val="19"/>
        </w:numPr>
        <w:rPr>
          <w:rFonts w:ascii="Arial" w:cs="Arial" w:eastAsia="Arial" w:hAnsi="Arial"/>
          <w:sz w:val="18"/>
          <w:szCs w:val="18"/>
          <w:color w:val="231F20"/>
        </w:rPr>
      </w:pPr>
      <w:r>
        <w:rPr>
          <w:rFonts w:ascii="Arial" w:cs="Arial" w:eastAsia="Arial" w:hAnsi="Arial"/>
          <w:sz w:val="18"/>
          <w:szCs w:val="18"/>
          <w:color w:val="auto"/>
        </w:rPr>
        <w:t>The automotive market is highly competitive, and we may not be successful in competing in this industry.</w:t>
      </w:r>
    </w:p>
    <w:p>
      <w:pPr>
        <w:spacing w:after="0" w:line="117" w:lineRule="exact"/>
        <w:rPr>
          <w:rFonts w:ascii="Arial" w:cs="Arial" w:eastAsia="Arial" w:hAnsi="Arial"/>
          <w:sz w:val="18"/>
          <w:szCs w:val="18"/>
          <w:color w:val="231F20"/>
        </w:rPr>
      </w:pPr>
    </w:p>
    <w:p>
      <w:pPr>
        <w:ind w:left="660" w:right="600" w:hanging="328"/>
        <w:spacing w:after="0" w:line="277" w:lineRule="auto"/>
        <w:tabs>
          <w:tab w:leader="none" w:pos="655" w:val="left"/>
        </w:tabs>
        <w:numPr>
          <w:ilvl w:val="0"/>
          <w:numId w:val="19"/>
        </w:numPr>
        <w:rPr>
          <w:rFonts w:ascii="Arial" w:cs="Arial" w:eastAsia="Arial" w:hAnsi="Arial"/>
          <w:sz w:val="18"/>
          <w:szCs w:val="18"/>
          <w:color w:val="231F20"/>
        </w:rPr>
      </w:pPr>
      <w:r>
        <w:rPr>
          <w:rFonts w:ascii="Arial" w:cs="Arial" w:eastAsia="Arial" w:hAnsi="Arial"/>
          <w:sz w:val="18"/>
          <w:szCs w:val="18"/>
          <w:color w:val="auto"/>
        </w:rPr>
        <w:t>We have experienced and may in the future experience significant delays in the design, manufacture, launch and financing of our vehicles, including Lucid Air and Lucid Gravity, which could harm our business and prospects.</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9" w:right="359" w:bottom="1440" w:gutter="0" w:footer="0" w:header="0"/>
        </w:sectPr>
      </w:pPr>
    </w:p>
    <w:bookmarkStart w:id="23" w:name="page24"/>
    <w:bookmarkEnd w:id="23"/>
    <w:p>
      <w:pPr>
        <w:ind w:left="328" w:right="20" w:hanging="328"/>
        <w:spacing w:after="0" w:line="263" w:lineRule="auto"/>
        <w:tabs>
          <w:tab w:leader="none" w:pos="323" w:val="left"/>
        </w:tabs>
        <w:numPr>
          <w:ilvl w:val="0"/>
          <w:numId w:val="20"/>
        </w:numPr>
        <w:rPr>
          <w:rFonts w:ascii="Arial" w:cs="Arial" w:eastAsia="Arial" w:hAnsi="Arial"/>
          <w:sz w:val="18"/>
          <w:szCs w:val="18"/>
          <w:color w:val="231F20"/>
        </w:rPr>
      </w:pPr>
      <w:r>
        <w:rPr>
          <w:rFonts w:ascii="Arial" w:cs="Arial" w:eastAsia="Arial" w:hAnsi="Arial"/>
          <w:sz w:val="18"/>
          <w:szCs w:val="18"/>
          <w:color w:val="auto"/>
        </w:rPr>
        <w:t>Our ability to continue production and our future growth depends upon our ability to maintain relationships with our existing suppliers and source suppliers for our critical components, and to complete building out our supply chain, while effectively managing the risks due to such relationships.</w:t>
      </w:r>
    </w:p>
    <w:p>
      <w:pPr>
        <w:spacing w:after="0" w:line="75" w:lineRule="exact"/>
        <w:rPr>
          <w:rFonts w:ascii="Arial" w:cs="Arial" w:eastAsia="Arial" w:hAnsi="Arial"/>
          <w:sz w:val="18"/>
          <w:szCs w:val="18"/>
          <w:color w:val="231F20"/>
        </w:rPr>
      </w:pPr>
    </w:p>
    <w:p>
      <w:pPr>
        <w:ind w:left="328" w:right="260" w:hanging="328"/>
        <w:spacing w:after="0" w:line="301" w:lineRule="auto"/>
        <w:tabs>
          <w:tab w:leader="none" w:pos="323" w:val="left"/>
        </w:tabs>
        <w:numPr>
          <w:ilvl w:val="0"/>
          <w:numId w:val="20"/>
        </w:numPr>
        <w:rPr>
          <w:rFonts w:ascii="Arial" w:cs="Arial" w:eastAsia="Arial" w:hAnsi="Arial"/>
          <w:sz w:val="16"/>
          <w:szCs w:val="16"/>
          <w:color w:val="231F20"/>
        </w:rPr>
      </w:pPr>
      <w:r>
        <w:rPr>
          <w:rFonts w:ascii="Arial" w:cs="Arial" w:eastAsia="Arial" w:hAnsi="Arial"/>
          <w:sz w:val="16"/>
          <w:szCs w:val="16"/>
          <w:color w:val="auto"/>
        </w:rPr>
        <w:t>We are dependent on our suppliers, the majority of which are single-source suppliers, and the inability of these suppliers to deliver necessary components of our products according to our schedule and at prices, quality levels and volumes acceptable to us, or our inability to efficiently manage these components or to implement or maintain effective inventory management and other systems, processes and personnel to support ongoing and increased production, could have a material adverse effect on our results of operations and financial condition.</w:t>
      </w:r>
    </w:p>
    <w:p>
      <w:pPr>
        <w:spacing w:after="0" w:line="49" w:lineRule="exact"/>
        <w:rPr>
          <w:rFonts w:ascii="Arial" w:cs="Arial" w:eastAsia="Arial" w:hAnsi="Arial"/>
          <w:sz w:val="16"/>
          <w:szCs w:val="16"/>
          <w:color w:val="231F20"/>
        </w:rPr>
      </w:pPr>
    </w:p>
    <w:p>
      <w:pPr>
        <w:ind w:left="328" w:right="440" w:hanging="328"/>
        <w:spacing w:after="0" w:line="277" w:lineRule="auto"/>
        <w:tabs>
          <w:tab w:leader="none" w:pos="323" w:val="left"/>
        </w:tabs>
        <w:numPr>
          <w:ilvl w:val="0"/>
          <w:numId w:val="20"/>
        </w:numPr>
        <w:rPr>
          <w:rFonts w:ascii="Arial" w:cs="Arial" w:eastAsia="Arial" w:hAnsi="Arial"/>
          <w:sz w:val="18"/>
          <w:szCs w:val="18"/>
          <w:color w:val="231F20"/>
        </w:rPr>
      </w:pPr>
      <w:r>
        <w:rPr>
          <w:rFonts w:ascii="Arial" w:cs="Arial" w:eastAsia="Arial" w:hAnsi="Arial"/>
          <w:sz w:val="18"/>
          <w:szCs w:val="18"/>
          <w:color w:val="auto"/>
        </w:rPr>
        <w:t>Increases in costs, disruption of supply or shortage of materials, in particular for lithium-ion battery cells or semiconductors, could harm our business.</w:t>
      </w:r>
    </w:p>
    <w:p>
      <w:pPr>
        <w:spacing w:after="0" w:line="62" w:lineRule="exact"/>
        <w:rPr>
          <w:rFonts w:ascii="Arial" w:cs="Arial" w:eastAsia="Arial" w:hAnsi="Arial"/>
          <w:sz w:val="18"/>
          <w:szCs w:val="18"/>
          <w:color w:val="231F20"/>
        </w:rPr>
      </w:pPr>
    </w:p>
    <w:p>
      <w:pPr>
        <w:ind w:left="328" w:right="140" w:hanging="328"/>
        <w:spacing w:after="0" w:line="277" w:lineRule="auto"/>
        <w:tabs>
          <w:tab w:leader="none" w:pos="323" w:val="left"/>
        </w:tabs>
        <w:numPr>
          <w:ilvl w:val="0"/>
          <w:numId w:val="20"/>
        </w:numPr>
        <w:rPr>
          <w:rFonts w:ascii="Arial" w:cs="Arial" w:eastAsia="Arial" w:hAnsi="Arial"/>
          <w:sz w:val="18"/>
          <w:szCs w:val="18"/>
          <w:color w:val="231F20"/>
        </w:rPr>
      </w:pPr>
      <w:r>
        <w:rPr>
          <w:rFonts w:ascii="Arial" w:cs="Arial" w:eastAsia="Arial" w:hAnsi="Arial"/>
          <w:sz w:val="18"/>
          <w:szCs w:val="18"/>
          <w:color w:val="auto"/>
        </w:rPr>
        <w:t>If we fail to successfully tool our manufacturing facilities or if our manufacturing facilities become inoperable, we will be unable to produce our vehicles and our business will be harmed.</w:t>
      </w:r>
    </w:p>
    <w:p>
      <w:pPr>
        <w:spacing w:after="0" w:line="62" w:lineRule="exact"/>
        <w:rPr>
          <w:rFonts w:ascii="Arial" w:cs="Arial" w:eastAsia="Arial" w:hAnsi="Arial"/>
          <w:sz w:val="18"/>
          <w:szCs w:val="18"/>
          <w:color w:val="231F20"/>
        </w:rPr>
      </w:pPr>
    </w:p>
    <w:p>
      <w:pPr>
        <w:ind w:left="328" w:hanging="328"/>
        <w:spacing w:after="0"/>
        <w:tabs>
          <w:tab w:leader="none" w:pos="328" w:val="left"/>
        </w:tabs>
        <w:numPr>
          <w:ilvl w:val="0"/>
          <w:numId w:val="20"/>
        </w:numPr>
        <w:rPr>
          <w:rFonts w:ascii="Arial" w:cs="Arial" w:eastAsia="Arial" w:hAnsi="Arial"/>
          <w:sz w:val="18"/>
          <w:szCs w:val="18"/>
          <w:color w:val="231F20"/>
        </w:rPr>
      </w:pPr>
      <w:r>
        <w:rPr>
          <w:rFonts w:ascii="Arial" w:cs="Arial" w:eastAsia="Arial" w:hAnsi="Arial"/>
          <w:sz w:val="18"/>
          <w:szCs w:val="18"/>
          <w:color w:val="auto"/>
        </w:rPr>
        <w:t>We have limited experience in high volume manufacture of our vehicles.</w:t>
      </w:r>
    </w:p>
    <w:p>
      <w:pPr>
        <w:spacing w:after="0" w:line="117" w:lineRule="exact"/>
        <w:rPr>
          <w:rFonts w:ascii="Arial" w:cs="Arial" w:eastAsia="Arial" w:hAnsi="Arial"/>
          <w:sz w:val="18"/>
          <w:szCs w:val="18"/>
          <w:color w:val="231F20"/>
        </w:rPr>
      </w:pPr>
    </w:p>
    <w:p>
      <w:pPr>
        <w:ind w:left="328" w:hanging="328"/>
        <w:spacing w:after="0"/>
        <w:tabs>
          <w:tab w:leader="none" w:pos="328" w:val="left"/>
        </w:tabs>
        <w:numPr>
          <w:ilvl w:val="0"/>
          <w:numId w:val="20"/>
        </w:numPr>
        <w:rPr>
          <w:rFonts w:ascii="Arial" w:cs="Arial" w:eastAsia="Arial" w:hAnsi="Arial"/>
          <w:sz w:val="18"/>
          <w:szCs w:val="18"/>
          <w:color w:val="231F20"/>
        </w:rPr>
      </w:pPr>
      <w:r>
        <w:rPr>
          <w:rFonts w:ascii="Arial" w:cs="Arial" w:eastAsia="Arial" w:hAnsi="Arial"/>
          <w:sz w:val="18"/>
          <w:szCs w:val="18"/>
          <w:color w:val="auto"/>
        </w:rPr>
        <w:t>If our vehicles fail to perform as expected, our ability to develop, market and sell or lease our products could be harmed.</w:t>
      </w:r>
    </w:p>
    <w:p>
      <w:pPr>
        <w:spacing w:after="0" w:line="117" w:lineRule="exact"/>
        <w:rPr>
          <w:rFonts w:ascii="Arial" w:cs="Arial" w:eastAsia="Arial" w:hAnsi="Arial"/>
          <w:sz w:val="18"/>
          <w:szCs w:val="18"/>
          <w:color w:val="231F20"/>
        </w:rPr>
      </w:pPr>
    </w:p>
    <w:p>
      <w:pPr>
        <w:ind w:left="328" w:hanging="328"/>
        <w:spacing w:after="0"/>
        <w:tabs>
          <w:tab w:leader="none" w:pos="328" w:val="left"/>
        </w:tabs>
        <w:numPr>
          <w:ilvl w:val="0"/>
          <w:numId w:val="20"/>
        </w:numPr>
        <w:rPr>
          <w:rFonts w:ascii="Arial" w:cs="Arial" w:eastAsia="Arial" w:hAnsi="Arial"/>
          <w:sz w:val="18"/>
          <w:szCs w:val="18"/>
          <w:color w:val="231F20"/>
        </w:rPr>
      </w:pPr>
      <w:r>
        <w:rPr>
          <w:rFonts w:ascii="Arial" w:cs="Arial" w:eastAsia="Arial" w:hAnsi="Arial"/>
          <w:sz w:val="18"/>
          <w:szCs w:val="18"/>
          <w:color w:val="auto"/>
        </w:rPr>
        <w:t>We face challenges providing charging solutions for our vehicles, both domestically and internationally.</w:t>
      </w:r>
    </w:p>
    <w:p>
      <w:pPr>
        <w:spacing w:after="0" w:line="117" w:lineRule="exact"/>
        <w:rPr>
          <w:rFonts w:ascii="Arial" w:cs="Arial" w:eastAsia="Arial" w:hAnsi="Arial"/>
          <w:sz w:val="18"/>
          <w:szCs w:val="18"/>
          <w:color w:val="231F20"/>
        </w:rPr>
      </w:pPr>
    </w:p>
    <w:p>
      <w:pPr>
        <w:ind w:left="328" w:right="600" w:hanging="328"/>
        <w:spacing w:after="0" w:line="342" w:lineRule="auto"/>
        <w:tabs>
          <w:tab w:leader="none" w:pos="323" w:val="left"/>
        </w:tabs>
        <w:numPr>
          <w:ilvl w:val="0"/>
          <w:numId w:val="20"/>
        </w:numPr>
        <w:rPr>
          <w:rFonts w:ascii="Arial" w:cs="Arial" w:eastAsia="Arial" w:hAnsi="Arial"/>
          <w:sz w:val="16"/>
          <w:szCs w:val="16"/>
          <w:color w:val="231F20"/>
        </w:rPr>
      </w:pPr>
      <w:r>
        <w:rPr>
          <w:rFonts w:ascii="Arial" w:cs="Arial" w:eastAsia="Arial" w:hAnsi="Arial"/>
          <w:sz w:val="16"/>
          <w:szCs w:val="16"/>
          <w:color w:val="auto"/>
        </w:rPr>
        <w:t>We have limited experience servicing our vehicles and their integrated software. If we or our partners are unable to adequately service our vehicles, our business, prospects, financial condition and results of operations may be materially and adversely affected.</w:t>
      </w:r>
    </w:p>
    <w:p>
      <w:pPr>
        <w:spacing w:after="0" w:line="15" w:lineRule="exact"/>
        <w:rPr>
          <w:rFonts w:ascii="Arial" w:cs="Arial" w:eastAsia="Arial" w:hAnsi="Arial"/>
          <w:sz w:val="16"/>
          <w:szCs w:val="16"/>
          <w:color w:val="231F20"/>
        </w:rPr>
      </w:pPr>
    </w:p>
    <w:p>
      <w:pPr>
        <w:ind w:left="328" w:right="340" w:hanging="328"/>
        <w:spacing w:after="0" w:line="308" w:lineRule="auto"/>
        <w:tabs>
          <w:tab w:leader="none" w:pos="323" w:val="left"/>
        </w:tabs>
        <w:numPr>
          <w:ilvl w:val="0"/>
          <w:numId w:val="20"/>
        </w:numPr>
        <w:rPr>
          <w:rFonts w:ascii="Arial" w:cs="Arial" w:eastAsia="Arial" w:hAnsi="Arial"/>
          <w:sz w:val="17"/>
          <w:szCs w:val="17"/>
          <w:color w:val="231F20"/>
        </w:rPr>
      </w:pPr>
      <w:r>
        <w:rPr>
          <w:rFonts w:ascii="Arial" w:cs="Arial" w:eastAsia="Arial" w:hAnsi="Arial"/>
          <w:sz w:val="17"/>
          <w:szCs w:val="17"/>
          <w:color w:val="auto"/>
        </w:rPr>
        <w:t>Insufficient reserves to cover future warranty or part replacement needs or other vehicle repair requirements, including any potential software upgrades, could materially adversely affect our business, prospects, financial condition and results of operations.</w:t>
      </w:r>
    </w:p>
    <w:p>
      <w:pPr>
        <w:spacing w:after="0" w:line="38" w:lineRule="exact"/>
        <w:rPr>
          <w:rFonts w:ascii="Arial" w:cs="Arial" w:eastAsia="Arial" w:hAnsi="Arial"/>
          <w:sz w:val="17"/>
          <w:szCs w:val="17"/>
          <w:color w:val="231F20"/>
        </w:rPr>
      </w:pPr>
    </w:p>
    <w:p>
      <w:pPr>
        <w:ind w:left="328" w:hanging="328"/>
        <w:spacing w:after="0" w:line="263" w:lineRule="auto"/>
        <w:tabs>
          <w:tab w:leader="none" w:pos="323" w:val="left"/>
        </w:tabs>
        <w:numPr>
          <w:ilvl w:val="0"/>
          <w:numId w:val="20"/>
        </w:numPr>
        <w:rPr>
          <w:rFonts w:ascii="Arial" w:cs="Arial" w:eastAsia="Arial" w:hAnsi="Arial"/>
          <w:sz w:val="18"/>
          <w:szCs w:val="18"/>
          <w:color w:val="231F20"/>
        </w:rPr>
      </w:pPr>
      <w:r>
        <w:rPr>
          <w:rFonts w:ascii="Arial" w:cs="Arial" w:eastAsia="Arial" w:hAnsi="Arial"/>
          <w:sz w:val="18"/>
          <w:szCs w:val="18"/>
          <w:color w:val="auto"/>
        </w:rPr>
        <w:t>We may not be able to accurately estimate the supply and demand for our vehicles, which could result in a variety of inefficiencies in our business and hinder our ability to generate revenue. If we fail to accurately predict our manufacturing requirements, we could incur additional costs or experience delays.</w:t>
      </w:r>
    </w:p>
    <w:p>
      <w:pPr>
        <w:spacing w:after="0" w:line="75" w:lineRule="exact"/>
        <w:rPr>
          <w:rFonts w:ascii="Arial" w:cs="Arial" w:eastAsia="Arial" w:hAnsi="Arial"/>
          <w:sz w:val="18"/>
          <w:szCs w:val="18"/>
          <w:color w:val="231F20"/>
        </w:rPr>
      </w:pPr>
    </w:p>
    <w:p>
      <w:pPr>
        <w:jc w:val="both"/>
        <w:ind w:left="328" w:right="60" w:hanging="328"/>
        <w:spacing w:after="0" w:line="263" w:lineRule="auto"/>
        <w:tabs>
          <w:tab w:leader="none" w:pos="323" w:val="left"/>
        </w:tabs>
        <w:numPr>
          <w:ilvl w:val="0"/>
          <w:numId w:val="20"/>
        </w:numPr>
        <w:rPr>
          <w:rFonts w:ascii="Arial" w:cs="Arial" w:eastAsia="Arial" w:hAnsi="Arial"/>
          <w:sz w:val="18"/>
          <w:szCs w:val="18"/>
          <w:color w:val="231F20"/>
        </w:rPr>
      </w:pPr>
      <w:r>
        <w:rPr>
          <w:rFonts w:ascii="Arial" w:cs="Arial" w:eastAsia="Arial" w:hAnsi="Arial"/>
          <w:sz w:val="18"/>
          <w:szCs w:val="18"/>
          <w:color w:val="auto"/>
        </w:rPr>
        <w:t>Any unauthorized control, manipulation, interruption or compromise of or access to our products or information technology systems could result in loss of confidence in us and our products, harm our business and materially adversely affect our financial performance, results of operations or prospects.</w:t>
      </w:r>
    </w:p>
    <w:p>
      <w:pPr>
        <w:spacing w:after="0" w:line="75" w:lineRule="exact"/>
        <w:rPr>
          <w:rFonts w:ascii="Arial" w:cs="Arial" w:eastAsia="Arial" w:hAnsi="Arial"/>
          <w:sz w:val="18"/>
          <w:szCs w:val="18"/>
          <w:color w:val="231F20"/>
        </w:rPr>
      </w:pPr>
    </w:p>
    <w:p>
      <w:pPr>
        <w:ind w:left="328" w:right="20" w:hanging="328"/>
        <w:spacing w:after="0" w:line="263" w:lineRule="auto"/>
        <w:tabs>
          <w:tab w:leader="none" w:pos="323" w:val="left"/>
        </w:tabs>
        <w:numPr>
          <w:ilvl w:val="0"/>
          <w:numId w:val="20"/>
        </w:numPr>
        <w:rPr>
          <w:rFonts w:ascii="Arial" w:cs="Arial" w:eastAsia="Arial" w:hAnsi="Arial"/>
          <w:sz w:val="18"/>
          <w:szCs w:val="18"/>
          <w:color w:val="231F20"/>
        </w:rPr>
      </w:pPr>
      <w:r>
        <w:rPr>
          <w:rFonts w:ascii="Arial" w:cs="Arial" w:eastAsia="Arial" w:hAnsi="Arial"/>
          <w:sz w:val="18"/>
          <w:szCs w:val="18"/>
          <w:color w:val="231F20"/>
        </w:rPr>
        <w:t>We are subject to evolving laws, regulations, standards, policies, and contractual obligations related to data privacy and security, and any actual or perceived failure to comply with such obligations could harm our reputation and brand, subject us to significant fines and liability, or otherwise adversely affect our business.</w:t>
      </w:r>
    </w:p>
    <w:p>
      <w:pPr>
        <w:spacing w:after="0" w:line="75" w:lineRule="exact"/>
        <w:rPr>
          <w:rFonts w:ascii="Arial" w:cs="Arial" w:eastAsia="Arial" w:hAnsi="Arial"/>
          <w:sz w:val="18"/>
          <w:szCs w:val="18"/>
          <w:color w:val="231F20"/>
        </w:rPr>
      </w:pPr>
    </w:p>
    <w:p>
      <w:pPr>
        <w:ind w:left="328" w:hanging="328"/>
        <w:spacing w:after="0"/>
        <w:tabs>
          <w:tab w:leader="none" w:pos="328" w:val="left"/>
        </w:tabs>
        <w:numPr>
          <w:ilvl w:val="0"/>
          <w:numId w:val="20"/>
        </w:numPr>
        <w:rPr>
          <w:rFonts w:ascii="Arial" w:cs="Arial" w:eastAsia="Arial" w:hAnsi="Arial"/>
          <w:sz w:val="17"/>
          <w:szCs w:val="17"/>
          <w:color w:val="231F20"/>
        </w:rPr>
      </w:pPr>
      <w:r>
        <w:rPr>
          <w:rFonts w:ascii="Arial" w:cs="Arial" w:eastAsia="Arial" w:hAnsi="Arial"/>
          <w:sz w:val="17"/>
          <w:szCs w:val="17"/>
          <w:color w:val="auto"/>
        </w:rPr>
        <w:t>The loss of key personnel or an inability to attract, retain and motivate qualified personnel may impair our ability to expand our business.</w:t>
      </w:r>
    </w:p>
    <w:p>
      <w:pPr>
        <w:spacing w:after="0" w:line="128" w:lineRule="exact"/>
        <w:rPr>
          <w:rFonts w:ascii="Arial" w:cs="Arial" w:eastAsia="Arial" w:hAnsi="Arial"/>
          <w:sz w:val="17"/>
          <w:szCs w:val="17"/>
          <w:color w:val="231F20"/>
        </w:rPr>
      </w:pPr>
    </w:p>
    <w:p>
      <w:pPr>
        <w:ind w:left="328" w:hanging="328"/>
        <w:spacing w:after="0"/>
        <w:tabs>
          <w:tab w:leader="none" w:pos="328" w:val="left"/>
        </w:tabs>
        <w:numPr>
          <w:ilvl w:val="0"/>
          <w:numId w:val="20"/>
        </w:numPr>
        <w:rPr>
          <w:rFonts w:ascii="Arial" w:cs="Arial" w:eastAsia="Arial" w:hAnsi="Arial"/>
          <w:sz w:val="18"/>
          <w:szCs w:val="18"/>
          <w:color w:val="231F20"/>
        </w:rPr>
      </w:pPr>
      <w:r>
        <w:rPr>
          <w:rFonts w:ascii="Arial" w:cs="Arial" w:eastAsia="Arial" w:hAnsi="Arial"/>
          <w:sz w:val="18"/>
          <w:szCs w:val="18"/>
          <w:color w:val="auto"/>
        </w:rPr>
        <w:t>We are highly dependent on the services of Peter Rawlinson, our Chief Executive Officer and Chief Technology Officer.</w:t>
      </w:r>
    </w:p>
    <w:p>
      <w:pPr>
        <w:spacing w:after="0" w:line="117" w:lineRule="exact"/>
        <w:rPr>
          <w:rFonts w:ascii="Arial" w:cs="Arial" w:eastAsia="Arial" w:hAnsi="Arial"/>
          <w:sz w:val="18"/>
          <w:szCs w:val="18"/>
          <w:color w:val="231F20"/>
        </w:rPr>
      </w:pPr>
    </w:p>
    <w:p>
      <w:pPr>
        <w:ind w:left="328" w:right="40" w:hanging="328"/>
        <w:spacing w:after="0" w:line="263" w:lineRule="auto"/>
        <w:tabs>
          <w:tab w:leader="none" w:pos="323" w:val="left"/>
        </w:tabs>
        <w:numPr>
          <w:ilvl w:val="0"/>
          <w:numId w:val="20"/>
        </w:numPr>
        <w:rPr>
          <w:rFonts w:ascii="Arial" w:cs="Arial" w:eastAsia="Arial" w:hAnsi="Arial"/>
          <w:sz w:val="18"/>
          <w:szCs w:val="18"/>
          <w:color w:val="231F20"/>
        </w:rPr>
      </w:pPr>
      <w:r>
        <w:rPr>
          <w:rFonts w:ascii="Arial" w:cs="Arial" w:eastAsia="Arial" w:hAnsi="Arial"/>
          <w:sz w:val="18"/>
          <w:szCs w:val="18"/>
          <w:color w:val="auto"/>
        </w:rPr>
        <w:t>We are subject to substantial laws and regulations that could impose substantial costs, legal prohibitions or unfavorable changes upon our operations or products, and any failure to comply with these laws and regulations, including as they evolve, could substantially harm our business and results of operations.</w:t>
      </w:r>
    </w:p>
    <w:p>
      <w:pPr>
        <w:spacing w:after="0" w:line="75" w:lineRule="exact"/>
        <w:rPr>
          <w:rFonts w:ascii="Arial" w:cs="Arial" w:eastAsia="Arial" w:hAnsi="Arial"/>
          <w:sz w:val="18"/>
          <w:szCs w:val="18"/>
          <w:color w:val="231F20"/>
        </w:rPr>
      </w:pPr>
    </w:p>
    <w:p>
      <w:pPr>
        <w:ind w:left="328" w:right="560" w:hanging="328"/>
        <w:spacing w:after="0" w:line="277" w:lineRule="auto"/>
        <w:tabs>
          <w:tab w:leader="none" w:pos="323" w:val="left"/>
        </w:tabs>
        <w:numPr>
          <w:ilvl w:val="0"/>
          <w:numId w:val="20"/>
        </w:numPr>
        <w:rPr>
          <w:rFonts w:ascii="Arial" w:cs="Arial" w:eastAsia="Arial" w:hAnsi="Arial"/>
          <w:sz w:val="18"/>
          <w:szCs w:val="18"/>
          <w:color w:val="231F20"/>
        </w:rPr>
      </w:pPr>
      <w:r>
        <w:rPr>
          <w:rFonts w:ascii="Arial" w:cs="Arial" w:eastAsia="Arial" w:hAnsi="Arial"/>
          <w:sz w:val="18"/>
          <w:szCs w:val="18"/>
          <w:color w:val="auto"/>
        </w:rPr>
        <w:t>We may face regulatory limitations on our ability to sell vehicles directly, which could materially and adversely affect its ability to sell our vehicles.</w:t>
      </w:r>
    </w:p>
    <w:p>
      <w:pPr>
        <w:spacing w:after="0" w:line="62" w:lineRule="exact"/>
        <w:rPr>
          <w:rFonts w:ascii="Arial" w:cs="Arial" w:eastAsia="Arial" w:hAnsi="Arial"/>
          <w:sz w:val="18"/>
          <w:szCs w:val="18"/>
          <w:color w:val="231F20"/>
        </w:rPr>
      </w:pPr>
    </w:p>
    <w:p>
      <w:pPr>
        <w:ind w:left="328" w:right="100" w:hanging="328"/>
        <w:spacing w:after="0" w:line="263" w:lineRule="auto"/>
        <w:tabs>
          <w:tab w:leader="none" w:pos="323" w:val="left"/>
        </w:tabs>
        <w:numPr>
          <w:ilvl w:val="0"/>
          <w:numId w:val="20"/>
        </w:numPr>
        <w:rPr>
          <w:rFonts w:ascii="Arial" w:cs="Arial" w:eastAsia="Arial" w:hAnsi="Arial"/>
          <w:sz w:val="18"/>
          <w:szCs w:val="18"/>
          <w:color w:val="231F20"/>
        </w:rPr>
      </w:pPr>
      <w:r>
        <w:rPr>
          <w:rFonts w:ascii="Arial" w:cs="Arial" w:eastAsia="Arial" w:hAnsi="Arial"/>
          <w:sz w:val="18"/>
          <w:szCs w:val="18"/>
          <w:color w:val="auto"/>
        </w:rPr>
        <w:t>We may fail to adequately obtain, maintain, enforce and protect our intellectual property and may not be able to prevent third parties from unauthorized use of our intellectual property and proprietary technology. If we are unsuccessful in any of the foregoing, our competitive position could be harmed and we could be required to incur significant expenses to enforce our rights.</w:t>
      </w:r>
    </w:p>
    <w:p>
      <w:pPr>
        <w:spacing w:after="0" w:line="75" w:lineRule="exact"/>
        <w:rPr>
          <w:rFonts w:ascii="Arial" w:cs="Arial" w:eastAsia="Arial" w:hAnsi="Arial"/>
          <w:sz w:val="18"/>
          <w:szCs w:val="18"/>
          <w:color w:val="231F20"/>
        </w:rPr>
      </w:pPr>
    </w:p>
    <w:p>
      <w:pPr>
        <w:ind w:left="328" w:hanging="328"/>
        <w:spacing w:after="0"/>
        <w:tabs>
          <w:tab w:leader="none" w:pos="328" w:val="left"/>
        </w:tabs>
        <w:numPr>
          <w:ilvl w:val="0"/>
          <w:numId w:val="20"/>
        </w:numPr>
        <w:rPr>
          <w:rFonts w:ascii="Arial" w:cs="Arial" w:eastAsia="Arial" w:hAnsi="Arial"/>
          <w:sz w:val="16"/>
          <w:szCs w:val="16"/>
          <w:color w:val="231F20"/>
        </w:rPr>
      </w:pPr>
      <w:r>
        <w:rPr>
          <w:rFonts w:ascii="Arial" w:cs="Arial" w:eastAsia="Arial" w:hAnsi="Arial"/>
          <w:sz w:val="16"/>
          <w:szCs w:val="16"/>
          <w:color w:val="auto"/>
        </w:rPr>
        <w:t>We will require additional capital to support business growth, and this capital might not be available on commercially reasonable terms, or at all.</w:t>
      </w:r>
    </w:p>
    <w:p>
      <w:pPr>
        <w:spacing w:after="0" w:line="140" w:lineRule="exact"/>
        <w:rPr>
          <w:rFonts w:ascii="Arial" w:cs="Arial" w:eastAsia="Arial" w:hAnsi="Arial"/>
          <w:sz w:val="16"/>
          <w:szCs w:val="16"/>
          <w:color w:val="231F20"/>
        </w:rPr>
      </w:pPr>
    </w:p>
    <w:p>
      <w:pPr>
        <w:ind w:left="328" w:right="200" w:hanging="328"/>
        <w:spacing w:after="0" w:line="263" w:lineRule="auto"/>
        <w:tabs>
          <w:tab w:leader="none" w:pos="323" w:val="left"/>
        </w:tabs>
        <w:numPr>
          <w:ilvl w:val="0"/>
          <w:numId w:val="20"/>
        </w:numPr>
        <w:rPr>
          <w:rFonts w:ascii="Arial" w:cs="Arial" w:eastAsia="Arial" w:hAnsi="Arial"/>
          <w:sz w:val="18"/>
          <w:szCs w:val="18"/>
          <w:color w:val="231F20"/>
        </w:rPr>
      </w:pPr>
      <w:r>
        <w:rPr>
          <w:rFonts w:ascii="Arial" w:cs="Arial" w:eastAsia="Arial" w:hAnsi="Arial"/>
          <w:sz w:val="18"/>
          <w:szCs w:val="18"/>
          <w:color w:val="auto"/>
        </w:rPr>
        <w:t>If we identify material weaknesses or otherwise fail to maintain an effective system of internal control over financial reporting, we may not be able to accurately or timely report our financial condition or results of operations, which may adversely affect investor confidence in us and the value of our common stock.</w:t>
      </w:r>
    </w:p>
    <w:p>
      <w:pPr>
        <w:spacing w:after="0" w:line="75" w:lineRule="exact"/>
        <w:rPr>
          <w:rFonts w:ascii="Arial" w:cs="Arial" w:eastAsia="Arial" w:hAnsi="Arial"/>
          <w:sz w:val="18"/>
          <w:szCs w:val="18"/>
          <w:color w:val="231F20"/>
        </w:rPr>
      </w:pPr>
    </w:p>
    <w:p>
      <w:pPr>
        <w:jc w:val="both"/>
        <w:ind w:left="328" w:right="600" w:hanging="328"/>
        <w:spacing w:after="0" w:line="263" w:lineRule="auto"/>
        <w:tabs>
          <w:tab w:leader="none" w:pos="323" w:val="left"/>
        </w:tabs>
        <w:numPr>
          <w:ilvl w:val="0"/>
          <w:numId w:val="20"/>
        </w:numPr>
        <w:rPr>
          <w:rFonts w:ascii="Arial" w:cs="Arial" w:eastAsia="Arial" w:hAnsi="Arial"/>
          <w:sz w:val="18"/>
          <w:szCs w:val="18"/>
          <w:color w:val="231F20"/>
        </w:rPr>
      </w:pPr>
      <w:r>
        <w:rPr>
          <w:rFonts w:ascii="Arial" w:cs="Arial" w:eastAsia="Arial" w:hAnsi="Arial"/>
          <w:sz w:val="18"/>
          <w:szCs w:val="18"/>
          <w:color w:val="auto"/>
        </w:rPr>
        <w:t>We are a “controlled company” within the meaning of the applicable rules of Nasdaq and, as a result, qualify for exemptions from certain corporate governance requirements. Our stockholders do not have the same protections afforded to stockholders of companies that are not controlled companies.</w:t>
      </w:r>
    </w:p>
    <w:p>
      <w:pPr>
        <w:spacing w:after="0" w:line="75" w:lineRule="exact"/>
        <w:rPr>
          <w:rFonts w:ascii="Arial" w:cs="Arial" w:eastAsia="Arial" w:hAnsi="Arial"/>
          <w:sz w:val="18"/>
          <w:szCs w:val="18"/>
          <w:color w:val="231F20"/>
        </w:rPr>
      </w:pPr>
    </w:p>
    <w:p>
      <w:pPr>
        <w:ind w:left="328" w:hanging="328"/>
        <w:spacing w:after="0"/>
        <w:tabs>
          <w:tab w:leader="none" w:pos="328" w:val="left"/>
        </w:tabs>
        <w:numPr>
          <w:ilvl w:val="0"/>
          <w:numId w:val="20"/>
        </w:numPr>
        <w:rPr>
          <w:rFonts w:ascii="Arial" w:cs="Arial" w:eastAsia="Arial" w:hAnsi="Arial"/>
          <w:sz w:val="18"/>
          <w:szCs w:val="18"/>
          <w:color w:val="231F20"/>
        </w:rPr>
      </w:pPr>
      <w:r>
        <w:rPr>
          <w:rFonts w:ascii="Arial" w:cs="Arial" w:eastAsia="Arial" w:hAnsi="Arial"/>
          <w:sz w:val="18"/>
          <w:szCs w:val="18"/>
          <w:color w:val="auto"/>
        </w:rPr>
        <w:t>PIF and Ayar beneficially own a significant equity interest in us and may take actions that conflict with other shareholder interests.</w:t>
      </w:r>
    </w:p>
    <w:p>
      <w:pPr>
        <w:spacing w:after="0" w:line="279" w:lineRule="exact"/>
        <w:rPr>
          <w:sz w:val="20"/>
          <w:szCs w:val="20"/>
          <w:color w:val="auto"/>
        </w:rPr>
      </w:pPr>
    </w:p>
    <w:p>
      <w:pPr>
        <w:jc w:val="center"/>
        <w:ind w:right="252"/>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8"/>
          </w:cols>
          <w:pgMar w:left="652" w:top="881" w:right="39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231F20"/>
        </w:rPr>
        <w:t>Risks Related to Our Business and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31F20"/>
        </w:rPr>
        <w:t>Our limited operating history makes evaluating our business and future prospects difficult and may increase the risk of your investment.</w:t>
      </w:r>
    </w:p>
    <w:p>
      <w:pPr>
        <w:spacing w:after="0" w:line="23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231F20"/>
        </w:rPr>
        <w:t>We are an early-stage company with a limited operating history, operating in a rapidly evolving and highly regulated market. Furthermore, we have only released one commercially available vehicle, and we have limited experience manufacturing or selling a commercial product at scale. Because we have yet to generate significant revenue from the sale of electric vehicles, and as a result of the capital-intensive nature of our business, we expect to continue to incur substantial operating losses for the foreseeable future.</w:t>
      </w:r>
    </w:p>
    <w:p>
      <w:pPr>
        <w:spacing w:after="0" w:line="187" w:lineRule="exact"/>
        <w:rPr>
          <w:sz w:val="20"/>
          <w:szCs w:val="20"/>
          <w:color w:val="auto"/>
        </w:rPr>
      </w:pPr>
    </w:p>
    <w:p>
      <w:pPr>
        <w:spacing w:after="0" w:line="277" w:lineRule="auto"/>
        <w:rPr>
          <w:sz w:val="20"/>
          <w:szCs w:val="20"/>
          <w:color w:val="auto"/>
        </w:rPr>
      </w:pPr>
      <w:r>
        <w:rPr>
          <w:rFonts w:ascii="Arial" w:cs="Arial" w:eastAsia="Arial" w:hAnsi="Arial"/>
          <w:sz w:val="18"/>
          <w:szCs w:val="18"/>
          <w:color w:val="231F20"/>
        </w:rPr>
        <w:t>We have encountered and expect to continue to encounter risks and uncertainties frequently experienced by early-stage companies in rapidly changing markets, including risks relating to our ability to, among other things:</w:t>
      </w:r>
    </w:p>
    <w:p>
      <w:pPr>
        <w:spacing w:after="0" w:line="62"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231F20"/>
        </w:rPr>
      </w:pPr>
      <w:r>
        <w:rPr>
          <w:rFonts w:ascii="Arial" w:cs="Arial" w:eastAsia="Arial" w:hAnsi="Arial"/>
          <w:sz w:val="18"/>
          <w:szCs w:val="18"/>
          <w:color w:val="231F20"/>
        </w:rPr>
        <w:t>hire, integrate and retain professional and technical talent, including key members of management;</w:t>
      </w:r>
    </w:p>
    <w:p>
      <w:pPr>
        <w:spacing w:after="0" w:line="117" w:lineRule="exact"/>
        <w:rPr>
          <w:rFonts w:ascii="Arial" w:cs="Arial" w:eastAsia="Arial" w:hAnsi="Arial"/>
          <w:sz w:val="18"/>
          <w:szCs w:val="18"/>
          <w:color w:val="231F20"/>
        </w:rPr>
      </w:pPr>
    </w:p>
    <w:p>
      <w:pPr>
        <w:ind w:left="660" w:hanging="328"/>
        <w:spacing w:after="0"/>
        <w:tabs>
          <w:tab w:leader="none" w:pos="660" w:val="left"/>
        </w:tabs>
        <w:numPr>
          <w:ilvl w:val="0"/>
          <w:numId w:val="21"/>
        </w:numPr>
        <w:rPr>
          <w:rFonts w:ascii="Arial" w:cs="Arial" w:eastAsia="Arial" w:hAnsi="Arial"/>
          <w:sz w:val="18"/>
          <w:szCs w:val="18"/>
          <w:color w:val="231F20"/>
        </w:rPr>
      </w:pPr>
      <w:r>
        <w:rPr>
          <w:rFonts w:ascii="Arial" w:cs="Arial" w:eastAsia="Arial" w:hAnsi="Arial"/>
          <w:sz w:val="18"/>
          <w:szCs w:val="18"/>
          <w:color w:val="231F20"/>
        </w:rPr>
        <w:t>continue to make significant investments in research, development, manufacturing, marketing and sales;</w:t>
      </w:r>
    </w:p>
    <w:p>
      <w:pPr>
        <w:spacing w:after="0" w:line="117" w:lineRule="exact"/>
        <w:rPr>
          <w:rFonts w:ascii="Arial" w:cs="Arial" w:eastAsia="Arial" w:hAnsi="Arial"/>
          <w:sz w:val="18"/>
          <w:szCs w:val="18"/>
          <w:color w:val="231F20"/>
        </w:rPr>
      </w:pPr>
    </w:p>
    <w:p>
      <w:pPr>
        <w:ind w:left="660" w:right="620" w:hanging="328"/>
        <w:spacing w:after="0" w:line="277" w:lineRule="auto"/>
        <w:tabs>
          <w:tab w:leader="none" w:pos="655" w:val="left"/>
        </w:tabs>
        <w:numPr>
          <w:ilvl w:val="0"/>
          <w:numId w:val="21"/>
        </w:numPr>
        <w:rPr>
          <w:rFonts w:ascii="Arial" w:cs="Arial" w:eastAsia="Arial" w:hAnsi="Arial"/>
          <w:sz w:val="18"/>
          <w:szCs w:val="18"/>
          <w:color w:val="231F20"/>
        </w:rPr>
      </w:pPr>
      <w:r>
        <w:rPr>
          <w:rFonts w:ascii="Arial" w:cs="Arial" w:eastAsia="Arial" w:hAnsi="Arial"/>
          <w:sz w:val="18"/>
          <w:szCs w:val="18"/>
          <w:color w:val="231F20"/>
        </w:rPr>
        <w:t>successfully obtain, maintain, protect and enforce our intellectual property and defend against claims of intellectual property infringement, misappropriation or other violation;</w:t>
      </w:r>
    </w:p>
    <w:p>
      <w:pPr>
        <w:spacing w:after="0" w:line="62" w:lineRule="exact"/>
        <w:rPr>
          <w:rFonts w:ascii="Arial" w:cs="Arial" w:eastAsia="Arial" w:hAnsi="Arial"/>
          <w:sz w:val="18"/>
          <w:szCs w:val="18"/>
          <w:color w:val="231F20"/>
        </w:rPr>
      </w:pPr>
    </w:p>
    <w:p>
      <w:pPr>
        <w:ind w:left="660" w:hanging="328"/>
        <w:spacing w:after="0"/>
        <w:tabs>
          <w:tab w:leader="none" w:pos="660" w:val="left"/>
        </w:tabs>
        <w:numPr>
          <w:ilvl w:val="0"/>
          <w:numId w:val="21"/>
        </w:numPr>
        <w:rPr>
          <w:rFonts w:ascii="Arial" w:cs="Arial" w:eastAsia="Arial" w:hAnsi="Arial"/>
          <w:sz w:val="18"/>
          <w:szCs w:val="18"/>
          <w:color w:val="231F20"/>
        </w:rPr>
      </w:pPr>
      <w:r>
        <w:rPr>
          <w:rFonts w:ascii="Arial" w:cs="Arial" w:eastAsia="Arial" w:hAnsi="Arial"/>
          <w:sz w:val="18"/>
          <w:szCs w:val="18"/>
          <w:color w:val="231F20"/>
        </w:rPr>
        <w:t>build a well-recognized and respected brand;</w:t>
      </w:r>
    </w:p>
    <w:p>
      <w:pPr>
        <w:spacing w:after="0" w:line="117" w:lineRule="exact"/>
        <w:rPr>
          <w:rFonts w:ascii="Arial" w:cs="Arial" w:eastAsia="Arial" w:hAnsi="Arial"/>
          <w:sz w:val="18"/>
          <w:szCs w:val="18"/>
          <w:color w:val="231F20"/>
        </w:rPr>
      </w:pPr>
    </w:p>
    <w:p>
      <w:pPr>
        <w:ind w:left="660" w:hanging="328"/>
        <w:spacing w:after="0"/>
        <w:tabs>
          <w:tab w:leader="none" w:pos="660" w:val="left"/>
        </w:tabs>
        <w:numPr>
          <w:ilvl w:val="0"/>
          <w:numId w:val="21"/>
        </w:numPr>
        <w:rPr>
          <w:rFonts w:ascii="Arial" w:cs="Arial" w:eastAsia="Arial" w:hAnsi="Arial"/>
          <w:sz w:val="18"/>
          <w:szCs w:val="18"/>
          <w:color w:val="231F20"/>
        </w:rPr>
      </w:pPr>
      <w:r>
        <w:rPr>
          <w:rFonts w:ascii="Arial" w:cs="Arial" w:eastAsia="Arial" w:hAnsi="Arial"/>
          <w:sz w:val="18"/>
          <w:szCs w:val="18"/>
          <w:color w:val="231F20"/>
        </w:rPr>
        <w:t>establish, implement, refine and scale our commercial manufacturing capabilities and distribution infrastructure;</w:t>
      </w:r>
    </w:p>
    <w:p>
      <w:pPr>
        <w:spacing w:after="0" w:line="117" w:lineRule="exact"/>
        <w:rPr>
          <w:rFonts w:ascii="Arial" w:cs="Arial" w:eastAsia="Arial" w:hAnsi="Arial"/>
          <w:sz w:val="18"/>
          <w:szCs w:val="18"/>
          <w:color w:val="231F20"/>
        </w:rPr>
      </w:pPr>
    </w:p>
    <w:p>
      <w:pPr>
        <w:ind w:left="660" w:hanging="328"/>
        <w:spacing w:after="0"/>
        <w:tabs>
          <w:tab w:leader="none" w:pos="660" w:val="left"/>
        </w:tabs>
        <w:numPr>
          <w:ilvl w:val="0"/>
          <w:numId w:val="21"/>
        </w:numPr>
        <w:rPr>
          <w:rFonts w:ascii="Arial" w:cs="Arial" w:eastAsia="Arial" w:hAnsi="Arial"/>
          <w:sz w:val="18"/>
          <w:szCs w:val="18"/>
          <w:color w:val="231F20"/>
        </w:rPr>
      </w:pPr>
      <w:r>
        <w:rPr>
          <w:rFonts w:ascii="Arial" w:cs="Arial" w:eastAsia="Arial" w:hAnsi="Arial"/>
          <w:sz w:val="18"/>
          <w:szCs w:val="18"/>
          <w:color w:val="231F20"/>
        </w:rPr>
        <w:t>establish and maintain satisfactory arrangements with third-party suppliers;</w:t>
      </w:r>
    </w:p>
    <w:p>
      <w:pPr>
        <w:spacing w:after="0" w:line="117" w:lineRule="exact"/>
        <w:rPr>
          <w:rFonts w:ascii="Arial" w:cs="Arial" w:eastAsia="Arial" w:hAnsi="Arial"/>
          <w:sz w:val="18"/>
          <w:szCs w:val="18"/>
          <w:color w:val="231F20"/>
        </w:rPr>
      </w:pPr>
    </w:p>
    <w:p>
      <w:pPr>
        <w:ind w:left="660" w:hanging="328"/>
        <w:spacing w:after="0"/>
        <w:tabs>
          <w:tab w:leader="none" w:pos="660" w:val="left"/>
        </w:tabs>
        <w:numPr>
          <w:ilvl w:val="0"/>
          <w:numId w:val="21"/>
        </w:numPr>
        <w:rPr>
          <w:rFonts w:ascii="Arial" w:cs="Arial" w:eastAsia="Arial" w:hAnsi="Arial"/>
          <w:sz w:val="18"/>
          <w:szCs w:val="18"/>
          <w:color w:val="231F20"/>
        </w:rPr>
      </w:pPr>
      <w:r>
        <w:rPr>
          <w:rFonts w:ascii="Arial" w:cs="Arial" w:eastAsia="Arial" w:hAnsi="Arial"/>
          <w:sz w:val="18"/>
          <w:szCs w:val="18"/>
          <w:color w:val="231F20"/>
        </w:rPr>
        <w:t>establish and expand a customer base;</w:t>
      </w:r>
    </w:p>
    <w:p>
      <w:pPr>
        <w:spacing w:after="0" w:line="117" w:lineRule="exact"/>
        <w:rPr>
          <w:rFonts w:ascii="Arial" w:cs="Arial" w:eastAsia="Arial" w:hAnsi="Arial"/>
          <w:sz w:val="18"/>
          <w:szCs w:val="18"/>
          <w:color w:val="231F20"/>
        </w:rPr>
      </w:pPr>
    </w:p>
    <w:p>
      <w:pPr>
        <w:ind w:left="660" w:hanging="328"/>
        <w:spacing w:after="0"/>
        <w:tabs>
          <w:tab w:leader="none" w:pos="660" w:val="left"/>
        </w:tabs>
        <w:numPr>
          <w:ilvl w:val="0"/>
          <w:numId w:val="21"/>
        </w:numPr>
        <w:rPr>
          <w:rFonts w:ascii="Arial" w:cs="Arial" w:eastAsia="Arial" w:hAnsi="Arial"/>
          <w:sz w:val="18"/>
          <w:szCs w:val="18"/>
          <w:color w:val="231F20"/>
        </w:rPr>
      </w:pPr>
      <w:r>
        <w:rPr>
          <w:rFonts w:ascii="Arial" w:cs="Arial" w:eastAsia="Arial" w:hAnsi="Arial"/>
          <w:sz w:val="18"/>
          <w:szCs w:val="18"/>
          <w:color w:val="231F20"/>
        </w:rPr>
        <w:t>navigate an evolving and complex regulatory environment;</w:t>
      </w:r>
    </w:p>
    <w:p>
      <w:pPr>
        <w:spacing w:after="0" w:line="117" w:lineRule="exact"/>
        <w:rPr>
          <w:rFonts w:ascii="Arial" w:cs="Arial" w:eastAsia="Arial" w:hAnsi="Arial"/>
          <w:sz w:val="18"/>
          <w:szCs w:val="18"/>
          <w:color w:val="231F20"/>
        </w:rPr>
      </w:pPr>
    </w:p>
    <w:p>
      <w:pPr>
        <w:ind w:left="660" w:right="340" w:hanging="328"/>
        <w:spacing w:after="0" w:line="277" w:lineRule="auto"/>
        <w:tabs>
          <w:tab w:leader="none" w:pos="655" w:val="left"/>
        </w:tabs>
        <w:numPr>
          <w:ilvl w:val="0"/>
          <w:numId w:val="21"/>
        </w:numPr>
        <w:rPr>
          <w:rFonts w:ascii="Arial" w:cs="Arial" w:eastAsia="Arial" w:hAnsi="Arial"/>
          <w:sz w:val="18"/>
          <w:szCs w:val="18"/>
          <w:color w:val="231F20"/>
        </w:rPr>
      </w:pPr>
      <w:r>
        <w:rPr>
          <w:rFonts w:ascii="Arial" w:cs="Arial" w:eastAsia="Arial" w:hAnsi="Arial"/>
          <w:sz w:val="18"/>
          <w:szCs w:val="18"/>
          <w:color w:val="231F20"/>
        </w:rPr>
        <w:t>anticipate and adapt to changing market conditions, including consumer demand for certain vehicle types, models or trim levels, technological developments and changes in competitive landscape; and</w:t>
      </w:r>
    </w:p>
    <w:p>
      <w:pPr>
        <w:spacing w:after="0" w:line="62" w:lineRule="exact"/>
        <w:rPr>
          <w:rFonts w:ascii="Arial" w:cs="Arial" w:eastAsia="Arial" w:hAnsi="Arial"/>
          <w:sz w:val="18"/>
          <w:szCs w:val="18"/>
          <w:color w:val="231F20"/>
        </w:rPr>
      </w:pPr>
    </w:p>
    <w:p>
      <w:pPr>
        <w:ind w:left="660" w:hanging="328"/>
        <w:spacing w:after="0"/>
        <w:tabs>
          <w:tab w:leader="none" w:pos="660" w:val="left"/>
        </w:tabs>
        <w:numPr>
          <w:ilvl w:val="0"/>
          <w:numId w:val="21"/>
        </w:numPr>
        <w:rPr>
          <w:rFonts w:ascii="Arial" w:cs="Arial" w:eastAsia="Arial" w:hAnsi="Arial"/>
          <w:sz w:val="18"/>
          <w:szCs w:val="18"/>
          <w:color w:val="231F20"/>
        </w:rPr>
      </w:pPr>
      <w:r>
        <w:rPr>
          <w:rFonts w:ascii="Arial" w:cs="Arial" w:eastAsia="Arial" w:hAnsi="Arial"/>
          <w:sz w:val="18"/>
          <w:szCs w:val="18"/>
          <w:color w:val="231F20"/>
        </w:rPr>
        <w:t>successfully design, build, manufacture and market new variants and models of electric vehicles, such as Lucid Gravity.</w:t>
      </w:r>
    </w:p>
    <w:p>
      <w:pPr>
        <w:spacing w:after="0" w:line="22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231F20"/>
        </w:rPr>
        <w:t>We have incurred net losses each year since our inception and expect to incur increasing expenses and substantial losses for the foreseeable future.</w:t>
      </w:r>
    </w:p>
    <w:p>
      <w:pPr>
        <w:spacing w:after="0" w:line="260" w:lineRule="exact"/>
        <w:rPr>
          <w:sz w:val="20"/>
          <w:szCs w:val="20"/>
          <w:color w:val="auto"/>
        </w:rPr>
      </w:pPr>
    </w:p>
    <w:p>
      <w:pPr>
        <w:jc w:val="both"/>
        <w:ind w:right="200"/>
        <w:spacing w:after="0" w:line="263" w:lineRule="auto"/>
        <w:rPr>
          <w:sz w:val="20"/>
          <w:szCs w:val="20"/>
          <w:color w:val="auto"/>
        </w:rPr>
      </w:pPr>
      <w:r>
        <w:rPr>
          <w:rFonts w:ascii="Arial" w:cs="Arial" w:eastAsia="Arial" w:hAnsi="Arial"/>
          <w:sz w:val="18"/>
          <w:szCs w:val="18"/>
          <w:color w:val="231F20"/>
        </w:rPr>
        <w:t>We have incurred net losses each year since our inception, including net loss of a</w:t>
      </w:r>
      <w:r>
        <w:rPr>
          <w:rFonts w:ascii="Arial" w:cs="Arial" w:eastAsia="Arial" w:hAnsi="Arial"/>
          <w:sz w:val="18"/>
          <w:szCs w:val="18"/>
          <w:color w:val="242424"/>
        </w:rPr>
        <w:t>pproximately $1.3 billion for the year ended December 31, 2022. As of</w:t>
      </w:r>
      <w:r>
        <w:rPr>
          <w:rFonts w:ascii="Arial" w:cs="Arial" w:eastAsia="Arial" w:hAnsi="Arial"/>
          <w:sz w:val="18"/>
          <w:szCs w:val="18"/>
          <w:color w:val="231F20"/>
        </w:rPr>
        <w:t xml:space="preserve"> </w:t>
      </w:r>
      <w:r>
        <w:rPr>
          <w:rFonts w:ascii="Arial" w:cs="Arial" w:eastAsia="Arial" w:hAnsi="Arial"/>
          <w:sz w:val="18"/>
          <w:szCs w:val="18"/>
          <w:color w:val="242424"/>
        </w:rPr>
        <w:t>December 31, 2022, our accumulated deficit was approximately $7.4 billion. We expect to continue to inc</w:t>
      </w:r>
      <w:r>
        <w:rPr>
          <w:rFonts w:ascii="Arial" w:cs="Arial" w:eastAsia="Arial" w:hAnsi="Arial"/>
          <w:sz w:val="18"/>
          <w:szCs w:val="18"/>
          <w:color w:val="000000"/>
        </w:rPr>
        <w:t>ur substantial losses and increasing expenses in</w:t>
      </w:r>
      <w:r>
        <w:rPr>
          <w:rFonts w:ascii="Arial" w:cs="Arial" w:eastAsia="Arial" w:hAnsi="Arial"/>
          <w:sz w:val="18"/>
          <w:szCs w:val="18"/>
          <w:color w:val="242424"/>
        </w:rPr>
        <w:t xml:space="preserve"> </w:t>
      </w:r>
      <w:r>
        <w:rPr>
          <w:rFonts w:ascii="Arial" w:cs="Arial" w:eastAsia="Arial" w:hAnsi="Arial"/>
          <w:sz w:val="18"/>
          <w:szCs w:val="18"/>
          <w:color w:val="000000"/>
        </w:rPr>
        <w:t>the foreseeable future as we:</w:t>
      </w:r>
    </w:p>
    <w:p>
      <w:pPr>
        <w:spacing w:after="0" w:line="76"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231F20"/>
        </w:rPr>
      </w:pPr>
      <w:r>
        <w:rPr>
          <w:rFonts w:ascii="Arial" w:cs="Arial" w:eastAsia="Arial" w:hAnsi="Arial"/>
          <w:sz w:val="18"/>
          <w:szCs w:val="18"/>
          <w:color w:val="231F20"/>
        </w:rPr>
        <w:t>continue to design, develop and manufacture our vehicles;</w:t>
      </w:r>
    </w:p>
    <w:p>
      <w:pPr>
        <w:spacing w:after="0" w:line="117" w:lineRule="exact"/>
        <w:rPr>
          <w:rFonts w:ascii="Arial" w:cs="Arial" w:eastAsia="Arial" w:hAnsi="Arial"/>
          <w:sz w:val="18"/>
          <w:szCs w:val="18"/>
          <w:color w:val="231F20"/>
        </w:rPr>
      </w:pPr>
    </w:p>
    <w:p>
      <w:pPr>
        <w:ind w:left="660" w:right="260" w:hanging="328"/>
        <w:spacing w:after="0" w:line="277" w:lineRule="auto"/>
        <w:tabs>
          <w:tab w:leader="none" w:pos="655" w:val="left"/>
        </w:tabs>
        <w:numPr>
          <w:ilvl w:val="0"/>
          <w:numId w:val="22"/>
        </w:numPr>
        <w:rPr>
          <w:rFonts w:ascii="Arial" w:cs="Arial" w:eastAsia="Arial" w:hAnsi="Arial"/>
          <w:sz w:val="18"/>
          <w:szCs w:val="18"/>
          <w:color w:val="231F20"/>
        </w:rPr>
      </w:pPr>
      <w:r>
        <w:rPr>
          <w:rFonts w:ascii="Arial" w:cs="Arial" w:eastAsia="Arial" w:hAnsi="Arial"/>
          <w:sz w:val="18"/>
          <w:szCs w:val="18"/>
          <w:color w:val="231F20"/>
        </w:rPr>
        <w:t>equip and expand our research, service, battery, powertrain, and manufacturing facilities to produce our vehicles in Arizona and in international locations such as Saudi Arabia;</w:t>
      </w:r>
    </w:p>
    <w:p>
      <w:pPr>
        <w:spacing w:after="0" w:line="62" w:lineRule="exact"/>
        <w:rPr>
          <w:rFonts w:ascii="Arial" w:cs="Arial" w:eastAsia="Arial" w:hAnsi="Arial"/>
          <w:sz w:val="18"/>
          <w:szCs w:val="18"/>
          <w:color w:val="231F20"/>
        </w:rPr>
      </w:pPr>
    </w:p>
    <w:p>
      <w:pPr>
        <w:ind w:left="660" w:hanging="328"/>
        <w:spacing w:after="0"/>
        <w:tabs>
          <w:tab w:leader="none" w:pos="660" w:val="left"/>
        </w:tabs>
        <w:numPr>
          <w:ilvl w:val="0"/>
          <w:numId w:val="22"/>
        </w:numPr>
        <w:rPr>
          <w:rFonts w:ascii="Arial" w:cs="Arial" w:eastAsia="Arial" w:hAnsi="Arial"/>
          <w:sz w:val="18"/>
          <w:szCs w:val="18"/>
          <w:color w:val="231F20"/>
        </w:rPr>
      </w:pPr>
      <w:r>
        <w:rPr>
          <w:rFonts w:ascii="Arial" w:cs="Arial" w:eastAsia="Arial" w:hAnsi="Arial"/>
          <w:sz w:val="18"/>
          <w:szCs w:val="18"/>
          <w:color w:val="231F20"/>
        </w:rPr>
        <w:t>build up inventories of parts and components for our vehicles;</w:t>
      </w:r>
    </w:p>
    <w:p>
      <w:pPr>
        <w:spacing w:after="0" w:line="117" w:lineRule="exact"/>
        <w:rPr>
          <w:rFonts w:ascii="Arial" w:cs="Arial" w:eastAsia="Arial" w:hAnsi="Arial"/>
          <w:sz w:val="18"/>
          <w:szCs w:val="18"/>
          <w:color w:val="231F20"/>
        </w:rPr>
      </w:pPr>
    </w:p>
    <w:p>
      <w:pPr>
        <w:ind w:left="660" w:hanging="328"/>
        <w:spacing w:after="0"/>
        <w:tabs>
          <w:tab w:leader="none" w:pos="660" w:val="left"/>
        </w:tabs>
        <w:numPr>
          <w:ilvl w:val="0"/>
          <w:numId w:val="22"/>
        </w:numPr>
        <w:rPr>
          <w:rFonts w:ascii="Arial" w:cs="Arial" w:eastAsia="Arial" w:hAnsi="Arial"/>
          <w:sz w:val="18"/>
          <w:szCs w:val="18"/>
          <w:color w:val="231F20"/>
        </w:rPr>
      </w:pPr>
      <w:r>
        <w:rPr>
          <w:rFonts w:ascii="Arial" w:cs="Arial" w:eastAsia="Arial" w:hAnsi="Arial"/>
          <w:sz w:val="18"/>
          <w:szCs w:val="18"/>
          <w:color w:val="231F20"/>
        </w:rPr>
        <w:t>manufacture and store an available inventory of our vehicles;</w:t>
      </w:r>
    </w:p>
    <w:p>
      <w:pPr>
        <w:spacing w:after="0" w:line="117" w:lineRule="exact"/>
        <w:rPr>
          <w:rFonts w:ascii="Arial" w:cs="Arial" w:eastAsia="Arial" w:hAnsi="Arial"/>
          <w:sz w:val="18"/>
          <w:szCs w:val="18"/>
          <w:color w:val="231F20"/>
        </w:rPr>
      </w:pPr>
    </w:p>
    <w:p>
      <w:pPr>
        <w:ind w:left="660" w:hanging="328"/>
        <w:spacing w:after="0"/>
        <w:tabs>
          <w:tab w:leader="none" w:pos="660" w:val="left"/>
        </w:tabs>
        <w:numPr>
          <w:ilvl w:val="0"/>
          <w:numId w:val="22"/>
        </w:numPr>
        <w:rPr>
          <w:rFonts w:ascii="Arial" w:cs="Arial" w:eastAsia="Arial" w:hAnsi="Arial"/>
          <w:sz w:val="18"/>
          <w:szCs w:val="18"/>
          <w:color w:val="231F20"/>
        </w:rPr>
      </w:pPr>
      <w:r>
        <w:rPr>
          <w:rFonts w:ascii="Arial" w:cs="Arial" w:eastAsia="Arial" w:hAnsi="Arial"/>
          <w:sz w:val="18"/>
          <w:szCs w:val="18"/>
          <w:color w:val="231F20"/>
        </w:rPr>
        <w:t>develop and deploy geographically dispersed vehicle charging partnerships;</w:t>
      </w:r>
    </w:p>
    <w:p>
      <w:pPr>
        <w:spacing w:after="0" w:line="117" w:lineRule="exact"/>
        <w:rPr>
          <w:rFonts w:ascii="Arial" w:cs="Arial" w:eastAsia="Arial" w:hAnsi="Arial"/>
          <w:sz w:val="18"/>
          <w:szCs w:val="18"/>
          <w:color w:val="231F20"/>
        </w:rPr>
      </w:pPr>
    </w:p>
    <w:p>
      <w:pPr>
        <w:ind w:left="660" w:hanging="328"/>
        <w:spacing w:after="0"/>
        <w:tabs>
          <w:tab w:leader="none" w:pos="660" w:val="left"/>
        </w:tabs>
        <w:numPr>
          <w:ilvl w:val="0"/>
          <w:numId w:val="22"/>
        </w:numPr>
        <w:rPr>
          <w:rFonts w:ascii="Arial" w:cs="Arial" w:eastAsia="Arial" w:hAnsi="Arial"/>
          <w:sz w:val="18"/>
          <w:szCs w:val="18"/>
          <w:color w:val="231F20"/>
        </w:rPr>
      </w:pPr>
      <w:r>
        <w:rPr>
          <w:rFonts w:ascii="Arial" w:cs="Arial" w:eastAsia="Arial" w:hAnsi="Arial"/>
          <w:sz w:val="18"/>
          <w:szCs w:val="18"/>
          <w:color w:val="231F20"/>
        </w:rPr>
        <w:t>expand our design, research, development, maintenance and repair capabilities and facilities;</w:t>
      </w:r>
    </w:p>
    <w:p>
      <w:pPr>
        <w:spacing w:after="0" w:line="117" w:lineRule="exact"/>
        <w:rPr>
          <w:rFonts w:ascii="Arial" w:cs="Arial" w:eastAsia="Arial" w:hAnsi="Arial"/>
          <w:sz w:val="18"/>
          <w:szCs w:val="18"/>
          <w:color w:val="231F20"/>
        </w:rPr>
      </w:pPr>
    </w:p>
    <w:p>
      <w:pPr>
        <w:ind w:left="660" w:hanging="328"/>
        <w:spacing w:after="0"/>
        <w:tabs>
          <w:tab w:leader="none" w:pos="660" w:val="left"/>
        </w:tabs>
        <w:numPr>
          <w:ilvl w:val="0"/>
          <w:numId w:val="22"/>
        </w:numPr>
        <w:rPr>
          <w:rFonts w:ascii="Arial" w:cs="Arial" w:eastAsia="Arial" w:hAnsi="Arial"/>
          <w:sz w:val="18"/>
          <w:szCs w:val="18"/>
          <w:color w:val="231F20"/>
        </w:rPr>
      </w:pPr>
      <w:r>
        <w:rPr>
          <w:rFonts w:ascii="Arial" w:cs="Arial" w:eastAsia="Arial" w:hAnsi="Arial"/>
          <w:sz w:val="18"/>
          <w:szCs w:val="18"/>
          <w:color w:val="231F20"/>
        </w:rPr>
        <w:t>increase our sales and marketing activities and develop our distribution infrastructure; and</w:t>
      </w:r>
    </w:p>
    <w:p>
      <w:pPr>
        <w:spacing w:after="0" w:line="117" w:lineRule="exact"/>
        <w:rPr>
          <w:rFonts w:ascii="Arial" w:cs="Arial" w:eastAsia="Arial" w:hAnsi="Arial"/>
          <w:sz w:val="18"/>
          <w:szCs w:val="18"/>
          <w:color w:val="231F20"/>
        </w:rPr>
      </w:pPr>
    </w:p>
    <w:p>
      <w:pPr>
        <w:ind w:left="660" w:hanging="328"/>
        <w:spacing w:after="0"/>
        <w:tabs>
          <w:tab w:leader="none" w:pos="660" w:val="left"/>
        </w:tabs>
        <w:numPr>
          <w:ilvl w:val="0"/>
          <w:numId w:val="22"/>
        </w:numPr>
        <w:rPr>
          <w:rFonts w:ascii="Arial" w:cs="Arial" w:eastAsia="Arial" w:hAnsi="Arial"/>
          <w:sz w:val="18"/>
          <w:szCs w:val="18"/>
          <w:color w:val="231F20"/>
        </w:rPr>
      </w:pPr>
      <w:r>
        <w:rPr>
          <w:rFonts w:ascii="Arial" w:cs="Arial" w:eastAsia="Arial" w:hAnsi="Arial"/>
          <w:sz w:val="18"/>
          <w:szCs w:val="18"/>
          <w:color w:val="231F20"/>
        </w:rPr>
        <w:t>expand our general and administrative functions to support our growing operations and status as a public company.</w:t>
      </w:r>
    </w:p>
    <w:p>
      <w:pPr>
        <w:spacing w:after="0" w:line="225"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color w:val="231F20"/>
        </w:rPr>
        <w:t>If our product development or commercialization of future vehicles is delayed, our costs and expenses may be significantly higher than we currently expect. Because we will incur the costs and expenses from these efforts before we receive any incremental revenues with respect thereto, we expect our losses in future periods will be significant.</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i w:val="1"/>
          <w:iCs w:val="1"/>
          <w:color w:val="231F20"/>
        </w:rPr>
        <w:t>We may be unable to adequately control the substantial costs associated with our operations.</w:t>
      </w:r>
    </w:p>
    <w:p>
      <w:pPr>
        <w:spacing w:after="0" w:line="225"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231F20"/>
        </w:rPr>
        <w:t>We will require significant capital to develop and grow our business. We have incurred and expect to continue to incur significant expenses, including leases, sales and distribution expenses as we build our brand and market our vehicles; expenses relating to developing and manufacturing our vehicles, constructing, tooling and expanding our manufacturing facilities; research and development expenses (including expenses related to the development of Lucid Air, Lucid Gravity and other future products); raw material procurement costs; and general and administrative expenses as we scale our operations and incur the costs of being a public company. In addition, we expect to incur significant costs servicing and maintaining customers’ vehicles, including establishing our service operations and facilities. As a company, we have limited historical experience forecasting and budgeting for any of these expenses, and these expenses could be significantly higher than we currently anticipate. In addition, any disruption to our manufacturing operations, obtaining necessary equipment or supplies, expansion of our manufacturing facilities, or the procurement of permits and licenses relating to our expected manufacturing, sales and distribution model could significantly increase our expenses. In such event, we could be required to seek additional financing earlier than we expect, and such financing may not be available on commercially reasonable terms, or at all.</w:t>
      </w:r>
    </w:p>
    <w:p>
      <w:pPr>
        <w:spacing w:after="0" w:line="18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231F20"/>
        </w:rPr>
        <w:t>In the longer term, our ability to become profitable in the future will depend on our ability not only to effectively manage our capital expenditures and control costs on a timely basis, but also to sell in quantities and at prices sufficient to achieve our expected margins. If we are unable to appropriately price and cost-efficiently design, manufacture, market, sell, distribute and service our vehicles, our margins, profitability and prospects will be materially and adversely affected.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Reservations and orders for our vehicles are cancellable.</w:t>
      </w:r>
    </w:p>
    <w:p>
      <w:pPr>
        <w:spacing w:after="0" w:line="225"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231F20"/>
        </w:rPr>
        <w:t>Our customers may cancel their reservations without penalty and for any reason until they place an order for their vehicle. In addition, our customers may also cancel their orders, but will lose their deposit. Delays in customer deliveries, delays in the availability of options, potential changes in customer preferences, competitive developments and other factors could result in significant customer cancellations or cause delays in conversions of reservations to orders. In addition, customers who placed orders prior to the enactment of the Inflation Reduction Act of 2022 in an effort to maintain eligibility for a federal tax credit, may decide to cancel their orders based upon the initial guidance provided by the Internal Revenue Service that could negatively affect our customers’ ability to receive tax credits for those orders. Any event or incident which generates negative media coverage about us or the safety or quality of our vehicles could also result in significant customer cancellations. No assurance can be given that reservations or orders will not be cancelled and will ultimately result in the final purchase, delivery and sale or lease of vehicles. Accordingly, the number of reservations and orders have significant limitations as a measure of demand for our vehicles, including demand for particular body styles, models or trim levels, or for future vehicle sales. If we encounter delays in customer deliveries of Lucid Air that further lengthen wait times or in the event of negative media coverage, a significant number of reservations may be cancelled.</w:t>
      </w:r>
    </w:p>
    <w:p>
      <w:pPr>
        <w:spacing w:after="0" w:line="182"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231F20"/>
        </w:rPr>
        <w:t>A global economic recession or other downturn may have a material adverse impact on our business, prospects, results of operations and financial condition.</w:t>
      </w:r>
    </w:p>
    <w:p>
      <w:pPr>
        <w:spacing w:after="0" w:line="170"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 xml:space="preserve">A global economic recession or other downturn, whether due to inflation, ongoing conflict in Ukraine or other geopolitical events, COVID-19 or other public health crises, interest rate increases or other policy actions by major central banks, or other factors, may have an adverse impact on our business, prospects, financial condition and results of operations. Adverse economic conditions as well as uncertainty about the current and future global economic conditions may cause our customers to defer purchases or cancel their reservations and orders in response to higher interest rates, availability of consumer credit, decreased cash availability, </w:t>
      </w:r>
      <w:r>
        <w:rPr>
          <w:rFonts w:ascii="Arial" w:cs="Arial" w:eastAsia="Arial" w:hAnsi="Arial"/>
          <w:sz w:val="16"/>
          <w:szCs w:val="16"/>
          <w:color w:val="231F20"/>
        </w:rPr>
        <w:t>fluctuations in foreign currency exchange rates,</w:t>
      </w:r>
      <w:r>
        <w:rPr>
          <w:rFonts w:ascii="Arial" w:cs="Arial" w:eastAsia="Arial" w:hAnsi="Arial"/>
          <w:sz w:val="16"/>
          <w:szCs w:val="16"/>
          <w:color w:val="auto"/>
        </w:rPr>
        <w:t xml:space="preserve"> and weakened consumer confidence. Reduced demand for our products may result in significant decreases in our product sales, which in turn would have a material adverse impact on our business, prospects, financial condition and results of operations. </w:t>
      </w:r>
      <w:r>
        <w:rPr>
          <w:rFonts w:ascii="Arial" w:cs="Arial" w:eastAsia="Arial" w:hAnsi="Arial"/>
          <w:sz w:val="16"/>
          <w:szCs w:val="16"/>
          <w:color w:val="231F20"/>
        </w:rPr>
        <w:t>Because of our premium brand positioning and pricing, an economic downturn is likely to have a heightened adverse effect on us</w:t>
      </w:r>
      <w:r>
        <w:rPr>
          <w:rFonts w:ascii="Arial" w:cs="Arial" w:eastAsia="Arial" w:hAnsi="Arial"/>
          <w:sz w:val="16"/>
          <w:szCs w:val="16"/>
          <w:color w:val="auto"/>
        </w:rPr>
        <w:t xml:space="preserve"> </w:t>
      </w:r>
      <w:r>
        <w:rPr>
          <w:rFonts w:ascii="Arial" w:cs="Arial" w:eastAsia="Arial" w:hAnsi="Arial"/>
          <w:sz w:val="16"/>
          <w:szCs w:val="16"/>
          <w:color w:val="231F20"/>
        </w:rPr>
        <w:t>compared to many of our electric vehicle and traditional automotive industry competitors, to the extent that consumer demand for luxury goods is reduced in favor of lower-priced alternatives. In addition, any economic recession or other downturn could also cause logistical challenges and other operational risks if any of our suppliers, sub-suppliers or partners become insolvent or are otherwise unable to continue their operations, fulfill their obligations to us, or meet our future demand. Further, the immediate or prolonged effects of the COVID-19 pandemic could significantly affect government finances and, accordingly, the continued availability of incentives related to electric vehicle purchases and other governmental support programs.</w:t>
      </w:r>
    </w:p>
    <w:p>
      <w:pPr>
        <w:spacing w:after="0" w:line="168"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 xml:space="preserve">In addition, the deterioration of conditions in global credit markets may limit our ability to obtain external financing to fund our operations and capital expenditures on terms favorable to us, if at all. If we are unable to obtain adequate financing or financing on terms satisfactory to us, when we require it, we will have to significantly reduce our spending, delay or cancel our planned activities or substantially change our corporate structure, and we might not have sufficient resources to conduct or support our business as projected, which would have a material adverse effect on our business, prospects, results of operations, and financial condition. See “—Risks Related to Financing and Strategic Transactions — </w:t>
      </w:r>
      <w:r>
        <w:rPr>
          <w:rFonts w:ascii="Arial" w:cs="Arial" w:eastAsia="Arial" w:hAnsi="Arial"/>
          <w:sz w:val="17"/>
          <w:szCs w:val="17"/>
          <w:i w:val="1"/>
          <w:iCs w:val="1"/>
          <w:color w:val="auto"/>
        </w:rPr>
        <w:t>We will require additional capital to support business</w:t>
      </w:r>
      <w:r>
        <w:rPr>
          <w:rFonts w:ascii="Arial" w:cs="Arial" w:eastAsia="Arial" w:hAnsi="Arial"/>
          <w:sz w:val="17"/>
          <w:szCs w:val="17"/>
          <w:color w:val="auto"/>
        </w:rPr>
        <w:t xml:space="preserve"> </w:t>
      </w:r>
      <w:r>
        <w:rPr>
          <w:rFonts w:ascii="Arial" w:cs="Arial" w:eastAsia="Arial" w:hAnsi="Arial"/>
          <w:sz w:val="17"/>
          <w:szCs w:val="17"/>
          <w:i w:val="1"/>
          <w:iCs w:val="1"/>
          <w:color w:val="auto"/>
        </w:rPr>
        <w:t>growth, and this capital might not be available on commercially reasonable terms, or at all</w:t>
      </w:r>
      <w:r>
        <w:rPr>
          <w:rFonts w:ascii="Arial" w:cs="Arial" w:eastAsia="Arial" w:hAnsi="Arial"/>
          <w:sz w:val="17"/>
          <w:szCs w:val="17"/>
          <w:color w:val="auto"/>
        </w:rPr>
        <w:t>.”</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26" w:name="page27"/>
    <w:bookmarkEnd w:id="26"/>
    <w:p>
      <w:pPr>
        <w:ind w:right="320"/>
        <w:spacing w:after="0" w:line="277" w:lineRule="auto"/>
        <w:rPr>
          <w:sz w:val="20"/>
          <w:szCs w:val="20"/>
          <w:color w:val="auto"/>
        </w:rPr>
      </w:pPr>
      <w:r>
        <w:rPr>
          <w:rFonts w:ascii="Arial" w:cs="Arial" w:eastAsia="Arial" w:hAnsi="Arial"/>
          <w:sz w:val="18"/>
          <w:szCs w:val="18"/>
          <w:b w:val="1"/>
          <w:bCs w:val="1"/>
          <w:i w:val="1"/>
          <w:iCs w:val="1"/>
          <w:color w:val="231F20"/>
        </w:rPr>
        <w:t>We currently depend on revenue generated from a single model and in the foreseeable future will be significantly dependent on a limited number of models.</w:t>
      </w:r>
    </w:p>
    <w:p>
      <w:pPr>
        <w:spacing w:after="0" w:line="170" w:lineRule="exact"/>
        <w:rPr>
          <w:sz w:val="20"/>
          <w:szCs w:val="20"/>
          <w:color w:val="auto"/>
        </w:rPr>
      </w:pPr>
    </w:p>
    <w:p>
      <w:pPr>
        <w:spacing w:after="0" w:line="273" w:lineRule="auto"/>
        <w:rPr>
          <w:sz w:val="20"/>
          <w:szCs w:val="20"/>
          <w:color w:val="auto"/>
        </w:rPr>
      </w:pPr>
      <w:r>
        <w:rPr>
          <w:rFonts w:ascii="Arial" w:cs="Arial" w:eastAsia="Arial" w:hAnsi="Arial"/>
          <w:sz w:val="17"/>
          <w:szCs w:val="17"/>
          <w:color w:val="231F20"/>
        </w:rPr>
        <w:t xml:space="preserve">We currently depend on revenue generated from a single vehicle model, Lucid Air, and in the foreseeable future will be significantly dependent on a single or limited number of models. Although we have other vehicle models on our product roadmap, we currently do not expect to introduce another vehicle model for sale until 2024. We expect to rely on sales from Lucid Air, among other sources of financing, for the capital that will be required to develop and commercialize those subsequent models. To the extent that production of Lucid Air is delayed or reduced, or if Lucid Air is not well-received by the market for any reason, our revenue and cash flow would be adversely affected, we may need to seek additional financing earlier than we expect, and such financing may not be available to us on commercially </w:t>
      </w:r>
      <w:r>
        <w:rPr>
          <w:rFonts w:ascii="Arial" w:cs="Arial" w:eastAsia="Arial" w:hAnsi="Arial"/>
          <w:sz w:val="17"/>
          <w:szCs w:val="17"/>
          <w:color w:val="242424"/>
        </w:rPr>
        <w:t>reasonable terms, or at all.</w:t>
      </w:r>
    </w:p>
    <w:p>
      <w:pPr>
        <w:spacing w:after="0" w:line="178" w:lineRule="exact"/>
        <w:rPr>
          <w:sz w:val="20"/>
          <w:szCs w:val="20"/>
          <w:color w:val="auto"/>
        </w:rPr>
      </w:pPr>
    </w:p>
    <w:p>
      <w:pPr>
        <w:spacing w:after="0" w:line="275" w:lineRule="auto"/>
        <w:rPr>
          <w:sz w:val="20"/>
          <w:szCs w:val="20"/>
          <w:color w:val="auto"/>
        </w:rPr>
      </w:pPr>
      <w:r>
        <w:rPr>
          <w:rFonts w:ascii="Arial" w:cs="Arial" w:eastAsia="Arial" w:hAnsi="Arial"/>
          <w:sz w:val="17"/>
          <w:szCs w:val="17"/>
          <w:color w:val="231F20"/>
        </w:rPr>
        <w:t xml:space="preserve">In addition, on April 20, 2022, we entered into an agreement with the Ministry of Finance of Saudi Arabia, under which the Government of Saudi Arabia and its entities and corporate subsidiaries undertook to purchase up to 100,000 vehicles over a ten-year period, </w:t>
      </w:r>
      <w:r>
        <w:rPr>
          <w:rFonts w:ascii="Arial" w:cs="Arial" w:eastAsia="Arial" w:hAnsi="Arial"/>
          <w:sz w:val="17"/>
          <w:szCs w:val="17"/>
          <w:color w:val="000000"/>
        </w:rPr>
        <w:t>with an initial commitment to purchase</w:t>
      </w:r>
      <w:r>
        <w:rPr>
          <w:rFonts w:ascii="Arial" w:cs="Arial" w:eastAsia="Arial" w:hAnsi="Arial"/>
          <w:sz w:val="17"/>
          <w:szCs w:val="17"/>
          <w:color w:val="231F20"/>
        </w:rPr>
        <w:t xml:space="preserve"> </w:t>
      </w:r>
      <w:r>
        <w:rPr>
          <w:rFonts w:ascii="Arial" w:cs="Arial" w:eastAsia="Arial" w:hAnsi="Arial"/>
          <w:sz w:val="17"/>
          <w:szCs w:val="17"/>
          <w:color w:val="000000"/>
        </w:rPr>
        <w:t xml:space="preserve">50,000 vehicles and </w:t>
      </w:r>
      <w:r>
        <w:rPr>
          <w:rFonts w:ascii="Arial" w:cs="Arial" w:eastAsia="Arial" w:hAnsi="Arial"/>
          <w:sz w:val="17"/>
          <w:szCs w:val="17"/>
          <w:color w:val="231F20"/>
        </w:rPr>
        <w:t>an option to purchase up to an additional 50,000 vehicles over the same period. The purchase price is determined by the lower of (i) the</w:t>
      </w:r>
      <w:r>
        <w:rPr>
          <w:rFonts w:ascii="Arial" w:cs="Arial" w:eastAsia="Arial" w:hAnsi="Arial"/>
          <w:sz w:val="17"/>
          <w:szCs w:val="17"/>
          <w:color w:val="000000"/>
        </w:rPr>
        <w:t xml:space="preserve"> </w:t>
      </w:r>
      <w:r>
        <w:rPr>
          <w:rFonts w:ascii="Arial" w:cs="Arial" w:eastAsia="Arial" w:hAnsi="Arial"/>
          <w:sz w:val="17"/>
          <w:szCs w:val="17"/>
          <w:color w:val="231F20"/>
        </w:rPr>
        <w:t>standard retail price for the applicable vehicle in Saudi Arabia; and (ii) the standard retail price for the applicable vehicle in the United States, plus actual cost of logistics, importing, and other actual costs of delivering and homologating vehicles to Saudi Arabian regulations.</w:t>
      </w:r>
    </w:p>
    <w:p>
      <w:pPr>
        <w:spacing w:after="0" w:line="176"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231F20"/>
        </w:rPr>
        <w:t>If we experience delays in manufacturing and delivering vehicles ordered by the Government of Saudi Arabia, fail to or experience delays in homologating vehicles to comply with Saudi Arabian regulations, or fail to set the appropriate purchase price for such vehicles, our revenue, cash flow and results of operations and financial condition could be adversely affected. Furthermore, if the Government of Saudi Arabia delays the purchase of vehicles, does not exercise its option to purchase additional vehicles, or purchases significantly fewer vehicles than we currently anticipate for any reason, including for reasons beyond our control, our business, prospects, results of operations and financial condition could be materially and adversely affected.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42424"/>
        </w:rPr>
        <w:t>Our business and prospects depend significantly on our brand.</w:t>
      </w:r>
    </w:p>
    <w:p>
      <w:pPr>
        <w:spacing w:after="0" w:line="225" w:lineRule="exact"/>
        <w:rPr>
          <w:sz w:val="20"/>
          <w:szCs w:val="20"/>
          <w:color w:val="auto"/>
        </w:rPr>
      </w:pPr>
    </w:p>
    <w:p>
      <w:pPr>
        <w:ind w:right="200"/>
        <w:spacing w:after="0" w:line="291" w:lineRule="auto"/>
        <w:rPr>
          <w:sz w:val="20"/>
          <w:szCs w:val="20"/>
          <w:color w:val="auto"/>
        </w:rPr>
      </w:pPr>
      <w:r>
        <w:rPr>
          <w:rFonts w:ascii="Arial" w:cs="Arial" w:eastAsia="Arial" w:hAnsi="Arial"/>
          <w:sz w:val="16"/>
          <w:szCs w:val="16"/>
          <w:color w:val="242424"/>
        </w:rPr>
        <w:t>Our business and prospects will heavily depend on our ability to develop, maintain, protect and strengthen the “Lucid” brand association with luxury and technological excellence. Promoting and positioning our brand will likely depend significantly on our ability to provide a consistently high-quality customer experience, an area in which we have limited experience. To promote our brand, we will be required to invest in, and over time we may be required to change our customer development and branding practices, which could result in substantially increased expenses, including the need to use traditional media such as television, radio and print advertising. Our ability to successfully position our brand could also be adversely affected by perceptions about the quality of our competitors’ vehicles or our competitors’ success. For example, certain of our competitors have been subject to significant scrutiny for incidents involving their self-driving technology and battery fires, which could result in similar scrutiny of us.</w:t>
      </w:r>
    </w:p>
    <w:p>
      <w:pPr>
        <w:spacing w:after="0" w:line="166"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242424"/>
        </w:rPr>
        <w:t>In particular, any negative publicity, whether or not true, can quickly proliferate on social media and harm consumer perception and confidence in our brand. The growing use of social media increases the speed with which information and opinions can be shared and, thus, the speed with which a company’s reputation can be affected. If we fail to correct or mitigate misinformation or negative information, including information spread through social media or traditional media channels, about us, the products we offer, our customer experience, or any aspect of our brand, our business, sales and results of operations could be adversely impacted. From time to time, our vehicles or those of our competitors may be evaluated and reviewed by third parties. Perceptions of our offerings in the marketplace may be significantly influenced by these reviews, which are disseminated via various media, including the internet. Any negative reviews or reviews which compare us unfavorably to competitors could adversely affect consumer perception about our vehicles and reduce demand for our vehicles, which could have a material adverse effect on our business, results of operations, prospects and financial condition.</w:t>
      </w:r>
    </w:p>
    <w:p>
      <w:pPr>
        <w:spacing w:after="0" w:line="16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242424"/>
        </w:rPr>
        <w:t>Our sales will depend in part on our ability to establish and maintain confidence in our long-term business prospects among consumers, analysts and others within our industry.</w:t>
      </w:r>
    </w:p>
    <w:p>
      <w:pPr>
        <w:spacing w:after="0" w:line="170"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242424"/>
        </w:rPr>
        <w:t>Consumers may be less likely to purchase our products if they do not believe that our business will succeed or that our operations, including service and customer support operations will continue for many years. Similarly, suppliers and other third parties will be less likely to invest time and resources in developing business relationships with us if they are not convinced that our business will succeed. Accordingly, to build, maintain and grow our business, we must establish and maintain confidence among customers, suppliers, analysts and other parties with respect to our liquidity and long-term business prospects.</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27" w:name="page28"/>
    <w:bookmarkEnd w:id="27"/>
    <w:p>
      <w:pPr>
        <w:spacing w:after="0" w:line="289" w:lineRule="auto"/>
        <w:rPr>
          <w:sz w:val="20"/>
          <w:szCs w:val="20"/>
          <w:color w:val="auto"/>
        </w:rPr>
      </w:pPr>
      <w:r>
        <w:rPr>
          <w:rFonts w:ascii="Arial" w:cs="Arial" w:eastAsia="Arial" w:hAnsi="Arial"/>
          <w:sz w:val="16"/>
          <w:szCs w:val="16"/>
          <w:color w:val="242424"/>
        </w:rPr>
        <w:t>Maintaining such confidence may be particularly difficult as a result of many factors, including our limited operating history, others’ unfamiliarity with our products, uncertainty regarding the future of electric vehicles, any delays in scaling production, delivery and service operations to meet demand, competition and our production and sales performance compared with market expectations. Many of these factors are largely outside of our control, and any negative perceptions about our long-term business prospects, even if exaggerated or unfounded, would likely harm our business and make it more difficult to raise additional capital in the future. In addition, as discussed above, a significant number of new electric vehicle companies have recently entered the automotive industry, which is an industry that has historically been associated with significant barriers to entry and a high rate of failure. If these new entrants or other traditional automotive manufacturers now producing electric vehicles go out of business, discontinue production of electric vehicles, produce vehicles that do not perform as expected or otherwise fail to meet expectations, such failures may have the effect of increasing scrutiny of others in the industry, including us, and further challenging customer, supplier and analyst confidence in our long-term prospects.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42424"/>
        </w:rPr>
        <w:t>We will not have a third-party retail product distribution and full-service network.</w:t>
      </w:r>
    </w:p>
    <w:p>
      <w:pPr>
        <w:spacing w:after="0" w:line="225"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242424"/>
        </w:rPr>
        <w:t>Third-party dealer networks are the traditional method of vehicle sales distribution and service. Because we sell directly to consumers, we do not have a traditional dealer product distribution and service network. We have limited experience distributing directly to consumers, and we expect that continuing to build a national and global in-house sales and marketing function, including an expanded physical sales, marketing and service footprint via our Lucid studios and service centers, will be expensive and time consuming. We have experienced delays in the construction and opening of our Lucid studios and service centers and any significant delays to establish Lucid studios and service centers in key markets in the future could have an adverse effect on our business, results of operations, prospects and financial condition. In addition, if our lack of a traditional dealer distribution and service network results in lost opportunities to generate sales, it could limit our ability to grow. Moreover, our business model of selling directly to consumers and directly servicing all vehicles may be limited by regulatory constraints. To the extent we are unable to successfully execute on such plans in all markets, we may be required to develop a third-party dealer distribution and service network, including developing and implementing the necessary information technology infrastructure to support them, which may prove costly, time-consuming or ineffective. If our use of an in-house sales, marketing and service team is not effective, our results of operations and financial conditions could be adversely affected.</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42424"/>
        </w:rPr>
        <w:t>Our ability to generate meaningful product revenue will depend on consumer adoption of electric vehicles.</w:t>
      </w:r>
    </w:p>
    <w:p>
      <w:pPr>
        <w:spacing w:after="0" w:line="225"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242424"/>
        </w:rPr>
        <w:t>We are developing and producing only electric vehicles and, accordingly, our ability to generate meaningful product revenue will highly depend on sustained consumer demand for alternative fuel vehicles in general and electric vehicles in particular. If the market for electric vehicles does not develop as we expect or develops more slowly than we expect, or if there is a decrease in consumer demand for electric vehicles, our business, prospects, financial condition and results of operations will be harmed. The market for electric and other alternative fuel vehicles is relatively new, rapidly evolving, characterized by rapidly changing technologies, price competition, additional competitors, evolving government regulation (including government incentives and subsidies) and industry standards, frequent new vehicle announcements and changing consumer demands and behaviors. Any number of changes in the industry could negatively affect consumer demand for electric vehicles in general and our electric vehicles in particular.</w:t>
      </w:r>
    </w:p>
    <w:p>
      <w:pPr>
        <w:spacing w:after="0" w:line="166"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242424"/>
        </w:rPr>
        <w:t>In addition, demand for electric vehicles may be affected by factors directly impacting automobile prices or the cost of purchasing and operating automobiles such as sales and financing incentives such as tax credits, prices of raw materials and parts and components, cost of fuel, availability of consumer credit, interest rates, and governmental regulations, including tariffs, import regulation and other taxes. Volatility in demand may lead to lower vehicle unit sales, which may result in downward price pressure and adversely affect our business, prospects, financial condition and results of operations. Further, sa</w:t>
      </w:r>
      <w:r>
        <w:rPr>
          <w:rFonts w:ascii="Arial" w:cs="Arial" w:eastAsia="Arial" w:hAnsi="Arial"/>
          <w:sz w:val="17"/>
          <w:szCs w:val="17"/>
          <w:color w:val="231F20"/>
        </w:rPr>
        <w:t>les of vehicles in the automotive industry tend to be cyclical in many markets, which may expose us to increased volatility, especially as we</w:t>
      </w:r>
      <w:r>
        <w:rPr>
          <w:rFonts w:ascii="Arial" w:cs="Arial" w:eastAsia="Arial" w:hAnsi="Arial"/>
          <w:sz w:val="17"/>
          <w:szCs w:val="17"/>
          <w:color w:val="242424"/>
        </w:rPr>
        <w:t xml:space="preserve"> </w:t>
      </w:r>
      <w:r>
        <w:rPr>
          <w:rFonts w:ascii="Arial" w:cs="Arial" w:eastAsia="Arial" w:hAnsi="Arial"/>
          <w:sz w:val="17"/>
          <w:szCs w:val="17"/>
          <w:color w:val="231F20"/>
        </w:rPr>
        <w:t>expand and adjust our operations and retail strategies. Specifically, it is uncertain how such macroeconomic factors will impact us as a new entrant in an industry that has globally been experiencing a recent decline in sales.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231F20"/>
        </w:rPr>
        <w:t>Other factors that may influence the adoption of electric vehicles include:</w:t>
      </w:r>
    </w:p>
    <w:p>
      <w:pPr>
        <w:spacing w:after="0" w:line="117"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231F20"/>
        </w:rPr>
      </w:pPr>
      <w:r>
        <w:rPr>
          <w:rFonts w:ascii="Arial" w:cs="Arial" w:eastAsia="Arial" w:hAnsi="Arial"/>
          <w:sz w:val="18"/>
          <w:szCs w:val="18"/>
          <w:color w:val="231F20"/>
        </w:rPr>
        <w:t>perceptions about electric vehicle quality, safety, design, performance and cost;</w:t>
      </w:r>
    </w:p>
    <w:p>
      <w:pPr>
        <w:spacing w:after="0" w:line="117" w:lineRule="exact"/>
        <w:rPr>
          <w:rFonts w:ascii="Arial" w:cs="Arial" w:eastAsia="Arial" w:hAnsi="Arial"/>
          <w:sz w:val="18"/>
          <w:szCs w:val="18"/>
          <w:color w:val="231F20"/>
        </w:rPr>
      </w:pPr>
    </w:p>
    <w:p>
      <w:pPr>
        <w:ind w:left="660" w:hanging="328"/>
        <w:spacing w:after="0"/>
        <w:tabs>
          <w:tab w:leader="none" w:pos="660" w:val="left"/>
        </w:tabs>
        <w:numPr>
          <w:ilvl w:val="0"/>
          <w:numId w:val="23"/>
        </w:numPr>
        <w:rPr>
          <w:rFonts w:ascii="Arial" w:cs="Arial" w:eastAsia="Arial" w:hAnsi="Arial"/>
          <w:sz w:val="18"/>
          <w:szCs w:val="18"/>
          <w:color w:val="231F20"/>
        </w:rPr>
      </w:pPr>
      <w:r>
        <w:rPr>
          <w:rFonts w:ascii="Arial" w:cs="Arial" w:eastAsia="Arial" w:hAnsi="Arial"/>
          <w:sz w:val="18"/>
          <w:szCs w:val="18"/>
          <w:color w:val="231F20"/>
        </w:rPr>
        <w:t>perceptions about the limited range over which electric vehicles may be driven on a single battery charge;</w:t>
      </w:r>
    </w:p>
    <w:p>
      <w:pPr>
        <w:spacing w:after="0" w:line="117" w:lineRule="exact"/>
        <w:rPr>
          <w:rFonts w:ascii="Arial" w:cs="Arial" w:eastAsia="Arial" w:hAnsi="Arial"/>
          <w:sz w:val="18"/>
          <w:szCs w:val="18"/>
          <w:color w:val="231F20"/>
        </w:rPr>
      </w:pPr>
    </w:p>
    <w:p>
      <w:pPr>
        <w:ind w:left="660" w:right="240" w:hanging="328"/>
        <w:spacing w:after="0" w:line="342" w:lineRule="auto"/>
        <w:tabs>
          <w:tab w:leader="none" w:pos="655" w:val="left"/>
        </w:tabs>
        <w:numPr>
          <w:ilvl w:val="0"/>
          <w:numId w:val="23"/>
        </w:numPr>
        <w:rPr>
          <w:rFonts w:ascii="Arial" w:cs="Arial" w:eastAsia="Arial" w:hAnsi="Arial"/>
          <w:sz w:val="16"/>
          <w:szCs w:val="16"/>
          <w:color w:val="231F20"/>
        </w:rPr>
      </w:pPr>
      <w:r>
        <w:rPr>
          <w:rFonts w:ascii="Arial" w:cs="Arial" w:eastAsia="Arial" w:hAnsi="Arial"/>
          <w:sz w:val="16"/>
          <w:szCs w:val="16"/>
          <w:color w:val="231F20"/>
        </w:rPr>
        <w:t>perceptions about the total cost of ownership of electric vehicles, including the initial purchase price and operating and maintenance costs, both including and excluding the effect of government and other subsidies and incentives designed to promote the purchase of electric vehicles;</w:t>
      </w:r>
    </w:p>
    <w:p>
      <w:pPr>
        <w:spacing w:after="0" w:line="15" w:lineRule="exact"/>
        <w:rPr>
          <w:rFonts w:ascii="Arial" w:cs="Arial" w:eastAsia="Arial" w:hAnsi="Arial"/>
          <w:sz w:val="16"/>
          <w:szCs w:val="16"/>
          <w:color w:val="231F20"/>
        </w:rPr>
      </w:pPr>
    </w:p>
    <w:p>
      <w:pPr>
        <w:ind w:left="660" w:hanging="328"/>
        <w:spacing w:after="0"/>
        <w:tabs>
          <w:tab w:leader="none" w:pos="660" w:val="left"/>
        </w:tabs>
        <w:numPr>
          <w:ilvl w:val="0"/>
          <w:numId w:val="23"/>
        </w:numPr>
        <w:rPr>
          <w:rFonts w:ascii="Arial" w:cs="Arial" w:eastAsia="Arial" w:hAnsi="Arial"/>
          <w:sz w:val="18"/>
          <w:szCs w:val="18"/>
          <w:color w:val="231F20"/>
        </w:rPr>
      </w:pPr>
      <w:r>
        <w:rPr>
          <w:rFonts w:ascii="Arial" w:cs="Arial" w:eastAsia="Arial" w:hAnsi="Arial"/>
          <w:sz w:val="18"/>
          <w:szCs w:val="18"/>
          <w:color w:val="231F20"/>
        </w:rPr>
        <w:t>concerns about electric grid capacity and reliability;</w:t>
      </w:r>
    </w:p>
    <w:p>
      <w:pPr>
        <w:spacing w:after="0" w:line="117" w:lineRule="exact"/>
        <w:rPr>
          <w:rFonts w:ascii="Arial" w:cs="Arial" w:eastAsia="Arial" w:hAnsi="Arial"/>
          <w:sz w:val="18"/>
          <w:szCs w:val="18"/>
          <w:color w:val="231F20"/>
        </w:rPr>
      </w:pPr>
    </w:p>
    <w:p>
      <w:pPr>
        <w:ind w:left="660" w:right="400" w:hanging="328"/>
        <w:spacing w:after="0" w:line="277" w:lineRule="auto"/>
        <w:tabs>
          <w:tab w:leader="none" w:pos="655" w:val="left"/>
        </w:tabs>
        <w:numPr>
          <w:ilvl w:val="0"/>
          <w:numId w:val="23"/>
        </w:numPr>
        <w:rPr>
          <w:rFonts w:ascii="Arial" w:cs="Arial" w:eastAsia="Arial" w:hAnsi="Arial"/>
          <w:sz w:val="18"/>
          <w:szCs w:val="18"/>
          <w:color w:val="231F20"/>
        </w:rPr>
      </w:pPr>
      <w:r>
        <w:rPr>
          <w:rFonts w:ascii="Arial" w:cs="Arial" w:eastAsia="Arial" w:hAnsi="Arial"/>
          <w:sz w:val="18"/>
          <w:szCs w:val="18"/>
          <w:color w:val="231F20"/>
        </w:rPr>
        <w:t>perceptions about the sustainability and environmental impact of electric vehicles, including with respect to both the sourcing and disposal of materials for electric vehicle batteries and the generation of electricity provided in the electric grid;</w:t>
      </w:r>
    </w:p>
    <w:p>
      <w:pPr>
        <w:spacing w:after="0" w:line="62" w:lineRule="exact"/>
        <w:rPr>
          <w:rFonts w:ascii="Arial" w:cs="Arial" w:eastAsia="Arial" w:hAnsi="Arial"/>
          <w:sz w:val="18"/>
          <w:szCs w:val="18"/>
          <w:color w:val="231F20"/>
        </w:rPr>
      </w:pPr>
    </w:p>
    <w:p>
      <w:pPr>
        <w:ind w:left="660" w:hanging="328"/>
        <w:spacing w:after="0"/>
        <w:tabs>
          <w:tab w:leader="none" w:pos="660" w:val="left"/>
        </w:tabs>
        <w:numPr>
          <w:ilvl w:val="0"/>
          <w:numId w:val="23"/>
        </w:numPr>
        <w:rPr>
          <w:rFonts w:ascii="Arial" w:cs="Arial" w:eastAsia="Arial" w:hAnsi="Arial"/>
          <w:sz w:val="18"/>
          <w:szCs w:val="18"/>
          <w:color w:val="231F20"/>
        </w:rPr>
      </w:pPr>
      <w:r>
        <w:rPr>
          <w:rFonts w:ascii="Arial" w:cs="Arial" w:eastAsia="Arial" w:hAnsi="Arial"/>
          <w:sz w:val="18"/>
          <w:szCs w:val="18"/>
          <w:color w:val="231F20"/>
        </w:rPr>
        <w:t>the availability of other alternative fuel vehicles, including plug-in hybrid electric vehicles;</w:t>
      </w:r>
    </w:p>
    <w:p>
      <w:pPr>
        <w:spacing w:after="0" w:line="117" w:lineRule="exact"/>
        <w:rPr>
          <w:rFonts w:ascii="Arial" w:cs="Arial" w:eastAsia="Arial" w:hAnsi="Arial"/>
          <w:sz w:val="18"/>
          <w:szCs w:val="18"/>
          <w:color w:val="231F20"/>
        </w:rPr>
      </w:pPr>
    </w:p>
    <w:p>
      <w:pPr>
        <w:ind w:left="660" w:hanging="328"/>
        <w:spacing w:after="0"/>
        <w:tabs>
          <w:tab w:leader="none" w:pos="660" w:val="left"/>
        </w:tabs>
        <w:numPr>
          <w:ilvl w:val="0"/>
          <w:numId w:val="23"/>
        </w:numPr>
        <w:rPr>
          <w:rFonts w:ascii="Arial" w:cs="Arial" w:eastAsia="Arial" w:hAnsi="Arial"/>
          <w:sz w:val="18"/>
          <w:szCs w:val="18"/>
          <w:color w:val="231F20"/>
        </w:rPr>
      </w:pPr>
      <w:r>
        <w:rPr>
          <w:rFonts w:ascii="Arial" w:cs="Arial" w:eastAsia="Arial" w:hAnsi="Arial"/>
          <w:sz w:val="18"/>
          <w:szCs w:val="18"/>
          <w:color w:val="231F20"/>
        </w:rPr>
        <w:t>improvements in the fuel economy of the internal combustion engine;</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9" w:right="359" w:bottom="1440" w:gutter="0" w:footer="0" w:header="0"/>
        </w:sectPr>
      </w:pPr>
    </w:p>
    <w:bookmarkStart w:id="28" w:name="page29"/>
    <w:bookmarkEnd w:id="28"/>
    <w:p>
      <w:pPr>
        <w:ind w:left="660" w:hanging="328"/>
        <w:spacing w:after="0"/>
        <w:tabs>
          <w:tab w:leader="none" w:pos="660" w:val="left"/>
        </w:tabs>
        <w:numPr>
          <w:ilvl w:val="0"/>
          <w:numId w:val="24"/>
        </w:numPr>
        <w:rPr>
          <w:rFonts w:ascii="Arial" w:cs="Arial" w:eastAsia="Arial" w:hAnsi="Arial"/>
          <w:sz w:val="18"/>
          <w:szCs w:val="18"/>
          <w:color w:val="231F20"/>
        </w:rPr>
      </w:pPr>
      <w:r>
        <w:rPr>
          <w:rFonts w:ascii="Arial" w:cs="Arial" w:eastAsia="Arial" w:hAnsi="Arial"/>
          <w:sz w:val="18"/>
          <w:szCs w:val="18"/>
          <w:color w:val="231F20"/>
        </w:rPr>
        <w:t>the quality and availability of service for electric vehicles, especially in international markets;</w:t>
      </w:r>
    </w:p>
    <w:p>
      <w:pPr>
        <w:spacing w:after="0" w:line="117" w:lineRule="exact"/>
        <w:rPr>
          <w:rFonts w:ascii="Arial" w:cs="Arial" w:eastAsia="Arial" w:hAnsi="Arial"/>
          <w:sz w:val="18"/>
          <w:szCs w:val="18"/>
          <w:color w:val="231F20"/>
        </w:rPr>
      </w:pPr>
    </w:p>
    <w:p>
      <w:pPr>
        <w:ind w:left="660" w:hanging="328"/>
        <w:spacing w:after="0"/>
        <w:tabs>
          <w:tab w:leader="none" w:pos="660" w:val="left"/>
        </w:tabs>
        <w:numPr>
          <w:ilvl w:val="0"/>
          <w:numId w:val="24"/>
        </w:numPr>
        <w:rPr>
          <w:rFonts w:ascii="Arial" w:cs="Arial" w:eastAsia="Arial" w:hAnsi="Arial"/>
          <w:sz w:val="18"/>
          <w:szCs w:val="18"/>
          <w:color w:val="231F20"/>
        </w:rPr>
      </w:pPr>
      <w:r>
        <w:rPr>
          <w:rFonts w:ascii="Arial" w:cs="Arial" w:eastAsia="Arial" w:hAnsi="Arial"/>
          <w:sz w:val="18"/>
          <w:szCs w:val="18"/>
          <w:color w:val="231F20"/>
        </w:rPr>
        <w:t>volatility in the cost of oil and gasoline;</w:t>
      </w:r>
    </w:p>
    <w:p>
      <w:pPr>
        <w:spacing w:after="0" w:line="117" w:lineRule="exact"/>
        <w:rPr>
          <w:rFonts w:ascii="Arial" w:cs="Arial" w:eastAsia="Arial" w:hAnsi="Arial"/>
          <w:sz w:val="18"/>
          <w:szCs w:val="18"/>
          <w:color w:val="231F20"/>
        </w:rPr>
      </w:pPr>
    </w:p>
    <w:p>
      <w:pPr>
        <w:ind w:left="660" w:hanging="328"/>
        <w:spacing w:after="0"/>
        <w:tabs>
          <w:tab w:leader="none" w:pos="660" w:val="left"/>
        </w:tabs>
        <w:numPr>
          <w:ilvl w:val="0"/>
          <w:numId w:val="24"/>
        </w:numPr>
        <w:rPr>
          <w:rFonts w:ascii="Arial" w:cs="Arial" w:eastAsia="Arial" w:hAnsi="Arial"/>
          <w:sz w:val="18"/>
          <w:szCs w:val="18"/>
          <w:color w:val="231F20"/>
        </w:rPr>
      </w:pPr>
      <w:r>
        <w:rPr>
          <w:rFonts w:ascii="Arial" w:cs="Arial" w:eastAsia="Arial" w:hAnsi="Arial"/>
          <w:sz w:val="18"/>
          <w:szCs w:val="18"/>
          <w:color w:val="231F20"/>
        </w:rPr>
        <w:t>government regulations and economic incentives promoting fuel efficiency and alternate forms of energy;</w:t>
      </w:r>
    </w:p>
    <w:p>
      <w:pPr>
        <w:spacing w:after="0" w:line="117" w:lineRule="exact"/>
        <w:rPr>
          <w:rFonts w:ascii="Arial" w:cs="Arial" w:eastAsia="Arial" w:hAnsi="Arial"/>
          <w:sz w:val="18"/>
          <w:szCs w:val="18"/>
          <w:color w:val="231F20"/>
        </w:rPr>
      </w:pPr>
    </w:p>
    <w:p>
      <w:pPr>
        <w:ind w:left="660" w:right="800" w:hanging="328"/>
        <w:spacing w:after="0" w:line="277" w:lineRule="auto"/>
        <w:tabs>
          <w:tab w:leader="none" w:pos="655" w:val="left"/>
        </w:tabs>
        <w:numPr>
          <w:ilvl w:val="0"/>
          <w:numId w:val="24"/>
        </w:numPr>
        <w:rPr>
          <w:rFonts w:ascii="Arial" w:cs="Arial" w:eastAsia="Arial" w:hAnsi="Arial"/>
          <w:sz w:val="18"/>
          <w:szCs w:val="18"/>
          <w:color w:val="231F20"/>
        </w:rPr>
      </w:pPr>
      <w:r>
        <w:rPr>
          <w:rFonts w:ascii="Arial" w:cs="Arial" w:eastAsia="Arial" w:hAnsi="Arial"/>
          <w:sz w:val="18"/>
          <w:szCs w:val="18"/>
          <w:color w:val="231F20"/>
        </w:rPr>
        <w:t>access to charging stations and cost to charge an electric vehicle, especially in international markets, and related infrastructure costs and standardization;</w:t>
      </w:r>
    </w:p>
    <w:p>
      <w:pPr>
        <w:spacing w:after="0" w:line="62" w:lineRule="exact"/>
        <w:rPr>
          <w:rFonts w:ascii="Arial" w:cs="Arial" w:eastAsia="Arial" w:hAnsi="Arial"/>
          <w:sz w:val="18"/>
          <w:szCs w:val="18"/>
          <w:color w:val="231F20"/>
        </w:rPr>
      </w:pPr>
    </w:p>
    <w:p>
      <w:pPr>
        <w:ind w:left="660" w:right="220" w:hanging="328"/>
        <w:spacing w:after="0" w:line="277" w:lineRule="auto"/>
        <w:tabs>
          <w:tab w:leader="none" w:pos="655" w:val="left"/>
        </w:tabs>
        <w:numPr>
          <w:ilvl w:val="0"/>
          <w:numId w:val="24"/>
        </w:numPr>
        <w:rPr>
          <w:rFonts w:ascii="Arial" w:cs="Arial" w:eastAsia="Arial" w:hAnsi="Arial"/>
          <w:sz w:val="18"/>
          <w:szCs w:val="18"/>
          <w:color w:val="231F20"/>
        </w:rPr>
      </w:pPr>
      <w:r>
        <w:rPr>
          <w:rFonts w:ascii="Arial" w:cs="Arial" w:eastAsia="Arial" w:hAnsi="Arial"/>
          <w:sz w:val="18"/>
          <w:szCs w:val="18"/>
          <w:color w:val="231F20"/>
        </w:rPr>
        <w:t>the availability of tax and other governmental incentives to purchase and operate electric vehicles or future regulation requiring increased use of nonpolluting vehicles; and</w:t>
      </w:r>
    </w:p>
    <w:p>
      <w:pPr>
        <w:spacing w:after="0" w:line="62" w:lineRule="exact"/>
        <w:rPr>
          <w:rFonts w:ascii="Arial" w:cs="Arial" w:eastAsia="Arial" w:hAnsi="Arial"/>
          <w:sz w:val="18"/>
          <w:szCs w:val="18"/>
          <w:color w:val="231F20"/>
        </w:rPr>
      </w:pPr>
    </w:p>
    <w:p>
      <w:pPr>
        <w:ind w:left="660" w:hanging="328"/>
        <w:spacing w:after="0"/>
        <w:tabs>
          <w:tab w:leader="none" w:pos="660" w:val="left"/>
        </w:tabs>
        <w:numPr>
          <w:ilvl w:val="0"/>
          <w:numId w:val="24"/>
        </w:numPr>
        <w:rPr>
          <w:rFonts w:ascii="Arial" w:cs="Arial" w:eastAsia="Arial" w:hAnsi="Arial"/>
          <w:sz w:val="18"/>
          <w:szCs w:val="18"/>
          <w:color w:val="231F20"/>
        </w:rPr>
      </w:pPr>
      <w:r>
        <w:rPr>
          <w:rFonts w:ascii="Arial" w:cs="Arial" w:eastAsia="Arial" w:hAnsi="Arial"/>
          <w:sz w:val="18"/>
          <w:szCs w:val="18"/>
          <w:color w:val="231F20"/>
        </w:rPr>
        <w:t>macroeconomic factors.</w:t>
      </w:r>
    </w:p>
    <w:p>
      <w:pPr>
        <w:spacing w:after="0" w:line="225"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231F20"/>
        </w:rPr>
        <w:t>The influence of any of the factors described above or any other factors may cause a general reduction in consumer demand for electric vehicles or our electric vehicles in particular, either of which would materially and adversely affect our business, results of operations, financial condition and prospects.</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231F20"/>
        </w:rPr>
        <w:t>If we fail to manage our future growth effectively, we may not be able to develop, manufacture, distribute, market and sell our vehicles successfully.</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231F20"/>
        </w:rPr>
        <w:t>Any failure to manage our growth effectively could materially and adversely affect our business, prospects, results of operations and financial condition.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231F20"/>
        </w:rPr>
        <w:t>We are expanding our operations significantly and our current and future expansion plans include:</w:t>
      </w:r>
    </w:p>
    <w:p>
      <w:pPr>
        <w:spacing w:after="0" w:line="103"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231F20"/>
        </w:rPr>
      </w:pPr>
      <w:r>
        <w:rPr>
          <w:rFonts w:ascii="Arial" w:cs="Arial" w:eastAsia="Arial" w:hAnsi="Arial"/>
          <w:sz w:val="18"/>
          <w:szCs w:val="18"/>
          <w:color w:val="231F20"/>
        </w:rPr>
        <w:t>expanding our management team;</w:t>
      </w:r>
    </w:p>
    <w:p>
      <w:pPr>
        <w:spacing w:after="0" w:line="117" w:lineRule="exact"/>
        <w:rPr>
          <w:rFonts w:ascii="Arial" w:cs="Arial" w:eastAsia="Arial" w:hAnsi="Arial"/>
          <w:sz w:val="18"/>
          <w:szCs w:val="18"/>
          <w:color w:val="231F20"/>
        </w:rPr>
      </w:pPr>
    </w:p>
    <w:p>
      <w:pPr>
        <w:ind w:left="660" w:hanging="328"/>
        <w:spacing w:after="0"/>
        <w:tabs>
          <w:tab w:leader="none" w:pos="660" w:val="left"/>
        </w:tabs>
        <w:numPr>
          <w:ilvl w:val="0"/>
          <w:numId w:val="25"/>
        </w:numPr>
        <w:rPr>
          <w:rFonts w:ascii="Arial" w:cs="Arial" w:eastAsia="Arial" w:hAnsi="Arial"/>
          <w:sz w:val="18"/>
          <w:szCs w:val="18"/>
          <w:color w:val="231F20"/>
        </w:rPr>
      </w:pPr>
      <w:r>
        <w:rPr>
          <w:rFonts w:ascii="Arial" w:cs="Arial" w:eastAsia="Arial" w:hAnsi="Arial"/>
          <w:sz w:val="18"/>
          <w:szCs w:val="18"/>
          <w:color w:val="231F20"/>
        </w:rPr>
        <w:t>hiring and training new personnel;</w:t>
      </w:r>
    </w:p>
    <w:p>
      <w:pPr>
        <w:spacing w:after="0" w:line="117" w:lineRule="exact"/>
        <w:rPr>
          <w:rFonts w:ascii="Arial" w:cs="Arial" w:eastAsia="Arial" w:hAnsi="Arial"/>
          <w:sz w:val="18"/>
          <w:szCs w:val="18"/>
          <w:color w:val="231F20"/>
        </w:rPr>
      </w:pPr>
    </w:p>
    <w:p>
      <w:pPr>
        <w:ind w:left="660" w:hanging="328"/>
        <w:spacing w:after="0"/>
        <w:tabs>
          <w:tab w:leader="none" w:pos="660" w:val="left"/>
        </w:tabs>
        <w:numPr>
          <w:ilvl w:val="0"/>
          <w:numId w:val="25"/>
        </w:numPr>
        <w:rPr>
          <w:rFonts w:ascii="Arial" w:cs="Arial" w:eastAsia="Arial" w:hAnsi="Arial"/>
          <w:sz w:val="18"/>
          <w:szCs w:val="18"/>
          <w:color w:val="231F20"/>
        </w:rPr>
      </w:pPr>
      <w:r>
        <w:rPr>
          <w:rFonts w:ascii="Arial" w:cs="Arial" w:eastAsia="Arial" w:hAnsi="Arial"/>
          <w:sz w:val="18"/>
          <w:szCs w:val="18"/>
          <w:color w:val="231F20"/>
        </w:rPr>
        <w:t>establishing or expanding design, manufacturing, distribution, sales and service facilities;</w:t>
      </w:r>
    </w:p>
    <w:p>
      <w:pPr>
        <w:spacing w:after="0" w:line="117" w:lineRule="exact"/>
        <w:rPr>
          <w:rFonts w:ascii="Arial" w:cs="Arial" w:eastAsia="Arial" w:hAnsi="Arial"/>
          <w:sz w:val="18"/>
          <w:szCs w:val="18"/>
          <w:color w:val="231F20"/>
        </w:rPr>
      </w:pPr>
    </w:p>
    <w:p>
      <w:pPr>
        <w:ind w:left="660" w:right="400" w:hanging="328"/>
        <w:spacing w:after="0" w:line="277" w:lineRule="auto"/>
        <w:tabs>
          <w:tab w:leader="none" w:pos="655" w:val="left"/>
        </w:tabs>
        <w:numPr>
          <w:ilvl w:val="0"/>
          <w:numId w:val="25"/>
        </w:numPr>
        <w:rPr>
          <w:rFonts w:ascii="Arial" w:cs="Arial" w:eastAsia="Arial" w:hAnsi="Arial"/>
          <w:sz w:val="18"/>
          <w:szCs w:val="18"/>
          <w:color w:val="231F20"/>
        </w:rPr>
      </w:pPr>
      <w:r>
        <w:rPr>
          <w:rFonts w:ascii="Arial" w:cs="Arial" w:eastAsia="Arial" w:hAnsi="Arial"/>
          <w:sz w:val="18"/>
          <w:szCs w:val="18"/>
          <w:color w:val="231F20"/>
        </w:rPr>
        <w:t>implementing and enhancing administrative and business infrastructure, governance, systems and processes, including in connection with our maturation as a public company; and</w:t>
      </w:r>
    </w:p>
    <w:p>
      <w:pPr>
        <w:spacing w:after="0" w:line="62" w:lineRule="exact"/>
        <w:rPr>
          <w:rFonts w:ascii="Arial" w:cs="Arial" w:eastAsia="Arial" w:hAnsi="Arial"/>
          <w:sz w:val="18"/>
          <w:szCs w:val="18"/>
          <w:color w:val="231F20"/>
        </w:rPr>
      </w:pPr>
    </w:p>
    <w:p>
      <w:pPr>
        <w:ind w:left="660" w:right="620" w:hanging="328"/>
        <w:spacing w:after="0" w:line="277" w:lineRule="auto"/>
        <w:tabs>
          <w:tab w:leader="none" w:pos="655" w:val="left"/>
        </w:tabs>
        <w:numPr>
          <w:ilvl w:val="0"/>
          <w:numId w:val="25"/>
        </w:numPr>
        <w:rPr>
          <w:rFonts w:ascii="Arial" w:cs="Arial" w:eastAsia="Arial" w:hAnsi="Arial"/>
          <w:sz w:val="18"/>
          <w:szCs w:val="18"/>
          <w:color w:val="231F20"/>
        </w:rPr>
      </w:pPr>
      <w:r>
        <w:rPr>
          <w:rFonts w:ascii="Arial" w:cs="Arial" w:eastAsia="Arial" w:hAnsi="Arial"/>
          <w:sz w:val="18"/>
          <w:szCs w:val="18"/>
          <w:color w:val="231F20"/>
        </w:rPr>
        <w:t>expanding into new markets and establishing sales, service, administrative, distribution, and/or manufacturing operations in many of those markets.</w:t>
      </w:r>
    </w:p>
    <w:p>
      <w:pPr>
        <w:spacing w:after="0" w:line="170"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231F20"/>
        </w:rPr>
        <w:t>We require qualified personnel, including design and manufacturing personnel and service technicians for our vehicles. Because our vehicles are based on a different technology platform than traditional internal combustion engines, individuals with sufficient training in electric vehicles may not be available to hire, and as a result, we will need to expend significant time and expense training the employees we do hire. Competition for individuals with experience in supply chain management and logistics as well as designing, engineering, manufacturing and servicing electric vehicles is intense, and we may not be able to identify, attract, integrate, train, motivate or retain additional highly qualified personnel in the future. The failure to identify, attract, integrate, train, motivate and retain these additional employees could seriously harm our business and pros</w:t>
      </w:r>
      <w:r>
        <w:rPr>
          <w:rFonts w:ascii="Arial" w:cs="Arial" w:eastAsia="Arial" w:hAnsi="Arial"/>
          <w:sz w:val="16"/>
          <w:szCs w:val="16"/>
          <w:color w:val="000000"/>
        </w:rPr>
        <w:t>pects. Our employee equity program is a key factor in our ability</w:t>
      </w:r>
      <w:r>
        <w:rPr>
          <w:rFonts w:ascii="Arial" w:cs="Arial" w:eastAsia="Arial" w:hAnsi="Arial"/>
          <w:sz w:val="16"/>
          <w:szCs w:val="16"/>
          <w:color w:val="231F20"/>
        </w:rPr>
        <w:t xml:space="preserve"> </w:t>
      </w:r>
      <w:r>
        <w:rPr>
          <w:rFonts w:ascii="Arial" w:cs="Arial" w:eastAsia="Arial" w:hAnsi="Arial"/>
          <w:sz w:val="16"/>
          <w:szCs w:val="16"/>
          <w:color w:val="000000"/>
        </w:rPr>
        <w:t xml:space="preserve">to attract and retain talent and continue to support the growth of the company. If </w:t>
      </w:r>
      <w:r>
        <w:rPr>
          <w:rFonts w:ascii="Arial" w:cs="Arial" w:eastAsia="Arial" w:hAnsi="Arial"/>
          <w:sz w:val="16"/>
          <w:szCs w:val="16"/>
          <w:color w:val="231F20"/>
        </w:rPr>
        <w:t>we are unable to grant equity awards, or if we are forced to reduce the</w:t>
      </w:r>
      <w:r>
        <w:rPr>
          <w:rFonts w:ascii="Arial" w:cs="Arial" w:eastAsia="Arial" w:hAnsi="Arial"/>
          <w:sz w:val="16"/>
          <w:szCs w:val="16"/>
          <w:color w:val="000000"/>
        </w:rPr>
        <w:t xml:space="preserve"> </w:t>
      </w:r>
      <w:r>
        <w:rPr>
          <w:rFonts w:ascii="Arial" w:cs="Arial" w:eastAsia="Arial" w:hAnsi="Arial"/>
          <w:sz w:val="16"/>
          <w:szCs w:val="16"/>
          <w:color w:val="231F20"/>
        </w:rPr>
        <w:t>value of equity awards we grant due to shortage of shares available for issuance under our stock incentive plan, we may not be able to attract, hire and retain the personnel necessary for our business, which would have a material adverse effect on our business, prospects financial condition and results of operations. In addition, our success is substantially dependent upon the continued service and performance of our senior management team and key technical and vehicle management personnel. If any key personnel were to separate their employment with us, such separation would likely increase the difficulty of managing our future growth and heighten the foregoing risks.</w:t>
      </w:r>
    </w:p>
    <w:p>
      <w:pPr>
        <w:spacing w:after="0" w:line="168" w:lineRule="exact"/>
        <w:rPr>
          <w:sz w:val="20"/>
          <w:szCs w:val="20"/>
          <w:color w:val="auto"/>
        </w:rPr>
      </w:pPr>
    </w:p>
    <w:p>
      <w:pPr>
        <w:spacing w:after="0" w:line="287" w:lineRule="auto"/>
        <w:rPr>
          <w:sz w:val="20"/>
          <w:szCs w:val="20"/>
          <w:color w:val="auto"/>
        </w:rPr>
      </w:pPr>
      <w:r>
        <w:rPr>
          <w:rFonts w:ascii="Arial" w:cs="Arial" w:eastAsia="Arial" w:hAnsi="Arial"/>
          <w:sz w:val="16"/>
          <w:szCs w:val="16"/>
          <w:color w:val="231F20"/>
        </w:rPr>
        <w:t>We also have no experience to date in high volume manufacturing of our vehicles. We cannot assure our investors that we will be able to develop and implement efficient, automated, low-cost manufacturing capabilities and processes, and reliable sources of component supply that will enable us to meet the quality, price, engineering, design and production standards, as well as the production volumes, required to successfully market our vehicles. We have also experienced, and may continue to experience, logistics challenges with respect to our manufacturing and warehousing facilities, including disruption to manufacturing operations due to the consolidation of our logistics operations with our manufacturing operations at AMP-1. Any failure to develop and implement such manufacturing processes and capabilities within our projected costs and timelines could stunt our future growth and impair our ability to produce, market, service and sell or lease our vehicles successfully. In addition, our rapid growth, competitive real estate markets, and increasing rental rates, may impact our ability to obtain suitable space to accommodate our growing operations or to renew existing leases on terms favorable to us, if at all. Any failure to obtain or renew leases for real property on terms favorable to us when we need them may limit our growth, impact our operations and have an adverse impact on our financial condition. If we fail to manage our growth effectively, such failure could result in negative publicity and damage to our brand and have a material adverse effect on our business, prospects, financial condition and results of operations.</w:t>
      </w: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29" w:name="page30"/>
    <w:bookmarkEnd w:id="29"/>
    <w:p>
      <w:pPr>
        <w:ind w:right="360"/>
        <w:spacing w:after="0" w:line="277" w:lineRule="auto"/>
        <w:rPr>
          <w:sz w:val="20"/>
          <w:szCs w:val="20"/>
          <w:color w:val="auto"/>
        </w:rPr>
      </w:pPr>
      <w:r>
        <w:rPr>
          <w:rFonts w:ascii="Arial" w:cs="Arial" w:eastAsia="Arial" w:hAnsi="Arial"/>
          <w:sz w:val="18"/>
          <w:szCs w:val="18"/>
          <w:b w:val="1"/>
          <w:bCs w:val="1"/>
          <w:i w:val="1"/>
          <w:iCs w:val="1"/>
          <w:color w:val="231F20"/>
        </w:rPr>
        <w:t>We face risks associated with international operations, including unfavorable regulatory, political, tax and labor conditions, which could harm our business.</w:t>
      </w:r>
    </w:p>
    <w:p>
      <w:pPr>
        <w:spacing w:after="0" w:line="170"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231F20"/>
        </w:rPr>
        <w:t>As we expand our international presence and operations, we will be increasingly subject to the legal, political, regulatory and social requirements and economic conditions in these jurisdictions. Additionally, as part of our growth strategy, we have been expanding and may continue to expand our sales, maintenance and repair services outside of the United States. We have also started the construction of AMP-2 in Saudi Arabia and may continue to further expand our manufacturing activities outside the United States. However, we have no experience to date manufacturing, our vehicles outside of the United States, and such expansion will require us to make significant expenditures, including the hiring of local employees and establishing facilities and related systems and processes, in advance of generating any revenue. We are subject to a number of risks associated with international business activities that may increase our costs, impact our ability to sell, service and manufacture our vehicles, and require significant management attention. These risks include:</w:t>
      </w:r>
    </w:p>
    <w:p>
      <w:pPr>
        <w:spacing w:after="0" w:line="58"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231F20"/>
        </w:rPr>
      </w:pPr>
      <w:r>
        <w:rPr>
          <w:rFonts w:ascii="Arial" w:cs="Arial" w:eastAsia="Arial" w:hAnsi="Arial"/>
          <w:sz w:val="18"/>
          <w:szCs w:val="18"/>
          <w:color w:val="231F20"/>
        </w:rPr>
        <w:t>conforming our vehicles to various international regulatory requirements where our vehicles are sold, or homologation;</w:t>
      </w:r>
    </w:p>
    <w:p>
      <w:pPr>
        <w:spacing w:after="0" w:line="117" w:lineRule="exact"/>
        <w:rPr>
          <w:rFonts w:ascii="Arial" w:cs="Arial" w:eastAsia="Arial" w:hAnsi="Arial"/>
          <w:sz w:val="18"/>
          <w:szCs w:val="18"/>
          <w:color w:val="231F20"/>
        </w:rPr>
      </w:pPr>
    </w:p>
    <w:p>
      <w:pPr>
        <w:ind w:left="660" w:hanging="328"/>
        <w:spacing w:after="0"/>
        <w:tabs>
          <w:tab w:leader="none" w:pos="660" w:val="left"/>
        </w:tabs>
        <w:numPr>
          <w:ilvl w:val="0"/>
          <w:numId w:val="26"/>
        </w:numPr>
        <w:rPr>
          <w:rFonts w:ascii="Arial" w:cs="Arial" w:eastAsia="Arial" w:hAnsi="Arial"/>
          <w:sz w:val="18"/>
          <w:szCs w:val="18"/>
          <w:color w:val="231F20"/>
        </w:rPr>
      </w:pPr>
      <w:r>
        <w:rPr>
          <w:rFonts w:ascii="Arial" w:cs="Arial" w:eastAsia="Arial" w:hAnsi="Arial"/>
          <w:sz w:val="18"/>
          <w:szCs w:val="18"/>
          <w:color w:val="231F20"/>
        </w:rPr>
        <w:t>establishing localized supply chains and managing international supply chain and logistics costs;</w:t>
      </w:r>
    </w:p>
    <w:p>
      <w:pPr>
        <w:spacing w:after="0" w:line="117" w:lineRule="exact"/>
        <w:rPr>
          <w:rFonts w:ascii="Arial" w:cs="Arial" w:eastAsia="Arial" w:hAnsi="Arial"/>
          <w:sz w:val="18"/>
          <w:szCs w:val="18"/>
          <w:color w:val="231F20"/>
        </w:rPr>
      </w:pPr>
    </w:p>
    <w:p>
      <w:pPr>
        <w:ind w:left="660" w:right="520" w:hanging="328"/>
        <w:spacing w:after="0" w:line="277" w:lineRule="auto"/>
        <w:tabs>
          <w:tab w:leader="none" w:pos="655" w:val="left"/>
        </w:tabs>
        <w:numPr>
          <w:ilvl w:val="0"/>
          <w:numId w:val="26"/>
        </w:numPr>
        <w:rPr>
          <w:rFonts w:ascii="Arial" w:cs="Arial" w:eastAsia="Arial" w:hAnsi="Arial"/>
          <w:sz w:val="18"/>
          <w:szCs w:val="18"/>
          <w:color w:val="231F20"/>
        </w:rPr>
      </w:pPr>
      <w:r>
        <w:rPr>
          <w:rFonts w:ascii="Arial" w:cs="Arial" w:eastAsia="Arial" w:hAnsi="Arial"/>
          <w:sz w:val="18"/>
          <w:szCs w:val="18"/>
          <w:color w:val="231F20"/>
        </w:rPr>
        <w:t>establishing sufficient charging points for our customers in those jurisdictions, via partnerships or, if necessary, via development of our own charging networks;</w:t>
      </w:r>
    </w:p>
    <w:p>
      <w:pPr>
        <w:spacing w:after="0" w:line="62" w:lineRule="exact"/>
        <w:rPr>
          <w:rFonts w:ascii="Arial" w:cs="Arial" w:eastAsia="Arial" w:hAnsi="Arial"/>
          <w:sz w:val="18"/>
          <w:szCs w:val="18"/>
          <w:color w:val="231F20"/>
        </w:rPr>
      </w:pPr>
    </w:p>
    <w:p>
      <w:pPr>
        <w:ind w:left="660" w:right="260" w:hanging="328"/>
        <w:spacing w:after="0" w:line="277" w:lineRule="auto"/>
        <w:tabs>
          <w:tab w:leader="none" w:pos="655" w:val="left"/>
        </w:tabs>
        <w:numPr>
          <w:ilvl w:val="0"/>
          <w:numId w:val="26"/>
        </w:numPr>
        <w:rPr>
          <w:rFonts w:ascii="Arial" w:cs="Arial" w:eastAsia="Arial" w:hAnsi="Arial"/>
          <w:sz w:val="18"/>
          <w:szCs w:val="18"/>
          <w:color w:val="231F20"/>
        </w:rPr>
      </w:pPr>
      <w:r>
        <w:rPr>
          <w:rFonts w:ascii="Arial" w:cs="Arial" w:eastAsia="Arial" w:hAnsi="Arial"/>
          <w:sz w:val="18"/>
          <w:szCs w:val="18"/>
          <w:color w:val="231F20"/>
        </w:rPr>
        <w:t>difficulty in staffing and managing foreign operations, especially in jurisdictions where no automotive ecosystem exists and qualified personnel must be hired and relocated;</w:t>
      </w:r>
    </w:p>
    <w:p>
      <w:pPr>
        <w:spacing w:after="0" w:line="62" w:lineRule="exact"/>
        <w:rPr>
          <w:rFonts w:ascii="Arial" w:cs="Arial" w:eastAsia="Arial" w:hAnsi="Arial"/>
          <w:sz w:val="18"/>
          <w:szCs w:val="18"/>
          <w:color w:val="231F20"/>
        </w:rPr>
      </w:pPr>
    </w:p>
    <w:p>
      <w:pPr>
        <w:ind w:left="660" w:hanging="328"/>
        <w:spacing w:after="0"/>
        <w:tabs>
          <w:tab w:leader="none" w:pos="660" w:val="left"/>
        </w:tabs>
        <w:numPr>
          <w:ilvl w:val="0"/>
          <w:numId w:val="26"/>
        </w:numPr>
        <w:rPr>
          <w:rFonts w:ascii="Arial" w:cs="Arial" w:eastAsia="Arial" w:hAnsi="Arial"/>
          <w:sz w:val="18"/>
          <w:szCs w:val="18"/>
          <w:color w:val="231F20"/>
        </w:rPr>
      </w:pPr>
      <w:r>
        <w:rPr>
          <w:rFonts w:ascii="Arial" w:cs="Arial" w:eastAsia="Arial" w:hAnsi="Arial"/>
          <w:sz w:val="18"/>
          <w:szCs w:val="18"/>
          <w:color w:val="231F20"/>
        </w:rPr>
        <w:t>difficulties attracting customers in new jurisdictions;</w:t>
      </w:r>
    </w:p>
    <w:p>
      <w:pPr>
        <w:spacing w:after="0" w:line="117" w:lineRule="exact"/>
        <w:rPr>
          <w:rFonts w:ascii="Arial" w:cs="Arial" w:eastAsia="Arial" w:hAnsi="Arial"/>
          <w:sz w:val="18"/>
          <w:szCs w:val="18"/>
          <w:color w:val="231F20"/>
        </w:rPr>
      </w:pPr>
    </w:p>
    <w:p>
      <w:pPr>
        <w:jc w:val="both"/>
        <w:ind w:left="660" w:right="440" w:hanging="328"/>
        <w:spacing w:after="0" w:line="263" w:lineRule="auto"/>
        <w:tabs>
          <w:tab w:leader="none" w:pos="655" w:val="left"/>
        </w:tabs>
        <w:numPr>
          <w:ilvl w:val="0"/>
          <w:numId w:val="26"/>
        </w:numPr>
        <w:rPr>
          <w:rFonts w:ascii="Arial" w:cs="Arial" w:eastAsia="Arial" w:hAnsi="Arial"/>
          <w:sz w:val="18"/>
          <w:szCs w:val="18"/>
          <w:color w:val="231F20"/>
        </w:rPr>
      </w:pPr>
      <w:r>
        <w:rPr>
          <w:rFonts w:ascii="Arial" w:cs="Arial" w:eastAsia="Arial" w:hAnsi="Arial"/>
          <w:sz w:val="18"/>
          <w:szCs w:val="18"/>
          <w:color w:val="231F20"/>
        </w:rPr>
        <w:t>difficulties establishing international manufacturing operations, including difficulties establishing relationships with or establishing localized supplier bases and developing cost-effective and reliable supply chains for such manufacturing operations and financing such manufacturing operations;</w:t>
      </w:r>
    </w:p>
    <w:p>
      <w:pPr>
        <w:spacing w:after="0" w:line="75" w:lineRule="exact"/>
        <w:rPr>
          <w:rFonts w:ascii="Arial" w:cs="Arial" w:eastAsia="Arial" w:hAnsi="Arial"/>
          <w:sz w:val="18"/>
          <w:szCs w:val="18"/>
          <w:color w:val="231F20"/>
        </w:rPr>
      </w:pPr>
    </w:p>
    <w:p>
      <w:pPr>
        <w:ind w:left="660" w:right="300" w:hanging="328"/>
        <w:spacing w:after="0" w:line="277"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d</w:t>
      </w:r>
      <w:r>
        <w:rPr>
          <w:rFonts w:ascii="Arial" w:cs="Arial" w:eastAsia="Arial" w:hAnsi="Arial"/>
          <w:sz w:val="18"/>
          <w:szCs w:val="18"/>
          <w:color w:val="231F20"/>
        </w:rPr>
        <w:t>ifficulties controlling costs and potential loss of funding, including as a result of delays in the construction or commencement of operations at</w:t>
      </w:r>
      <w:r>
        <w:rPr>
          <w:rFonts w:ascii="Arial" w:cs="Arial" w:eastAsia="Arial" w:hAnsi="Arial"/>
          <w:sz w:val="18"/>
          <w:szCs w:val="18"/>
          <w:color w:val="auto"/>
        </w:rPr>
        <w:t xml:space="preserve"> </w:t>
      </w:r>
      <w:r>
        <w:rPr>
          <w:rFonts w:ascii="Arial" w:cs="Arial" w:eastAsia="Arial" w:hAnsi="Arial"/>
          <w:sz w:val="18"/>
          <w:szCs w:val="18"/>
          <w:color w:val="231F20"/>
        </w:rPr>
        <w:t>AMP-2;</w:t>
      </w:r>
    </w:p>
    <w:p>
      <w:pPr>
        <w:spacing w:after="0" w:line="62" w:lineRule="exact"/>
        <w:rPr>
          <w:rFonts w:ascii="Arial" w:cs="Arial" w:eastAsia="Arial" w:hAnsi="Arial"/>
          <w:sz w:val="18"/>
          <w:szCs w:val="18"/>
          <w:color w:val="auto"/>
        </w:rPr>
      </w:pPr>
    </w:p>
    <w:p>
      <w:pPr>
        <w:ind w:left="660" w:right="280" w:hanging="328"/>
        <w:spacing w:after="0" w:line="308" w:lineRule="auto"/>
        <w:tabs>
          <w:tab w:leader="none" w:pos="655" w:val="left"/>
        </w:tabs>
        <w:numPr>
          <w:ilvl w:val="0"/>
          <w:numId w:val="26"/>
        </w:numPr>
        <w:rPr>
          <w:rFonts w:ascii="Arial" w:cs="Arial" w:eastAsia="Arial" w:hAnsi="Arial"/>
          <w:sz w:val="17"/>
          <w:szCs w:val="17"/>
          <w:color w:val="231F20"/>
        </w:rPr>
      </w:pPr>
      <w:r>
        <w:rPr>
          <w:rFonts w:ascii="Arial" w:cs="Arial" w:eastAsia="Arial" w:hAnsi="Arial"/>
          <w:sz w:val="17"/>
          <w:szCs w:val="17"/>
          <w:color w:val="231F20"/>
        </w:rPr>
        <w:t>foreign government taxes, regulations and permit requirements, including foreign taxes that we may not be able to offset against taxes imposed upon us in the United States, and foreign tax and other laws limiting our ability to repatriate funds to the United States;</w:t>
      </w:r>
    </w:p>
    <w:p>
      <w:pPr>
        <w:spacing w:after="0" w:line="38" w:lineRule="exact"/>
        <w:rPr>
          <w:rFonts w:ascii="Arial" w:cs="Arial" w:eastAsia="Arial" w:hAnsi="Arial"/>
          <w:sz w:val="17"/>
          <w:szCs w:val="17"/>
          <w:color w:val="231F20"/>
        </w:rPr>
      </w:pPr>
    </w:p>
    <w:p>
      <w:pPr>
        <w:ind w:left="660" w:right="340" w:hanging="328"/>
        <w:spacing w:after="0" w:line="277" w:lineRule="auto"/>
        <w:tabs>
          <w:tab w:leader="none" w:pos="655" w:val="left"/>
        </w:tabs>
        <w:numPr>
          <w:ilvl w:val="0"/>
          <w:numId w:val="26"/>
        </w:numPr>
        <w:rPr>
          <w:rFonts w:ascii="Arial" w:cs="Arial" w:eastAsia="Arial" w:hAnsi="Arial"/>
          <w:sz w:val="18"/>
          <w:szCs w:val="18"/>
          <w:color w:val="231F20"/>
        </w:rPr>
      </w:pPr>
      <w:r>
        <w:rPr>
          <w:rFonts w:ascii="Arial" w:cs="Arial" w:eastAsia="Arial" w:hAnsi="Arial"/>
          <w:sz w:val="18"/>
          <w:szCs w:val="18"/>
          <w:color w:val="231F20"/>
        </w:rPr>
        <w:t>inflation as well as fluctuations in foreign currency exchange rates and interest rates, including risks related to any forward currency contracts, interest rate swaps or other hedging activities we may undertake;</w:t>
      </w:r>
    </w:p>
    <w:p>
      <w:pPr>
        <w:spacing w:after="0" w:line="62" w:lineRule="exact"/>
        <w:rPr>
          <w:rFonts w:ascii="Arial" w:cs="Arial" w:eastAsia="Arial" w:hAnsi="Arial"/>
          <w:sz w:val="18"/>
          <w:szCs w:val="18"/>
          <w:color w:val="231F20"/>
        </w:rPr>
      </w:pPr>
    </w:p>
    <w:p>
      <w:pPr>
        <w:ind w:left="660" w:hanging="328"/>
        <w:spacing w:after="0"/>
        <w:tabs>
          <w:tab w:leader="none" w:pos="660" w:val="left"/>
        </w:tabs>
        <w:numPr>
          <w:ilvl w:val="0"/>
          <w:numId w:val="26"/>
        </w:numPr>
        <w:rPr>
          <w:rFonts w:ascii="Arial" w:cs="Arial" w:eastAsia="Arial" w:hAnsi="Arial"/>
          <w:sz w:val="18"/>
          <w:szCs w:val="18"/>
          <w:color w:val="231F20"/>
        </w:rPr>
      </w:pPr>
      <w:r>
        <w:rPr>
          <w:rFonts w:ascii="Arial" w:cs="Arial" w:eastAsia="Arial" w:hAnsi="Arial"/>
          <w:sz w:val="18"/>
          <w:szCs w:val="18"/>
          <w:color w:val="231F20"/>
        </w:rPr>
        <w:t>United States and foreign government trade restrictions, tariffs and price or exchange controls;</w:t>
      </w:r>
    </w:p>
    <w:p>
      <w:pPr>
        <w:spacing w:after="0" w:line="117" w:lineRule="exact"/>
        <w:rPr>
          <w:rFonts w:ascii="Arial" w:cs="Arial" w:eastAsia="Arial" w:hAnsi="Arial"/>
          <w:sz w:val="18"/>
          <w:szCs w:val="18"/>
          <w:color w:val="231F20"/>
        </w:rPr>
      </w:pPr>
    </w:p>
    <w:p>
      <w:pPr>
        <w:ind w:left="660" w:right="460" w:hanging="328"/>
        <w:spacing w:after="0" w:line="277" w:lineRule="auto"/>
        <w:tabs>
          <w:tab w:leader="none" w:pos="655" w:val="left"/>
        </w:tabs>
        <w:numPr>
          <w:ilvl w:val="0"/>
          <w:numId w:val="26"/>
        </w:numPr>
        <w:rPr>
          <w:rFonts w:ascii="Arial" w:cs="Arial" w:eastAsia="Arial" w:hAnsi="Arial"/>
          <w:sz w:val="18"/>
          <w:szCs w:val="18"/>
          <w:color w:val="231F20"/>
        </w:rPr>
      </w:pPr>
      <w:r>
        <w:rPr>
          <w:rFonts w:ascii="Arial" w:cs="Arial" w:eastAsia="Arial" w:hAnsi="Arial"/>
          <w:sz w:val="18"/>
          <w:szCs w:val="18"/>
          <w:color w:val="231F20"/>
        </w:rPr>
        <w:t>foreign laws, regulations and restrictions, including in the areas of supply chain, labor, sales, service, environment and health and safety, and related compliance costs;</w:t>
      </w:r>
    </w:p>
    <w:p>
      <w:pPr>
        <w:spacing w:after="0" w:line="62" w:lineRule="exact"/>
        <w:rPr>
          <w:rFonts w:ascii="Arial" w:cs="Arial" w:eastAsia="Arial" w:hAnsi="Arial"/>
          <w:sz w:val="18"/>
          <w:szCs w:val="18"/>
          <w:color w:val="231F20"/>
        </w:rPr>
      </w:pPr>
    </w:p>
    <w:p>
      <w:pPr>
        <w:ind w:left="660" w:hanging="328"/>
        <w:spacing w:after="0"/>
        <w:tabs>
          <w:tab w:leader="none" w:pos="660" w:val="left"/>
        </w:tabs>
        <w:numPr>
          <w:ilvl w:val="0"/>
          <w:numId w:val="26"/>
        </w:numPr>
        <w:rPr>
          <w:rFonts w:ascii="Arial" w:cs="Arial" w:eastAsia="Arial" w:hAnsi="Arial"/>
          <w:sz w:val="18"/>
          <w:szCs w:val="18"/>
          <w:color w:val="231F20"/>
        </w:rPr>
      </w:pPr>
      <w:r>
        <w:rPr>
          <w:rFonts w:ascii="Arial" w:cs="Arial" w:eastAsia="Arial" w:hAnsi="Arial"/>
          <w:sz w:val="18"/>
          <w:szCs w:val="18"/>
          <w:color w:val="231F20"/>
        </w:rPr>
        <w:t>increasingly restrictive and complex foreign data privacy and security laws, regulations and obligations;</w:t>
      </w:r>
    </w:p>
    <w:p>
      <w:pPr>
        <w:spacing w:after="0" w:line="117" w:lineRule="exact"/>
        <w:rPr>
          <w:rFonts w:ascii="Arial" w:cs="Arial" w:eastAsia="Arial" w:hAnsi="Arial"/>
          <w:sz w:val="18"/>
          <w:szCs w:val="18"/>
          <w:color w:val="231F20"/>
        </w:rPr>
      </w:pPr>
    </w:p>
    <w:p>
      <w:pPr>
        <w:ind w:left="660" w:hanging="328"/>
        <w:spacing w:after="0"/>
        <w:tabs>
          <w:tab w:leader="none" w:pos="660" w:val="left"/>
        </w:tabs>
        <w:numPr>
          <w:ilvl w:val="0"/>
          <w:numId w:val="26"/>
        </w:numPr>
        <w:rPr>
          <w:rFonts w:ascii="Arial" w:cs="Arial" w:eastAsia="Arial" w:hAnsi="Arial"/>
          <w:sz w:val="18"/>
          <w:szCs w:val="18"/>
          <w:color w:val="231F20"/>
        </w:rPr>
      </w:pPr>
      <w:r>
        <w:rPr>
          <w:rFonts w:ascii="Arial" w:cs="Arial" w:eastAsia="Arial" w:hAnsi="Arial"/>
          <w:sz w:val="18"/>
          <w:szCs w:val="18"/>
          <w:color w:val="231F20"/>
        </w:rPr>
        <w:t>changes in diplomatic and trade relationships, including political risk and customer perceptions based on such changes and risks;</w:t>
      </w:r>
    </w:p>
    <w:p>
      <w:pPr>
        <w:spacing w:after="0" w:line="117" w:lineRule="exact"/>
        <w:rPr>
          <w:rFonts w:ascii="Arial" w:cs="Arial" w:eastAsia="Arial" w:hAnsi="Arial"/>
          <w:sz w:val="18"/>
          <w:szCs w:val="18"/>
          <w:color w:val="231F20"/>
        </w:rPr>
      </w:pPr>
    </w:p>
    <w:p>
      <w:pPr>
        <w:ind w:left="660" w:right="160" w:hanging="328"/>
        <w:spacing w:after="0" w:line="277" w:lineRule="auto"/>
        <w:tabs>
          <w:tab w:leader="none" w:pos="655" w:val="left"/>
        </w:tabs>
        <w:numPr>
          <w:ilvl w:val="0"/>
          <w:numId w:val="26"/>
        </w:numPr>
        <w:rPr>
          <w:rFonts w:ascii="Arial" w:cs="Arial" w:eastAsia="Arial" w:hAnsi="Arial"/>
          <w:sz w:val="18"/>
          <w:szCs w:val="18"/>
          <w:color w:val="231F20"/>
        </w:rPr>
      </w:pPr>
      <w:r>
        <w:rPr>
          <w:rFonts w:ascii="Arial" w:cs="Arial" w:eastAsia="Arial" w:hAnsi="Arial"/>
          <w:sz w:val="18"/>
          <w:szCs w:val="18"/>
          <w:color w:val="231F20"/>
        </w:rPr>
        <w:t>political instability, natural disasters, pandemics (including severity, magnitude and the duration of the COVID-19 pandemic), war (including the conflict between Ukraine and Russia) or events of terrorism; and</w:t>
      </w:r>
    </w:p>
    <w:p>
      <w:pPr>
        <w:spacing w:after="0" w:line="62" w:lineRule="exact"/>
        <w:rPr>
          <w:rFonts w:ascii="Arial" w:cs="Arial" w:eastAsia="Arial" w:hAnsi="Arial"/>
          <w:sz w:val="18"/>
          <w:szCs w:val="18"/>
          <w:color w:val="231F20"/>
        </w:rPr>
      </w:pPr>
    </w:p>
    <w:p>
      <w:pPr>
        <w:ind w:left="660" w:hanging="328"/>
        <w:spacing w:after="0"/>
        <w:tabs>
          <w:tab w:leader="none" w:pos="660" w:val="left"/>
        </w:tabs>
        <w:numPr>
          <w:ilvl w:val="0"/>
          <w:numId w:val="26"/>
        </w:numPr>
        <w:rPr>
          <w:rFonts w:ascii="Arial" w:cs="Arial" w:eastAsia="Arial" w:hAnsi="Arial"/>
          <w:sz w:val="18"/>
          <w:szCs w:val="18"/>
          <w:color w:val="231F20"/>
        </w:rPr>
      </w:pPr>
      <w:r>
        <w:rPr>
          <w:rFonts w:ascii="Arial" w:cs="Arial" w:eastAsia="Arial" w:hAnsi="Arial"/>
          <w:sz w:val="18"/>
          <w:szCs w:val="18"/>
          <w:color w:val="231F20"/>
        </w:rPr>
        <w:t>the strength of international economies.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231F20"/>
        </w:rPr>
        <w:t>If we fail to successfully address these risks, our business, prospects, results of operations and financial condition could be materially harmed.</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42424"/>
        </w:rPr>
        <w:t>The automotive industry has significant barriers to entry that we must overcome in order to manufacture and sell electric vehicles at scale.</w:t>
      </w:r>
    </w:p>
    <w:p>
      <w:pPr>
        <w:spacing w:after="0" w:line="237" w:lineRule="exact"/>
        <w:rPr>
          <w:sz w:val="20"/>
          <w:szCs w:val="20"/>
          <w:color w:val="auto"/>
        </w:rPr>
      </w:pPr>
    </w:p>
    <w:p>
      <w:pPr>
        <w:spacing w:after="0" w:line="269" w:lineRule="auto"/>
        <w:rPr>
          <w:sz w:val="20"/>
          <w:szCs w:val="20"/>
          <w:color w:val="auto"/>
        </w:rPr>
      </w:pPr>
      <w:r>
        <w:rPr>
          <w:rFonts w:ascii="Arial" w:cs="Arial" w:eastAsia="Arial" w:hAnsi="Arial"/>
          <w:sz w:val="17"/>
          <w:szCs w:val="17"/>
          <w:color w:val="242424"/>
        </w:rPr>
        <w:t>The automobile industry is characterized by significant barriers to entry, including large capital requirements, investment costs of designing, manufacturing, and distributing vehicles, long lead times to bring vehicles to market from the concept and design stage, the need for specialized design and development expertise, regulatory requirements, establishing a brand name and image, and the need to establish sales and service locations. Since we are focused on the design of electric vehicles, we face a variety of added challenges to entry that a traditional automobile manufacturer would not encounter, including additional costs of developing and producing an electric powertrain that has comparable performance to a traditional gasoline engine in terms of range and power, inexperience with servicing electric vehicles, regulations associated with the transport of batteries, the need to establish or provide access to sufficient charging locations and unproven high-volume customer demand for fully electric vehicles. While we have developed and started producing our first electric sedan and have completed the first phase of construction of AMP-1, we have not finished tooling all production lines at AMP-1. If we are not able to overcome these barriers, our business, prospects, results of operations and financial condition will be negatively impacted, and our ability to grow our business will be harmed.</w:t>
      </w:r>
    </w:p>
    <w:p>
      <w:pPr>
        <w:sectPr>
          <w:pgSz w:w="11900" w:h="16838" w:orient="portrait"/>
          <w:cols w:equalWidth="0" w:num="1">
            <w:col w:w="11240"/>
          </w:cols>
          <w:pgMar w:left="320" w:top="989" w:right="339" w:bottom="1440" w:gutter="0" w:footer="0" w:header="0"/>
        </w:sect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type w:val="continuous"/>
        </w:sectPr>
      </w:pPr>
    </w:p>
    <w:bookmarkStart w:id="30" w:name="page31"/>
    <w:bookmarkEnd w:id="30"/>
    <w:p>
      <w:pPr>
        <w:spacing w:after="0"/>
        <w:rPr>
          <w:sz w:val="20"/>
          <w:szCs w:val="20"/>
          <w:color w:val="auto"/>
        </w:rPr>
      </w:pPr>
      <w:r>
        <w:rPr>
          <w:rFonts w:ascii="Arial" w:cs="Arial" w:eastAsia="Arial" w:hAnsi="Arial"/>
          <w:sz w:val="18"/>
          <w:szCs w:val="18"/>
          <w:b w:val="1"/>
          <w:bCs w:val="1"/>
          <w:i w:val="1"/>
          <w:iCs w:val="1"/>
          <w:color w:val="242424"/>
        </w:rPr>
        <w:t>The automotive market is highly competitive, and we may not be successful in competing in this industry.</w:t>
      </w:r>
    </w:p>
    <w:p>
      <w:pPr>
        <w:spacing w:after="0" w:line="225" w:lineRule="exact"/>
        <w:rPr>
          <w:sz w:val="20"/>
          <w:szCs w:val="20"/>
          <w:color w:val="auto"/>
        </w:rPr>
      </w:pPr>
    </w:p>
    <w:p>
      <w:pPr>
        <w:spacing w:after="0" w:line="267" w:lineRule="auto"/>
        <w:rPr>
          <w:sz w:val="20"/>
          <w:szCs w:val="20"/>
          <w:color w:val="auto"/>
        </w:rPr>
      </w:pPr>
      <w:r>
        <w:rPr>
          <w:rFonts w:ascii="Arial" w:cs="Arial" w:eastAsia="Arial" w:hAnsi="Arial"/>
          <w:sz w:val="17"/>
          <w:szCs w:val="17"/>
          <w:color w:val="242424"/>
        </w:rPr>
        <w:t>The global automotive market, particularly for electric and alternative fuel vehicles, is highly competitive, and we expect it will become even more so in the future. In recent years, the electric vehicle industry has grown, with the emergence of several companies that focus completely or partially on the electric vehicle market. In addition, traditional automotive manufacturers are also producing and selling electric and alternative fuel vehicles. We expect additional companies to enter this market within the next several years. Electric vehicle manufacturers with which we compete include Tesla, an increasing number of U.S.-based and international entrants and traditional automotive manufacturers, many of which have begun, or announced plans to begin, selling their own electric vehicles in the near-term. We also compete with established automobile manufacturers in the luxury vehicle segment, many of which have entered or have announced plans to enter the alternative fuel and electric vehicle market with either fully electric or plug-in hybrid versions of their vehicles. We compete for sales with luxury vehicles with internal combustion engines from established manufacturers. Many of our current and potential competitors have significantly greater financial, technical, manufacturing, marketing and other resources than we do and may be able to devote greater resources to the design, development, manufacturing, distribution, promotion, sale, servicing, and support of their products, including the ability to significantly reduce prices of their products. In addition, many of these companies have longer operating histories, greater name recognition, larger and more established sales forces, broader customer and industry relationships and other resources than we do. Our competitors may be in a stronger position to respond quickly to changing market conditions and new technologies and may be able to design, develop, market and sell their products more effectively than we do. We expect competition in our industry to significantly intensify in the future in light of increased demand for alternative fuel vehicles, continuing globalization, favorable governmental policies, and consolidation in the worldwide automotive industry. Our ability to successfully compete in our industry will be fundamental to our future success in existing and new markets. There can be no assurance that we will be able to compete successfully in our markets.</w:t>
      </w:r>
    </w:p>
    <w:p>
      <w:pPr>
        <w:spacing w:after="0" w:line="19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242424"/>
        </w:rPr>
        <w:t>Developments in electric vehicle or alternative fuel technology or improvements in the internal combustion engine may adversely affect the demand for our vehicles.</w:t>
      </w:r>
    </w:p>
    <w:p>
      <w:pPr>
        <w:spacing w:after="0" w:line="170"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242424"/>
        </w:rPr>
        <w:t>We may be unable to keep up with changes in electric vehicle technology or alternatives to electricity as a fuel source and, as a result, our competitiveness may suffer. Significant developments in alternative technologies, such as alternative battery cell technologies, hydrogen fuel cell technology, advanced gasoline, ethanol or natural gas, or improvements in the fuel economy of the internal combustion engine, may materially and adversely affect our business and prospects in ways we do not currently anticipate. Existing and other battery cell technologies, fuels or sources of energy may emerge as customers’ preferred alternative to the technologies in our electric vehicles. Any failure by us to develop new or enhanced technologies or processes, or to react to changes in existing technologies, could materially delay our development and introduction of new and enhanced electric vehicles, which could result in the loss of competitiveness of our vehicles, decreased revenue and a loss of market share to competitors. In addition, we expect to compete in part on the basis of our vehicles’ range, efficiency, charging speeds and performance, and improvements in the technology offered by competitors could reduce demand for Lucid Air or other future vehicles. As technologies change, we plan to upgrade or adapt our vehicles and introduce new models that reflect such technological developments, but our vehicles may become obsolete, and our research and development efforts may not be sufficient to adapt to changes in alternative fuel and electric vehicle technology. Additionally, as new companies and larger, existing vehicle manufacturers continue to enter the electric vehicle space, we may lose any technological advantage we may have and suffer a decline in our competitive position. Any failure by us to successfully react to changes in existing technologies or the development of new technologies could materially harm our competitive position and growth prospects.</w:t>
      </w:r>
    </w:p>
    <w:p>
      <w:pPr>
        <w:spacing w:after="0" w:line="174"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242424"/>
        </w:rPr>
        <w:t>The unavailability, reduction or elimination of certain government and economic programs could have a material adverse effect on our business, prospects, financial condition and results of operations.</w:t>
      </w:r>
    </w:p>
    <w:p>
      <w:pPr>
        <w:spacing w:after="0" w:line="170" w:lineRule="exact"/>
        <w:rPr>
          <w:sz w:val="20"/>
          <w:szCs w:val="20"/>
          <w:color w:val="auto"/>
        </w:rPr>
      </w:pPr>
    </w:p>
    <w:p>
      <w:pPr>
        <w:spacing w:after="0" w:line="268" w:lineRule="auto"/>
        <w:rPr>
          <w:sz w:val="20"/>
          <w:szCs w:val="20"/>
          <w:color w:val="auto"/>
        </w:rPr>
      </w:pPr>
      <w:r>
        <w:rPr>
          <w:rFonts w:ascii="Arial" w:cs="Arial" w:eastAsia="Arial" w:hAnsi="Arial"/>
          <w:sz w:val="17"/>
          <w:szCs w:val="17"/>
          <w:color w:val="242424"/>
        </w:rPr>
        <w:t xml:space="preserve">We expect to benefit from government and economic programs that encourage the development, manufacture or purchase of electric vehicles, such as zero emission vehicle credits, greenhouse gas credits and similar regulatory credits, the loss of which could harm our ability to generate revenue from the sale of such credits to other manufacturers; tax credits and other incentives to consumers, without which the net cost to consumers of our vehicles would increase, potentially reducing demand for our products; and investment tax credits for equipment, tooling and other capital needs, without which we may be unable to procure the necessary infrastructure for production to support our business and timeline; and certain other benefits, including a California sales and use tax exclusion and certain other hiring and job training credits in California and Arizona. We may also benefit from government loan programs, such as loans under the Advanced Technology Vehicles Manufacturing Loan Program administered by the U.S. Department of Energy. Any reduction, elimination or selective application of tax and other governmental programs and incentives because of policy changes, the reduced need for such programs due to the perceived success of the electric vehicle, fiscal tightening or other reasons may result in the diminished competitiveness of the electric vehicle industry generally or our electric vehicles in particular, which would adversely affect our business, prospects, financial condition and results of operations. Further, we cannot assure you that the current governmental incentives and subsidies available for purchasers of electric vehicles will remain available. For example, beginning in 2023, the Inflation Reduction Act of 2022 eliminated the $7,500 federal sales tax credit for sedans that have a manufacturer’s suggested retail price over $55,000. See “— </w:t>
      </w:r>
      <w:r>
        <w:rPr>
          <w:rFonts w:ascii="Arial" w:cs="Arial" w:eastAsia="Arial" w:hAnsi="Arial"/>
          <w:sz w:val="17"/>
          <w:szCs w:val="17"/>
          <w:i w:val="1"/>
          <w:iCs w:val="1"/>
          <w:color w:val="242424"/>
        </w:rPr>
        <w:t>We have received only a limited number of reservations and orders for Lucid Air, all of which may be</w:t>
      </w:r>
      <w:r>
        <w:rPr>
          <w:rFonts w:ascii="Arial" w:cs="Arial" w:eastAsia="Arial" w:hAnsi="Arial"/>
          <w:sz w:val="17"/>
          <w:szCs w:val="17"/>
          <w:color w:val="242424"/>
        </w:rPr>
        <w:t xml:space="preserve"> </w:t>
      </w:r>
      <w:r>
        <w:rPr>
          <w:rFonts w:ascii="Arial" w:cs="Arial" w:eastAsia="Arial" w:hAnsi="Arial"/>
          <w:sz w:val="17"/>
          <w:szCs w:val="17"/>
          <w:i w:val="1"/>
          <w:iCs w:val="1"/>
          <w:color w:val="242424"/>
        </w:rPr>
        <w:t>cancelled</w:t>
      </w:r>
      <w:r>
        <w:rPr>
          <w:rFonts w:ascii="Arial" w:cs="Arial" w:eastAsia="Arial" w:hAnsi="Arial"/>
          <w:sz w:val="17"/>
          <w:szCs w:val="17"/>
          <w:color w:val="242424"/>
        </w:rPr>
        <w:t>.”</w:t>
      </w:r>
    </w:p>
    <w:p>
      <w:pPr>
        <w:spacing w:after="0" w:line="2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9" w:right="359" w:bottom="1440" w:gutter="0" w:footer="0" w:header="0"/>
        </w:sectPr>
      </w:pPr>
    </w:p>
    <w:bookmarkStart w:id="31" w:name="page32"/>
    <w:bookmarkEnd w:id="31"/>
    <w:p>
      <w:pPr>
        <w:ind w:right="260"/>
        <w:spacing w:after="0" w:line="263" w:lineRule="auto"/>
        <w:rPr>
          <w:sz w:val="20"/>
          <w:szCs w:val="20"/>
          <w:color w:val="auto"/>
        </w:rPr>
      </w:pPr>
      <w:r>
        <w:rPr>
          <w:rFonts w:ascii="Arial" w:cs="Arial" w:eastAsia="Arial" w:hAnsi="Arial"/>
          <w:sz w:val="18"/>
          <w:szCs w:val="18"/>
          <w:color w:val="242424"/>
        </w:rPr>
        <w:t>While certain U.S. federal and state tax credits and other incentives for alternative energy production and alternative fuel and electric vehicles have been available in the past, there is no guarantee these programs will be available in the future. If current tax incentives are not available in the future, our financial position could be harmed.</w:t>
      </w:r>
    </w:p>
    <w:p>
      <w:pPr>
        <w:spacing w:after="0" w:line="184"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242424"/>
        </w:rPr>
        <w:t>We may not be able to obtain or agree on acceptable terms and conditions for all or a significant portion of the government grants, loans and other incentives for which we may apply. As a result, our business and prospects may be adversely affected.</w:t>
      </w:r>
    </w:p>
    <w:p>
      <w:pPr>
        <w:spacing w:after="0" w:line="170"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242424"/>
        </w:rPr>
        <w:t>We may apply for federal and state grants, loans and tax incentives under government programs designed to stimulate the economy and support the production of alternative fuel and electric vehicles and related technologies. We anticipate that in the future there will be new opportunities for us to apply for grants, loans and other incentives from the United States federal and state governments, as well as foreign governments. Our ability to obtain funds or incentives from government sources is subject to the availability of funds under applicable government programs and approval of our applications to participate in such programs. The application process for these funds and other incentives will likely be highly competitive. We cannot assure you that we will be successful in obtaining any of these additional grants, loans and other incentives. If we are not successful in obtaining any of these additional incentives and we are unable to find alternative sources of funding to meet our planned capital needs, our business and prospects could be materially adversely affected.</w:t>
      </w:r>
    </w:p>
    <w:p>
      <w:pPr>
        <w:spacing w:after="0" w:line="192"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b w:val="1"/>
          <w:bCs w:val="1"/>
          <w:i w:val="1"/>
          <w:iCs w:val="1"/>
          <w:color w:val="242424"/>
        </w:rPr>
        <w:t>We may be unable to offer attractive leasing and financing options for Lucid Air and future vehicles, which would adversely affect consumer demand for Lucid Air and our future vehicles. In addition, offering leasing and financing options to customers could expose us to credit risk.</w:t>
      </w:r>
    </w:p>
    <w:p>
      <w:pPr>
        <w:spacing w:after="0" w:line="124"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242424"/>
        </w:rPr>
        <w:t>We offer leasing and financing of our vehicles to potential customers in the United States through a third-party financing partner and intend to do the same in other markets through third-party financing partners, but we cannot provide any assurance that such third-party financing partners will continue, or would be able or willing, to provide such services on terms acceptable to us or our customers. Furthermore, because we have only sold a limited number of vehicles and no secondary market for our vehicles exists, the future resale value of our vehicles is difficult to predict, and the possibility that resale values could be lower than we expect increases the difficulty of providing leasing terms that appeal to potential customers through such third-party financing partners. We believe that the ability to offer attractive leasing and financing options is particularly relevant to customers in the luxury vehicle segments in which we compete, and if we are unable to offer our customers an attractive option to finance the purchase of or lease Lucid Air or planned future vehicles, such failure could substantially reduce the population of potential customers and decrease demand for our vehicles.</w:t>
      </w:r>
    </w:p>
    <w:p>
      <w:pPr>
        <w:spacing w:after="0" w:line="165"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242424"/>
        </w:rPr>
        <w:t>Furthermore, offering leasing and financing alternatives to customers could expose us to risks commonly associated with the extension of consumer credit. Competitive pressure and challenging markets could increase credit risk through leases and loans to financially weak customers, extended payment terms, and leases and loans into new and immature markets, and any such credit risk could be further heightened in light of the economic uncertainty and any economic recession or other downturn, whether due to inflation, ongoing conflict in Ukraine, COVID-19, or other public crises. If we are unable to provide leasing and financing arrangements that appeal to potential customers, or if the provision of such arrangements exposes us to excessive consumer credit risk, our business, competitive position, results of operations and financial condition could be adversely affected.</w:t>
      </w:r>
    </w:p>
    <w:p>
      <w:pPr>
        <w:spacing w:after="0" w:line="178" w:lineRule="exact"/>
        <w:rPr>
          <w:sz w:val="20"/>
          <w:szCs w:val="20"/>
          <w:color w:val="auto"/>
        </w:rPr>
      </w:pPr>
    </w:p>
    <w:p>
      <w:pPr>
        <w:ind w:right="540"/>
        <w:spacing w:after="0" w:line="342" w:lineRule="auto"/>
        <w:rPr>
          <w:sz w:val="20"/>
          <w:szCs w:val="20"/>
          <w:color w:val="auto"/>
        </w:rPr>
      </w:pPr>
      <w:r>
        <w:rPr>
          <w:rFonts w:ascii="Arial" w:cs="Arial" w:eastAsia="Arial" w:hAnsi="Arial"/>
          <w:sz w:val="16"/>
          <w:szCs w:val="16"/>
          <w:b w:val="1"/>
          <w:bCs w:val="1"/>
          <w:i w:val="1"/>
          <w:iCs w:val="1"/>
          <w:color w:val="242424"/>
        </w:rPr>
        <w:t>We are subject to risks associated with autonomous driving and advanced driver assistance system technology, and we cannot guarantee that our vehicles will achieve our targeted assisted or autonomous driving functionality within our projected timeframe, if ever.</w:t>
      </w:r>
    </w:p>
    <w:p>
      <w:pPr>
        <w:spacing w:after="0" w:line="124" w:lineRule="exact"/>
        <w:rPr>
          <w:sz w:val="20"/>
          <w:szCs w:val="20"/>
          <w:color w:val="auto"/>
        </w:rPr>
      </w:pPr>
    </w:p>
    <w:p>
      <w:pPr>
        <w:spacing w:after="0" w:line="288" w:lineRule="auto"/>
        <w:rPr>
          <w:sz w:val="20"/>
          <w:szCs w:val="20"/>
          <w:color w:val="auto"/>
        </w:rPr>
      </w:pPr>
      <w:r>
        <w:rPr>
          <w:rFonts w:ascii="Arial" w:cs="Arial" w:eastAsia="Arial" w:hAnsi="Arial"/>
          <w:sz w:val="16"/>
          <w:szCs w:val="16"/>
          <w:color w:val="242424"/>
        </w:rPr>
        <w:t>Our vehicles are designed with advanced driver assistance system (“ADAS”) hardware and software, and we expect to release a Lucid Air software update and launch Lucid Gravity with Level 2 (partial automation) ADAS functionality, which we plan to upgrade with additional capabilities over time. ADAS technologies are emerging and subject to known and unknown risks, and there have been accidents and fatalities associated with such technologies. The safety of such technologies depends in part on user interaction, and users, as well as other drivers on the roadways, may not be accustomed to using or adapting to such technologies. In addition, self-driving technologies are the subject of intense public scrutiny and interest, and previous accidents involving autonomous driving features in other non-Lucid vehicles, including alleged failures or misuse of such features, have generated significant negative media attention and government investigations. We and others in our industry are subject to a Standing General Order issued by NHTSA that requires us to report any crashes in which certain ADAS features were active, and these crash reports will become publicly available. To the extent accidents associated with our ADAS technologies occur, we could be subject to significant liability, negative publicity, government scrutiny and further regulation. Any of the foregoing could materially and adversely affect our results of operations, financial condition and growth prospects.</w:t>
      </w:r>
    </w:p>
    <w:p>
      <w:pPr>
        <w:spacing w:after="0" w:line="168"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242424"/>
        </w:rPr>
        <w:t>In addition, we face substantial competition in the development and deployment of ADAS technologies. Many of our competitors, including established automakers and technology companies, have devoted significant time and resources to developing self-driving technologies. If we are unable to develop competitive Level 2 or more advanced ADAS technologies in-house or acquire access to such technologies via partnerships or investments in other companies or assets, we may be unable to equip our vehicles with competitive ADAS features, which could damage our brand, reduce consumer demand for our vehicles or trigger cancellations of reservations and could have a material adverse effect on our business, results of operations, prospects and financial condition.</w:t>
      </w: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32" w:name="page33"/>
    <w:bookmarkEnd w:id="32"/>
    <w:p>
      <w:pPr>
        <w:ind w:right="440"/>
        <w:spacing w:after="0" w:line="277" w:lineRule="auto"/>
        <w:rPr>
          <w:sz w:val="20"/>
          <w:szCs w:val="20"/>
          <w:color w:val="auto"/>
        </w:rPr>
      </w:pPr>
      <w:r>
        <w:rPr>
          <w:rFonts w:ascii="Arial" w:cs="Arial" w:eastAsia="Arial" w:hAnsi="Arial"/>
          <w:sz w:val="18"/>
          <w:szCs w:val="18"/>
          <w:color w:val="242424"/>
        </w:rPr>
        <w:t xml:space="preserve">ADAS technology is also subject to considerable regulatory uncertainty, which exposes us to additional risks. See “— Risks Related to Litigation and Regulation </w:t>
      </w:r>
      <w:r>
        <w:rPr>
          <w:rFonts w:ascii="Arial" w:cs="Arial" w:eastAsia="Arial" w:hAnsi="Arial"/>
          <w:sz w:val="18"/>
          <w:szCs w:val="18"/>
          <w:i w:val="1"/>
          <w:iCs w:val="1"/>
          <w:color w:val="242424"/>
        </w:rPr>
        <w:t>— ADAS technology is subject to uncertain and evolving regulations.</w:t>
      </w:r>
      <w:r>
        <w:rPr>
          <w:rFonts w:ascii="Arial" w:cs="Arial" w:eastAsia="Arial" w:hAnsi="Arial"/>
          <w:sz w:val="18"/>
          <w:szCs w:val="18"/>
          <w:color w:val="242424"/>
        </w:rPr>
        <w:t>”</w:t>
      </w:r>
    </w:p>
    <w:p>
      <w:pPr>
        <w:spacing w:after="0" w:line="17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231F20"/>
        </w:rPr>
        <w:t>Uninsured or underinsured losses could result in payment of substantial damages, which would decrease our cash reserves and could harm our cash flow and financial condition.</w:t>
      </w:r>
    </w:p>
    <w:p>
      <w:pPr>
        <w:spacing w:after="0" w:line="170"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231F20"/>
        </w:rPr>
        <w:t>In the ordinary course of business, we may be subject to losses resulting from claims such as product liability, significant accidents, acts of God or other claims brought against us, for which we may have no or insufficient insurance coverage. While we currently carry insurance that is customary for our size and operations, we may not maintain as much insurance coverage as other original equipment manufacturers, and in some cases, we may not maintain any at all. Additionally, the policies that we have may include significant deductibles or exclusions, and we cannot be certain that our insurance coverage will be sufficient to cover all or any future claims. A loss that is uninsured or exceeds existing policy limits may require us to pay unexpected and substantial amounts, which could adversely affect our financial condition and results of operations. Further, insurance coverage may not continue to be available to us or, if available, may be at a significantly higher cost, based on insurance market conditions or a change in our risk profile. This may require a change in our insurance purchasing philosophy and strategy which can result in the assumption of greater risks to offset insurance market fluctuations.</w:t>
      </w:r>
    </w:p>
    <w:p>
      <w:pPr>
        <w:spacing w:after="0" w:line="165"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242424"/>
        </w:rPr>
        <w:t>The COVID-19 pandemic has adversely affected, and we cannot predict its ultimate impact on, our business, prospects, results of operations and financial condition.</w:t>
      </w:r>
    </w:p>
    <w:p>
      <w:pPr>
        <w:spacing w:after="0" w:line="170"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242424"/>
        </w:rPr>
        <w:t>The COVID-19 pandemic poses risks to our business, including through its impact on general economic conditions, manufacturing and supply chain operations, labor markets, changes in customer behavior, and global financial markets. The pandemic’s impact on economic conditions has led to a global decrease in vehicle sales in markets around the world. Its continued impact on the economy, even after the pandemic has subsided, may cause our customers to defer purchases, cancel their reservations and orders for our vehicles prior to delivery. See “—</w:t>
      </w:r>
      <w:r>
        <w:rPr>
          <w:rFonts w:ascii="Arial" w:cs="Arial" w:eastAsia="Arial" w:hAnsi="Arial"/>
          <w:sz w:val="17"/>
          <w:szCs w:val="17"/>
          <w:i w:val="1"/>
          <w:iCs w:val="1"/>
          <w:color w:val="242424"/>
        </w:rPr>
        <w:t>A global economic recession or other downturn</w:t>
      </w:r>
      <w:r>
        <w:rPr>
          <w:rFonts w:ascii="Arial" w:cs="Arial" w:eastAsia="Arial" w:hAnsi="Arial"/>
          <w:sz w:val="17"/>
          <w:szCs w:val="17"/>
          <w:color w:val="242424"/>
        </w:rPr>
        <w:t xml:space="preserve"> </w:t>
      </w:r>
      <w:r>
        <w:rPr>
          <w:rFonts w:ascii="Arial" w:cs="Arial" w:eastAsia="Arial" w:hAnsi="Arial"/>
          <w:sz w:val="17"/>
          <w:szCs w:val="17"/>
          <w:i w:val="1"/>
          <w:iCs w:val="1"/>
          <w:color w:val="242424"/>
        </w:rPr>
        <w:t>may have a material adverse impact on our business, prospects, financial condition and results of operations.</w:t>
      </w:r>
      <w:r>
        <w:rPr>
          <w:rFonts w:ascii="Arial" w:cs="Arial" w:eastAsia="Arial" w:hAnsi="Arial"/>
          <w:sz w:val="17"/>
          <w:szCs w:val="17"/>
          <w:color w:val="242424"/>
        </w:rPr>
        <w:t>”</w:t>
      </w:r>
    </w:p>
    <w:p>
      <w:pPr>
        <w:spacing w:after="0" w:line="176"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242424"/>
        </w:rPr>
        <w:t>The spread of COVID-19 has also periodically disrupted our manufacturing operations and those of our suppliers. For example, the COVID-19 outbreak in China and the resulting lockdowns caused parts supply delays with some impact on manufacturing operations in Arizona in 2022. Such disruptions to us and our suppliers have negatively impacted, and could negatively impact in the future the production volume of Lucid Air, as well other vehicles that we may introduce from time to time. Our manufacturing operations at a limited number of facilities in Casa Grande, Arizona concentrate this risk. In addition, broader impacts of the pandemic have included inflationary pressure, which impacts our cost structure.</w:t>
      </w:r>
    </w:p>
    <w:p>
      <w:pPr>
        <w:spacing w:after="0" w:line="176"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242424"/>
        </w:rPr>
        <w:t>The pandemic has resulted in the imposition of travel bans and restrictions, quarantines and business shutdowns due to localized spikes in COVID-19 cases, which have contributed to delays in the anticipated production schedule of Lucid Air. These measures pose numerous operational risks and logistical challenges to our business. In addition, regional, national and international travel restrictions have resulted in adverse impacts to our supply chain. For example, in certain instances, international travel restrictions have prevented our supply quality engineers from conducting in-person visits and parts production quality engineering with international suppliers, which has lengthened the time required to finalize and secure certain components of Lucid Air. The transition of some of our personnel to a remote or hybrid workforce has also increased demand on our information technology resources and systems and increased data privacy and cybersecurity risks and increased risk of absenteeism.</w:t>
      </w:r>
    </w:p>
    <w:p>
      <w:pPr>
        <w:spacing w:after="0" w:line="177"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242424"/>
        </w:rPr>
        <w:t>The severity, magnitude and duration of the COVID-19 pandemic and the economic and regulatory consequences arising from it are rapidly changing and uncertain. Accordingly, we cannot predict the ultimate impact of the COVID-19 pandemic on our business, financial condition and results of operations.</w:t>
      </w:r>
    </w:p>
    <w:p>
      <w:pPr>
        <w:spacing w:after="0" w:line="124"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242424"/>
        </w:rPr>
        <w:t>Extended periods of low gasoline or other petroleum-based fuel prices could adversely affect demand for our vehicles, which would adversely affect our business, prospects, results of operations and financial condition.</w:t>
      </w:r>
    </w:p>
    <w:p>
      <w:pPr>
        <w:spacing w:after="0" w:line="170" w:lineRule="exact"/>
        <w:rPr>
          <w:sz w:val="20"/>
          <w:szCs w:val="20"/>
          <w:color w:val="auto"/>
        </w:rPr>
      </w:pPr>
    </w:p>
    <w:p>
      <w:pPr>
        <w:spacing w:after="0" w:line="254" w:lineRule="auto"/>
        <w:rPr>
          <w:sz w:val="20"/>
          <w:szCs w:val="20"/>
          <w:color w:val="auto"/>
        </w:rPr>
      </w:pPr>
      <w:r>
        <w:rPr>
          <w:rFonts w:ascii="Arial" w:cs="Arial" w:eastAsia="Arial" w:hAnsi="Arial"/>
          <w:sz w:val="18"/>
          <w:szCs w:val="18"/>
          <w:color w:val="242424"/>
        </w:rPr>
        <w:t>A portion of the current and expected demand for electric vehicles results from concerns about volatility in the cost of gasoline and other petroleum-based fuel, the dependency of the United States on oil from unstable or hostile countries, government regulations and economic incentives promoting fuel efficiency and alternative forms of energy, as well as concerns about climate change resulting in part from the burning of fossil fuels. If the cost of gasoline and other petroleum-based fuel decreases significantly, the outlook for the long-term supply of oil to the United States improves, the government eliminates or modifies its regulations or economic incentives related to fuel efficiency and alternative forms of energy or there is a change in the perception that the burning of fossil fuels negatively impacts the environment, the demand for electric vehicles, including our vehicles, could be reduced, and our business and revenue may be harmed.</w:t>
      </w: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9" w:right="359" w:bottom="1440" w:gutter="0" w:footer="0" w:header="0"/>
        </w:sectPr>
      </w:pPr>
    </w:p>
    <w:bookmarkStart w:id="33" w:name="page34"/>
    <w:bookmarkEnd w:id="33"/>
    <w:p>
      <w:pPr>
        <w:spacing w:after="0" w:line="257" w:lineRule="auto"/>
        <w:rPr>
          <w:sz w:val="20"/>
          <w:szCs w:val="20"/>
          <w:color w:val="auto"/>
        </w:rPr>
      </w:pPr>
      <w:r>
        <w:rPr>
          <w:rFonts w:ascii="Arial" w:cs="Arial" w:eastAsia="Arial" w:hAnsi="Arial"/>
          <w:sz w:val="18"/>
          <w:szCs w:val="18"/>
          <w:color w:val="242424"/>
        </w:rPr>
        <w:t>Gasoline and other petroleum-based fuel prices have historically been extremely volatile and it is difficult to ascertain whether such volatility will continue to persist. Lower gasoline or other petroleum-based fuel prices over extended periods of time may lower the perception in government and the private sector that cheaper, more readily available energy alternatives should be developed and produced. If gasoline or other petroleum-based fuel prices remain at deflated levels for extended periods of time, the demand for electric vehicles, including our vehicles, may decrease, which would have an adverse effect on our business, prospects, financial condition and results of operations.</w:t>
      </w:r>
    </w:p>
    <w:p>
      <w:pPr>
        <w:spacing w:after="0" w:line="18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Increasing scrutiny and changing expectations from global regulations, our investors, customers and employees with respect to our ESG practices may impose additional costs on us or expose us to new or additional risks.</w:t>
      </w:r>
    </w:p>
    <w:p>
      <w:pPr>
        <w:spacing w:after="0" w:line="170"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There is increased focus, including from governmental organizations and our investors, customers and employees, on ESG issues such as environmental stewardship, climate change, diversity and inclusion, racial justice, workplace conduct, recyclability, sourcing and ESG disclosure. There can be no certainty that we will manage such issues successfully, or that we will successfully meet society’s expectations as to our proper role. Negative public perception, adverse publicity or negative comments in social media could damage our reputation if we do not, or are not perceived to, adequately address these issues. Any harm to our reputation could impact our employees’ engagement and retention and the willingness of our customers and partners to do business with us.</w:t>
      </w:r>
    </w:p>
    <w:p>
      <w:pPr>
        <w:spacing w:after="0" w:line="192"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It is possible that our stakeholders may not be satisfied with our ESG disclosures, practices, or the speed of their adoption, and our systems may not be adequate to comply with increasing global regulations on ESG topics, such as human rights and sustainability reporting. Actual or perceived shortcomings with respect to our ESG initiatives and reporting may subject us to litigation and could negatively impact our business. We could also incur additional costs and require additional resources to monitor, report, and comply with various ESG practices. In addition, a variety of organizations have developed ratings to measure the performance of companies on ESG topics, and the results of these assessments are widely publicized. Investment in funds that specialize in companies that perform well in such assessments are increasingly popular, and major institutional investors have publicly emphasized the importance of such ESG measures to their investment decisions. Unfavorable or downgraded ratings of our company or our industries, as well as non-inclusion or removal of our stock on ESG-oriented investment funds, may lead to negative investor sentiment and the diversion of investment to other companies or industries, which could have a negative impact on our stock price.</w:t>
      </w:r>
    </w:p>
    <w:p>
      <w:pPr>
        <w:spacing w:after="0" w:line="181"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In addition, due to the impacts of climate change, there are increasing risks to our business, including physical risks such as wildfires, floods, tornadoes or other events, that could cause disruptions to our supply chain, manufacturing, and corporate functions. We may incur additional costs and resources preparing for and addressing such risks.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Risks Related to Manufacturing and Supply Chain</w:t>
      </w:r>
    </w:p>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231F20"/>
        </w:rPr>
        <w:t>We have experienced and may in the future experience significant delays in the design, manufacture, launch and financing of our vehicles, including Lucid Air and Lucid Gravity, which could harm our business and prospects.</w:t>
      </w:r>
    </w:p>
    <w:p>
      <w:pPr>
        <w:spacing w:after="0" w:line="170" w:lineRule="exact"/>
        <w:rPr>
          <w:sz w:val="20"/>
          <w:szCs w:val="20"/>
          <w:color w:val="auto"/>
        </w:rPr>
      </w:pPr>
    </w:p>
    <w:p>
      <w:pPr>
        <w:spacing w:after="0" w:line="272" w:lineRule="auto"/>
        <w:rPr>
          <w:sz w:val="20"/>
          <w:szCs w:val="20"/>
          <w:color w:val="auto"/>
        </w:rPr>
      </w:pPr>
      <w:r>
        <w:rPr>
          <w:rFonts w:ascii="Arial" w:cs="Arial" w:eastAsia="Arial" w:hAnsi="Arial"/>
          <w:sz w:val="17"/>
          <w:szCs w:val="17"/>
          <w:color w:val="231F20"/>
        </w:rPr>
        <w:t>Our plan to commercially manufacture and sell our vehicles is dependent upon the timely availability of funds, upon our finalizing of the related design, engineering, component procurement, testing, build-out and manufacturing plans in a timely manner and also upon our ability to execute these plans within the planned timeline. Automobile manufacturers often experience delays in the design, manufacture and commercial release of new vehicle models, and we have experienced in the past, and may experience in the future, such delays with regard to additional variants of Lucid Air or our other vehicles. For example, we have experienced delays in the engineering of certain of our vehicle systems, including as a result of design changes to components. Any future delays in the financing, design, manufacture and launch of Lucid Air, including planned future variants, and any future electric vehicles could materially damage our business, prospects, financial condition and results of operations.</w:t>
      </w:r>
    </w:p>
    <w:p>
      <w:pPr>
        <w:spacing w:after="0" w:line="177"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231F20"/>
        </w:rPr>
        <w:t>Many of our vehicles are still in the development and/or testing phase and production of Lucid Gravity is not expected to begin until 2024, and may occur later or not at all. Additionally, prior to mass production of our electric vehicles, we will also need the vehicles to be fully approved for sale according to differing requirements, including but not limited to regulatory requirements, in the different geographies where we intend to launch our vehicles. Likewise, we have encountered and may continue to encounter delays with the design, construction, and regulatory or other approvals necessary to bring online our future expansions of the Casa Grande manufacturing facilities, or other future manufacturing facilities.</w:t>
      </w: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9" w:right="359" w:bottom="1440" w:gutter="0" w:footer="0" w:header="0"/>
        </w:sectPr>
      </w:pPr>
    </w:p>
    <w:bookmarkStart w:id="34" w:name="page35"/>
    <w:bookmarkEnd w:id="34"/>
    <w:p>
      <w:pPr>
        <w:ind w:right="260"/>
        <w:spacing w:after="0" w:line="272" w:lineRule="auto"/>
        <w:rPr>
          <w:sz w:val="20"/>
          <w:szCs w:val="20"/>
          <w:color w:val="auto"/>
        </w:rPr>
      </w:pPr>
      <w:r>
        <w:rPr>
          <w:rFonts w:ascii="Arial" w:cs="Arial" w:eastAsia="Arial" w:hAnsi="Arial"/>
          <w:sz w:val="17"/>
          <w:szCs w:val="17"/>
          <w:color w:val="231F20"/>
        </w:rPr>
        <w:t>Furthermore, we rely on third party suppliers for the development, manufacture, and/or provision and development of many of the key components and materials used in our vehicles, as well as provisioning and servicing equipment in our manufacturing facilities. We have been affected by ongoing, industry-wide challenges in logistics and supply chains, such as increased supplier lead times and ongoing constraints of semiconductor supply. These challenges have affected our ability, and the ability of our suppliers, to obtain parts, components and manufacturing equipment on a timely basis, and in some instances have resulted in increased costs and delays to the construction and expansion of our facilities. We expect that the risk of unexpected disruptions will continue for the foreseeable future. To the extent our suppliers experience any delays in providing us with or developing necessary components, we could experience delays in delivering on our timelines.</w:t>
      </w:r>
    </w:p>
    <w:p>
      <w:pPr>
        <w:spacing w:after="0" w:line="177"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231F20"/>
        </w:rPr>
        <w:t>Any significant delay or other complication in the production ramp of Lucid Air or the development, manufacture, launch and production ramp of our future products, features and services, including complications associated with expanding our production capacity and supply chain or obtaining or maintaining related regulatory approvals, or inability to manage such ramps cost-effectively, could materially damage our brand, business, prospects, financial condition and results of operations.</w:t>
      </w:r>
    </w:p>
    <w:p>
      <w:pPr>
        <w:spacing w:after="0" w:line="187"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231F20"/>
        </w:rPr>
        <w:t>The continued development of and the ability to manufacture our vehicles, including Lucid Air and Lucid Gravity, are and will be subject to risks, including with respect to:</w:t>
      </w:r>
    </w:p>
    <w:p>
      <w:pPr>
        <w:spacing w:after="0" w:line="62"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7"/>
          <w:szCs w:val="17"/>
          <w:color w:val="231F20"/>
        </w:rPr>
      </w:pPr>
      <w:r>
        <w:rPr>
          <w:rFonts w:ascii="Arial" w:cs="Arial" w:eastAsia="Arial" w:hAnsi="Arial"/>
          <w:sz w:val="17"/>
          <w:szCs w:val="17"/>
          <w:color w:val="231F20"/>
        </w:rPr>
        <w:t>our ability to ensure readiness of firmware features and functions to be integrated into Lucid Air as planned and on the desired timeline;</w:t>
      </w:r>
    </w:p>
    <w:p>
      <w:pPr>
        <w:spacing w:after="0" w:line="128" w:lineRule="exact"/>
        <w:rPr>
          <w:rFonts w:ascii="Arial" w:cs="Arial" w:eastAsia="Arial" w:hAnsi="Arial"/>
          <w:sz w:val="17"/>
          <w:szCs w:val="17"/>
          <w:color w:val="231F20"/>
        </w:rPr>
      </w:pPr>
    </w:p>
    <w:p>
      <w:pPr>
        <w:ind w:left="660" w:hanging="328"/>
        <w:spacing w:after="0"/>
        <w:tabs>
          <w:tab w:leader="none" w:pos="660" w:val="left"/>
        </w:tabs>
        <w:numPr>
          <w:ilvl w:val="0"/>
          <w:numId w:val="27"/>
        </w:numPr>
        <w:rPr>
          <w:rFonts w:ascii="Arial" w:cs="Arial" w:eastAsia="Arial" w:hAnsi="Arial"/>
          <w:sz w:val="18"/>
          <w:szCs w:val="18"/>
          <w:color w:val="231F20"/>
        </w:rPr>
      </w:pPr>
      <w:r>
        <w:rPr>
          <w:rFonts w:ascii="Arial" w:cs="Arial" w:eastAsia="Arial" w:hAnsi="Arial"/>
          <w:sz w:val="18"/>
          <w:szCs w:val="18"/>
          <w:color w:val="231F20"/>
        </w:rPr>
        <w:t>our ability to finalize release candidate specifications for Lucid Gravity as planned and on the desired timeline;</w:t>
      </w:r>
    </w:p>
    <w:p>
      <w:pPr>
        <w:spacing w:after="0" w:line="117" w:lineRule="exact"/>
        <w:rPr>
          <w:rFonts w:ascii="Arial" w:cs="Arial" w:eastAsia="Arial" w:hAnsi="Arial"/>
          <w:sz w:val="18"/>
          <w:szCs w:val="18"/>
          <w:color w:val="231F20"/>
        </w:rPr>
      </w:pPr>
    </w:p>
    <w:p>
      <w:pPr>
        <w:ind w:left="660" w:hanging="328"/>
        <w:spacing w:after="0"/>
        <w:tabs>
          <w:tab w:leader="none" w:pos="660" w:val="left"/>
        </w:tabs>
        <w:numPr>
          <w:ilvl w:val="0"/>
          <w:numId w:val="27"/>
        </w:numPr>
        <w:rPr>
          <w:rFonts w:ascii="Arial" w:cs="Arial" w:eastAsia="Arial" w:hAnsi="Arial"/>
          <w:sz w:val="18"/>
          <w:szCs w:val="18"/>
          <w:color w:val="231F20"/>
        </w:rPr>
      </w:pPr>
      <w:r>
        <w:rPr>
          <w:rFonts w:ascii="Arial" w:cs="Arial" w:eastAsia="Arial" w:hAnsi="Arial"/>
          <w:sz w:val="18"/>
          <w:szCs w:val="18"/>
          <w:color w:val="231F20"/>
        </w:rPr>
        <w:t>any delays by us in delivering final component designs to our suppliers or any changes to such component designs;</w:t>
      </w:r>
    </w:p>
    <w:p>
      <w:pPr>
        <w:spacing w:after="0" w:line="117" w:lineRule="exact"/>
        <w:rPr>
          <w:rFonts w:ascii="Arial" w:cs="Arial" w:eastAsia="Arial" w:hAnsi="Arial"/>
          <w:sz w:val="18"/>
          <w:szCs w:val="18"/>
          <w:color w:val="231F20"/>
        </w:rPr>
      </w:pPr>
    </w:p>
    <w:p>
      <w:pPr>
        <w:ind w:left="660" w:hanging="328"/>
        <w:spacing w:after="0"/>
        <w:tabs>
          <w:tab w:leader="none" w:pos="660" w:val="left"/>
        </w:tabs>
        <w:numPr>
          <w:ilvl w:val="0"/>
          <w:numId w:val="27"/>
        </w:numPr>
        <w:rPr>
          <w:rFonts w:ascii="Arial" w:cs="Arial" w:eastAsia="Arial" w:hAnsi="Arial"/>
          <w:sz w:val="18"/>
          <w:szCs w:val="18"/>
          <w:color w:val="231F20"/>
        </w:rPr>
      </w:pPr>
      <w:r>
        <w:rPr>
          <w:rFonts w:ascii="Arial" w:cs="Arial" w:eastAsia="Arial" w:hAnsi="Arial"/>
          <w:sz w:val="18"/>
          <w:szCs w:val="18"/>
          <w:color w:val="231F20"/>
        </w:rPr>
        <w:t>our or our suppliers’ ability to successfully tool their manufacturing facilities as planned and on the desired timeline;</w:t>
      </w:r>
    </w:p>
    <w:p>
      <w:pPr>
        <w:spacing w:after="0" w:line="117" w:lineRule="exact"/>
        <w:rPr>
          <w:rFonts w:ascii="Arial" w:cs="Arial" w:eastAsia="Arial" w:hAnsi="Arial"/>
          <w:sz w:val="18"/>
          <w:szCs w:val="18"/>
          <w:color w:val="231F20"/>
        </w:rPr>
      </w:pPr>
    </w:p>
    <w:p>
      <w:pPr>
        <w:ind w:left="660" w:hanging="328"/>
        <w:spacing w:after="0"/>
        <w:tabs>
          <w:tab w:leader="none" w:pos="660" w:val="left"/>
        </w:tabs>
        <w:numPr>
          <w:ilvl w:val="0"/>
          <w:numId w:val="27"/>
        </w:numPr>
        <w:rPr>
          <w:rFonts w:ascii="Arial" w:cs="Arial" w:eastAsia="Arial" w:hAnsi="Arial"/>
          <w:sz w:val="18"/>
          <w:szCs w:val="18"/>
          <w:color w:val="231F20"/>
        </w:rPr>
      </w:pPr>
      <w:r>
        <w:rPr>
          <w:rFonts w:ascii="Arial" w:cs="Arial" w:eastAsia="Arial" w:hAnsi="Arial"/>
          <w:sz w:val="18"/>
          <w:szCs w:val="18"/>
          <w:color w:val="231F20"/>
        </w:rPr>
        <w:t>our ability to ensure a working supply chain and desired supplier part quality and quantity as planned and on the desired timeline;</w:t>
      </w:r>
    </w:p>
    <w:p>
      <w:pPr>
        <w:spacing w:after="0" w:line="117" w:lineRule="exact"/>
        <w:rPr>
          <w:rFonts w:ascii="Arial" w:cs="Arial" w:eastAsia="Arial" w:hAnsi="Arial"/>
          <w:sz w:val="18"/>
          <w:szCs w:val="18"/>
          <w:color w:val="231F20"/>
        </w:rPr>
      </w:pPr>
    </w:p>
    <w:p>
      <w:pPr>
        <w:ind w:left="660" w:hanging="328"/>
        <w:spacing w:after="0"/>
        <w:tabs>
          <w:tab w:leader="none" w:pos="660" w:val="left"/>
        </w:tabs>
        <w:numPr>
          <w:ilvl w:val="0"/>
          <w:numId w:val="27"/>
        </w:numPr>
        <w:rPr>
          <w:rFonts w:ascii="Arial" w:cs="Arial" w:eastAsia="Arial" w:hAnsi="Arial"/>
          <w:sz w:val="18"/>
          <w:szCs w:val="18"/>
          <w:color w:val="231F20"/>
        </w:rPr>
      </w:pPr>
      <w:r>
        <w:rPr>
          <w:rFonts w:ascii="Arial" w:cs="Arial" w:eastAsia="Arial" w:hAnsi="Arial"/>
          <w:sz w:val="18"/>
          <w:szCs w:val="18"/>
          <w:color w:val="231F20"/>
        </w:rPr>
        <w:t>our ability to accurately manufacture vehicles within specified design tolerances;</w:t>
      </w:r>
    </w:p>
    <w:p>
      <w:pPr>
        <w:spacing w:after="0" w:line="117" w:lineRule="exact"/>
        <w:rPr>
          <w:rFonts w:ascii="Arial" w:cs="Arial" w:eastAsia="Arial" w:hAnsi="Arial"/>
          <w:sz w:val="18"/>
          <w:szCs w:val="18"/>
          <w:color w:val="231F20"/>
        </w:rPr>
      </w:pPr>
    </w:p>
    <w:p>
      <w:pPr>
        <w:ind w:left="660" w:right="360" w:hanging="328"/>
        <w:spacing w:after="0" w:line="277" w:lineRule="auto"/>
        <w:tabs>
          <w:tab w:leader="none" w:pos="655" w:val="left"/>
        </w:tabs>
        <w:numPr>
          <w:ilvl w:val="0"/>
          <w:numId w:val="27"/>
        </w:numPr>
        <w:rPr>
          <w:rFonts w:ascii="Arial" w:cs="Arial" w:eastAsia="Arial" w:hAnsi="Arial"/>
          <w:sz w:val="18"/>
          <w:szCs w:val="18"/>
          <w:color w:val="231F20"/>
        </w:rPr>
      </w:pPr>
      <w:r>
        <w:rPr>
          <w:rFonts w:ascii="Arial" w:cs="Arial" w:eastAsia="Arial" w:hAnsi="Arial"/>
          <w:sz w:val="18"/>
          <w:szCs w:val="18"/>
          <w:color w:val="231F20"/>
        </w:rPr>
        <w:t xml:space="preserve">our ability to establish, implement, </w:t>
      </w:r>
      <w:r>
        <w:rPr>
          <w:rFonts w:ascii="Arial" w:cs="Arial" w:eastAsia="Arial" w:hAnsi="Arial"/>
          <w:sz w:val="18"/>
          <w:szCs w:val="18"/>
          <w:color w:val="000000"/>
        </w:rPr>
        <w:t>refine and scale, as well as make significant investments in manufacturing, supply chain management and</w:t>
      </w:r>
      <w:r>
        <w:rPr>
          <w:rFonts w:ascii="Arial" w:cs="Arial" w:eastAsia="Arial" w:hAnsi="Arial"/>
          <w:sz w:val="18"/>
          <w:szCs w:val="18"/>
          <w:color w:val="231F20"/>
        </w:rPr>
        <w:t xml:space="preserve"> </w:t>
      </w:r>
      <w:r>
        <w:rPr>
          <w:rFonts w:ascii="Arial" w:cs="Arial" w:eastAsia="Arial" w:hAnsi="Arial"/>
          <w:sz w:val="18"/>
          <w:szCs w:val="18"/>
          <w:color w:val="000000"/>
        </w:rPr>
        <w:t>logistics functions, including the related information technology systems and software applications;</w:t>
      </w:r>
    </w:p>
    <w:p>
      <w:pPr>
        <w:spacing w:after="0" w:line="62" w:lineRule="exact"/>
        <w:rPr>
          <w:rFonts w:ascii="Arial" w:cs="Arial" w:eastAsia="Arial" w:hAnsi="Arial"/>
          <w:sz w:val="18"/>
          <w:szCs w:val="18"/>
          <w:color w:val="231F20"/>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adequately reduce and control the costs of key parts and materials;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significantly reduce freight costs, including in-bound freight costs;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manage any transitions or changes in our production process, planned or unplanned;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occurrence of product defects that cannot be remedied without adversely affecting the production;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secure neces</w:t>
      </w:r>
      <w:r>
        <w:rPr>
          <w:rFonts w:ascii="Arial" w:cs="Arial" w:eastAsia="Arial" w:hAnsi="Arial"/>
          <w:sz w:val="18"/>
          <w:szCs w:val="18"/>
          <w:color w:val="231F20"/>
        </w:rPr>
        <w:t>sary funding;</w:t>
      </w:r>
    </w:p>
    <w:p>
      <w:pPr>
        <w:spacing w:after="0" w:line="117" w:lineRule="exact"/>
        <w:rPr>
          <w:rFonts w:ascii="Arial" w:cs="Arial" w:eastAsia="Arial" w:hAnsi="Arial"/>
          <w:sz w:val="18"/>
          <w:szCs w:val="18"/>
          <w:color w:val="auto"/>
        </w:rPr>
      </w:pPr>
    </w:p>
    <w:p>
      <w:pPr>
        <w:ind w:left="660" w:right="440" w:hanging="328"/>
        <w:spacing w:after="0" w:line="277" w:lineRule="auto"/>
        <w:tabs>
          <w:tab w:leader="none" w:pos="655" w:val="left"/>
        </w:tabs>
        <w:numPr>
          <w:ilvl w:val="0"/>
          <w:numId w:val="27"/>
        </w:numPr>
        <w:rPr>
          <w:rFonts w:ascii="Arial" w:cs="Arial" w:eastAsia="Arial" w:hAnsi="Arial"/>
          <w:sz w:val="18"/>
          <w:szCs w:val="18"/>
          <w:color w:val="231F20"/>
        </w:rPr>
      </w:pPr>
      <w:r>
        <w:rPr>
          <w:rFonts w:ascii="Arial" w:cs="Arial" w:eastAsia="Arial" w:hAnsi="Arial"/>
          <w:sz w:val="18"/>
          <w:szCs w:val="18"/>
          <w:color w:val="231F20"/>
        </w:rPr>
        <w:t>our ability to negotiate and execute definitive agreements with various suppliers for hardware, software, or services necessary to engineer or manufacture our vehicles;</w:t>
      </w:r>
    </w:p>
    <w:p>
      <w:pPr>
        <w:spacing w:after="0" w:line="62" w:lineRule="exact"/>
        <w:rPr>
          <w:rFonts w:ascii="Arial" w:cs="Arial" w:eastAsia="Arial" w:hAnsi="Arial"/>
          <w:sz w:val="18"/>
          <w:szCs w:val="18"/>
          <w:color w:val="231F20"/>
        </w:rPr>
      </w:pPr>
    </w:p>
    <w:p>
      <w:pPr>
        <w:ind w:left="660" w:hanging="328"/>
        <w:spacing w:after="0"/>
        <w:tabs>
          <w:tab w:leader="none" w:pos="660" w:val="left"/>
        </w:tabs>
        <w:numPr>
          <w:ilvl w:val="0"/>
          <w:numId w:val="27"/>
        </w:numPr>
        <w:rPr>
          <w:rFonts w:ascii="Arial" w:cs="Arial" w:eastAsia="Arial" w:hAnsi="Arial"/>
          <w:sz w:val="18"/>
          <w:szCs w:val="18"/>
          <w:color w:val="231F20"/>
        </w:rPr>
      </w:pPr>
      <w:r>
        <w:rPr>
          <w:rFonts w:ascii="Arial" w:cs="Arial" w:eastAsia="Arial" w:hAnsi="Arial"/>
          <w:sz w:val="18"/>
          <w:szCs w:val="18"/>
          <w:color w:val="231F20"/>
        </w:rPr>
        <w:t>our ability to obtain required regulatory approvals and certifications;</w:t>
      </w:r>
    </w:p>
    <w:p>
      <w:pPr>
        <w:spacing w:after="0" w:line="117" w:lineRule="exact"/>
        <w:rPr>
          <w:rFonts w:ascii="Arial" w:cs="Arial" w:eastAsia="Arial" w:hAnsi="Arial"/>
          <w:sz w:val="18"/>
          <w:szCs w:val="18"/>
          <w:color w:val="231F20"/>
        </w:rPr>
      </w:pPr>
    </w:p>
    <w:p>
      <w:pPr>
        <w:ind w:left="660" w:hanging="328"/>
        <w:spacing w:after="0"/>
        <w:tabs>
          <w:tab w:leader="none" w:pos="660" w:val="left"/>
        </w:tabs>
        <w:numPr>
          <w:ilvl w:val="0"/>
          <w:numId w:val="27"/>
        </w:numPr>
        <w:rPr>
          <w:rFonts w:ascii="Arial" w:cs="Arial" w:eastAsia="Arial" w:hAnsi="Arial"/>
          <w:sz w:val="18"/>
          <w:szCs w:val="18"/>
          <w:color w:val="231F20"/>
        </w:rPr>
      </w:pPr>
      <w:r>
        <w:rPr>
          <w:rFonts w:ascii="Arial" w:cs="Arial" w:eastAsia="Arial" w:hAnsi="Arial"/>
          <w:sz w:val="18"/>
          <w:szCs w:val="18"/>
          <w:color w:val="231F20"/>
        </w:rPr>
        <w:t>our ability to comply with environmental, safety, and similar regulations and in a timely manner;</w:t>
      </w:r>
    </w:p>
    <w:p>
      <w:pPr>
        <w:spacing w:after="0" w:line="117" w:lineRule="exact"/>
        <w:rPr>
          <w:rFonts w:ascii="Arial" w:cs="Arial" w:eastAsia="Arial" w:hAnsi="Arial"/>
          <w:sz w:val="18"/>
          <w:szCs w:val="18"/>
          <w:color w:val="231F20"/>
        </w:rPr>
      </w:pPr>
    </w:p>
    <w:p>
      <w:pPr>
        <w:ind w:left="660" w:hanging="328"/>
        <w:spacing w:after="0"/>
        <w:tabs>
          <w:tab w:leader="none" w:pos="660" w:val="left"/>
        </w:tabs>
        <w:numPr>
          <w:ilvl w:val="0"/>
          <w:numId w:val="27"/>
        </w:numPr>
        <w:rPr>
          <w:rFonts w:ascii="Arial" w:cs="Arial" w:eastAsia="Arial" w:hAnsi="Arial"/>
          <w:sz w:val="18"/>
          <w:szCs w:val="18"/>
          <w:color w:val="231F20"/>
        </w:rPr>
      </w:pPr>
      <w:r>
        <w:rPr>
          <w:rFonts w:ascii="Arial" w:cs="Arial" w:eastAsia="Arial" w:hAnsi="Arial"/>
          <w:sz w:val="18"/>
          <w:szCs w:val="18"/>
          <w:color w:val="231F20"/>
        </w:rPr>
        <w:t>our ability to secure necessary components, services, or licenses on acceptable terms and in a timely manner;</w:t>
      </w:r>
    </w:p>
    <w:p>
      <w:pPr>
        <w:spacing w:after="0" w:line="117" w:lineRule="exact"/>
        <w:rPr>
          <w:rFonts w:ascii="Arial" w:cs="Arial" w:eastAsia="Arial" w:hAnsi="Arial"/>
          <w:sz w:val="18"/>
          <w:szCs w:val="18"/>
          <w:color w:val="231F20"/>
        </w:rPr>
      </w:pPr>
    </w:p>
    <w:p>
      <w:pPr>
        <w:ind w:left="660" w:right="360" w:hanging="328"/>
        <w:spacing w:after="0" w:line="277" w:lineRule="auto"/>
        <w:tabs>
          <w:tab w:leader="none" w:pos="655" w:val="left"/>
        </w:tabs>
        <w:numPr>
          <w:ilvl w:val="0"/>
          <w:numId w:val="27"/>
        </w:numPr>
        <w:rPr>
          <w:rFonts w:ascii="Arial" w:cs="Arial" w:eastAsia="Arial" w:hAnsi="Arial"/>
          <w:sz w:val="18"/>
          <w:szCs w:val="18"/>
          <w:color w:val="231F20"/>
        </w:rPr>
      </w:pPr>
      <w:r>
        <w:rPr>
          <w:rFonts w:ascii="Arial" w:cs="Arial" w:eastAsia="Arial" w:hAnsi="Arial"/>
          <w:sz w:val="18"/>
          <w:szCs w:val="18"/>
          <w:color w:val="231F20"/>
        </w:rPr>
        <w:t>our ability to attract, recruit, hire, retain and train skilled employees including supply chain management, supplier quality, manufacturing and logistics personnel;</w:t>
      </w:r>
    </w:p>
    <w:p>
      <w:pPr>
        <w:spacing w:after="0" w:line="62" w:lineRule="exact"/>
        <w:rPr>
          <w:rFonts w:ascii="Arial" w:cs="Arial" w:eastAsia="Arial" w:hAnsi="Arial"/>
          <w:sz w:val="18"/>
          <w:szCs w:val="18"/>
          <w:color w:val="231F20"/>
        </w:rPr>
      </w:pPr>
    </w:p>
    <w:p>
      <w:pPr>
        <w:ind w:left="660" w:hanging="328"/>
        <w:spacing w:after="0"/>
        <w:tabs>
          <w:tab w:leader="none" w:pos="660" w:val="left"/>
        </w:tabs>
        <w:numPr>
          <w:ilvl w:val="0"/>
          <w:numId w:val="27"/>
        </w:numPr>
        <w:rPr>
          <w:rFonts w:ascii="Arial" w:cs="Arial" w:eastAsia="Arial" w:hAnsi="Arial"/>
          <w:sz w:val="18"/>
          <w:szCs w:val="18"/>
          <w:color w:val="231F20"/>
        </w:rPr>
      </w:pPr>
      <w:r>
        <w:rPr>
          <w:rFonts w:ascii="Arial" w:cs="Arial" w:eastAsia="Arial" w:hAnsi="Arial"/>
          <w:sz w:val="18"/>
          <w:szCs w:val="18"/>
          <w:color w:val="231F20"/>
        </w:rPr>
        <w:t>our ability to design and implement effective and efficient quality control and inventory management processes;</w:t>
      </w:r>
    </w:p>
    <w:p>
      <w:pPr>
        <w:spacing w:after="0" w:line="117" w:lineRule="exact"/>
        <w:rPr>
          <w:rFonts w:ascii="Arial" w:cs="Arial" w:eastAsia="Arial" w:hAnsi="Arial"/>
          <w:sz w:val="18"/>
          <w:szCs w:val="18"/>
          <w:color w:val="231F20"/>
        </w:rPr>
      </w:pPr>
    </w:p>
    <w:p>
      <w:pPr>
        <w:ind w:left="660" w:hanging="328"/>
        <w:spacing w:after="0"/>
        <w:tabs>
          <w:tab w:leader="none" w:pos="660" w:val="left"/>
        </w:tabs>
        <w:numPr>
          <w:ilvl w:val="0"/>
          <w:numId w:val="27"/>
        </w:numPr>
        <w:rPr>
          <w:rFonts w:ascii="Arial" w:cs="Arial" w:eastAsia="Arial" w:hAnsi="Arial"/>
          <w:sz w:val="18"/>
          <w:szCs w:val="18"/>
          <w:color w:val="231F20"/>
        </w:rPr>
      </w:pPr>
      <w:r>
        <w:rPr>
          <w:rFonts w:ascii="Arial" w:cs="Arial" w:eastAsia="Arial" w:hAnsi="Arial"/>
          <w:sz w:val="18"/>
          <w:szCs w:val="18"/>
          <w:color w:val="231F20"/>
        </w:rPr>
        <w:t>delays or disruptions in our supply chain including raw material supplies;</w:t>
      </w:r>
    </w:p>
    <w:p>
      <w:pPr>
        <w:spacing w:after="0" w:line="117" w:lineRule="exact"/>
        <w:rPr>
          <w:rFonts w:ascii="Arial" w:cs="Arial" w:eastAsia="Arial" w:hAnsi="Arial"/>
          <w:sz w:val="18"/>
          <w:szCs w:val="18"/>
          <w:color w:val="231F20"/>
        </w:rPr>
      </w:pPr>
    </w:p>
    <w:p>
      <w:pPr>
        <w:ind w:left="660" w:right="660" w:hanging="328"/>
        <w:spacing w:after="0" w:line="277" w:lineRule="auto"/>
        <w:tabs>
          <w:tab w:leader="none" w:pos="655" w:val="left"/>
        </w:tabs>
        <w:numPr>
          <w:ilvl w:val="0"/>
          <w:numId w:val="27"/>
        </w:numPr>
        <w:rPr>
          <w:rFonts w:ascii="Arial" w:cs="Arial" w:eastAsia="Arial" w:hAnsi="Arial"/>
          <w:sz w:val="18"/>
          <w:szCs w:val="18"/>
          <w:color w:val="231F20"/>
        </w:rPr>
      </w:pPr>
      <w:r>
        <w:rPr>
          <w:rFonts w:ascii="Arial" w:cs="Arial" w:eastAsia="Arial" w:hAnsi="Arial"/>
          <w:sz w:val="18"/>
          <w:szCs w:val="18"/>
          <w:color w:val="231F20"/>
        </w:rPr>
        <w:t>our ability to maintain arrangements on commercially reasonable terms with our suppliers, delivery and other partners, after sales service providers, and other operationally significant third parties;</w:t>
      </w:r>
    </w:p>
    <w:p>
      <w:pPr>
        <w:spacing w:after="0" w:line="62" w:lineRule="exact"/>
        <w:rPr>
          <w:rFonts w:ascii="Arial" w:cs="Arial" w:eastAsia="Arial" w:hAnsi="Arial"/>
          <w:sz w:val="18"/>
          <w:szCs w:val="18"/>
          <w:color w:val="231F20"/>
        </w:rPr>
      </w:pPr>
    </w:p>
    <w:p>
      <w:pPr>
        <w:ind w:left="660" w:hanging="328"/>
        <w:spacing w:after="0"/>
        <w:tabs>
          <w:tab w:leader="none" w:pos="660" w:val="left"/>
        </w:tabs>
        <w:numPr>
          <w:ilvl w:val="0"/>
          <w:numId w:val="27"/>
        </w:numPr>
        <w:rPr>
          <w:rFonts w:ascii="Arial" w:cs="Arial" w:eastAsia="Arial" w:hAnsi="Arial"/>
          <w:sz w:val="18"/>
          <w:szCs w:val="18"/>
          <w:color w:val="231F20"/>
        </w:rPr>
      </w:pPr>
      <w:r>
        <w:rPr>
          <w:rFonts w:ascii="Arial" w:cs="Arial" w:eastAsia="Arial" w:hAnsi="Arial"/>
          <w:sz w:val="18"/>
          <w:szCs w:val="18"/>
          <w:color w:val="231F20"/>
        </w:rPr>
        <w:t>other delays, backlog in manufacturing and research and development of new mo</w:t>
      </w:r>
      <w:r>
        <w:rPr>
          <w:rFonts w:ascii="Arial" w:cs="Arial" w:eastAsia="Arial" w:hAnsi="Arial"/>
          <w:sz w:val="18"/>
          <w:szCs w:val="18"/>
          <w:color w:val="000000"/>
        </w:rPr>
        <w:t>dels, and cost overruns;</w:t>
      </w:r>
    </w:p>
    <w:p>
      <w:pPr>
        <w:spacing w:after="0" w:line="117" w:lineRule="exact"/>
        <w:rPr>
          <w:rFonts w:ascii="Arial" w:cs="Arial" w:eastAsia="Arial" w:hAnsi="Arial"/>
          <w:sz w:val="18"/>
          <w:szCs w:val="18"/>
          <w:color w:val="231F20"/>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severity, magnitude and duration of the COVID-19 pandemic, including related business interruptions and other effects;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other risks identified herein.</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expect that we will require additional financing to fund our planned operations and expansion plans. If we are unable to arrange for required funds under the terms and on the timeline that we anticipate, our plans for tooling and building out our manufacturing facilities and for commercial production of our electric vehicles could be significantly delayed, which would materially adversely affect our business, prospects, financial condition and results of operations. See “</w:t>
      </w:r>
      <w:r>
        <w:rPr>
          <w:rFonts w:ascii="Arial" w:cs="Arial" w:eastAsia="Arial" w:hAnsi="Arial"/>
          <w:sz w:val="18"/>
          <w:szCs w:val="18"/>
          <w:i w:val="1"/>
          <w:iCs w:val="1"/>
          <w:color w:val="auto"/>
        </w:rPr>
        <w:t>—</w:t>
      </w:r>
      <w:r>
        <w:rPr>
          <w:rFonts w:ascii="Arial" w:cs="Arial" w:eastAsia="Arial" w:hAnsi="Arial"/>
          <w:sz w:val="18"/>
          <w:szCs w:val="18"/>
          <w:color w:val="auto"/>
        </w:rPr>
        <w:t xml:space="preserve">Risks Related to Financing and Strategic Transactions </w:t>
      </w:r>
      <w:r>
        <w:rPr>
          <w:rFonts w:ascii="Arial" w:cs="Arial" w:eastAsia="Arial" w:hAnsi="Arial"/>
          <w:sz w:val="18"/>
          <w:szCs w:val="18"/>
          <w:i w:val="1"/>
          <w:iCs w:val="1"/>
          <w:color w:val="auto"/>
        </w:rPr>
        <w:t>— We will require additional capital to support business growth, and this capital</w:t>
      </w:r>
      <w:r>
        <w:rPr>
          <w:rFonts w:ascii="Arial" w:cs="Arial" w:eastAsia="Arial" w:hAnsi="Arial"/>
          <w:sz w:val="18"/>
          <w:szCs w:val="18"/>
          <w:color w:val="auto"/>
        </w:rPr>
        <w:t xml:space="preserve"> </w:t>
      </w:r>
      <w:r>
        <w:rPr>
          <w:rFonts w:ascii="Arial" w:cs="Arial" w:eastAsia="Arial" w:hAnsi="Arial"/>
          <w:sz w:val="18"/>
          <w:szCs w:val="18"/>
          <w:i w:val="1"/>
          <w:iCs w:val="1"/>
          <w:color w:val="auto"/>
        </w:rPr>
        <w:t>might not be available on commercially reasonable terms, or at all.”</w:t>
      </w:r>
    </w:p>
    <w:p>
      <w:pPr>
        <w:sectPr>
          <w:pgSz w:w="11900" w:h="16838" w:orient="portrait"/>
          <w:cols w:equalWidth="0" w:num="1">
            <w:col w:w="11180"/>
          </w:cols>
          <w:pgMar w:left="320" w:top="989" w:right="399" w:bottom="1440" w:gutter="0" w:footer="0" w:header="0"/>
        </w:sectPr>
      </w:pPr>
    </w:p>
    <w:p>
      <w:pPr>
        <w:spacing w:after="0" w:line="242"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89" w:right="399" w:bottom="1440" w:gutter="0" w:footer="0" w:header="0"/>
          <w:type w:val="continuous"/>
        </w:sectPr>
      </w:pPr>
    </w:p>
    <w:bookmarkStart w:id="35" w:name="page36"/>
    <w:bookmarkEnd w:id="35"/>
    <w:p>
      <w:pPr>
        <w:jc w:val="both"/>
        <w:ind w:right="300"/>
        <w:spacing w:after="0" w:line="381" w:lineRule="auto"/>
        <w:rPr>
          <w:sz w:val="20"/>
          <w:szCs w:val="20"/>
          <w:color w:val="auto"/>
        </w:rPr>
      </w:pPr>
      <w:r>
        <w:rPr>
          <w:rFonts w:ascii="Arial" w:cs="Arial" w:eastAsia="Arial" w:hAnsi="Arial"/>
          <w:sz w:val="15"/>
          <w:szCs w:val="15"/>
          <w:b w:val="1"/>
          <w:bCs w:val="1"/>
          <w:i w:val="1"/>
          <w:iCs w:val="1"/>
          <w:color w:val="auto"/>
        </w:rPr>
        <w:t xml:space="preserve">Our ability to continue production and our future growth depends upon our ability to </w:t>
      </w:r>
      <w:r>
        <w:rPr>
          <w:rFonts w:ascii="Arial" w:cs="Arial" w:eastAsia="Arial" w:hAnsi="Arial"/>
          <w:sz w:val="15"/>
          <w:szCs w:val="15"/>
          <w:b w:val="1"/>
          <w:bCs w:val="1"/>
          <w:i w:val="1"/>
          <w:iCs w:val="1"/>
          <w:color w:val="231F20"/>
        </w:rPr>
        <w:t>maintain relationships with our existing suppliers and source</w:t>
      </w:r>
      <w:r>
        <w:rPr>
          <w:rFonts w:ascii="Arial" w:cs="Arial" w:eastAsia="Arial" w:hAnsi="Arial"/>
          <w:sz w:val="15"/>
          <w:szCs w:val="15"/>
          <w:b w:val="1"/>
          <w:bCs w:val="1"/>
          <w:i w:val="1"/>
          <w:iCs w:val="1"/>
          <w:color w:val="auto"/>
        </w:rPr>
        <w:t xml:space="preserve"> </w:t>
      </w:r>
      <w:r>
        <w:rPr>
          <w:rFonts w:ascii="Arial" w:cs="Arial" w:eastAsia="Arial" w:hAnsi="Arial"/>
          <w:sz w:val="15"/>
          <w:szCs w:val="15"/>
          <w:b w:val="1"/>
          <w:bCs w:val="1"/>
          <w:i w:val="1"/>
          <w:iCs w:val="1"/>
          <w:color w:val="231F20"/>
        </w:rPr>
        <w:t>suppliers for our critical components, and to complete building out our supply chain, while effectively managing the risks due to such relationships.</w:t>
      </w:r>
    </w:p>
    <w:p>
      <w:pPr>
        <w:spacing w:after="0" w:line="100"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231F20"/>
        </w:rPr>
        <w:t>Our success, including our ability to continue production of Lucid Air, will depend on our ability to enter into supplier agreements and maintain our relationships with hundreds of suppliers that are critical to the output and production of our vehicles. To date, we have not secured long-term supply agreements for all of our components and for some components, our supply agreements do not guarantee sufficient quantities of components for our vehicle production ramp curve. We plan to seek opportunities to secure long-term committed supply agreements for certain of these components. The supplier agreements we have or may enter into with key suppliers in the future may not be renewed or may contain provisions under which suppliers may refuse to supply. To the extent that we do not have long-term supply agreements with guaranteed pricing for our parts or components, we will be exposed to fluctuations in prices of components, materials and equipment. In addition, our agreements for the purchase of battery cells and other components often contain pricing provisions that are subject to adjustment based on changes in market prices of key commodities and/or currency values. Substantial increases in the prices for such components, materials and equipment, whether due to supply chain or logistics issues or due to inflation, or increased energy or natural gas costs, would increase our operating costs and could reduce our margins if we cannot recoup the increased costs. Any attempts to increase the announced or expected prices of our vehicles in response to increased costs could be viewed negatively by our potential customers and could adversely affect our business, prospects, financial condition or results of operations.</w:t>
      </w:r>
    </w:p>
    <w:p>
      <w:pPr>
        <w:spacing w:after="0" w:line="179"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231F20"/>
        </w:rPr>
        <w:t>We may also be at a disadvantage in negotiating supply agreements for the production of our vehicles as well as for the design and construction of our manufacturing facilities due to our limited operating history. In addition, given that in many cases we are an aggregator of automotive parts produced by third party manufacturers, there is the possibility that supply agreements for the parts and components for our vehicles could be at costs that make it difficult for us to operate profitably.</w:t>
      </w:r>
    </w:p>
    <w:p>
      <w:pPr>
        <w:spacing w:after="0" w:line="187"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b w:val="1"/>
          <w:bCs w:val="1"/>
          <w:i w:val="1"/>
          <w:iCs w:val="1"/>
          <w:color w:val="231F20"/>
        </w:rPr>
        <w:t>We are dependent on our suppliers, the majority of which are single-source suppliers, and the inability of these suppliers to deliver necessary components of our products according to our schedule and at prices, quality levels and volumes acceptable to us, or our inability to efficiently manage these components or to implement or maintain effective inventory management and other systems, processes and personnel to support ongoing and increased production, could have a material adverse effect on our results of operations and financial condition.</w:t>
      </w:r>
    </w:p>
    <w:p>
      <w:pPr>
        <w:spacing w:after="0" w:line="157"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231F20"/>
        </w:rPr>
        <w:t>We rely on hundreds of third-party suppliers for the provision and development of many of the key components and materials used in our vehicles. While we plan to obtain components from multiple sources whenever possible, many of the components used in our vehicles will be custom and purchased by us from a single source. Our limited, and in many cases single-source, supply chain exposes us to multiple potential sources of delivery failure or component shortages for our production. Our third-party suppliers may not be able to meet our required product specifications and performance characteristics, which would impact our ability to achieve our product specifications and performance characteristics as well. Additionally, our third-party suppliers may be unable to obtain required certifications or provide necessary warranties for their products that are necessary for use in our vehicles.</w:t>
      </w:r>
    </w:p>
    <w:p>
      <w:pPr>
        <w:spacing w:after="0" w:line="151" w:lineRule="exact"/>
        <w:rPr>
          <w:sz w:val="20"/>
          <w:szCs w:val="20"/>
          <w:color w:val="auto"/>
        </w:rPr>
      </w:pPr>
    </w:p>
    <w:p>
      <w:pPr>
        <w:ind w:right="40"/>
        <w:spacing w:after="0" w:line="259" w:lineRule="auto"/>
        <w:rPr>
          <w:sz w:val="20"/>
          <w:szCs w:val="20"/>
          <w:color w:val="auto"/>
        </w:rPr>
      </w:pPr>
      <w:r>
        <w:rPr>
          <w:rFonts w:ascii="Arial" w:cs="Arial" w:eastAsia="Arial" w:hAnsi="Arial"/>
          <w:sz w:val="17"/>
          <w:szCs w:val="17"/>
          <w:color w:val="231F20"/>
        </w:rPr>
        <w:t>We have been affected by ongoing, industry-wide challenges in logistics and supply chains, such as increased supplier lead times and ongoing constraints of semiconductor supply. We expect that these industry-wide trends may continue to affect the ability of us and our suppliers to obtain parts, components and manufacturing equipment, including electrical and mechanical equipment for AMP-2 and the Phase 2 expansion of AMP-1, on a timely basis for the foreseeable future, and may result in increased costs. Changes in our supply chain or production needs in order to meet our quality targets and development timelines as well as due to design changes have resulted in cost increases from our suppliers.</w:t>
      </w:r>
    </w:p>
    <w:p>
      <w:pPr>
        <w:spacing w:after="0" w:line="174" w:lineRule="exact"/>
        <w:rPr>
          <w:sz w:val="20"/>
          <w:szCs w:val="20"/>
          <w:color w:val="auto"/>
        </w:rPr>
      </w:pPr>
    </w:p>
    <w:p>
      <w:pPr>
        <w:spacing w:after="0" w:line="252" w:lineRule="auto"/>
        <w:rPr>
          <w:sz w:val="20"/>
          <w:szCs w:val="20"/>
          <w:color w:val="auto"/>
        </w:rPr>
      </w:pPr>
      <w:r>
        <w:rPr>
          <w:rFonts w:ascii="Arial" w:cs="Arial" w:eastAsia="Arial" w:hAnsi="Arial"/>
          <w:sz w:val="17"/>
          <w:szCs w:val="17"/>
          <w:color w:val="231F20"/>
        </w:rPr>
        <w:t>Any significant increases in our production may in the future require us to procure additional components in a short amount of time and our suppliers may not ultimately be able to sustainably and timely meet our cost, quality and volume needs, requiring us to replace them with other sources. In many cases, our suppliers provide us with custom-designed parts that would require significant lead time to obtain from alternative suppliers, or may not be available from alternative suppliers at all. If we are unable to obtain suitable components and materials used in our vehicles from our suppliers or if our suppliers decide to create or supply a competing product, our business could be adversely affected. Further, if we are unsuccessful in our efforts to control and reduce supplier costs, our results of operations will suffer. Alternatively, if our production decreases significantly below our projections for any reason, we may not meet all of our purchase commitments with suppliers with whom we have non-cancelable long-term purchase commitments. If we are unable to fully utilize our purchase commitments, there could be a material adverse effect on our results of operations.</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36" w:name="page37"/>
    <w:bookmarkEnd w:id="36"/>
    <w:p>
      <w:pPr>
        <w:ind w:right="20"/>
        <w:spacing w:after="0" w:line="276" w:lineRule="auto"/>
        <w:rPr>
          <w:sz w:val="20"/>
          <w:szCs w:val="20"/>
          <w:color w:val="auto"/>
        </w:rPr>
      </w:pPr>
      <w:r>
        <w:rPr>
          <w:rFonts w:ascii="Arial" w:cs="Arial" w:eastAsia="Arial" w:hAnsi="Arial"/>
          <w:sz w:val="16"/>
          <w:szCs w:val="16"/>
          <w:color w:val="231F20"/>
        </w:rPr>
        <w:t>In addition, we have experienced, and in the future could continue to experience, delays if our suppliers do not meet agreed upon timelines, experience capacity constraints, or deliver components that do not meet our quality standards or other requirements. Any disruption in the supply of components, whether or not from a single source supplier, could temporarily disrupt production of our vehicles until an alternative supplier is able to supply the required material. Any such delay, even if caused by a delay or shortage in only one part, could significantly affect our ability to meet our planned vehicle production targets. Even in cases where we may be able to establish alternate supply relationships and obtain or engineer replacement components for our single source components, we may be unable to do so quickly, or at all, at prices or quality levels that are acceptable to us. This risk is heightened by the fact that we have less negotiating leverage with suppliers than larger and more established automobile manufacturers, which could adversely affect our ability to obtain necessary components and materials on a timely basis, on favorable pricing and other terms, or at all. The industry in which we operate has recently experienced severe supply chain disruptions, and we expect these conditions to continue for the foreseeable future. Any such supply disruption could materially and adversely affect our results of operations, financial condition and prospects.</w:t>
      </w:r>
    </w:p>
    <w:p>
      <w:pPr>
        <w:spacing w:after="0" w:line="166"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231F20"/>
        </w:rPr>
        <w:t>Furthermore, as the scale of our vehicle production increases, we will need to accurately forecast, purchase, warehouse and transport components to our manufacturing facilities and servicing locations internationally and at much higher volumes. We are only beginning to scale production in our manufacturing facilities and in the process we have experienced challenges associated with such activities. In addition, we have not yet begun servicing vehicles at significant volumes. Accordingly, our ability to scale production and vehicle servicing and mitigate risks associated with these activities has not been thoroughly tested. In addition, our current systems and processes are not mature, which may affect our ability to timely initiate critical and time sensitive projects and increase project costs. If we continue to experience logistics challenges, are unable to accurately match the timing and quantities of component purchases to our actual needs, successfully recruit and retain personnel with relevant experience, timely comply with applicable regulations, or successfully implement automation, inventory management and other systems or processes to accommodate the increased complexity in our supply chain and manufacturing operations, we may incur unexpected production disruption, storage, transportation and write-off costs, which could have a material adverse effect on our results of operations and financial condition.</w:t>
      </w:r>
    </w:p>
    <w:p>
      <w:pPr>
        <w:spacing w:after="0" w:line="185" w:lineRule="exact"/>
        <w:rPr>
          <w:sz w:val="20"/>
          <w:szCs w:val="20"/>
          <w:color w:val="auto"/>
        </w:rPr>
      </w:pPr>
    </w:p>
    <w:p>
      <w:pPr>
        <w:spacing w:after="0" w:line="288" w:lineRule="auto"/>
        <w:rPr>
          <w:sz w:val="20"/>
          <w:szCs w:val="20"/>
          <w:color w:val="auto"/>
        </w:rPr>
      </w:pPr>
      <w:r>
        <w:rPr>
          <w:rFonts w:ascii="Arial" w:cs="Arial" w:eastAsia="Arial" w:hAnsi="Arial"/>
          <w:sz w:val="16"/>
          <w:szCs w:val="16"/>
          <w:color w:val="231F20"/>
        </w:rPr>
        <w:t>Furthermore, unexpected changes in business conditions, materials pricing, labor issues, wars, governmental changes, tariffs, natural disasters, health epidemics such as the COVID-19 pandemic, and other factors beyond our and our suppliers’ control could also affect these suppliers’ ability to deliver components to us on a timely basis. We have also identified certain of our suppliers, including certain suppliers we deem critical, as having poor financial health or being at risk of bankruptcy. Although we routinely review our suppliers’ financial health and attempt to identify alternate suppliers where possible, the loss of any supplier, particularly a single- or limited-source supplier, or the disruption in the supply of components from our suppliers, could lead to vehicle design changes, production delays, idle manufacturing facilities and potential loss of access to important technology and parts for producing, servicing and supporting our vehicles, any of which could result in negative publicity, damage to our brand and a material and adverse effect on our business, prospects, results of operations and financial condition. In addition, if our suppliers experience substantial financial difficulties, cease operations or otherwise face business disruptions, including as a result of the effects of the COVID-19 pandemic, we may be required to provide substantial financial support to ensure supply continuity, which could have an additional adverse effect on our liquidity and financial condition.</w:t>
      </w:r>
    </w:p>
    <w:p>
      <w:pPr>
        <w:spacing w:after="0" w:line="16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231F20"/>
        </w:rPr>
        <w:t>Increases in costs, disruption of supply or shortage of materials, in particular for lithium-ion battery cells or semiconductors, could harm our business.</w:t>
      </w:r>
    </w:p>
    <w:p>
      <w:pPr>
        <w:spacing w:after="0" w:line="260"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231F20"/>
        </w:rPr>
        <w:t>As we scale commercial production of our vehicles or any future energy storage systems, we have experienced and may continue to experience increases in the cost of or a sustained interruption in the supply or shortage of materials. Any such increase, supply interruption or shortage could materially and adversely impact our business, results of operations, prospects and financial condition. For example, as we continue our phased construction of our AMP-1 facility, we have experienced increases in steel prices and cost of construction labor. In addition, we use various materials in our business, including aluminum, steel, lithium, nickel, copper, cobalt, neodymium, terbium, praseodymium and manganese, as well as lithium-ion battery cells and semiconductors from suppliers. The prices for these materials fluctuate, and their available supply may be unstable, depending on market conditions, inflationary pressure and global demand for these materials, including as a result of increased production of electric vehicles, energy storage products by our competitors and the global supply chain crisis, and could adversely affect our business and results of operations. For instance, we are exposed to multiple risks relating to lithium-ion battery cells. These risks include:</w:t>
      </w:r>
    </w:p>
    <w:p>
      <w:pPr>
        <w:spacing w:after="0" w:line="73"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231F20"/>
        </w:rPr>
      </w:pPr>
      <w:r>
        <w:rPr>
          <w:rFonts w:ascii="Arial" w:cs="Arial" w:eastAsia="Arial" w:hAnsi="Arial"/>
          <w:sz w:val="18"/>
          <w:szCs w:val="18"/>
          <w:color w:val="231F20"/>
        </w:rPr>
        <w:t>an increase in the cost, or decrease in the available supply, of materials, such as cobalt, used in lithium-ion battery cells;</w:t>
      </w:r>
    </w:p>
    <w:p>
      <w:pPr>
        <w:spacing w:after="0" w:line="117" w:lineRule="exact"/>
        <w:rPr>
          <w:rFonts w:ascii="Arial" w:cs="Arial" w:eastAsia="Arial" w:hAnsi="Arial"/>
          <w:sz w:val="18"/>
          <w:szCs w:val="18"/>
          <w:color w:val="231F20"/>
        </w:rPr>
      </w:pPr>
    </w:p>
    <w:p>
      <w:pPr>
        <w:ind w:left="660" w:hanging="328"/>
        <w:spacing w:after="0"/>
        <w:tabs>
          <w:tab w:leader="none" w:pos="660" w:val="left"/>
        </w:tabs>
        <w:numPr>
          <w:ilvl w:val="0"/>
          <w:numId w:val="28"/>
        </w:numPr>
        <w:rPr>
          <w:rFonts w:ascii="Arial" w:cs="Arial" w:eastAsia="Arial" w:hAnsi="Arial"/>
          <w:sz w:val="18"/>
          <w:szCs w:val="18"/>
          <w:color w:val="231F20"/>
        </w:rPr>
      </w:pPr>
      <w:r>
        <w:rPr>
          <w:rFonts w:ascii="Arial" w:cs="Arial" w:eastAsia="Arial" w:hAnsi="Arial"/>
          <w:sz w:val="18"/>
          <w:szCs w:val="18"/>
          <w:color w:val="231F20"/>
        </w:rPr>
        <w:t>disruption in the supply of lithium-ion battery cells due to quality issues or recalls by manufacturers;</w:t>
      </w:r>
    </w:p>
    <w:p>
      <w:pPr>
        <w:spacing w:after="0" w:line="117" w:lineRule="exact"/>
        <w:rPr>
          <w:rFonts w:ascii="Arial" w:cs="Arial" w:eastAsia="Arial" w:hAnsi="Arial"/>
          <w:sz w:val="18"/>
          <w:szCs w:val="18"/>
          <w:color w:val="231F20"/>
        </w:rPr>
      </w:pPr>
    </w:p>
    <w:p>
      <w:pPr>
        <w:ind w:left="660" w:hanging="328"/>
        <w:spacing w:after="0"/>
        <w:tabs>
          <w:tab w:leader="none" w:pos="660" w:val="left"/>
        </w:tabs>
        <w:numPr>
          <w:ilvl w:val="0"/>
          <w:numId w:val="28"/>
        </w:numPr>
        <w:rPr>
          <w:rFonts w:ascii="Arial" w:cs="Arial" w:eastAsia="Arial" w:hAnsi="Arial"/>
          <w:sz w:val="18"/>
          <w:szCs w:val="18"/>
          <w:color w:val="231F20"/>
        </w:rPr>
      </w:pPr>
      <w:r>
        <w:rPr>
          <w:rFonts w:ascii="Arial" w:cs="Arial" w:eastAsia="Arial" w:hAnsi="Arial"/>
          <w:sz w:val="18"/>
          <w:szCs w:val="18"/>
          <w:color w:val="231F20"/>
        </w:rPr>
        <w:t>our ability to manage our supply and inventory of lithium-ion battery cells; and</w:t>
      </w:r>
    </w:p>
    <w:p>
      <w:pPr>
        <w:spacing w:after="0" w:line="117" w:lineRule="exact"/>
        <w:rPr>
          <w:rFonts w:ascii="Arial" w:cs="Arial" w:eastAsia="Arial" w:hAnsi="Arial"/>
          <w:sz w:val="18"/>
          <w:szCs w:val="18"/>
          <w:color w:val="231F20"/>
        </w:rPr>
      </w:pPr>
    </w:p>
    <w:p>
      <w:pPr>
        <w:ind w:left="660" w:right="940" w:hanging="328"/>
        <w:spacing w:after="0" w:line="277" w:lineRule="auto"/>
        <w:tabs>
          <w:tab w:leader="none" w:pos="655" w:val="left"/>
        </w:tabs>
        <w:numPr>
          <w:ilvl w:val="0"/>
          <w:numId w:val="28"/>
        </w:numPr>
        <w:rPr>
          <w:rFonts w:ascii="Arial" w:cs="Arial" w:eastAsia="Arial" w:hAnsi="Arial"/>
          <w:sz w:val="18"/>
          <w:szCs w:val="18"/>
          <w:color w:val="231F20"/>
        </w:rPr>
      </w:pPr>
      <w:r>
        <w:rPr>
          <w:rFonts w:ascii="Arial" w:cs="Arial" w:eastAsia="Arial" w:hAnsi="Arial"/>
          <w:sz w:val="18"/>
          <w:szCs w:val="18"/>
          <w:color w:val="231F20"/>
        </w:rPr>
        <w:t>fluctuations in the value of any foreign currencies, in which lithium-ion battery cells and related raw material purchases are or may be denominated against the U.S. dollar.</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37" w:name="page38"/>
    <w:bookmarkEnd w:id="37"/>
    <w:p>
      <w:pPr>
        <w:ind w:right="40"/>
        <w:spacing w:after="0" w:line="293" w:lineRule="auto"/>
        <w:rPr>
          <w:sz w:val="20"/>
          <w:szCs w:val="20"/>
          <w:color w:val="auto"/>
        </w:rPr>
      </w:pPr>
      <w:r>
        <w:rPr>
          <w:rFonts w:ascii="Arial" w:cs="Arial" w:eastAsia="Arial" w:hAnsi="Arial"/>
          <w:sz w:val="16"/>
          <w:szCs w:val="16"/>
          <w:color w:val="231F20"/>
        </w:rPr>
        <w:t xml:space="preserve">Our ability to manufacture our vehicles or any future energy storage systems will depend on the continued supply of battery cells for the battery packs used in our products. We have limited flexibility in changing battery cell suppliers, and any disruption in the supply of battery cells from such suppliers could disrupt production of our vehicles until a different supplier is fully qualified. In addition, </w:t>
      </w:r>
      <w:r>
        <w:rPr>
          <w:rFonts w:ascii="Arial" w:cs="Arial" w:eastAsia="Arial" w:hAnsi="Arial"/>
          <w:sz w:val="16"/>
          <w:szCs w:val="16"/>
          <w:color w:val="000000"/>
        </w:rPr>
        <w:t>we have entered into agreements with Panasonic Energy Co., Ltd.</w:t>
      </w:r>
      <w:r>
        <w:rPr>
          <w:rFonts w:ascii="Arial" w:cs="Arial" w:eastAsia="Arial" w:hAnsi="Arial"/>
          <w:sz w:val="16"/>
          <w:szCs w:val="16"/>
          <w:color w:val="231F20"/>
        </w:rPr>
        <w:t xml:space="preserve"> </w:t>
      </w:r>
      <w:r>
        <w:rPr>
          <w:rFonts w:ascii="Arial" w:cs="Arial" w:eastAsia="Arial" w:hAnsi="Arial"/>
          <w:sz w:val="16"/>
          <w:szCs w:val="16"/>
          <w:color w:val="000000"/>
        </w:rPr>
        <w:t xml:space="preserve">and certain of its affiliates for the supply of lithium-ion battery cells, pursuant to which we have made certain </w:t>
      </w:r>
      <w:r>
        <w:rPr>
          <w:rFonts w:ascii="Arial" w:cs="Arial" w:eastAsia="Arial" w:hAnsi="Arial"/>
          <w:sz w:val="16"/>
          <w:szCs w:val="16"/>
          <w:color w:val="231F20"/>
        </w:rPr>
        <w:t>non-cancelable long-term</w:t>
      </w:r>
      <w:r>
        <w:rPr>
          <w:rFonts w:ascii="Arial" w:cs="Arial" w:eastAsia="Arial" w:hAnsi="Arial"/>
          <w:sz w:val="16"/>
          <w:szCs w:val="16"/>
          <w:color w:val="000000"/>
        </w:rPr>
        <w:t xml:space="preserve"> purchase commitments. If </w:t>
      </w:r>
      <w:r>
        <w:rPr>
          <w:rFonts w:ascii="Arial" w:cs="Arial" w:eastAsia="Arial" w:hAnsi="Arial"/>
          <w:sz w:val="16"/>
          <w:szCs w:val="16"/>
          <w:color w:val="231F20"/>
        </w:rPr>
        <w:t>our production decreases significantly below our projections for any reason, we may not meet all of our purchase commitments. If we are</w:t>
      </w:r>
      <w:r>
        <w:rPr>
          <w:rFonts w:ascii="Arial" w:cs="Arial" w:eastAsia="Arial" w:hAnsi="Arial"/>
          <w:sz w:val="16"/>
          <w:szCs w:val="16"/>
          <w:color w:val="000000"/>
        </w:rPr>
        <w:t xml:space="preserve"> </w:t>
      </w:r>
      <w:r>
        <w:rPr>
          <w:rFonts w:ascii="Arial" w:cs="Arial" w:eastAsia="Arial" w:hAnsi="Arial"/>
          <w:sz w:val="16"/>
          <w:szCs w:val="16"/>
          <w:color w:val="231F20"/>
        </w:rPr>
        <w:t>unable to fully utilize our purchase commitments, there could be a material adverse effect on our results of operations.</w:t>
      </w:r>
    </w:p>
    <w:p>
      <w:pPr>
        <w:spacing w:after="0" w:line="164" w:lineRule="exact"/>
        <w:rPr>
          <w:sz w:val="20"/>
          <w:szCs w:val="20"/>
          <w:color w:val="auto"/>
        </w:rPr>
      </w:pPr>
    </w:p>
    <w:p>
      <w:pPr>
        <w:spacing w:after="0" w:line="268" w:lineRule="auto"/>
        <w:rPr>
          <w:sz w:val="20"/>
          <w:szCs w:val="20"/>
          <w:color w:val="auto"/>
        </w:rPr>
      </w:pPr>
      <w:r>
        <w:rPr>
          <w:rFonts w:ascii="Arial" w:cs="Arial" w:eastAsia="Arial" w:hAnsi="Arial"/>
          <w:sz w:val="17"/>
          <w:szCs w:val="17"/>
          <w:color w:val="231F20"/>
        </w:rPr>
        <w:t>Furthermore, our ability to manufacture our vehicles depends on continuing access to semiconductors and components that incorporate semiconductors. A global semiconductor supply shortage is having wide-ranging effects across multiple industries and the automotive industry in particular, and it has impacted many automotive suppliers and manufacturers, including us, that incorporate semiconductors into the parts they supply or manufacture. We have experienced and may continue to experience an impact on our operations as a result of the semiconductor supply shortage, and such shortage could in the future have a material impact on us or our suppliers, which could delay or reduce planned production levels of Lucid Air or planned future vehicles, impair our ability to continue production once started or force us or our suppliers to pay exorbitant rates for continued access to semiconductors, any of which could have a material adverse effect on our business, prospects and results of operations. In addition, prices and transportation expenses for these materials fluctuate depending on many factors beyond our control, including fluctuations in supply and demand, foreign currency fluctuations, tariffs and taxes, fluctuations in energy prices and shortages in petroleum or natural gas supply, freight charges and other economic and political factors. These risks could be further magnified by geographical developments such as the conflict between Ukraine and Russia. Substantial increases in the prices for our materials or prices charged to us, such as those charged by battery cell or semiconductor suppliers, would increase our operating costs, and could reduce our margins if we cannot recoup the increased costs through increased prices. Any attempts to increase product prices in response to increased material costs could result in cancellations of orders and reservations and materially and adversely affect our brand, image, business, results of operations, prospects and financial condition.</w:t>
      </w:r>
    </w:p>
    <w:p>
      <w:pPr>
        <w:spacing w:after="0" w:line="184"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Furthermore, foreign currency fluctuations, tariffs or shortages in petroleum or natural gas and other economic or political conditions have contributed to and may continue to result in significant increases in freight charges and raw material costs. Substantial increases in the prices for our raw materials or components would increase our operating costs and could reduce our margins. In addition, a growth in popularity of electric vehicles without a significant expansion in battery cell production capacity could result in shortages which would result in increased materials costs to us, and would impact our expected manufacturing and delivery timelines, and adversely affect our business, prospects, financial condition, results of operations, and cash flows.</w:t>
      </w:r>
    </w:p>
    <w:p>
      <w:pPr>
        <w:spacing w:after="0" w:line="16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231F20"/>
        </w:rPr>
        <w:t>We must develop complex software and technology systems, including in coordination with vendors and suppliers, in order to produce our electric vehicles, and there can be no assurance such systems will be successfully developed.</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color w:val="231F20"/>
        </w:rPr>
        <w:t>Our vehicles, including Lucid Air, use a substantial amount of third-party and proprietary software and complex technological hardware to operate, some of which is still subject to further development and testing. The development and implementation of such advanced technologies is inherently complex and requires coordination with our vendors and suppliers in order to integrate such technology into our electric vehicles and ensure it interoperates with other complex technology as designed and as expected.</w:t>
      </w:r>
    </w:p>
    <w:p>
      <w:pPr>
        <w:spacing w:after="0" w:line="18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231F20"/>
        </w:rPr>
        <w:t>We may fail to detect defects and errors that are subsequently revealed, and our control over the performance of third-party services and systems may be limited. Any defects or errors in, or which are attributed to, our technology, could result in, among other things:</w:t>
      </w:r>
    </w:p>
    <w:p>
      <w:pPr>
        <w:spacing w:after="0" w:line="62"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8"/>
          <w:szCs w:val="18"/>
          <w:color w:val="231F20"/>
        </w:rPr>
      </w:pPr>
      <w:r>
        <w:rPr>
          <w:rFonts w:ascii="Arial" w:cs="Arial" w:eastAsia="Arial" w:hAnsi="Arial"/>
          <w:sz w:val="18"/>
          <w:szCs w:val="18"/>
          <w:color w:val="231F20"/>
        </w:rPr>
        <w:t>delayed production and delivery of our vehicles, including Lucid Air;</w:t>
      </w:r>
    </w:p>
    <w:p>
      <w:pPr>
        <w:spacing w:after="0" w:line="117" w:lineRule="exact"/>
        <w:rPr>
          <w:rFonts w:ascii="Arial" w:cs="Arial" w:eastAsia="Arial" w:hAnsi="Arial"/>
          <w:sz w:val="18"/>
          <w:szCs w:val="18"/>
          <w:color w:val="231F20"/>
        </w:rPr>
      </w:pPr>
    </w:p>
    <w:p>
      <w:pPr>
        <w:ind w:left="660" w:hanging="328"/>
        <w:spacing w:after="0"/>
        <w:tabs>
          <w:tab w:leader="none" w:pos="660" w:val="left"/>
        </w:tabs>
        <w:numPr>
          <w:ilvl w:val="0"/>
          <w:numId w:val="29"/>
        </w:numPr>
        <w:rPr>
          <w:rFonts w:ascii="Arial" w:cs="Arial" w:eastAsia="Arial" w:hAnsi="Arial"/>
          <w:sz w:val="18"/>
          <w:szCs w:val="18"/>
          <w:color w:val="231F20"/>
        </w:rPr>
      </w:pPr>
      <w:r>
        <w:rPr>
          <w:rFonts w:ascii="Arial" w:cs="Arial" w:eastAsia="Arial" w:hAnsi="Arial"/>
          <w:sz w:val="18"/>
          <w:szCs w:val="18"/>
          <w:color w:val="231F20"/>
        </w:rPr>
        <w:t>delayed market acceptance of our vehicles;</w:t>
      </w:r>
    </w:p>
    <w:p>
      <w:pPr>
        <w:spacing w:after="0" w:line="117" w:lineRule="exact"/>
        <w:rPr>
          <w:rFonts w:ascii="Arial" w:cs="Arial" w:eastAsia="Arial" w:hAnsi="Arial"/>
          <w:sz w:val="18"/>
          <w:szCs w:val="18"/>
          <w:color w:val="231F20"/>
        </w:rPr>
      </w:pPr>
    </w:p>
    <w:p>
      <w:pPr>
        <w:ind w:left="660" w:hanging="328"/>
        <w:spacing w:after="0"/>
        <w:tabs>
          <w:tab w:leader="none" w:pos="660" w:val="left"/>
        </w:tabs>
        <w:numPr>
          <w:ilvl w:val="0"/>
          <w:numId w:val="29"/>
        </w:numPr>
        <w:rPr>
          <w:rFonts w:ascii="Arial" w:cs="Arial" w:eastAsia="Arial" w:hAnsi="Arial"/>
          <w:sz w:val="18"/>
          <w:szCs w:val="18"/>
          <w:color w:val="231F20"/>
        </w:rPr>
      </w:pPr>
      <w:r>
        <w:rPr>
          <w:rFonts w:ascii="Arial" w:cs="Arial" w:eastAsia="Arial" w:hAnsi="Arial"/>
          <w:sz w:val="18"/>
          <w:szCs w:val="18"/>
          <w:color w:val="231F20"/>
        </w:rPr>
        <w:t>loss of customers or inability to attract new customers;</w:t>
      </w:r>
    </w:p>
    <w:p>
      <w:pPr>
        <w:spacing w:after="0" w:line="117" w:lineRule="exact"/>
        <w:rPr>
          <w:rFonts w:ascii="Arial" w:cs="Arial" w:eastAsia="Arial" w:hAnsi="Arial"/>
          <w:sz w:val="18"/>
          <w:szCs w:val="18"/>
          <w:color w:val="231F20"/>
        </w:rPr>
      </w:pPr>
    </w:p>
    <w:p>
      <w:pPr>
        <w:ind w:left="660" w:hanging="328"/>
        <w:spacing w:after="0"/>
        <w:tabs>
          <w:tab w:leader="none" w:pos="660" w:val="left"/>
        </w:tabs>
        <w:numPr>
          <w:ilvl w:val="0"/>
          <w:numId w:val="29"/>
        </w:numPr>
        <w:rPr>
          <w:rFonts w:ascii="Arial" w:cs="Arial" w:eastAsia="Arial" w:hAnsi="Arial"/>
          <w:sz w:val="18"/>
          <w:szCs w:val="18"/>
          <w:color w:val="231F20"/>
        </w:rPr>
      </w:pPr>
      <w:r>
        <w:rPr>
          <w:rFonts w:ascii="Arial" w:cs="Arial" w:eastAsia="Arial" w:hAnsi="Arial"/>
          <w:sz w:val="18"/>
          <w:szCs w:val="18"/>
          <w:color w:val="231F20"/>
        </w:rPr>
        <w:t>diversion of engineering or other resources for remedying the defect or error;</w:t>
      </w:r>
    </w:p>
    <w:p>
      <w:pPr>
        <w:spacing w:after="0" w:line="117" w:lineRule="exact"/>
        <w:rPr>
          <w:rFonts w:ascii="Arial" w:cs="Arial" w:eastAsia="Arial" w:hAnsi="Arial"/>
          <w:sz w:val="18"/>
          <w:szCs w:val="18"/>
          <w:color w:val="231F20"/>
        </w:rPr>
      </w:pPr>
    </w:p>
    <w:p>
      <w:pPr>
        <w:ind w:left="660" w:hanging="328"/>
        <w:spacing w:after="0"/>
        <w:tabs>
          <w:tab w:leader="none" w:pos="660" w:val="left"/>
        </w:tabs>
        <w:numPr>
          <w:ilvl w:val="0"/>
          <w:numId w:val="29"/>
        </w:numPr>
        <w:rPr>
          <w:rFonts w:ascii="Arial" w:cs="Arial" w:eastAsia="Arial" w:hAnsi="Arial"/>
          <w:sz w:val="18"/>
          <w:szCs w:val="18"/>
          <w:color w:val="231F20"/>
        </w:rPr>
      </w:pPr>
      <w:r>
        <w:rPr>
          <w:rFonts w:ascii="Arial" w:cs="Arial" w:eastAsia="Arial" w:hAnsi="Arial"/>
          <w:sz w:val="18"/>
          <w:szCs w:val="18"/>
          <w:color w:val="231F20"/>
        </w:rPr>
        <w:t>damage to our brand or reputation;</w:t>
      </w:r>
    </w:p>
    <w:p>
      <w:pPr>
        <w:spacing w:after="0" w:line="117" w:lineRule="exact"/>
        <w:rPr>
          <w:rFonts w:ascii="Arial" w:cs="Arial" w:eastAsia="Arial" w:hAnsi="Arial"/>
          <w:sz w:val="18"/>
          <w:szCs w:val="18"/>
          <w:color w:val="231F20"/>
        </w:rPr>
      </w:pPr>
    </w:p>
    <w:p>
      <w:pPr>
        <w:ind w:left="660" w:hanging="328"/>
        <w:spacing w:after="0"/>
        <w:tabs>
          <w:tab w:leader="none" w:pos="660" w:val="left"/>
        </w:tabs>
        <w:numPr>
          <w:ilvl w:val="0"/>
          <w:numId w:val="29"/>
        </w:numPr>
        <w:rPr>
          <w:rFonts w:ascii="Arial" w:cs="Arial" w:eastAsia="Arial" w:hAnsi="Arial"/>
          <w:sz w:val="18"/>
          <w:szCs w:val="18"/>
          <w:color w:val="231F20"/>
        </w:rPr>
      </w:pPr>
      <w:r>
        <w:rPr>
          <w:rFonts w:ascii="Arial" w:cs="Arial" w:eastAsia="Arial" w:hAnsi="Arial"/>
          <w:sz w:val="18"/>
          <w:szCs w:val="18"/>
          <w:color w:val="231F20"/>
        </w:rPr>
        <w:t>increased service and warranty costs;</w:t>
      </w:r>
    </w:p>
    <w:p>
      <w:pPr>
        <w:spacing w:after="0" w:line="117" w:lineRule="exact"/>
        <w:rPr>
          <w:rFonts w:ascii="Arial" w:cs="Arial" w:eastAsia="Arial" w:hAnsi="Arial"/>
          <w:sz w:val="18"/>
          <w:szCs w:val="18"/>
          <w:color w:val="231F20"/>
        </w:rPr>
      </w:pPr>
    </w:p>
    <w:p>
      <w:pPr>
        <w:ind w:left="660" w:hanging="328"/>
        <w:spacing w:after="0"/>
        <w:tabs>
          <w:tab w:leader="none" w:pos="660" w:val="left"/>
        </w:tabs>
        <w:numPr>
          <w:ilvl w:val="0"/>
          <w:numId w:val="29"/>
        </w:numPr>
        <w:rPr>
          <w:rFonts w:ascii="Arial" w:cs="Arial" w:eastAsia="Arial" w:hAnsi="Arial"/>
          <w:sz w:val="18"/>
          <w:szCs w:val="18"/>
          <w:color w:val="231F20"/>
        </w:rPr>
      </w:pPr>
      <w:r>
        <w:rPr>
          <w:rFonts w:ascii="Arial" w:cs="Arial" w:eastAsia="Arial" w:hAnsi="Arial"/>
          <w:sz w:val="18"/>
          <w:szCs w:val="18"/>
          <w:color w:val="231F20"/>
        </w:rPr>
        <w:t>legal action by customers or third parties, including product liability claims; and</w:t>
      </w:r>
    </w:p>
    <w:p>
      <w:pPr>
        <w:spacing w:after="0" w:line="117" w:lineRule="exact"/>
        <w:rPr>
          <w:rFonts w:ascii="Arial" w:cs="Arial" w:eastAsia="Arial" w:hAnsi="Arial"/>
          <w:sz w:val="18"/>
          <w:szCs w:val="18"/>
          <w:color w:val="231F20"/>
        </w:rPr>
      </w:pPr>
    </w:p>
    <w:p>
      <w:pPr>
        <w:ind w:left="660" w:hanging="328"/>
        <w:spacing w:after="0"/>
        <w:tabs>
          <w:tab w:leader="none" w:pos="660" w:val="left"/>
        </w:tabs>
        <w:numPr>
          <w:ilvl w:val="0"/>
          <w:numId w:val="29"/>
        </w:numPr>
        <w:rPr>
          <w:rFonts w:ascii="Arial" w:cs="Arial" w:eastAsia="Arial" w:hAnsi="Arial"/>
          <w:sz w:val="18"/>
          <w:szCs w:val="18"/>
          <w:color w:val="231F20"/>
        </w:rPr>
      </w:pPr>
      <w:r>
        <w:rPr>
          <w:rFonts w:ascii="Arial" w:cs="Arial" w:eastAsia="Arial" w:hAnsi="Arial"/>
          <w:sz w:val="18"/>
          <w:szCs w:val="18"/>
          <w:color w:val="231F20"/>
        </w:rPr>
        <w:t>penalties imposed by regulatory authorities.</w:t>
      </w:r>
    </w:p>
    <w:p>
      <w:pPr>
        <w:spacing w:after="0" w:line="22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231F20"/>
        </w:rPr>
        <w:t>In addition, if we are unable to develop the software and technology systems necessary to operate our vehicles, our competitive position will be harmed. We rely on third-party suppliers to develop a number of technologies for use in our products. There can be no assurances that our suppliers will be able to meet the technological requirements, production timing and volume requirements to support our business plan. In addition, such technology may not satisfy the cost, performance useful life and warranty characteristics we anticipate in our business plan, which could materially adversely affect our business, prospects and results of operations.</w:t>
      </w:r>
    </w:p>
    <w:p>
      <w:pPr>
        <w:sectPr>
          <w:pgSz w:w="11900" w:h="16838" w:orient="portrait"/>
          <w:cols w:equalWidth="0" w:num="1">
            <w:col w:w="11240"/>
          </w:cols>
          <w:pgMar w:left="320" w:top="989" w:right="339" w:bottom="1440" w:gutter="0" w:footer="0" w:header="0"/>
        </w:sect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type w:val="continuous"/>
        </w:sectPr>
      </w:pPr>
    </w:p>
    <w:bookmarkStart w:id="38" w:name="page39"/>
    <w:bookmarkEnd w:id="38"/>
    <w:p>
      <w:pPr>
        <w:ind w:right="520"/>
        <w:spacing w:after="0" w:line="277" w:lineRule="auto"/>
        <w:rPr>
          <w:sz w:val="20"/>
          <w:szCs w:val="20"/>
          <w:color w:val="auto"/>
        </w:rPr>
      </w:pPr>
      <w:r>
        <w:rPr>
          <w:rFonts w:ascii="Arial" w:cs="Arial" w:eastAsia="Arial" w:hAnsi="Arial"/>
          <w:sz w:val="18"/>
          <w:szCs w:val="18"/>
          <w:b w:val="1"/>
          <w:bCs w:val="1"/>
          <w:i w:val="1"/>
          <w:iCs w:val="1"/>
          <w:color w:val="231F20"/>
        </w:rPr>
        <w:t>If we fail to successfully tool our manufacturing facilities or if our manufacturing facilities become inoperable, we will be unable to produce our vehicles and our business will be harmed.</w:t>
      </w:r>
    </w:p>
    <w:p>
      <w:pPr>
        <w:spacing w:after="0" w:line="170" w:lineRule="exact"/>
        <w:rPr>
          <w:sz w:val="20"/>
          <w:szCs w:val="20"/>
          <w:color w:val="auto"/>
        </w:rPr>
      </w:pPr>
    </w:p>
    <w:p>
      <w:pPr>
        <w:spacing w:after="0" w:line="286" w:lineRule="auto"/>
        <w:rPr>
          <w:sz w:val="20"/>
          <w:szCs w:val="20"/>
          <w:color w:val="auto"/>
        </w:rPr>
      </w:pPr>
      <w:r>
        <w:rPr>
          <w:rFonts w:ascii="Arial" w:cs="Arial" w:eastAsia="Arial" w:hAnsi="Arial"/>
          <w:sz w:val="16"/>
          <w:szCs w:val="16"/>
          <w:color w:val="231F20"/>
        </w:rPr>
        <w:t>While we have completed the initial phase of construction at AMP-1, tooling our facilities for production of our vehicles and our future expansion plans are complicated and present significant challe</w:t>
      </w:r>
      <w:r>
        <w:rPr>
          <w:rFonts w:ascii="Arial" w:cs="Arial" w:eastAsia="Arial" w:hAnsi="Arial"/>
          <w:sz w:val="16"/>
          <w:szCs w:val="16"/>
          <w:color w:val="000000"/>
        </w:rPr>
        <w:t>nges and may require us to take vehicle production offline. In addition, certain o</w:t>
      </w:r>
      <w:r>
        <w:rPr>
          <w:rFonts w:ascii="Arial" w:cs="Arial" w:eastAsia="Arial" w:hAnsi="Arial"/>
          <w:sz w:val="16"/>
          <w:szCs w:val="16"/>
          <w:color w:val="231F20"/>
        </w:rPr>
        <w:t>f our suppliers may be unable to complete tooling with respect to finalized components of our vehicles in the planned timeframe after we deliver final component specifications, which could adversely affect our ability to continue commercial production of Lucid Air on the expected timing and at the quality levels we require. As with any large-scale capital project, these efforts could be subject to delays, cost overruns or other complications. For example, the installation and production readiness of certain general assembly equipment for our Phase 2 expansion of AMP-1 has commenced but is expected to be delayed by supply chain issues and market conditions such as limited availability of qualified construction labor in Casa Grande, Arizona. These risks could be exacerbated because we are building our facilities from the ground up to support our electric vehicle production processes, which differ substantially from traditional automobile production processes for which expertise is more readily available. In connection with the commencement of commercial production at AMP-1, we have hired and trained and continue to hire and train a significant number of employees and integrate a yet-to-be-fully-developed supply chain. Any failure to continue commercial production on schedule would lead to additional costs and would delay our ability to generate meaningful revenues. In addition, it could prevent us from gaining the confidence of potential customers, spur cancellations of reservations for Lucid Air and open the door to increased competition. All of the foregoing could hinder our ability to successfully launch and grow our business and achieve a competitive position in the market.</w:t>
      </w:r>
    </w:p>
    <w:p>
      <w:pPr>
        <w:spacing w:after="0" w:line="174"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231F20"/>
        </w:rPr>
        <w:t>In addition, if any of our manufacturing facilities are not constructed in conformity with our requirements, repair or remediation may be required to support our planned phased manufacturing build-out and could require us to take vehicle production offline, delay implementation of our planned phased manufacturing build-out, or construct alternate facilities, which could materially limit our manufacturing capacity, delay planned increases in manufacturing volumes, delay the start of production of Lucid Gravity or other future vehicles, or adversely affect our ability to timely sell and deliver our electric vehicles to customers. Any repair or remediation efforts could also require us to bear substantial additional costs, including both the direct costs of such activities and potentially costly litigation or other legal proceedings related to any identified defect, and there can be no assurance that our insurance policies or other recoveries would be sufficient to cover all or any of such costs. Any of the foregoing consequences could have a material adverse effect on our business, prospects, results of operations and financial condition and could cause our results of operations to differ materially from our current expectations. For example, a portion of our manufacturing facility in Casa Grande, Arizona, was not constructed in accordance with the contractual requirements. The facility is capable of supporting current production volumes, but it will require repair or remediation to support future production volumes. We have begun to repair or remediate these issues where possible without impacting manufacturing, and we plan to address the bulk of such repairs or remediation as part of the phased build-out of our Casa Grande facility. Although we do not currently expect that we will be required to take vehicle production offline or reduce our planned manufacturing volumes, the repairs or remediation are expected to entail significant costs, and we may be unable to recover some or all of such costs from the applicable contractor(s).</w:t>
      </w:r>
    </w:p>
    <w:p>
      <w:pPr>
        <w:spacing w:after="0" w:line="184"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b w:val="1"/>
          <w:bCs w:val="1"/>
          <w:i w:val="1"/>
          <w:iCs w:val="1"/>
          <w:color w:val="auto"/>
        </w:rPr>
        <w:t>We rely on complex machinery for our operations, and production involves a significant degree of risk and uncertainty in terms of operational performance, safety, security and costs.</w:t>
      </w:r>
    </w:p>
    <w:p>
      <w:pPr>
        <w:spacing w:after="0" w:line="17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231F20"/>
        </w:rPr>
        <w:t>We utilize a number of new manufacturing technologies, techniques and processes for our vehicles, such as motor winding equipment, and we may utilize additional new technologies, techniques and processes in the future. Certain design features in our vehicles present additional manufacturing challenges, such as large display screens and ADAS hardware. There is no guarantee that we will be able to successfully and timely introduce and scale any such new processes or features.</w:t>
      </w:r>
    </w:p>
    <w:p>
      <w:pPr>
        <w:spacing w:after="0" w:line="187" w:lineRule="exact"/>
        <w:rPr>
          <w:sz w:val="20"/>
          <w:szCs w:val="20"/>
          <w:color w:val="auto"/>
        </w:rPr>
      </w:pPr>
    </w:p>
    <w:p>
      <w:pPr>
        <w:spacing w:after="0" w:line="257" w:lineRule="auto"/>
        <w:rPr>
          <w:sz w:val="20"/>
          <w:szCs w:val="20"/>
          <w:color w:val="auto"/>
        </w:rPr>
      </w:pPr>
      <w:r>
        <w:rPr>
          <w:rFonts w:ascii="Arial" w:cs="Arial" w:eastAsia="Arial" w:hAnsi="Arial"/>
          <w:sz w:val="18"/>
          <w:szCs w:val="18"/>
          <w:color w:val="231F20"/>
        </w:rPr>
        <w:t>We also rely heavily on complex machinery for our operations, and our production involves a significant degree of uncertainty and risk in terms of operational performance and costs. Our manufacturing plant employs large-scale, complex machinery combining many components, which may suffer unexpected malfunctions from time to time and will depend on repairs and spare parts that may not be available when needed. Furthermore, AMP-1 and the equipment we use to manufacture our vehicles will be costly to repair or replace and could require substantial lead-time to repair or replace and qualify for use.</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39" w:name="page40"/>
    <w:bookmarkEnd w:id="39"/>
    <w:p>
      <w:pPr>
        <w:spacing w:after="0" w:line="268" w:lineRule="auto"/>
        <w:rPr>
          <w:sz w:val="20"/>
          <w:szCs w:val="20"/>
          <w:color w:val="auto"/>
        </w:rPr>
      </w:pPr>
      <w:r>
        <w:rPr>
          <w:rFonts w:ascii="Arial" w:cs="Arial" w:eastAsia="Arial" w:hAnsi="Arial"/>
          <w:sz w:val="17"/>
          <w:szCs w:val="17"/>
          <w:color w:val="231F20"/>
        </w:rPr>
        <w:t>Unexpected malfunctions of the manufacturing plant components may significantly decrease our operational efficiency, including by forcing manufacturing shutdowns in order to conduct repairs or troubleshoot manufacturing problems. Our facilities may also be harmed or rendered inoperable by natural or man-made disasters, including but not limited to earthquakes, tornadoes, flooding, fire, power outages, sandstorms, environmental hazards and remediation, costs associated with decommissioning of equipment, labor disputes and strikes, lack of availability of qualified construction labor, difficulty or delays in obtaining governmental permits and licenses, damages or defects in electronic systems, industrial accidents or health epidemics, such as the COVID-19 pandemic, which may render it difficult or impossible for us to manufacture our vehicles for some period of time. The inability to produce our vehicles or the backlog that could develop if our manufacturing plant is inoperable for even a short period of time may result in the loss of customers or harm our reputation. Although we maintain insurance for damage to our property and the disruption of our business, this insurance may not be sufficient to cover all of our potential losses and may not continue to be available to us on acceptable terms, if at all, based on insurance market conditions or our evolving risk profile. Should operational risks materialize, they may result in the personal injury to or death of our workers, the loss of production equipment, damage to manufacturing facilities, monetary losses, delays and unanticipated fluctuations in production, environmental damage, administrative fines, increased insurance costs and potential legal liabilities, all which could have a material adverse effect on our business, results of operations, cash flows, financial condition or prospects.</w:t>
      </w:r>
    </w:p>
    <w:p>
      <w:pPr>
        <w:spacing w:after="0" w:line="186" w:lineRule="exact"/>
        <w:rPr>
          <w:sz w:val="20"/>
          <w:szCs w:val="20"/>
          <w:color w:val="auto"/>
        </w:rPr>
      </w:pPr>
    </w:p>
    <w:p>
      <w:pPr>
        <w:ind w:right="180"/>
        <w:spacing w:after="0" w:line="381" w:lineRule="auto"/>
        <w:rPr>
          <w:sz w:val="20"/>
          <w:szCs w:val="20"/>
          <w:color w:val="auto"/>
        </w:rPr>
      </w:pPr>
      <w:r>
        <w:rPr>
          <w:rFonts w:ascii="Arial" w:cs="Arial" w:eastAsia="Arial" w:hAnsi="Arial"/>
          <w:sz w:val="15"/>
          <w:szCs w:val="15"/>
          <w:b w:val="1"/>
          <w:bCs w:val="1"/>
          <w:i w:val="1"/>
          <w:iCs w:val="1"/>
          <w:color w:val="231F20"/>
        </w:rPr>
        <w:t>If we update or discontinue the use of our manufacturing equipment more quickly than expected, we may have to shorten the useful lives of any equipment to be retired as a result of any such update, and the resulting acceleration in our depreciation could negatively affect our financial results.</w:t>
      </w:r>
    </w:p>
    <w:p>
      <w:pPr>
        <w:spacing w:after="0" w:line="10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231F20"/>
        </w:rPr>
        <w:t>We have invested and expect to continue to invest significantly in what we believe is state of the art tooling, machinery and other manufacturing equipment, and we depreciate the cost of such equipment over their expected useful lives. However, manufacturing technology may evolve rapidly, and we may decide to update our manufacturing processes more quickly than expected. Moreover, as we ramp the commercial production of our vehicles, our experience may cause us to discontinue the use of already installed equipment in favor of different or additional equipment. The useful life of any equipment that would be retired early as a result would be shortened, causing the depreciation on such equipment to be accelerated, and our results of operations could be negatively impacted.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We have limited experience in high volume manufacture of our vehicles.</w:t>
      </w:r>
    </w:p>
    <w:p>
      <w:pPr>
        <w:spacing w:after="0" w:line="225"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231F20"/>
        </w:rPr>
        <w:t>We cannot provide any assurance as to whether we will be able to develop and implement efficient, automated, low-cost logistics and production capabilities and processes and reliable sources of component supply that will enable us to meet the quality, price, engineering, design and production standards, as well as the production volumes, required to successfully mass market our vehicles. Even if we are successful in developing our high volume production capability and processes and reliably source our component supply, no assurance can be given as to whether we will be able to do so in a manner that avoids significant delays and cost overruns, including as a result of factors beyond our control such as problems with suppliers and vendors, or force majeure events, or in time to meet our commercialization schedules, or to store and deliver parts in sufficient quantities to the manufacturing lines in a manner that enables us to maintain our production ramp curve and rates, or to satisfy the requirements of customers and potential customers. Any failure to develop and implement such logistics, production, quality control, and inventory management processes and capabilities within our projected costs and timelines could have a material adverse effect on our business, results of operations, prospects and financial condition. Moreover, we have experienced logistics challenges as we continue to refine our manufacturing, logistics and inventory management processes, and efforts to implement or improve such processes may cause halts or delays in production and result in additional costs. Bottlenecks and other unexpected challenges have and may continue to arise as we ramp production of Lucid Air, and it will be important that we address them promptly while continuing to control our logistics and manufacturing costs. If we are not successful in doing so, or if we experience issues with our logistics and manufacturing process improvements, we could face further delays in establishing and/or sustaining our production ramps or be unable to meet our related cost and profitability targets.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i w:val="1"/>
          <w:iCs w:val="1"/>
          <w:color w:val="231F20"/>
        </w:rPr>
        <w:t>If our vehicles fail to perform as expected, our ability to develop, market and sell or lease our products could be harmed.</w:t>
      </w:r>
    </w:p>
    <w:p>
      <w:pPr>
        <w:spacing w:after="0" w:line="225"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231F20"/>
        </w:rPr>
        <w:t>Our vehicles or the components installed therein have in the past and may in the future contain defects in design and manufacture that may cause them not to perform as expected or that may require repairs, recalls, and design changes, any of which would require significant financial and other resources to successfully navigate and resolve. Our vehicles use a substantial amount of software code to operate, and software products are inherently complex and may contain defects and errors when first introduced. If our vehicles contain defects in design and manufacture that cause them not to perform as expected or that require repair, or certain features of our vehicles such as bi-directional charging or ADAS features take longer than expected to become available, are legally restricted or become subject to additional regulation, our ability to develop, market and sell our products and services could be harmed. Although we will attempt to remedy any issues we observe in our products as effectively and rapidly as possible, such efforts could significantly distract management’s attention from other important business objectives, may not be timely, may hamper production or may not be to the satisfaction of our customers. Further, our limited operating history and limited field data reduce our ability to evaluate and predict the long-term quality, reliability, durability and performance characteristics of our battery packs, powertrains and vehicles. There can be no assurance that we will be able to detect and fix any defects in our products prior to their sale or lease to customers.</w:t>
      </w:r>
    </w:p>
    <w:p>
      <w:pPr>
        <w:spacing w:after="0" w:line="182"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231F20"/>
        </w:rPr>
        <w:t xml:space="preserve">Any defects, delays or legal restrictions on vehicle features, or other failure of our vehicles to perform as expected, could harm our reputation and result in delivery delays, product recalls, product liability claims, breach of warranty claims and significant warranty and other expenses, and could have a material adverse impact on our business, results of operations, prospects and financial condition. </w:t>
      </w:r>
      <w:r>
        <w:rPr>
          <w:rFonts w:ascii="Arial" w:cs="Arial" w:eastAsia="Arial" w:hAnsi="Arial"/>
          <w:sz w:val="17"/>
          <w:szCs w:val="17"/>
          <w:color w:val="000000"/>
        </w:rPr>
        <w:t>Any such defects or noncompliance with legal requirements could</w:t>
      </w:r>
      <w:r>
        <w:rPr>
          <w:rFonts w:ascii="Arial" w:cs="Arial" w:eastAsia="Arial" w:hAnsi="Arial"/>
          <w:sz w:val="17"/>
          <w:szCs w:val="17"/>
          <w:color w:val="231F20"/>
        </w:rPr>
        <w:t xml:space="preserve"> </w:t>
      </w:r>
      <w:r>
        <w:rPr>
          <w:rFonts w:ascii="Arial" w:cs="Arial" w:eastAsia="Arial" w:hAnsi="Arial"/>
          <w:sz w:val="17"/>
          <w:szCs w:val="17"/>
          <w:color w:val="000000"/>
        </w:rPr>
        <w:t xml:space="preserve">also result in safety recalls. See “— Risks Related to Litigation and Regulation — </w:t>
      </w:r>
      <w:r>
        <w:rPr>
          <w:rFonts w:ascii="Arial" w:cs="Arial" w:eastAsia="Arial" w:hAnsi="Arial"/>
          <w:sz w:val="17"/>
          <w:szCs w:val="17"/>
          <w:i w:val="1"/>
          <w:iCs w:val="1"/>
          <w:color w:val="000000"/>
        </w:rPr>
        <w:t>We have in the past and may choose in the future, or we may be</w:t>
      </w:r>
      <w:r>
        <w:rPr>
          <w:rFonts w:ascii="Arial" w:cs="Arial" w:eastAsia="Arial" w:hAnsi="Arial"/>
          <w:sz w:val="17"/>
          <w:szCs w:val="17"/>
          <w:color w:val="000000"/>
        </w:rPr>
        <w:t xml:space="preserve"> </w:t>
      </w:r>
      <w:r>
        <w:rPr>
          <w:rFonts w:ascii="Arial" w:cs="Arial" w:eastAsia="Arial" w:hAnsi="Arial"/>
          <w:sz w:val="17"/>
          <w:szCs w:val="17"/>
          <w:i w:val="1"/>
          <w:iCs w:val="1"/>
          <w:color w:val="000000"/>
        </w:rPr>
        <w:t xml:space="preserve">compelled, to undertake product recalls or take other actions, which could adversely affect our business, prospects, results of operations, reputation and financial condition.” </w:t>
      </w:r>
      <w:r>
        <w:rPr>
          <w:rFonts w:ascii="Arial" w:cs="Arial" w:eastAsia="Arial" w:hAnsi="Arial"/>
          <w:sz w:val="17"/>
          <w:szCs w:val="17"/>
          <w:color w:val="231F20"/>
        </w:rPr>
        <w:t>As a new entrant to the industry attempting to build customer relationships and earn trust, these effects could be significantly</w:t>
      </w:r>
      <w:r>
        <w:rPr>
          <w:rFonts w:ascii="Arial" w:cs="Arial" w:eastAsia="Arial" w:hAnsi="Arial"/>
          <w:sz w:val="17"/>
          <w:szCs w:val="17"/>
          <w:i w:val="1"/>
          <w:iCs w:val="1"/>
          <w:color w:val="000000"/>
        </w:rPr>
        <w:t xml:space="preserve"> </w:t>
      </w:r>
      <w:r>
        <w:rPr>
          <w:rFonts w:ascii="Arial" w:cs="Arial" w:eastAsia="Arial" w:hAnsi="Arial"/>
          <w:sz w:val="17"/>
          <w:szCs w:val="17"/>
          <w:color w:val="231F20"/>
        </w:rPr>
        <w:t>detrimental to us. Additionally, problems and defects experienced by other electric consumer vehicles could by association have a negative impact on perception and customer demand for our vehicles.</w:t>
      </w:r>
    </w:p>
    <w:p>
      <w:pPr>
        <w:spacing w:after="0" w:line="178"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color w:val="231F20"/>
        </w:rPr>
        <w:t>In addition, even if our vehicles function as designed, we expect that the battery efficiency, and hence the range, of our electric vehicles, like other electric vehicles that use current battery technology, will decline over time. Other factors, such as usage, time and stress patterns, may also impact the battery’s ability to hold a charge, or could require us to limit vehicles’ battery charging capacity, including via over-the-air or other software updates, for safety reasons or to protect battery capacity, which could further decrease our vehicles’ range between charges. Such decreases in or limitations of battery capacity and therefore range, whether imposed by deterioration, software limitations or otherwise, could also lead to consumer complaints or warranty claims, including claims that prior knowledge of such decreases or limitations would have affected consumers’ purchasing decisions. Further, there can be no assurance that we will be able to improve the performance of our battery packs, or increase our vehicles’ range, in the future. Any such battery deterioration or capacity limitations and related decreases in range may negatively influence potential customers’ willingness to purchase our vehicles and negatively impact our brand and reputation, which could adversely affect our business, prospects, results of operations and financial condition.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We face challenges providing charging solutions for our vehicles.</w:t>
      </w:r>
    </w:p>
    <w:p>
      <w:pPr>
        <w:spacing w:after="0" w:line="225"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231F20"/>
        </w:rPr>
        <w:t>Demand for our vehicles will depend in part on the availability of charging infrastructure both domestically and internationally. While the prevalence of charging stations has been increasing, charging station locations are significantly less widespread than gas stations. Although we have partnered with Electrify America and may partner with other third-party electric vehicle charging providers to offer charging stations to our customers, the charging infrastructure available to our customers may be insufficient to meet their needs or expectations, especially in certain international markets. Some potential customers may choose not to purchase our vehicles because of the lack of more widespread charging infrastructure, and some potential customers may be conditioned to favor or expect proprietary charging solutions, such as Tesla’s Supercharger network. In addition, although the current U.S. presidential administration has proposed a plan to deploy 500,000 additional public charging stations across the United States by 2030, the deployment may not occur at planned levels, which could serve to limit the development of public charging infrastructure and increase the relative attractiveness to potential customers of a proprietary charging solution.</w:t>
      </w:r>
    </w:p>
    <w:p>
      <w:pPr>
        <w:spacing w:after="0" w:line="181" w:lineRule="exact"/>
        <w:rPr>
          <w:sz w:val="20"/>
          <w:szCs w:val="20"/>
          <w:color w:val="auto"/>
        </w:rPr>
      </w:pPr>
    </w:p>
    <w:p>
      <w:pPr>
        <w:spacing w:after="0" w:line="290" w:lineRule="auto"/>
        <w:rPr>
          <w:sz w:val="20"/>
          <w:szCs w:val="20"/>
          <w:color w:val="auto"/>
        </w:rPr>
      </w:pPr>
      <w:r>
        <w:rPr>
          <w:rFonts w:ascii="Arial" w:cs="Arial" w:eastAsia="Arial" w:hAnsi="Arial"/>
          <w:sz w:val="16"/>
          <w:szCs w:val="16"/>
          <w:color w:val="231F20"/>
        </w:rPr>
        <w:t>If we were to pursue development of a proprietary charging solution, we would face significant challenges and barriers, including successfully navigating the complex logistics of rolling out a network and teams in appropriate areas, resolving issues related to inadequate capacity or overcapacity in certain areas, addressing security risks and risks of damage to vehicles, securing agreements with third-party providers to roll out and support a network of charging solutions in appropriate areas, obtaining any required permits and land use rights and filings, and providing sufficient financial resources to successfully roll out the proprietary charging solution, which could require diverting such resources from our other important business initiatives. In addition, our limited experience in providing charging solutions could contribute to additional unanticipated challenges that would hinder our ability to provide such solutions or make the provision of such solutions costlier than anticipated. To the extent we are unable to meet user expectations or experience difficulties in providing charging solutions, demand for our vehicles may suffer, and our reputation and business may be materially and adversely affected.</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41" w:name="page42"/>
    <w:bookmarkEnd w:id="41"/>
    <w:p>
      <w:pPr>
        <w:ind w:right="20"/>
        <w:spacing w:after="0" w:line="308" w:lineRule="auto"/>
        <w:rPr>
          <w:sz w:val="20"/>
          <w:szCs w:val="20"/>
          <w:color w:val="auto"/>
        </w:rPr>
      </w:pPr>
      <w:r>
        <w:rPr>
          <w:rFonts w:ascii="Arial" w:cs="Arial" w:eastAsia="Arial" w:hAnsi="Arial"/>
          <w:sz w:val="17"/>
          <w:szCs w:val="17"/>
          <w:b w:val="1"/>
          <w:bCs w:val="1"/>
          <w:i w:val="1"/>
          <w:iCs w:val="1"/>
          <w:color w:val="231F20"/>
        </w:rPr>
        <w:t>We have limited experience servicing our vehicles and their integrated software. If we or our partners are unable to adequately service our vehicles, our business, prospects, financial condition and results of operations may be materially and adversely affected.</w:t>
      </w:r>
    </w:p>
    <w:p>
      <w:pPr>
        <w:spacing w:after="0" w:line="146" w:lineRule="exact"/>
        <w:rPr>
          <w:sz w:val="20"/>
          <w:szCs w:val="20"/>
          <w:color w:val="auto"/>
        </w:rPr>
      </w:pPr>
    </w:p>
    <w:p>
      <w:pPr>
        <w:spacing w:after="0" w:line="268" w:lineRule="auto"/>
        <w:rPr>
          <w:sz w:val="20"/>
          <w:szCs w:val="20"/>
          <w:color w:val="auto"/>
        </w:rPr>
      </w:pPr>
      <w:r>
        <w:rPr>
          <w:rFonts w:ascii="Arial" w:cs="Arial" w:eastAsia="Arial" w:hAnsi="Arial"/>
          <w:sz w:val="17"/>
          <w:szCs w:val="17"/>
          <w:color w:val="231F20"/>
        </w:rPr>
        <w:t>We have limited experience servicing or repairing our vehicles and their integrated software. Servicing electric vehicles is different than servicing vehicles with internal combustion engines and requires specialized skills, including high voltage training and servicing techniques. Furthermore, some vehicle repairs may be done via over-the-air software updates, which poses additional risks to the vehicles’ software if any issues arise during an update. In addition, we plan to partner with certain third parties to perform some of the service on our vehicles, and there can be no assurance that we will be able to enter into acceptable arrangements with any such third-party providers or develop and implement the necessary information technology infrastructure to support them. Further, although such servicing partners may have experience in servicing other electric vehicles, they will initially have no experience in servicing our vehicles. We also have a limited network of locations to perform service and will also rely upon mobile service vans with Lucid technicians to provide service to customers. There can be no assurance that our service arrangements will adequately address the service requirements of our customers to their satisfaction, or that we and our servicing partners will have sufficient resources, experience or inventory to meet these service requirements in a timely manner as the volume of vehicles we deliver increases. This risk is enhanced by our limited operating history and our limited data regarding our vehicles’ real-world reliability and service requirements. In addition, if we are unable to roll out and establish a widespread service network that provides satisfactory customer service, our customer loyalty, brand and reputation could be adversely affected, which in turn could materially and adversely affect our sales, results of operations, prospects and financial condition.</w:t>
      </w:r>
    </w:p>
    <w:p>
      <w:pPr>
        <w:spacing w:after="0" w:line="186"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231F20"/>
        </w:rPr>
        <w:t>Further, the motor vehicle industry laws in some states require that service facilities be available to service vehicles physically sold from locations in the state. In addition, the motor vehicle franchise laws in some states may preclude us from providing direct warranty service to consumers in that state. While we anticipate developing a service program that would satisfy regulatory requirements in these circumstances, the specifics of our service program are still being refined, and at some point may need to be restructured to comply with state law, which may impact our business, financial condition, results of operations and prospects.</w:t>
      </w:r>
    </w:p>
    <w:p>
      <w:pPr>
        <w:spacing w:after="0" w:line="188"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231F20"/>
        </w:rPr>
        <w:t>Our customers will also depend on our customer support team to resolve technical and operational issues relating to the integrated software underlying our vehicles, a large portion of which we have developed in-house. As we grow, additional pressure may be placed on our customer support team or partners, and we may be unable to respond quickly enough to accommodate short-term increases in customer demand for technical support or service. We also may be unable to modify the future scope and delivery of our technical support to compete with changes in the technical support provided by our competitors. Increased customer demand for support, without corresponding revenue, could increase costs and negatively affect our results of operations. If we are unable to successfully address the service requirements of our customers, or if we establish a market perception that we do not maintain high-quality support, our brand and reputation could be adversely affected, and we may be subject to claims from our customers, which could result in loss of revenue or damages, and our business, results of operations, prospects and financial condition could be materially and adversely affected.</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42" w:name="page43"/>
    <w:bookmarkEnd w:id="42"/>
    <w:p>
      <w:pPr>
        <w:ind w:right="680"/>
        <w:spacing w:after="0" w:line="342" w:lineRule="auto"/>
        <w:rPr>
          <w:sz w:val="20"/>
          <w:szCs w:val="20"/>
          <w:color w:val="auto"/>
        </w:rPr>
      </w:pPr>
      <w:r>
        <w:rPr>
          <w:rFonts w:ascii="Arial" w:cs="Arial" w:eastAsia="Arial" w:hAnsi="Arial"/>
          <w:sz w:val="16"/>
          <w:szCs w:val="16"/>
          <w:b w:val="1"/>
          <w:bCs w:val="1"/>
          <w:i w:val="1"/>
          <w:iCs w:val="1"/>
          <w:color w:val="231F20"/>
        </w:rPr>
        <w:t>Insufficient reserves to cover future warranty or part replacement needs or other vehicle repair requirements, including any potential software upgrades, could materially adversely affect our business, prospects, financial condition and results of operations.</w:t>
      </w:r>
    </w:p>
    <w:p>
      <w:pPr>
        <w:spacing w:after="0" w:line="124"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231F20"/>
        </w:rPr>
        <w:t>We provide a new vehicle limited warranty on all vehicles and powertrain components and systems we sell. We will need to maintain reserves to cover part replacement and other vehicle repair needs, including any potential software upgrades or warranty claims. In addition, we expect to provide a manufacturer’s warranty on any future products, including energy storage systems we sell and may provide additional warranties on installation workmanship or performance guarantees. Warranty reserves will include our management team’s best estimate of the projected costs to repair or to replace items under warranty. Such estimates are inherently uncertain, particularly in light of our limited operating history and the limited field data available to us, and changes to such estimates based on real-world observations may cause material changes to our warranty reserves in the future. If our reserves are inadequate to cover future maintenance requirements on our vehicles, our business, prospects, financial condition and results of operations could be materially and adversely affected. We may become subject to significant and unexpected expenses as well as claims from our customers, including loss of revenue or damages. There can be no assurances that then-existing reserves will be sufficient to cover all claims. In addition, if future laws or regulations impose additional warranty obligations on us that go beyond our manufacturer’s warranty, we may be exposed to materially higher warranty, parts replacement and repair expenses than we expect, and our reserves may be insufficient to cover such expenses.</w:t>
      </w:r>
    </w:p>
    <w:p>
      <w:pPr>
        <w:spacing w:after="0" w:line="172"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b w:val="1"/>
          <w:bCs w:val="1"/>
          <w:i w:val="1"/>
          <w:iCs w:val="1"/>
          <w:color w:val="231F20"/>
        </w:rPr>
        <w:t>We may not be able to accurately estimate the supply and demand for our vehicles, which could result in a variety of inefficiencies in our business and hinder our ability to generate revenue. If we fail to accurately predict our manufacturing requirements, we could incur additional costs or experience delays.</w:t>
      </w:r>
    </w:p>
    <w:p>
      <w:pPr>
        <w:spacing w:after="0" w:line="184"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231F20"/>
        </w:rPr>
        <w:t>It is difficult to predict our future revenues and appropriately budget for our expenses, and we have limited insight into trends that may emerge and affect our business. We will be required to provide forecasts of our demand to our suppliers several months prior to the scheduled delivery of vehicles to our prospective customers. Currently, there is limited historical basis for making judgments about the demand for our vehicles or our ability to develop, manufacture, and deliver vehicles, or our profitability in the future. If we overestimate our requirements, our suppliers may have excess inventory, which indirectly would increase our costs. If we underestimate our requirements, our suppliers may have inadequate inventory, which could interrupt manufacturing of our products and result in delays in shipments and revenues. In addition, lead times for materials and components that our suppliers order may vary significantly and depend on factors such as the specific supplier, contract terms and demand for each component at a given time. If we fail to order sufficient quantities of product components in a timely manner or fail to establish the delivery processes and infrastructure to make deliveries, the delivery of vehicles to our customers could be delayed, which would harm our business, financial condition and results of operations.</w:t>
      </w:r>
    </w:p>
    <w:p>
      <w:pPr>
        <w:spacing w:after="0" w:line="19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231F20"/>
        </w:rPr>
        <w:t>Our facilities or operations could be adversely affected by events outside of our control, such as natural disasters, wars, health epidemics or pandemics, or security incidents.</w:t>
      </w:r>
    </w:p>
    <w:p>
      <w:pPr>
        <w:spacing w:after="0" w:line="197" w:lineRule="exact"/>
        <w:rPr>
          <w:sz w:val="20"/>
          <w:szCs w:val="20"/>
          <w:color w:val="auto"/>
        </w:rPr>
      </w:pPr>
    </w:p>
    <w:p>
      <w:pPr>
        <w:spacing w:after="0" w:line="285" w:lineRule="auto"/>
        <w:rPr>
          <w:sz w:val="20"/>
          <w:szCs w:val="20"/>
          <w:color w:val="auto"/>
        </w:rPr>
      </w:pPr>
      <w:r>
        <w:rPr>
          <w:rFonts w:ascii="Arial" w:cs="Arial" w:eastAsia="Arial" w:hAnsi="Arial"/>
          <w:sz w:val="16"/>
          <w:szCs w:val="16"/>
          <w:color w:val="231F20"/>
        </w:rPr>
        <w:t xml:space="preserve">We and our suppliers may be impacted by weather events, natural disasters, wars, health epidemics or pandemics, security incidents or other events outside of our control. For example, our corporate headquarters are located in seismically active regions in Northern California, and our manufacturing facilities in Arizona and Saudi Arabia are located in sandstorm-, flood- and/or tornado-prone areas. If major disasters such as earthquakes, wildfires, floods, tornadoes or other events occur, or our information technology systems or communication networks break down or operate improperly, our headquarters and manufacturing facilities may be seriously damaged, or we may have to stop or delay production and shipment of our products. In addition, the COVID-19 pandemic has impacted economic markets, manufacturing operations, supply chains, employment and consumer behavior in nearly every geographic region and industry across the world, and we have been, and may in the future be, adversely affected as a result. Furthermore, we could be impacted by physical security incidents at our facilities, which could result in significant damage to such facilities that could require us to delay or discontinue production of our vehicles. In addition, we have established a foreign trade zone with respect to certain of our facilities in Casa Grande, Arizona. To the extent any such physical security incidents are determined to result from insufficient security measures, we could face the risk of loss of our foreign trade zone approval, as well as financial penalties or fines, which could increase the cost of our duties and tariffs. See “— Risks Related to Litigation and Regulation — </w:t>
      </w:r>
      <w:r>
        <w:rPr>
          <w:rFonts w:ascii="Arial" w:cs="Arial" w:eastAsia="Arial" w:hAnsi="Arial"/>
          <w:sz w:val="16"/>
          <w:szCs w:val="16"/>
          <w:i w:val="1"/>
          <w:iCs w:val="1"/>
          <w:color w:val="231F20"/>
        </w:rPr>
        <w:t>A failure to properly comply with foreign trade zone laws and regulations could increase the cost of our duties and tariffs.</w:t>
      </w:r>
      <w:r>
        <w:rPr>
          <w:rFonts w:ascii="Arial" w:cs="Arial" w:eastAsia="Arial" w:hAnsi="Arial"/>
          <w:sz w:val="16"/>
          <w:szCs w:val="16"/>
          <w:color w:val="231F20"/>
        </w:rPr>
        <w:t xml:space="preserve">” </w:t>
      </w:r>
      <w:r>
        <w:rPr>
          <w:rFonts w:ascii="Arial" w:cs="Arial" w:eastAsia="Arial" w:hAnsi="Arial"/>
          <w:sz w:val="16"/>
          <w:szCs w:val="16"/>
          <w:color w:val="000000"/>
        </w:rPr>
        <w:t>In addition, the</w:t>
      </w:r>
      <w:r>
        <w:rPr>
          <w:rFonts w:ascii="Arial" w:cs="Arial" w:eastAsia="Arial" w:hAnsi="Arial"/>
          <w:sz w:val="16"/>
          <w:szCs w:val="16"/>
          <w:color w:val="231F20"/>
        </w:rPr>
        <w:t xml:space="preserve"> </w:t>
      </w:r>
      <w:r>
        <w:rPr>
          <w:rFonts w:ascii="Arial" w:cs="Arial" w:eastAsia="Arial" w:hAnsi="Arial"/>
          <w:sz w:val="16"/>
          <w:szCs w:val="16"/>
          <w:color w:val="000000"/>
        </w:rPr>
        <w:t xml:space="preserve">military invasion of Ukraine by Russia and the sanctions against Russia resulting from such conflict is expected to delay the installation and production readiness of certain general assembly equipment for our Phase 2 expansion of AMP-1, may increase the likelihood of supply chain interruptions and may impair our ability to compete in current or future markets, or otherwise subject us to potential liability. See “—Risks Related to Manufacturing and Supply Chain — </w:t>
      </w:r>
      <w:r>
        <w:rPr>
          <w:rFonts w:ascii="Arial" w:cs="Arial" w:eastAsia="Arial" w:hAnsi="Arial"/>
          <w:sz w:val="16"/>
          <w:szCs w:val="16"/>
          <w:i w:val="1"/>
          <w:iCs w:val="1"/>
          <w:color w:val="000000"/>
        </w:rPr>
        <w:t>if we fail to successfully tool our manufacturing facilities or if our manufacturing facilities become inoperable, we will be unable to produce our</w:t>
      </w:r>
      <w:r>
        <w:rPr>
          <w:rFonts w:ascii="Arial" w:cs="Arial" w:eastAsia="Arial" w:hAnsi="Arial"/>
          <w:sz w:val="16"/>
          <w:szCs w:val="16"/>
          <w:color w:val="000000"/>
        </w:rPr>
        <w:t xml:space="preserve"> </w:t>
      </w:r>
      <w:r>
        <w:rPr>
          <w:rFonts w:ascii="Arial" w:cs="Arial" w:eastAsia="Arial" w:hAnsi="Arial"/>
          <w:sz w:val="16"/>
          <w:szCs w:val="16"/>
          <w:i w:val="1"/>
          <w:iCs w:val="1"/>
          <w:color w:val="000000"/>
        </w:rPr>
        <w:t xml:space="preserve">vehicles and our business will be harmed.” </w:t>
      </w:r>
      <w:r>
        <w:rPr>
          <w:rFonts w:ascii="Arial" w:cs="Arial" w:eastAsia="Arial" w:hAnsi="Arial"/>
          <w:sz w:val="16"/>
          <w:szCs w:val="16"/>
          <w:color w:val="000000"/>
        </w:rPr>
        <w:t>and “— Risks Related to Litigation and Regulation —</w:t>
      </w:r>
      <w:r>
        <w:rPr>
          <w:rFonts w:ascii="Arial" w:cs="Arial" w:eastAsia="Arial" w:hAnsi="Arial"/>
          <w:sz w:val="16"/>
          <w:szCs w:val="16"/>
          <w:i w:val="1"/>
          <w:iCs w:val="1"/>
          <w:color w:val="000000"/>
        </w:rPr>
        <w:t xml:space="preserve"> Changes in U.S. trade policy, including the imposition of tariffs or revocation of normal trade relations and the resulting consequences, could adversely affect our business, prospects, results of operations and financial condition</w:t>
      </w:r>
      <w:r>
        <w:rPr>
          <w:rFonts w:ascii="Arial" w:cs="Arial" w:eastAsia="Arial" w:hAnsi="Arial"/>
          <w:sz w:val="16"/>
          <w:szCs w:val="16"/>
          <w:color w:val="000000"/>
        </w:rPr>
        <w:t>.”</w:t>
      </w:r>
      <w:r>
        <w:rPr>
          <w:rFonts w:ascii="Arial" w:cs="Arial" w:eastAsia="Arial" w:hAnsi="Arial"/>
          <w:sz w:val="16"/>
          <w:szCs w:val="16"/>
          <w:i w:val="1"/>
          <w:iCs w:val="1"/>
          <w:color w:val="000000"/>
        </w:rPr>
        <w:t xml:space="preserve"> </w:t>
      </w:r>
      <w:r>
        <w:rPr>
          <w:rFonts w:ascii="Arial" w:cs="Arial" w:eastAsia="Arial" w:hAnsi="Arial"/>
          <w:sz w:val="16"/>
          <w:szCs w:val="16"/>
          <w:color w:val="231F20"/>
        </w:rPr>
        <w:t>We may incur significant expenses or delays relating to such events outside of our control, which could have a material adverse</w:t>
      </w:r>
      <w:r>
        <w:rPr>
          <w:rFonts w:ascii="Arial" w:cs="Arial" w:eastAsia="Arial" w:hAnsi="Arial"/>
          <w:sz w:val="16"/>
          <w:szCs w:val="16"/>
          <w:i w:val="1"/>
          <w:iCs w:val="1"/>
          <w:color w:val="000000"/>
        </w:rPr>
        <w:t xml:space="preserve"> </w:t>
      </w:r>
      <w:r>
        <w:rPr>
          <w:rFonts w:ascii="Arial" w:cs="Arial" w:eastAsia="Arial" w:hAnsi="Arial"/>
          <w:sz w:val="16"/>
          <w:szCs w:val="16"/>
          <w:color w:val="231F20"/>
        </w:rPr>
        <w:t>impact on our business, results of operations and financial condition.</w:t>
      </w: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9" w:right="35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i w:val="1"/>
          <w:iCs w:val="1"/>
          <w:color w:val="231F20"/>
        </w:rPr>
        <w:t>Our vehicles make use of lithium-ion battery cells, which have been observed to catch fire or vent smoke and flame.</w:t>
      </w:r>
    </w:p>
    <w:p>
      <w:pPr>
        <w:spacing w:after="0" w:line="225"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231F20"/>
        </w:rPr>
        <w:t>The battery packs within our vehicles make use of, and any future energy storage systems will make use of lithium-ion cells. On rare occasions, lithium-ion cells can rapidly release the energy they contain by venting smoke and flames in a manner that can ignite nearby materials as well as other lithium-ion cells. While we have designed our battery packs to passively contain a single cell’s release of energy without spreading to neighboring cells, a field or testing failure of our vehicles or other battery packs that we produce could occur. In addition, although we equip our vehicles with systems designed to detect and warn vehicle occupants of such thermal events, there can be no assurance that such systems will function as designed or will provide vehicle occupants with sufficient, or any, warning in all crashes. Any such events or failures of our vehicles, battery packs or warning systems could subject us to lawsuits, product recalls, or redesign efforts, all of which would be time consuming and expensive. Also, negative public perceptions regarding the suitability of lithium-ion battery cells for automotive applications, disposal and recycling of lithium-ion battery cells, or any future incident involving lithium-ion battery cells, such as a vehicle or other fire, even if such incident does not involve our vehicles, could seriously harm our business and reputation.</w:t>
      </w:r>
    </w:p>
    <w:p>
      <w:pPr>
        <w:spacing w:after="0" w:line="194"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231F20"/>
        </w:rPr>
        <w:t>In addition, as we expand our service network, increase our recycling practices and scale the manufacturing of our vehicles and any future energy storage products, we will need to store lithium-ion battery cells at our facilities and we have, and may in the future, experience thermal events. Any mishandling of battery cells or safety issue or fire related to the cells could disrupt our operations. Such damage or injury could also lead to adverse publicity and potentially a safety recall. In addition, the transportation and effective storage of lithium-ion batteries is also tightly regulated by the U.S. Department of Transportation and other regulatory bodies, and any failure to comply with such regulation could result in fines, loss of permits and licenses or other regulatory consequences, which could limit our ability to manufacture and deliver our vehicles and negatively affect our results of operations and financial condition. Moreover, any failure of a competitor’s electric vehicle or energy storage product may cause indirect adverse publicity for us and our products. Such adverse publicity could negatively affect our brand and harm our business, prospects, results of operations and financial condition.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Risks Related to Cybersecurity and Data Privacy</w:t>
      </w:r>
    </w:p>
    <w:p>
      <w:pPr>
        <w:spacing w:after="0" w:line="229"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b w:val="1"/>
          <w:bCs w:val="1"/>
          <w:i w:val="1"/>
          <w:iCs w:val="1"/>
          <w:color w:val="231F20"/>
        </w:rPr>
        <w:t>Any unauthorized control, manipulation, interruption or compromise of or access to our products or information technology systems could result in loss of confidence in us and our products, harm our business and materially adversely affect our financial performance, results of operations or prospects.</w:t>
      </w:r>
    </w:p>
    <w:p>
      <w:pPr>
        <w:spacing w:after="0" w:line="18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231F20"/>
        </w:rPr>
        <w:t>Our products contain complex information technology systems. For example, our vehicles are designed with built-in data connectivity to accept and install periodic remote updates to improve their functionality.</w:t>
      </w:r>
    </w:p>
    <w:p>
      <w:pPr>
        <w:spacing w:after="0" w:line="170" w:lineRule="exact"/>
        <w:rPr>
          <w:sz w:val="20"/>
          <w:szCs w:val="20"/>
          <w:color w:val="auto"/>
        </w:rPr>
      </w:pPr>
    </w:p>
    <w:p>
      <w:pPr>
        <w:ind w:right="220"/>
        <w:spacing w:after="0" w:line="291" w:lineRule="auto"/>
        <w:rPr>
          <w:sz w:val="20"/>
          <w:szCs w:val="20"/>
          <w:color w:val="auto"/>
        </w:rPr>
      </w:pPr>
      <w:r>
        <w:rPr>
          <w:rFonts w:ascii="Arial" w:cs="Arial" w:eastAsia="Arial" w:hAnsi="Arial"/>
          <w:sz w:val="16"/>
          <w:szCs w:val="16"/>
          <w:color w:val="231F20"/>
        </w:rPr>
        <w:t>In addition, we collect, store, transmit and otherwise process data from vehicles, customers, employees and other third parties as part of our business operations, which may include personal data or confidential or proprietary information. We also work with third-party service providers and vendors that collect, store and process such data on our behalf. We have taken certain measures to prevent unauthorized access to our information technology systems and information (including personal data) and plan to continue to deploy additional measures as we grow. Our third-party service providers and vendors also take steps to protect the security and integrity of our and their information technology systems and our and their customers’ information. However, there can be no assurance that such systems and measures will not be compromised, including as a result of intentional misconduct by employees, contractors, or vendors, as well as a result of software bugs, human error, or technical malfunctions.</w:t>
      </w:r>
    </w:p>
    <w:p>
      <w:pPr>
        <w:spacing w:after="0" w:line="166" w:lineRule="exact"/>
        <w:rPr>
          <w:sz w:val="20"/>
          <w:szCs w:val="20"/>
          <w:color w:val="auto"/>
        </w:rPr>
      </w:pPr>
    </w:p>
    <w:p>
      <w:pPr>
        <w:spacing w:after="0" w:line="285" w:lineRule="auto"/>
        <w:rPr>
          <w:sz w:val="20"/>
          <w:szCs w:val="20"/>
          <w:color w:val="auto"/>
        </w:rPr>
      </w:pPr>
      <w:r>
        <w:rPr>
          <w:rFonts w:ascii="Arial" w:cs="Arial" w:eastAsia="Arial" w:hAnsi="Arial"/>
          <w:sz w:val="16"/>
          <w:szCs w:val="16"/>
          <w:color w:val="231F20"/>
        </w:rPr>
        <w:t>Furthermore, cyber threat actors may in the future attempt to gain unauthorized access to, modify, alter and/or use our vehicles, products and systems to (i) gain control of, (ii) change the functionality, user interface and performance characteristics of and/or (iii) gain access to data stored in or generated by, our vehicles, products and systems. Advances in technology, new vulnerability discoveries, an increased level of sophistication and diversity of our products and services, an increased level of expertise of cyber threat actors and new discoveries in the field of cryptography could lead to a compromise or breach of the measures that we or our third-party service providers use. Some of our products and information technology systems contain or use open source software, which can create additional risks, including potential security vulnerabilities. We and our third-party service providers’ systems have in the past and may in the future be affected by security incidents. Our systems are also vulnerable to damage or interruption from, among other things, computer viruses, malware, ransomware, killware, wiperware, computer denial or degradation of service attacks, telecommunications failures, social engineering schemes (such as vishing, phishing or smishing), domain name spoofing, insider theft, physical theft, fire, terrorist attacks, natural disasters, power loss, war, or misuse, mistake or other attempts to harm our vehicles, products and systems. Our data center and our third-party service providers’ or vendors’ data centers could be subject to break-ins, sabotage and intentional acts of vandalism causing potential disruptions. We may also be subject to certain laws and regulations, such as “Right to Repair” laws, that could require us to provide third-party access to certain vehicle and vehicle-connected systems. Some of our systems will not be fully redundant, and our disaster recovery planning cannot account for all eventualities. Any problems at our or our third-party service providers’ or vendors’ data centers and/or cloud infrastructure could result in lengthy interruptions in our service and our business operations. There can be no assurance that any security or other operational measures that we or our third-party service providers or vendors have implemented will be effective against any of the foregoing threats or issues.</w:t>
      </w: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44" w:name="page45"/>
    <w:bookmarkEnd w:id="44"/>
    <w:p>
      <w:pPr>
        <w:ind w:right="60"/>
        <w:spacing w:after="0" w:line="291" w:lineRule="auto"/>
        <w:rPr>
          <w:sz w:val="20"/>
          <w:szCs w:val="20"/>
          <w:color w:val="auto"/>
        </w:rPr>
      </w:pPr>
      <w:r>
        <w:rPr>
          <w:rFonts w:ascii="Arial" w:cs="Arial" w:eastAsia="Arial" w:hAnsi="Arial"/>
          <w:sz w:val="16"/>
          <w:szCs w:val="16"/>
          <w:color w:val="auto"/>
        </w:rPr>
        <w:t>These risks have been heightened in connection with the ongoing conflict between Russia and Ukraine and we cannot be certain how this new risk landscape will impact our operations. When geopolitical conflicts develop, government systems as well as critical infrastructures such as financial services and utilities may be targeted by state-sponsored cyberattacks even if they are not directly involved in the conflict. There can be no assurance that our business will not become a potential target as adversaries may attack networks and systems indiscriminately. Such cyberattacks may potentially cause unauthorized access to our sensitive data (including personal data or our proprietary software code), products, and systems, resulting in a data breach, or disruption, modification or destruction to our systems and applications. As a result, we may suffer monetary losses, business interruption, and long-lasting operational issues, damage to our reputation and brand or loss of our intellectual property (including trade secrets).</w:t>
      </w:r>
    </w:p>
    <w:p>
      <w:pPr>
        <w:spacing w:after="0" w:line="166" w:lineRule="exact"/>
        <w:rPr>
          <w:sz w:val="20"/>
          <w:szCs w:val="20"/>
          <w:color w:val="auto"/>
        </w:rPr>
      </w:pPr>
    </w:p>
    <w:p>
      <w:pPr>
        <w:spacing w:after="0" w:line="285" w:lineRule="auto"/>
        <w:rPr>
          <w:sz w:val="20"/>
          <w:szCs w:val="20"/>
          <w:color w:val="auto"/>
        </w:rPr>
      </w:pPr>
      <w:r>
        <w:rPr>
          <w:rFonts w:ascii="Arial" w:cs="Arial" w:eastAsia="Arial" w:hAnsi="Arial"/>
          <w:sz w:val="16"/>
          <w:szCs w:val="16"/>
          <w:color w:val="231F20"/>
        </w:rPr>
        <w:t>If we are unable to protect our products and systems (and the information stored in our systems) from unauthorized access, use, disclosure, disruption, modification, destruction or other breach, such problems or security breaches could have negative consequences for our business and future prospects, including compromise of vehicle integrity and physical safety, causing monetary losses, giving rise to liabilities under our contracts or to the owners of the applicable information, subjecting us to substantial fines, penalties, damages and other liabilities under applicable laws and regulations, incurring substantial costs to respond to, investigate and remedy such incidents, reducing customer demand for our products, harming our reputation and brand and compromising or leading to a loss of protection of our intellectual property (including trade secrets). In addition, regardless of their veracity, reports of unauthorized access to our vehicles, systems or data, as well as other factors that may result in the perception that our vehicles, systems or data are vulnerable to being “hacked,” could negatively affect our brand. Some entities within the U.S. federal government, including certain Members of Congress and the National Highway Traffic Safety Administration (“NHTSA”)</w:t>
      </w:r>
      <w:r>
        <w:rPr>
          <w:rFonts w:ascii="Arial" w:cs="Arial" w:eastAsia="Arial" w:hAnsi="Arial"/>
          <w:sz w:val="16"/>
          <w:szCs w:val="16"/>
          <w:i w:val="1"/>
          <w:iCs w:val="1"/>
          <w:color w:val="231F20"/>
        </w:rPr>
        <w:t>,</w:t>
      </w:r>
      <w:r>
        <w:rPr>
          <w:rFonts w:ascii="Arial" w:cs="Arial" w:eastAsia="Arial" w:hAnsi="Arial"/>
          <w:sz w:val="16"/>
          <w:szCs w:val="16"/>
          <w:color w:val="231F20"/>
        </w:rPr>
        <w:t xml:space="preserve"> have recently focused attention on automotive cybersecurity issues and may in the future propose or implement regulations specific to automotive cybersecurity. In addition, the United Nations Economic Commission for Europe (“UNECE”) has introduced new regulations governing connected vehicle cybersecurity, which became effective in January 2021 and apply in the European Union to all new vehicle types beginning in July 2022 and to all existing architectures/new vehicles from July 2024. Similar regulations are also in effect, or expected to come into effect, in certain other international jurisdictions. These and other regulations could adversely affect the timing of our entry into the European or other markets, and if such regulations or other future regulations are inconsistent with our approach to automotive cybersecurity, we would be required to modify our systems to comply with such regulations, which would impose additional costs and delays and could expose us to potential liability to the extent our automotive cybersecurity systems and practices are inconsistent with such regulation.</w:t>
      </w:r>
    </w:p>
    <w:p>
      <w:pPr>
        <w:spacing w:after="0" w:line="176" w:lineRule="exact"/>
        <w:rPr>
          <w:sz w:val="20"/>
          <w:szCs w:val="20"/>
          <w:color w:val="auto"/>
        </w:rPr>
      </w:pPr>
    </w:p>
    <w:p>
      <w:pPr>
        <w:jc w:val="both"/>
        <w:ind w:right="140"/>
        <w:spacing w:after="0" w:line="257" w:lineRule="auto"/>
        <w:rPr>
          <w:sz w:val="20"/>
          <w:szCs w:val="20"/>
          <w:color w:val="auto"/>
        </w:rPr>
      </w:pPr>
      <w:r>
        <w:rPr>
          <w:rFonts w:ascii="Arial" w:cs="Arial" w:eastAsia="Arial" w:hAnsi="Arial"/>
          <w:sz w:val="18"/>
          <w:szCs w:val="18"/>
          <w:color w:val="231F20"/>
        </w:rPr>
        <w:t>We may not have adequate insurance coverage to cover losses associated with any of the foregoing, if any. The costs of investing and remediating a large data breach, or the successful assertion of one or more large claims against us that exceeds our available insurance coverage, or results in changes to our insurance policies (including premium increases or the imposition of large deductible or co-insurance requirements), could have an adverse effect on our business. In addition, we cannot be sure that our existing insurance coverage will continue to be available on acceptable terms or that our insurers will not deny coverage as to any future claim.</w:t>
      </w:r>
    </w:p>
    <w:p>
      <w:pPr>
        <w:spacing w:after="0" w:line="188" w:lineRule="exact"/>
        <w:rPr>
          <w:sz w:val="20"/>
          <w:szCs w:val="20"/>
          <w:color w:val="auto"/>
        </w:rPr>
      </w:pPr>
    </w:p>
    <w:p>
      <w:pPr>
        <w:spacing w:after="0" w:line="286" w:lineRule="auto"/>
        <w:rPr>
          <w:sz w:val="20"/>
          <w:szCs w:val="20"/>
          <w:color w:val="auto"/>
        </w:rPr>
      </w:pPr>
      <w:r>
        <w:rPr>
          <w:rFonts w:ascii="Arial" w:cs="Arial" w:eastAsia="Arial" w:hAnsi="Arial"/>
          <w:sz w:val="16"/>
          <w:szCs w:val="16"/>
          <w:color w:val="231F20"/>
        </w:rPr>
        <w:t>Furthermore, we are continuously expanding and improving our information technology systems. In particular, our volume production of Lucid Air and planned future vehicles will necessitate continued development, maintenance and improvement of our information technology and communication systems in the United States and abroad, such as systems for product data management, vehicle management tools, vehicle security systems, vehicle security management processes, procurement of bill of material items, supply chain management, inventory management, production planning and execution, lean manufacturing, sales, service and logistics, dealer management, financial, tax and regulatory compliance systems. Our ability to operate our business will depend on the availability and effectiveness of these systems. The implementation, maintenance, segregation and improvement of these systems require significant management time, support and cost. Moreover, there are inherent risks associated with developing, improving and expanding our core systems as well as implementing new systems, including the disruption of our data management, procurement, manufacturing execution, finance, supply chain, inventory management, and sales and service processes. We cannot be certain that these systems or their required functionality will be effectively and timely developed, implemented, maintained or expanded as planned. If we are unsuccessful in any of the foregoing, our operations may be disrupted, our ability to accurately or timely report our financial results could be impaired, and deficiencies may arise in our internal control over financial reporting, which may impact our ability to certify our financial results. If these systems or their functionality do not operate as we expect them to, we may be required to expend significant resources to make corrections or find alternative sources for performing these functions. Any of the foregoing could materially adversely affect our business, prospects, results of operations and financial condition.</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9" w:right="359" w:bottom="1440" w:gutter="0" w:footer="0" w:header="0"/>
        </w:sectPr>
      </w:pPr>
    </w:p>
    <w:bookmarkStart w:id="45" w:name="page46"/>
    <w:bookmarkEnd w:id="45"/>
    <w:p>
      <w:pPr>
        <w:ind w:right="60"/>
        <w:spacing w:after="0" w:line="287" w:lineRule="auto"/>
        <w:rPr>
          <w:sz w:val="20"/>
          <w:szCs w:val="20"/>
          <w:color w:val="auto"/>
        </w:rPr>
      </w:pPr>
      <w:r>
        <w:rPr>
          <w:rFonts w:ascii="Arial" w:cs="Arial" w:eastAsia="Arial" w:hAnsi="Arial"/>
          <w:sz w:val="16"/>
          <w:szCs w:val="16"/>
          <w:color w:val="231F20"/>
        </w:rPr>
        <w:t>In addition, our vehicles depend on the ability of software and hardware to store, retrieve, process and manage immense amounts of data. Our software and hardware, including any over-the-air or other updates, may contain, errors, bugs, design defects or vulnerabilities, and our systems may be subject to technical limitations that may compromise our ability to meet our objectives. Some errors, bugs or vulnerabilities may reside in third-party intellectual property or open source software and/or be inherently difficult to detect and may only be discovered after code has been released for external or internal use. Although we will attempt to remedy any issues we observe in our vehicles as effectively and rapidly as possible, such efforts may not be timely, may hamper production or may not be to the satisfaction of our customers. Additionally, if we are able to deploy updates to the software addressing any issues but our over-the-air update procedures fail to properly update the software, our customers will then be responsible for working with our service personnel to install such updates to the software, and their vehicle will be subject to these vulnerabilities until they do so. Any compromise of our intellectual property, proprietary information, systems or vehicles or inability to prevent or effectively remedy errors, bugs, vulnerabilities or defects in our software and hardware may cause us to suffer lengthy interruptions to our ability to operate our business and our customers’ ability to operate their vehicles, compromise of vehicle integrity and physical safety, damage to our reputation, loss of customers, loss of revenue, governmental fines, investigations or litigation or liability for damages, any of which could materially adversely affect our business, results of operations, prospects and financial condition.</w:t>
      </w:r>
    </w:p>
    <w:p>
      <w:pPr>
        <w:spacing w:after="0" w:line="168" w:lineRule="exact"/>
        <w:rPr>
          <w:sz w:val="20"/>
          <w:szCs w:val="20"/>
          <w:color w:val="auto"/>
        </w:rPr>
      </w:pPr>
    </w:p>
    <w:p>
      <w:pPr>
        <w:ind w:right="380"/>
        <w:spacing w:after="0" w:line="263" w:lineRule="auto"/>
        <w:rPr>
          <w:sz w:val="20"/>
          <w:szCs w:val="20"/>
          <w:color w:val="auto"/>
        </w:rPr>
      </w:pPr>
      <w:r>
        <w:rPr>
          <w:rFonts w:ascii="Arial" w:cs="Arial" w:eastAsia="Arial" w:hAnsi="Arial"/>
          <w:sz w:val="18"/>
          <w:szCs w:val="18"/>
          <w:b w:val="1"/>
          <w:bCs w:val="1"/>
          <w:i w:val="1"/>
          <w:iCs w:val="1"/>
          <w:color w:val="231F20"/>
        </w:rPr>
        <w:t>We are subject to evolving laws, regulations, standards, policies, and contractual obligations related to data privacy and security, and any actual or perceived failure to comply with such obligations could harm our reputation and brand, subject us to significant fines and liability, or otherwise adversely affect our business.</w:t>
      </w:r>
    </w:p>
    <w:p>
      <w:pPr>
        <w:spacing w:after="0" w:line="184"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231F20"/>
        </w:rPr>
        <w:t>In the course of our operations, we collect, use, store, disclose, transfer and otherwise process personal information from our customers, employees and third parties with whom we conduct business, including names, accounts, driver license information, user IDs and passwords, and payment or transaction related information. Additionally, we use our vehicles’ electronic systems to log information about each vehicle’s use, such as charge time, battery usage, geolocation, mileage and driving behavior, in order to aid it in vehicle diagnostics, repair and maintenance, as well as to help us customize and improve the driving and riding experience.</w:t>
      </w:r>
    </w:p>
    <w:p>
      <w:pPr>
        <w:spacing w:after="0" w:line="188" w:lineRule="exact"/>
        <w:rPr>
          <w:sz w:val="20"/>
          <w:szCs w:val="20"/>
          <w:color w:val="auto"/>
        </w:rPr>
      </w:pPr>
    </w:p>
    <w:p>
      <w:pPr>
        <w:spacing w:after="0" w:line="286" w:lineRule="auto"/>
        <w:rPr>
          <w:sz w:val="20"/>
          <w:szCs w:val="20"/>
          <w:color w:val="auto"/>
        </w:rPr>
      </w:pPr>
      <w:r>
        <w:rPr>
          <w:rFonts w:ascii="Arial" w:cs="Arial" w:eastAsia="Arial" w:hAnsi="Arial"/>
          <w:sz w:val="16"/>
          <w:szCs w:val="16"/>
          <w:color w:val="231F20"/>
        </w:rPr>
        <w:t>Accordingly, we are subject to or affected by a number of federal, state, local and international laws and regulations, as well as contractual obligations and industry standards, that impose certain obligations and restrictions with respect to data privacy and security and govern our collection, storage, retention, protection, use, transmission, sharing, disclosure and other processing of personal information including that of our employees, customers and other third parties with whom we conduct business. These laws, regulations and standards may be interpreted and applied differently over time and from jurisdiction to jurisdiction, and it is possible that they will be interpreted and applied in ways that may have a material and adverse impact on our business, financial condition and results of operations. The global data protection landscape is rapidly evolving, and implementation standards and enforcement practices are likely to remain uncertain for the foreseeable future. We may not be able to monitor and react to all developments in a timely manner. For example, the European Union adopted the General Data Protection Regulation (“GDPR”)</w:t>
      </w:r>
      <w:r>
        <w:rPr>
          <w:rFonts w:ascii="Arial" w:cs="Arial" w:eastAsia="Arial" w:hAnsi="Arial"/>
          <w:sz w:val="16"/>
          <w:szCs w:val="16"/>
          <w:i w:val="1"/>
          <w:iCs w:val="1"/>
          <w:color w:val="231F20"/>
        </w:rPr>
        <w:t>,</w:t>
      </w:r>
      <w:r>
        <w:rPr>
          <w:rFonts w:ascii="Arial" w:cs="Arial" w:eastAsia="Arial" w:hAnsi="Arial"/>
          <w:sz w:val="16"/>
          <w:szCs w:val="16"/>
          <w:color w:val="231F20"/>
        </w:rPr>
        <w:t xml:space="preserve"> which became effective in May 2018, California adopted the California Consumer Privacy Act of 2018 (“CCPA”)</w:t>
      </w:r>
      <w:r>
        <w:rPr>
          <w:rFonts w:ascii="Arial" w:cs="Arial" w:eastAsia="Arial" w:hAnsi="Arial"/>
          <w:sz w:val="16"/>
          <w:szCs w:val="16"/>
          <w:i w:val="1"/>
          <w:iCs w:val="1"/>
          <w:color w:val="231F20"/>
        </w:rPr>
        <w:t>,</w:t>
      </w:r>
      <w:r>
        <w:rPr>
          <w:rFonts w:ascii="Arial" w:cs="Arial" w:eastAsia="Arial" w:hAnsi="Arial"/>
          <w:sz w:val="16"/>
          <w:szCs w:val="16"/>
          <w:color w:val="231F20"/>
        </w:rPr>
        <w:t xml:space="preserve"> which became effective in January 2020, Canada adopted the Personal Information Protection and Electronic Documents Act (“PIPEDA”) and continues to amend the statute, the United Arab Emirates adopted the Data Protection Law (“DPL”), which became effective in January 2022, and Saudi Arabia enacted the Personal Data Protection Law (“PDPL”) which is expected to take effect in 2023. Each of the GDPR, the CCPA, the PIPEDA, the DPL and the PDPL impose additional obligations on companies regarding the handling of personal data and provide certain individual privacy rights to persons whose data is collected. Compliance with existing, proposed and recently enacted laws and regulations (including implementation of the privacy and process enhancements called for under the GDPR, CCPA, PIPEDA, DPL and PDPL) can be costly, and any failure to comply with these regulatory standards could subject us to legal and reputational risks.</w:t>
      </w:r>
    </w:p>
    <w:p>
      <w:pPr>
        <w:spacing w:after="0" w:line="16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Specifically, failure to comply with the GDPR can result in significant fines and other liability, including, under the GDPR, fines of up to EUR 20 million or four percent (4%) of global revenue, whichever is greater. The cost of compliance, and the potential for fines and penalties for non-compliance, with GDPR may have a significant adverse effect on our business and operations. Legal developments in the European Economic Area (“EEA”), including rulings from the Court of Justice of the European Union and from various EU member state data protection authorities, have created complexity and uncertainty regarding transfers of personal data from the EEA to the United States and other so-called third countries outside the EEA. Similar complexities and uncertainties also apply to transfers from the United Kingdom to third countries. While we have taken steps to mitigate the impact on us, the efficacy and longevity of these mechanisms remains uncertain.</w:t>
      </w:r>
    </w:p>
    <w:p>
      <w:pPr>
        <w:spacing w:after="0" w:line="195"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231F20"/>
        </w:rPr>
        <w:t>At the state level, we are subject to law and regulations such as the CCPA. The CCPA establishes a privacy framework for covered businesses, including an expansive definition of personal information and data privacy rights for California residents. The CCPA includes a framework with potentially severe statutory damages for violations and a private right of action for certain data breaches. The CCPA requires covered businesses to provide California residents with certain privacy-related disclosures and rights related to their personal information. As we expand our operations, the CCPA may increase our compliance costs and potential liability. Some observers have noted that the CCPA marked the beginning of a trend toward more stringent privacy legislation in the United States. Additionally, effective in most material respects starting on January 1, 2023, the California Privacy Rights Act (“CPRA”), will significantly modify the CCPA, including by expanding California residents’ rights with respect to certain sensitive personal information. The CPRA also creates a new state agency, the California Privacy Protection Agency (“CPPA”), that will be vested with the authority to implement and enforce the CCPA (as modified by CPRA and any related regulations). The CPPA has published draft regulations under the CCPA and CPRA that, if enacted, would impose additional regulatory obligations on us.</w:t>
      </w:r>
    </w:p>
    <w:p>
      <w:pPr>
        <w:sectPr>
          <w:pgSz w:w="11900" w:h="16838" w:orient="portrait"/>
          <w:cols w:equalWidth="0" w:num="1">
            <w:col w:w="11240"/>
          </w:cols>
          <w:pgMar w:left="320" w:top="989" w:right="339" w:bottom="1440" w:gutter="0" w:footer="0" w:header="0"/>
        </w:sect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type w:val="continuous"/>
        </w:sectPr>
      </w:pPr>
    </w:p>
    <w:bookmarkStart w:id="46" w:name="page47"/>
    <w:bookmarkEnd w:id="46"/>
    <w:p>
      <w:pPr>
        <w:ind w:right="40"/>
        <w:spacing w:after="0" w:line="296" w:lineRule="auto"/>
        <w:rPr>
          <w:sz w:val="20"/>
          <w:szCs w:val="20"/>
          <w:color w:val="auto"/>
        </w:rPr>
      </w:pPr>
      <w:r>
        <w:rPr>
          <w:rFonts w:ascii="Arial" w:cs="Arial" w:eastAsia="Arial" w:hAnsi="Arial"/>
          <w:sz w:val="16"/>
          <w:szCs w:val="16"/>
          <w:color w:val="231F20"/>
        </w:rPr>
        <w:t>Other states, including Connecticut, Utah, Virginia, and Colorado, have enacted or are in the process of enacting, or considering similar laws. Compliance with these state statutes, other similar state or federal laws that may be enacted in the future, and other applicable privacy and data security laws and regulations is a rigorous and time-intensive process, and we may be required to put in place additional mechanisms to comply with such laws and regulations, which could cause us to incur substantial costs or require us to change our business practices, including our data practices, in a manner adverse to our business. Certain emerging privacy laws are still subject to a high degree of uncertainty as to their interpretation and application.</w:t>
      </w:r>
    </w:p>
    <w:p>
      <w:pPr>
        <w:spacing w:after="0" w:line="161"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231F20"/>
        </w:rPr>
        <w:t>Failure to comply with applicable laws or regulations or to secure personal information could result in investigations, enforcement actions and other proceedings against us, which could result in substantial fines, damages and other liability as well as damage to our reputation and credibility, which could have a negative impact on revenues and profits.</w:t>
      </w:r>
    </w:p>
    <w:p>
      <w:pPr>
        <w:spacing w:after="0" w:line="184"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231F20"/>
        </w:rPr>
        <w:t>We post public privacy policies and other documentation regarding our collection, use, disclosure and other processing of personal information. Although we endeavor to comply with our published policies and other documentation, we may at times fail to do so or may be perceived to have failed to do so. Moreover, despite our efforts, we may not be successful in achieving compliance if our employees, contractors, service providers, vendors or other third parties fail to comply with our published policies and documentation. Such failures could carry similar consequences or subject us to potential local, state and federal action if they are found to be deceptive, unfair or misrepresentative of our actual practices. Claims that we have violated individuals’ privacy rights or failed to comply with data protection laws or applicable privacy notices could, even if we are not found liable, be expensive and time-consuming to defend and could result in adverse publicity that could harm our business.</w:t>
      </w:r>
    </w:p>
    <w:p>
      <w:pPr>
        <w:spacing w:after="0" w:line="177" w:lineRule="exact"/>
        <w:rPr>
          <w:sz w:val="20"/>
          <w:szCs w:val="20"/>
          <w:color w:val="auto"/>
        </w:rPr>
      </w:pPr>
    </w:p>
    <w:p>
      <w:pPr>
        <w:spacing w:after="0" w:line="291" w:lineRule="auto"/>
        <w:rPr>
          <w:sz w:val="20"/>
          <w:szCs w:val="20"/>
          <w:color w:val="auto"/>
        </w:rPr>
      </w:pPr>
      <w:r>
        <w:rPr>
          <w:rFonts w:ascii="Arial" w:cs="Arial" w:eastAsia="Arial" w:hAnsi="Arial"/>
          <w:sz w:val="16"/>
          <w:szCs w:val="16"/>
          <w:color w:val="231F20"/>
        </w:rPr>
        <w:t>Most jurisdictions have enacted laws requiring companies to notify individuals, regulatory authorities and other third parties of security breaches involving certain types of data. For example, laws in all 50 U.S. states generally require businesses to provide notice under certain circumstances to consumers whose personal information has been disclosed as a result of a breach. Such laws may be inconsistent or may change or additional laws may be adopted. In addition, our agreements with certain customers may require us to notify them in the event of a security breach. Such mandatory disclosures are costly, could lead to negative publicity, penalties or fines, litigation and our customers losing confidence in the effectiveness of our security measures and could require us to expend significant capital and other resources to respond to or alleviate problems caused by the actual or perceived security breach. Any of the foregoing could materially adversely affect our business, prospects, results of operations and financial condition.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Risks Related to Our Employees and Human Resources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31F20"/>
        </w:rPr>
        <w:t>The loss of key personnel or an inability to attract, retain and motivate qualified personnel may impair our ability to expand our business.</w:t>
      </w:r>
    </w:p>
    <w:p>
      <w:pPr>
        <w:spacing w:after="0" w:line="237" w:lineRule="exact"/>
        <w:rPr>
          <w:sz w:val="20"/>
          <w:szCs w:val="20"/>
          <w:color w:val="auto"/>
        </w:rPr>
      </w:pPr>
    </w:p>
    <w:p>
      <w:pPr>
        <w:spacing w:after="0" w:line="285" w:lineRule="auto"/>
        <w:rPr>
          <w:sz w:val="20"/>
          <w:szCs w:val="20"/>
          <w:color w:val="auto"/>
        </w:rPr>
      </w:pPr>
      <w:r>
        <w:rPr>
          <w:rFonts w:ascii="Arial" w:cs="Arial" w:eastAsia="Arial" w:hAnsi="Arial"/>
          <w:sz w:val="16"/>
          <w:szCs w:val="16"/>
          <w:color w:val="231F20"/>
        </w:rPr>
        <w:t>Our success is substantially dependent upon the continued service and performance of our senior management team and key technical and vehicle management personnel. Our employees, including our senior management team, are at-will employees, and therefore may terminate employment with us at any time with no advance notice. Although we do not currently anticipate widespread departure of our senior leadership team or other key employees, it is always possible that we could lose some key personnel, especially if we are unable to grant sufficient equity awards or if the volatility of our stock price increases. The replacement of any members of our senior management team or other key personnel likely would involve significant time and costs and may significantly delay or prevent the achievement of our business objectives. Our future success also depends, in part, on our ability to continue to attract, integrate and retain highly skilled personnel. Competition for personnel is frequently intense, especially in the San Francisco Bay Area, where we have a substantial presence and need for highly skilled personnel, including, but not limited to, in particular, engineers, and Arizona, where we have a substantial presence and a need for a large skilled repair, logistics, supply chain, and manufacturing workforce. As with any company with limited resources, there can be no guarantee that we will be able to attract such individuals or that the presence of such individuals will necessarily translate into our profitability. Because we operate in a newly emerging industry, there may also be limited personnel available with relevant expertise or business experience, and such individuals may be subject to non-competition and other agreements that restrict their ability to work for us. This challenge may be exacerbated for us as we attempt to transition from start-up to full-scale commercial vehicle manufacturing and sales in a very short period of time under the unforeseeable business conditions which continue to evolve as a result of the impact of COVID-19 and the ongoing conflict in Ukraine. Our inability to attract and retain key personnel may materially and adversely affect our business operations. Any failure by our management to effectively anticipate, implement and manage the changes required to sustain our growth would have a material adverse effect on our business, financial condition and results of operations.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We are highly dependent on the services of Peter Rawlinson, our Chief Executive Officer and Chief Technology Officer.</w:t>
      </w:r>
    </w:p>
    <w:p>
      <w:pPr>
        <w:spacing w:after="0" w:line="225"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231F20"/>
        </w:rPr>
        <w:t>We are highly dependent on the services of Peter Rawlinson, our Chief Executive Officer and Chief Technology Officer. Mr. Rawlinson is a significant influence on and driver of our technology development and business plan. If Mr. Rawlinson were to discontinue his service with us due to death, disability or any other reason, we would be significantly disadvantaged.</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9" w:right="359" w:bottom="1440" w:gutter="0" w:footer="0" w:header="0"/>
        </w:sectPr>
      </w:pPr>
    </w:p>
    <w:bookmarkStart w:id="47" w:name="page48"/>
    <w:bookmarkEnd w:id="47"/>
    <w:p>
      <w:pPr>
        <w:ind w:right="40"/>
        <w:spacing w:after="0" w:line="277" w:lineRule="auto"/>
        <w:rPr>
          <w:sz w:val="20"/>
          <w:szCs w:val="20"/>
          <w:color w:val="auto"/>
        </w:rPr>
      </w:pPr>
      <w:r>
        <w:rPr>
          <w:rFonts w:ascii="Arial" w:cs="Arial" w:eastAsia="Arial" w:hAnsi="Arial"/>
          <w:sz w:val="18"/>
          <w:szCs w:val="18"/>
          <w:b w:val="1"/>
          <w:bCs w:val="1"/>
          <w:i w:val="1"/>
          <w:iCs w:val="1"/>
          <w:color w:val="231F20"/>
        </w:rPr>
        <w:t>We will need to hire and train a significant number of employees to engage in full-scale commercial manufacturing operations, and our business could be adversely affected by labor and union activities.</w:t>
      </w:r>
    </w:p>
    <w:p>
      <w:pPr>
        <w:spacing w:after="0" w:line="170"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231F20"/>
        </w:rPr>
        <w:t>We will need to hire and train a significant number of employees to engage in full capacity commercial manufacturing operations. This needs to be accomplished in a very short period of time in order for us to scale commercial production and sales and service operations. There are various risks and challenges associated with hiring, training and managing a large workforce, such as establishing efficient communication channels, procedures and rules of conduct, hiring an adequate number of experienced manufacturing, supply chain management and logistics managerial personnel and creating an effective company culture, and these risks and challenges may be exacerbated by the short period of time in which we intend to scale up our salary and hourly workforce. Although the area surrounding our Casa Grande, Arizona manufacturing facilities is home to a highly trained workforce with experience in engineering and manufacturing, this workforce does not have significant experience with electric vehicle manufacturing, and related processes such as inventory management, logistics and quality control, and many jobs will require significant training and we may need to spend significant resources to ensure employees adhere to such training. Further, competition for employees in the Casa Grande, Arizona has increased and may continue to increase in the future, which may impact the ability or cost to hire in the area. If we are unsuccessful in hiring and training a workforce in a timely and cost-effective manner, our business, financial condition and results of operations could be adversely affected.</w:t>
      </w:r>
    </w:p>
    <w:p>
      <w:pPr>
        <w:spacing w:after="0" w:line="182"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231F20"/>
        </w:rPr>
        <w:t>Furthermore, although none of our United States based employees are currently represented by a labor union and none of our international employees are currently represented by a labor union that we are aware of at this time, it is common throughout the automobile industry generally for many employees at automobile companies to belong to a union, which can result in higher employee costs and increased risk of work stoppages. Moreover, regulations in some jurisdictions outside of the U.S. mandate employee participation in industrial collective bargaining agreements, work councils, or similar activities with certain consultation rights with respect to the relevant companies’ operations, or companies are required to apply collective bargaining agreements, implement works councils or similar bodies with certain consultation rights related to the activities of the companies involved. In the event our employees seek to join or form a labor union, we could be subject to risks as we engage in an attempt to finalize negotiations with any such union, including potential work slowdowns or stoppages, delays and increased costs. Furthermore, we may be directly or indirectly dependent upon companies with unionized work forces, such as parts suppliers, construction contractors, and trucking and freight companies, and work stoppages or strikes organized by such unions could have a material adverse impact on our business, financial condition, ability to expand our facilities, or results of operations. If a work stoppage occurs, it could delay the manufacture and sale of our products and have a material adverse effect on our business, prospects, results of operations or financial condition.</w:t>
      </w:r>
    </w:p>
    <w:p>
      <w:pPr>
        <w:spacing w:after="0" w:line="17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231F20"/>
        </w:rPr>
        <w:t>Misconduct by our employees and independent contractors during and before their employment with us could expose us to potentially significant legal liabilities, reputational harm and/or other damages to our business.</w:t>
      </w:r>
    </w:p>
    <w:p>
      <w:pPr>
        <w:spacing w:after="0" w:line="170"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231F20"/>
        </w:rPr>
        <w:t>Many of our employees play critical roles in ensuring the safety and reliability of our vehicles and/or our compliance with relevant laws and regulations. Certain of our employees have access to sensitive information and/or proprietary technologies and know-how. While we have adopted codes of conduct for all of our employees and implemented detailed policies and procedures relating to intellectual property, proprietary information and trade secrets, we cannot assure you that our employees will always abide by these codes, policies and procedures nor that the precautions we take to detect and prevent employee misconduct will always be effective. If any of our employees engage in any misconduct, illegal or suspicious activities, including but not limited to misappropriation or leakage of sensitive customer information or proprietary information, we and such employees could be subject to legal claims and liabilities and our reputation and business could be adversely affected as a result.</w:t>
      </w:r>
    </w:p>
    <w:p>
      <w:pPr>
        <w:spacing w:after="0" w:line="177"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231F20"/>
        </w:rPr>
        <w:t>In addition, while we have screening procedures during the recruitment process, we cannot assure you that we will be able to uncover misconduct of job applicants that occurred before we offered them employment, or that we will not be affected by legal proceedings against our existing or former employees as a result of their actual or alleged misconduct. Any negative publicity surrounding such cases, especially in the event that any of our employees is found to have committed any wrongdoing, could negatively affect our reputation and may have an adverse impact on our business.</w:t>
      </w:r>
    </w:p>
    <w:p>
      <w:pPr>
        <w:spacing w:after="0" w:line="171" w:lineRule="exact"/>
        <w:rPr>
          <w:sz w:val="20"/>
          <w:szCs w:val="20"/>
          <w:color w:val="auto"/>
        </w:rPr>
      </w:pPr>
    </w:p>
    <w:p>
      <w:pPr>
        <w:spacing w:after="0" w:line="287" w:lineRule="auto"/>
        <w:rPr>
          <w:sz w:val="20"/>
          <w:szCs w:val="20"/>
          <w:color w:val="auto"/>
        </w:rPr>
      </w:pPr>
      <w:r>
        <w:rPr>
          <w:rFonts w:ascii="Arial" w:cs="Arial" w:eastAsia="Arial" w:hAnsi="Arial"/>
          <w:sz w:val="16"/>
          <w:szCs w:val="16"/>
          <w:color w:val="231F20"/>
        </w:rPr>
        <w:t>Furthermore, we face the risk that our employees and independent contractors may engage in other types of misconduct or other illegal activity, such as intentional, reckless or negligent conduct that violates production standards, workplace health and safety regulations, fraud, abuse or consumer protection laws, other similar non-U.S. laws or laws that require the true, complete and accurate reporting of financial information or data.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In addition,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prospects, financial condition and results of operations, including, without limitation, the imposition of significant civil, criminal and administrative penalties, damages, monetary fines, disgorgement, integrity oversight and reporting obligations to resolve allegations of non-compliance, imprisonment, other sanctions, contractual damages, reputational harm, diminished profits and future earnings and curtailment of our operations, any of which could adversely affect our business, prospects, financial condition and results of operations.</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231F20"/>
        </w:rPr>
        <w:t>Risks Related to Litigation and Regulation</w:t>
      </w:r>
    </w:p>
    <w:p>
      <w:pPr>
        <w:spacing w:after="0" w:line="229"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b w:val="1"/>
          <w:bCs w:val="1"/>
          <w:i w:val="1"/>
          <w:iCs w:val="1"/>
          <w:color w:val="231F20"/>
        </w:rPr>
        <w:t>We are subject to substantial laws and regulations that could impose substantial costs, legal prohibitions or unfavorable changes upon our operations or products, and any failure to comply with these laws and regulations, including as they evolve, could substantially harm our business and results of operations.</w:t>
      </w:r>
    </w:p>
    <w:p>
      <w:pPr>
        <w:spacing w:after="0" w:line="184" w:lineRule="exact"/>
        <w:rPr>
          <w:sz w:val="20"/>
          <w:szCs w:val="20"/>
          <w:color w:val="auto"/>
        </w:rPr>
      </w:pPr>
    </w:p>
    <w:p>
      <w:pPr>
        <w:spacing w:after="0" w:line="291" w:lineRule="auto"/>
        <w:rPr>
          <w:sz w:val="20"/>
          <w:szCs w:val="20"/>
          <w:color w:val="auto"/>
        </w:rPr>
      </w:pPr>
      <w:r>
        <w:rPr>
          <w:rFonts w:ascii="Arial" w:cs="Arial" w:eastAsia="Arial" w:hAnsi="Arial"/>
          <w:sz w:val="16"/>
          <w:szCs w:val="16"/>
          <w:color w:val="231F20"/>
        </w:rPr>
        <w:t>We are or will be subject to complex environmental, manufacturing, health and safety laws and regulations at numerous jurisdictional levels, including laws relating to the use, handling, storage, recycling, disposal and human exposure to hazardous materials and with respect to constructing, expanding and maintaining our facilities. The costs of compliance, including remediating contamination if any is found on our properties and any changes to our operations mandated by new or amended laws, may be significant. We may also face unexpected delays in obtaining permits and approvals required by such laws in connection with our manufacturing facilities, which would hinder our ability to continue our commercial manufacturing operations. Such costs and delays may adversely impact our business prospects and results of operations. Furthermore, any violations of these laws may result in substantial fines and penalties, remediation costs, third party damages, or a suspension or cessation of our operations.</w:t>
      </w:r>
    </w:p>
    <w:p>
      <w:pPr>
        <w:spacing w:after="0" w:line="166"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231F20"/>
        </w:rPr>
        <w:t>In addition, motor vehicles are subject to substantial regulation under international, federal, state and local laws. We have incurred, and expect to continue to incur, significant costs in complying with these regulations. Any failures to comply could result in significant expenses, delays or fines. In the United States, vehicles must meet or exceed all federally mandated motor vehicle safety standards to be certified under the federal regulations. Rigorous testing and the use of approved materials and equipment are among the requirements for achieving federal certification. Lucid Air and any future vehicles will be subject to substantial regulation under federal, state and local laws and standards. These regulations include those promulgated by the U.S. Environmental Protection Agency, NHTSA, other federal agencies, various state agencies and various state boards, and compliance certification is required for each individual vehicle we manufacture for sale. These laws and standards are subject to change from time to time, and we could become subject to additional regulations in the future, which would increase the effort and expense of compliance. In addition, federal, state and local laws and industrial standards for electric vehicles are still developing, and we face risks associated with changes to these regulations, which could have an impact on the acceptance of our electric vehicles, and increased sensitivity by regulators to the needs of established automobile manufacturers with large employment bases, high fixed costs and business models based on the internal combustion engine, which could lead them to pass regulations that could reduce the compliance costs of such established manufacturers or mitigate the effects of government efforts to promote electric vehicles. Compliance with these regulations is challenging, burdensome, time consuming and expensive. If compliance results in delays or substantial expenses, our business could be adversely affected.</w:t>
      </w:r>
    </w:p>
    <w:p>
      <w:pPr>
        <w:spacing w:after="0" w:line="174"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231F20"/>
        </w:rPr>
        <w:t>We currently are, and expect to become, subject to laws and regulations applicable to the supply, manufacture, import, sale and service of automobiles in an increasing number of international jurisdictions. Applicable regulations in countries outside of the U.S., such as standards relating to vehicle safety, transportation of dangerous goods, fuel economy and emissions, among other things, are often materially different from requirements in the United States. Compliance with such regulations will therefore require additional time, effort and expense to ensure regulatory compliance in those countries. This process may include official review and certification of our vehicles by foreign regulatory agencies prior to market entry, as well as compliance with foreign reporting and recall management systems requirements. There can be no assurance that we will be able to achieve foreign regulatory compliance in a timely manner and at our expected cost, or at all, and the costs of achieving international regulatory compliance or the failure to achieve international regulatory compliance could harm our business, prospects, results of operations and financial condition.</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231F20"/>
        </w:rPr>
        <w:t>We may face regulatory limitations on our ability to sell vehicles directly, which could materially and adversely affect our ability to sell our vehicles.</w:t>
      </w:r>
    </w:p>
    <w:p>
      <w:pPr>
        <w:spacing w:after="0" w:line="248"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231F20"/>
        </w:rPr>
        <w:t>Our business plan includes the direct sale of vehicles to retail consumers, both at retail locations and over the internet. The laws governing licensing of dealers and sales of motor vehicles vary from state to state. Most states require a dealer license to sell new motor vehicles within the state, and many states prohibit manufacturers or their affiliates from becoming licensed dealers and directly selling new motor vehicles to retail consumers from within that state. In addition, most states require that we have a physical dealership location in the state before we can be licensed as a dealer. We are currently licensed as a motor vehicle dealer in several states and anticipate that we can become a licensed dealer in additional states as we open retail locations in those states. In some states, we have also opened or expect to open Lucid studios to educate and inform customers about our vehicles, but those Lucid studios will not actually transact in the sale of vehicles. The application of these state laws to our operations continues to be difficult to predict. Laws in some states have limited our ability to obtain dealer licenses from state motor vehicle regulators and may continue to do so.</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9" w:name="page50"/>
    <w:bookmarkEnd w:id="49"/>
    <w:p>
      <w:pPr>
        <w:spacing w:after="0" w:line="288" w:lineRule="auto"/>
        <w:rPr>
          <w:sz w:val="20"/>
          <w:szCs w:val="20"/>
          <w:color w:val="auto"/>
        </w:rPr>
      </w:pPr>
      <w:r>
        <w:rPr>
          <w:rFonts w:ascii="Arial" w:cs="Arial" w:eastAsia="Arial" w:hAnsi="Arial"/>
          <w:sz w:val="16"/>
          <w:szCs w:val="16"/>
          <w:color w:val="231F20"/>
        </w:rPr>
        <w:t>We may face legal challenges to this distribution model. For instance, in states where direct sales are not permitted, dealers and their lobbying organizations may complain to the government or regulatory agencies that we are acting in the capacity of a dealer without a license. Alternatively, we have and may continue to initiate legal action against such states that prohibit direct sales, which may be protracted and expensive, and the results are difficult to predict. In some states, regulators may restrict or prohibit us from directly providing warranty repair service, or from contracting with third parties who are not licensed dealers to provide warranty repair service. Even if regulators decide to permit us to sell vehicles, such decisions may be challenged by dealer associations and others as to whether such decisions comply with applicable state motor vehicle industry laws. Further, even in jurisdictions where we believe applicable laws and regulations do not currently prohibit our direct sales model or where we have reached agreements with regulators, legislatures may impose additional limitations. Because the laws vary from state to state, our distribution model must be carefully established, and our sales and service processes must be continually monitored for compliance with the various state requirements, which change from time to time. Regulatory compliance and likely challenges to the distribution model may add to the cost of our business.</w:t>
      </w:r>
    </w:p>
    <w:p>
      <w:pPr>
        <w:spacing w:after="0" w:line="168"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231F20"/>
        </w:rPr>
        <w:t>We have in the past and may choose in the future, or we may be compelled, to undertake product recalls or take other actions, which could adversely affect our business, prospects, results of operations, reputation and financial condition.</w:t>
      </w:r>
    </w:p>
    <w:p>
      <w:pPr>
        <w:spacing w:after="0" w:line="170"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231F20"/>
        </w:rPr>
        <w:t>Product recalls may result in adverse publicity, damage our reputation and adversely affect our business, prospects, results of operations and financial condition. For example, in February 2022 we voluntarily recalled certain vehicles due to a potential issue regarding the manufacture of the front strut damper by our supplier, in May 2022 we recalled certain vehicles due to a potential issue regarding the wiring harness connected to in-vehicle displays, and in September 2022 we recalled certain vehicles due to a potential issue regarding the front tow eye bracket attached to the subframe. We may in the future voluntarily or involuntarily initiate additional recalls if any of our electric vehicles or components (including our batteries) prove to be defective or noncompliant with applicable federal motor vehicle safety standards. If a large number of vehicles are the subject of a recall or if needed replacement parts are not in adequate supply, we may be unable to service and repair recalled vehicles for a significant period of time. These types of disruptions could jeopardize our ability to fulfill existing contractual commitments or satisfy demand for our electric vehicles and could also result in the loss of business to our competitors. Such recalls, whether caused by systems or components engineered or manufactured by us or our suppliers, would involve significant expense and diversion of management’s attention and other resources, which could adversely affect our brand image in our target market and our business, prospects, results of operations and financial condition.</w:t>
      </w:r>
    </w:p>
    <w:p>
      <w:pPr>
        <w:spacing w:after="0" w:line="182" w:lineRule="exact"/>
        <w:rPr>
          <w:sz w:val="20"/>
          <w:szCs w:val="20"/>
          <w:color w:val="auto"/>
        </w:rPr>
      </w:pPr>
    </w:p>
    <w:p>
      <w:pPr>
        <w:ind w:right="580"/>
        <w:spacing w:after="0" w:line="342" w:lineRule="auto"/>
        <w:rPr>
          <w:sz w:val="20"/>
          <w:szCs w:val="20"/>
          <w:color w:val="auto"/>
        </w:rPr>
      </w:pPr>
      <w:r>
        <w:rPr>
          <w:rFonts w:ascii="Arial" w:cs="Arial" w:eastAsia="Arial" w:hAnsi="Arial"/>
          <w:sz w:val="16"/>
          <w:szCs w:val="16"/>
          <w:b w:val="1"/>
          <w:bCs w:val="1"/>
          <w:i w:val="1"/>
          <w:iCs w:val="1"/>
          <w:color w:val="231F20"/>
        </w:rPr>
        <w:t>We are subject to legal proceedings, regulatory disputes and governmental inquiries that could cause us to incur significant expenses, divert our management’s attention, and adversely affect our business, results of operations, cash flows and financial condition.</w:t>
      </w:r>
    </w:p>
    <w:p>
      <w:pPr>
        <w:spacing w:after="0" w:line="124"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231F20"/>
        </w:rPr>
        <w:t>From time to time, we may be subject to claims, lawsuits, government investigations and other proceedings involving product liability, consumer protection, competition and antitrust, intellectual property, privacy, securities, tax, labor and employment, health and safety, our direct distribution model, environmental claims, commercial disputes and other matters that could adversely affect our business, results of operations, cash flows and financial condition. In the ordinary course of business, we have been the subject of complaints or litigation, including claims related to shareholders, disability access, and employment matters.</w:t>
      </w:r>
    </w:p>
    <w:p>
      <w:pPr>
        <w:spacing w:after="0" w:line="188"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231F20"/>
        </w:rPr>
        <w:t>For example, beginning on April 18, 2021, two individual actions and two putative class actions were filed in federal courts in Alabama, California, New Jersey and Indiana, asserting claims under the federal securities laws against the Company (f/k/a Churchill Capital Corp IV), its wholly owned subsidiary, Atieva, Inc. (“Lucid Motors”), and certain current and former officers and directors of the Company, generally relating to the Merger. On September 16, 2021, the plaintiff in the New Jersey action voluntarily dismissed that lawsuit. The remaining actions were ultimately transferred to the Northern District of California and consolidated under the caption, In re CCIV / Lucid Motors Securities Litigation, Case No. 4:21-cv-09323-YGR (the “Consolidated Class Action”). On December 30, 2021, lead plaintiffs in the Consolidated Class Action filed a revised amended consolidated complaint (the “Complaint”), which asserts claims under Sections 10(b) and 20(a) of the Securities Exchange Act of 1934 on behalf of a putative class of shareholders who purchased stock in CCIV between February 5, 2021 and February 22, 2021. The Complaint names as defendants Lucid Motors and the Company’s chief executive officer, and generally alleges that, prior to the public announcement of the Merger, defendants purportedly made false or misleading statements regarding the expected start of production for Lucid Air and related matters. The Complaint seeks certification of the action as a class action as well as compensatory damages, interest thereon, and attorneys’ fees and expenses. The Company moved to dismiss the Complaint on February 14, 2022 and that motion was granted on January 11, 2023, with Plaintiffs being provided the ability to seek leave to amend. On January 30, 2023, Plaintiffs filed a Motion for Leave to Amend, which is currently set for a hearing on March 7, 2023. The Company believes that the plaintiffs’ claims are without merit and intends to defend itself vigorously, but the Company cannot ensure that defendants’ efforts to dismiss the Complaint will be successful or that it will avoid liability in these matters.</w:t>
      </w:r>
    </w:p>
    <w:p>
      <w:pPr>
        <w:spacing w:after="0" w:line="182"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231F20"/>
        </w:rPr>
        <w:t>On December 3, 2021, the Company received a subpoena from the SEC requesting the production of certain documents related to an investigation by the SEC. Although there is no assurance as to the scope or outcome of this matter, the investigation appears to concern the Merger. The Company is cooperating fully with the SEC in its review.</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50" w:name="page51"/>
    <w:bookmarkEnd w:id="50"/>
    <w:p>
      <w:pPr>
        <w:ind w:right="60"/>
        <w:spacing w:after="0" w:line="288" w:lineRule="auto"/>
        <w:rPr>
          <w:sz w:val="20"/>
          <w:szCs w:val="20"/>
          <w:color w:val="auto"/>
        </w:rPr>
      </w:pPr>
      <w:r>
        <w:rPr>
          <w:rFonts w:ascii="Arial" w:cs="Arial" w:eastAsia="Arial" w:hAnsi="Arial"/>
          <w:sz w:val="16"/>
          <w:szCs w:val="16"/>
          <w:color w:val="auto"/>
        </w:rPr>
        <w:t>In addition, two separate purported shareholders of the Company filed shareholder derivative actions, purportedly on behalf of the Company, against certain of the Company’s officers and directors in California federal court, captioned Sahr Lebbie v. Peter Rawlinson, et al., Case No. 4:22-cv-00531-YGR (N.D. Cal.) (filed on January 26, 2022) and Zsata Williams-Spinks v. Peter Rawlinson, et al., Case No. 4:22-cv-01115-YGR (N.D. Cal.) (filed on February 23, 2022). The complaint also names the Company as a nominal defendant. Based on allegations that are similar to those in the Consolidated Class Action, the Lebbie complaint asserts claims for unjust enrichment, breach of fiduciary duty, aiding and abetting breach of fiduciary duty, abuse of control, gross mismanagement and waste of corporate assets and a claim for contribution under Sections 10(b) and 21D of the Exchange Act in connection with the Consolidated Class Action and the Williams-Spinks complaint asserts claims for breach of fiduciary duty, gross mismanagement, abuse of control, unjust enrichment, contribution under Sections 10(b) and 21D of the Exchange Act, and aiding and abetting breach of fiduciary duty in connection with the Consolidated Class Action. The complaints seek compensatory damages, interest thereon, certain corporate governance reforms, and attorneys’ fees and expenses. The Company is advancing defendants’ fees and expenses incurred in their defense of the actions.</w:t>
      </w:r>
    </w:p>
    <w:p>
      <w:pPr>
        <w:spacing w:after="0" w:line="168"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 xml:space="preserve">On April 1, 2022 and May 31, 2022, two alleged shareholders filed putative class actions under the federal securities laws against Lucid Group, Inc. and certain officers of the Company relating to alleged statements, updated projections and guidance provided in the late 2021 to early 2022 timeframe. The complaints, which were filed in the Northern District of California, are captioned </w:t>
      </w:r>
      <w:r>
        <w:rPr>
          <w:rFonts w:ascii="Arial" w:cs="Arial" w:eastAsia="Arial" w:hAnsi="Arial"/>
          <w:sz w:val="16"/>
          <w:szCs w:val="16"/>
          <w:i w:val="1"/>
          <w:iCs w:val="1"/>
          <w:color w:val="auto"/>
        </w:rPr>
        <w:t>Victor W. Mangino v. Lucid Group, Inc., et al.</w:t>
      </w:r>
      <w:r>
        <w:rPr>
          <w:rFonts w:ascii="Arial" w:cs="Arial" w:eastAsia="Arial" w:hAnsi="Arial"/>
          <w:sz w:val="16"/>
          <w:szCs w:val="16"/>
          <w:color w:val="auto"/>
        </w:rPr>
        <w:t xml:space="preserve">, Case No. 3:22-cv-02094-JD, and </w:t>
      </w:r>
      <w:r>
        <w:rPr>
          <w:rFonts w:ascii="Arial" w:cs="Arial" w:eastAsia="Arial" w:hAnsi="Arial"/>
          <w:sz w:val="16"/>
          <w:szCs w:val="16"/>
          <w:i w:val="1"/>
          <w:iCs w:val="1"/>
          <w:color w:val="auto"/>
        </w:rPr>
        <w:t>Anant Goel v. Lucid Group, Inc., et al.</w:t>
      </w:r>
      <w:r>
        <w:rPr>
          <w:rFonts w:ascii="Arial" w:cs="Arial" w:eastAsia="Arial" w:hAnsi="Arial"/>
          <w:sz w:val="16"/>
          <w:szCs w:val="16"/>
          <w:color w:val="auto"/>
        </w:rPr>
        <w:t xml:space="preserve">, Case No. 3:22-cv-03176-JD. The two matters were consolidated into one action, entitled </w:t>
      </w:r>
      <w:r>
        <w:rPr>
          <w:rFonts w:ascii="Arial" w:cs="Arial" w:eastAsia="Arial" w:hAnsi="Arial"/>
          <w:sz w:val="16"/>
          <w:szCs w:val="16"/>
          <w:i w:val="1"/>
          <w:iCs w:val="1"/>
          <w:color w:val="auto"/>
        </w:rPr>
        <w:t>In re Lucid Group,</w:t>
      </w:r>
      <w:r>
        <w:rPr>
          <w:rFonts w:ascii="Arial" w:cs="Arial" w:eastAsia="Arial" w:hAnsi="Arial"/>
          <w:sz w:val="16"/>
          <w:szCs w:val="16"/>
          <w:color w:val="auto"/>
        </w:rPr>
        <w:t xml:space="preserve"> </w:t>
      </w:r>
      <w:r>
        <w:rPr>
          <w:rFonts w:ascii="Arial" w:cs="Arial" w:eastAsia="Arial" w:hAnsi="Arial"/>
          <w:sz w:val="16"/>
          <w:szCs w:val="16"/>
          <w:i w:val="1"/>
          <w:iCs w:val="1"/>
          <w:color w:val="auto"/>
        </w:rPr>
        <w:t>Inc. Securities Litigation</w:t>
      </w:r>
      <w:r>
        <w:rPr>
          <w:rFonts w:ascii="Arial" w:cs="Arial" w:eastAsia="Arial" w:hAnsi="Arial"/>
          <w:sz w:val="16"/>
          <w:szCs w:val="16"/>
          <w:color w:val="auto"/>
        </w:rPr>
        <w:t>, Case No. 22-cv-02094-JD. The complaints name as defendants Lucid Group, Inc. and the Company’s chief executive officer and</w:t>
      </w:r>
      <w:r>
        <w:rPr>
          <w:rFonts w:ascii="Arial" w:cs="Arial" w:eastAsia="Arial" w:hAnsi="Arial"/>
          <w:sz w:val="16"/>
          <w:szCs w:val="16"/>
          <w:i w:val="1"/>
          <w:iCs w:val="1"/>
          <w:color w:val="auto"/>
        </w:rPr>
        <w:t xml:space="preserve"> </w:t>
      </w:r>
      <w:r>
        <w:rPr>
          <w:rFonts w:ascii="Arial" w:cs="Arial" w:eastAsia="Arial" w:hAnsi="Arial"/>
          <w:sz w:val="16"/>
          <w:szCs w:val="16"/>
          <w:color w:val="auto"/>
        </w:rPr>
        <w:t>chief financial officer, and generally allege that defendants purportedly made false or misleading statements regarding delivery and revenue projections and related matters. The complaints in these actions seek certification of the actions as class actions, as well as compensatory damages, interest thereon, and attorneys’ fees and expenses. The Company believes that the plaintiffs’ claims are without merit and intends to defend itself vigorously, but the Company cannot ensure that defendants’ efforts to dismiss the complaint will be successful or that it will avoid liability in these matters.</w:t>
      </w:r>
    </w:p>
    <w:p>
      <w:pPr>
        <w:spacing w:after="0" w:line="166"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 xml:space="preserve">In addition, on July 11, 2022, a purported shareholder of the Company filed a shareholder derivative action, purportedly on behalf of the Company, against certain of the Company’s officers and directors in California state court, captioned </w:t>
      </w:r>
      <w:r>
        <w:rPr>
          <w:rFonts w:ascii="Arial" w:cs="Arial" w:eastAsia="Arial" w:hAnsi="Arial"/>
          <w:sz w:val="17"/>
          <w:szCs w:val="17"/>
          <w:i w:val="1"/>
          <w:iCs w:val="1"/>
          <w:color w:val="auto"/>
        </w:rPr>
        <w:t>Floyd Taylor v. Glenn August, et al.</w:t>
      </w:r>
      <w:r>
        <w:rPr>
          <w:rFonts w:ascii="Arial" w:cs="Arial" w:eastAsia="Arial" w:hAnsi="Arial"/>
          <w:sz w:val="17"/>
          <w:szCs w:val="17"/>
          <w:color w:val="auto"/>
        </w:rPr>
        <w:t xml:space="preserve">, Superior Court, Alameda County, Case No. 22CV014130. The complaint also names the Company as a nominal defendant. Based on allegations that are similar to those in the </w:t>
      </w:r>
      <w:r>
        <w:rPr>
          <w:rFonts w:ascii="Arial" w:cs="Arial" w:eastAsia="Arial" w:hAnsi="Arial"/>
          <w:sz w:val="17"/>
          <w:szCs w:val="17"/>
          <w:i w:val="1"/>
          <w:iCs w:val="1"/>
          <w:color w:val="auto"/>
        </w:rPr>
        <w:t>In re Lucid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Group, Inc. Securities Litigation </w:t>
      </w:r>
      <w:r>
        <w:rPr>
          <w:rFonts w:ascii="Arial" w:cs="Arial" w:eastAsia="Arial" w:hAnsi="Arial"/>
          <w:sz w:val="17"/>
          <w:szCs w:val="17"/>
          <w:color w:val="auto"/>
        </w:rPr>
        <w:t>action, the</w:t>
      </w:r>
      <w:r>
        <w:rPr>
          <w:rFonts w:ascii="Arial" w:cs="Arial" w:eastAsia="Arial" w:hAnsi="Arial"/>
          <w:sz w:val="17"/>
          <w:szCs w:val="17"/>
          <w:i w:val="1"/>
          <w:iCs w:val="1"/>
          <w:color w:val="auto"/>
        </w:rPr>
        <w:t xml:space="preserve"> Taylor </w:t>
      </w:r>
      <w:r>
        <w:rPr>
          <w:rFonts w:ascii="Arial" w:cs="Arial" w:eastAsia="Arial" w:hAnsi="Arial"/>
          <w:sz w:val="17"/>
          <w:szCs w:val="17"/>
          <w:color w:val="auto"/>
        </w:rPr>
        <w:t>complaint asserts claims for breach of fiduciary duty, unjust enrichment, waste of corporate assets and</w:t>
      </w:r>
      <w:r>
        <w:rPr>
          <w:rFonts w:ascii="Arial" w:cs="Arial" w:eastAsia="Arial" w:hAnsi="Arial"/>
          <w:sz w:val="17"/>
          <w:szCs w:val="17"/>
          <w:i w:val="1"/>
          <w:iCs w:val="1"/>
          <w:color w:val="auto"/>
        </w:rPr>
        <w:t xml:space="preserve"> </w:t>
      </w:r>
      <w:r>
        <w:rPr>
          <w:rFonts w:ascii="Arial" w:cs="Arial" w:eastAsia="Arial" w:hAnsi="Arial"/>
          <w:sz w:val="17"/>
          <w:szCs w:val="17"/>
          <w:color w:val="auto"/>
        </w:rPr>
        <w:t>aiding and abetting breach of fiduciary duty. The complaint seeks compensatory damages, punitive damages, interest, and attorneys’ fees and expenses. The Company is advancing defendants’ fees and expenses incurred in their defense of the actions.</w:t>
      </w:r>
    </w:p>
    <w:p>
      <w:pPr>
        <w:spacing w:after="0" w:line="178"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Litigation and regulatory proceedings may be protracted an</w:t>
      </w:r>
      <w:r>
        <w:rPr>
          <w:rFonts w:ascii="Arial" w:cs="Arial" w:eastAsia="Arial" w:hAnsi="Arial"/>
          <w:sz w:val="18"/>
          <w:szCs w:val="18"/>
          <w:color w:val="231F20"/>
        </w:rPr>
        <w:t>d expensive, and the results are difficult to predict. Additionally, our litigation costs could be</w:t>
      </w:r>
      <w:r>
        <w:rPr>
          <w:rFonts w:ascii="Arial" w:cs="Arial" w:eastAsia="Arial" w:hAnsi="Arial"/>
          <w:sz w:val="18"/>
          <w:szCs w:val="18"/>
          <w:color w:val="auto"/>
        </w:rPr>
        <w:t xml:space="preserve"> </w:t>
      </w:r>
      <w:r>
        <w:rPr>
          <w:rFonts w:ascii="Arial" w:cs="Arial" w:eastAsia="Arial" w:hAnsi="Arial"/>
          <w:sz w:val="18"/>
          <w:szCs w:val="18"/>
          <w:color w:val="231F20"/>
        </w:rPr>
        <w:t>significant, even if we achieve favorable outcomes. Adverse outcomes with respect to litigation or any of these legal proceedings may result in significant settlement costs or judgments, penalties and fines, or require us to modify, make temporarily unavailable or stop manufacturing or selling our vehicles in some or all markets, all of which could negatively affect our sales and revenue growth and adversely affect our business, prospects, results of operations, cash flows and financial condition.</w:t>
      </w:r>
    </w:p>
    <w:p>
      <w:pPr>
        <w:spacing w:after="0" w:line="18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231F20"/>
        </w:rPr>
        <w:t>The results of litigation, investigations, claims and regulatory proceedings cannot be predicted with certainty, and determining reserves for pending litigation and other legal and regulatory matters requires significant judgment. There can be no assurance that our expectations will prove correct, and even if these matters are resolve</w:t>
      </w:r>
      <w:r>
        <w:rPr>
          <w:rFonts w:ascii="Arial" w:cs="Arial" w:eastAsia="Arial" w:hAnsi="Arial"/>
          <w:sz w:val="18"/>
          <w:szCs w:val="18"/>
          <w:color w:val="000000"/>
        </w:rPr>
        <w:t>d in our favor or without significant cash settlements, these matters, and the time and resources necessary to litigate or resolve</w:t>
      </w:r>
      <w:r>
        <w:rPr>
          <w:rFonts w:ascii="Arial" w:cs="Arial" w:eastAsia="Arial" w:hAnsi="Arial"/>
          <w:sz w:val="18"/>
          <w:szCs w:val="18"/>
          <w:color w:val="231F20"/>
        </w:rPr>
        <w:t xml:space="preserve"> </w:t>
      </w:r>
      <w:r>
        <w:rPr>
          <w:rFonts w:ascii="Arial" w:cs="Arial" w:eastAsia="Arial" w:hAnsi="Arial"/>
          <w:sz w:val="18"/>
          <w:szCs w:val="18"/>
          <w:color w:val="000000"/>
        </w:rPr>
        <w:t>them, could harm our business, results of operations, cash flows and financial condition. In addition, the threat or announcement of litigation or investigations by governmental authorities or other parties, irrespective of the merits of the underlying claims, may itself have an adverse impact on the trading price of our common stock.</w:t>
      </w:r>
    </w:p>
    <w:p>
      <w:pPr>
        <w:spacing w:after="0" w:line="2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9" w:right="359" w:bottom="1440" w:gutter="0" w:footer="0" w:header="0"/>
        </w:sectPr>
      </w:pPr>
    </w:p>
    <w:bookmarkStart w:id="51" w:name="page52"/>
    <w:bookmarkEnd w:id="51"/>
    <w:p>
      <w:pPr>
        <w:ind w:right="180"/>
        <w:spacing w:after="0" w:line="277" w:lineRule="auto"/>
        <w:rPr>
          <w:sz w:val="20"/>
          <w:szCs w:val="20"/>
          <w:color w:val="auto"/>
        </w:rPr>
      </w:pPr>
      <w:r>
        <w:rPr>
          <w:rFonts w:ascii="Arial" w:cs="Arial" w:eastAsia="Arial" w:hAnsi="Arial"/>
          <w:sz w:val="18"/>
          <w:szCs w:val="18"/>
          <w:b w:val="1"/>
          <w:bCs w:val="1"/>
          <w:i w:val="1"/>
          <w:iCs w:val="1"/>
          <w:color w:val="auto"/>
        </w:rPr>
        <w:t>We may become subject to product liability claims, which could harm our financial condition and liquidity if we are not able to successfully defend or insure against such claims.</w:t>
      </w:r>
    </w:p>
    <w:p>
      <w:pPr>
        <w:spacing w:after="0" w:line="170" w:lineRule="exact"/>
        <w:rPr>
          <w:sz w:val="20"/>
          <w:szCs w:val="20"/>
          <w:color w:val="auto"/>
        </w:rPr>
      </w:pPr>
    </w:p>
    <w:p>
      <w:pPr>
        <w:spacing w:after="0" w:line="286" w:lineRule="auto"/>
        <w:rPr>
          <w:sz w:val="20"/>
          <w:szCs w:val="20"/>
          <w:color w:val="auto"/>
        </w:rPr>
      </w:pPr>
      <w:r>
        <w:rPr>
          <w:rFonts w:ascii="Arial" w:cs="Arial" w:eastAsia="Arial" w:hAnsi="Arial"/>
          <w:sz w:val="16"/>
          <w:szCs w:val="16"/>
          <w:color w:val="231F20"/>
        </w:rPr>
        <w:t xml:space="preserve">We may become subject to product liability claims, which could harm our business, prospects, results of operations and financial condition. The automotive industry experiences significant product liability claims, and we face inherent risks of exposure to claims in the event our production vehicles do not perform or are claimed not to perform as expected or malfunction, resulting in property damage, personal injury or death. We also expect that, as is true for other automakers, our vehicles will be involved in crashes resulting in death or personal injury, and even if not caused by the failure of our vehicles, we may face product liability claims and adverse publicity in connection with such incidents. In addition, we may face claims arising from or related to failures, claimed failures or misuse of new technologies that we expect to offer, including </w:t>
      </w:r>
      <w:r>
        <w:rPr>
          <w:rFonts w:ascii="Arial" w:cs="Arial" w:eastAsia="Arial" w:hAnsi="Arial"/>
          <w:sz w:val="16"/>
          <w:szCs w:val="16"/>
          <w:i w:val="1"/>
          <w:iCs w:val="1"/>
          <w:color w:val="231F20"/>
        </w:rPr>
        <w:t>ADAS</w:t>
      </w:r>
      <w:r>
        <w:rPr>
          <w:rFonts w:ascii="Arial" w:cs="Arial" w:eastAsia="Arial" w:hAnsi="Arial"/>
          <w:sz w:val="16"/>
          <w:szCs w:val="16"/>
          <w:color w:val="231F20"/>
        </w:rPr>
        <w:t xml:space="preserve"> features in our vehicles. See “— Risks Related to Litigation and Regulation — </w:t>
      </w:r>
      <w:r>
        <w:rPr>
          <w:rFonts w:ascii="Arial" w:cs="Arial" w:eastAsia="Arial" w:hAnsi="Arial"/>
          <w:sz w:val="16"/>
          <w:szCs w:val="16"/>
          <w:i w:val="1"/>
          <w:iCs w:val="1"/>
          <w:color w:val="231F20"/>
        </w:rPr>
        <w:t>ADAS technology is subject to uncertain and evolving regulations</w:t>
      </w:r>
      <w:r>
        <w:rPr>
          <w:rFonts w:ascii="Arial" w:cs="Arial" w:eastAsia="Arial" w:hAnsi="Arial"/>
          <w:sz w:val="16"/>
          <w:szCs w:val="16"/>
          <w:color w:val="231F20"/>
        </w:rPr>
        <w:t>.” In addition, the battery packs that we produce make use of lithium-ion cells. On rare occasions, lithium-ion cells can rapidly release the energy they contain by venting smoke and flames in a manner that can ignite nearby materials as well as other lithium-ion cells. While we have designed our battery packs to passively contain a single cell’s release of energy without spreading to neighboring modules, there can be no assurance that a field or testing failure of our vehicles or other battery packs that we produce will not occur, in particular due to a high-speed crash. In addition, although we equip our vehicles with systems designed to detect and warn vehicle occupants of such thermal events, there can be no assurance that such systems will function as designed or will provide vehicle occupants with sufficient, or any, warning in all circumstances. Any such events or failures of our vehicles, battery packs or warning systems could subject us to lawsuits, product recalls or redesign efforts, all of which would be time consuming and expensive.</w:t>
      </w:r>
    </w:p>
    <w:p>
      <w:pPr>
        <w:spacing w:after="0" w:line="171"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231F20"/>
        </w:rPr>
        <w:t>A successful product liability claim against us could require us to pay a substantial monetary award. Our risks in this area are particularly pronounced in light of the limited field experience of our vehicles. Moreover, a product liability claim against us or our competitors could generate substantial negative publicity about our vehicles and business and inhibit or prevent commercialization of our future vehicles, which would have material adverse effect on our brand, business, prospects and results of operations. Our insurance coverage might not be sufficient to cover all potential product liability claims, and insurance coverage may not continue to be available to us or, if available, may be at a significantly higher cost. Any lawsuit seeking significant monetary damages or other product liability claims may have a material adverse effect on our reputation, business and financial condition.</w:t>
      </w:r>
    </w:p>
    <w:p>
      <w:pPr>
        <w:spacing w:after="0" w:line="164" w:lineRule="exact"/>
        <w:rPr>
          <w:sz w:val="20"/>
          <w:szCs w:val="20"/>
          <w:color w:val="auto"/>
        </w:rPr>
      </w:pPr>
    </w:p>
    <w:p>
      <w:pPr>
        <w:ind w:right="900"/>
        <w:spacing w:after="0" w:line="277" w:lineRule="auto"/>
        <w:rPr>
          <w:sz w:val="20"/>
          <w:szCs w:val="20"/>
          <w:color w:val="auto"/>
        </w:rPr>
      </w:pPr>
      <w:r>
        <w:rPr>
          <w:rFonts w:ascii="Arial" w:cs="Arial" w:eastAsia="Arial" w:hAnsi="Arial"/>
          <w:sz w:val="18"/>
          <w:szCs w:val="18"/>
          <w:b w:val="1"/>
          <w:bCs w:val="1"/>
          <w:i w:val="1"/>
          <w:iCs w:val="1"/>
          <w:color w:val="231F20"/>
        </w:rPr>
        <w:t>We may be exposed to delays, limitations and risks related to the environmental permits and other operating permits required to operate our manufacturing facilities.</w:t>
      </w:r>
    </w:p>
    <w:p>
      <w:pPr>
        <w:spacing w:after="0" w:line="170"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color w:val="231F20"/>
        </w:rPr>
        <w:t xml:space="preserve">Operation of an automobile manufacturing facility requires land use and environmental permits and other operating permits from federal, state and local government entities. While we believe that we have the permits necessary to carry out and perform our current plans and operations at our Casa Grande, Arizona manufacturing facilities based on our current target production capacity, we plan to expand our manufacturing facilities and construct additional manufacturing facilities over time to achieve a future target production capacity and will be required to apply for and secure various environmental, wastewater, hazardous materials, and land use permits and certificates of occupancy necessary for the commercial operation of such expanded and additional facilities. Delays, denials or restrictions on any of the applications for or assignment of the permits to operate our manufacturing facilities could adversely affect our ability to execute on our business plans and objectives based on our current target production capacity or our future target production capacity. See “— Risks Related to Manufacturing and Supply Chain — </w:t>
      </w:r>
      <w:r>
        <w:rPr>
          <w:rFonts w:ascii="Arial" w:cs="Arial" w:eastAsia="Arial" w:hAnsi="Arial"/>
          <w:sz w:val="16"/>
          <w:szCs w:val="16"/>
          <w:i w:val="1"/>
          <w:iCs w:val="1"/>
          <w:color w:val="231F20"/>
        </w:rPr>
        <w:t>We have experienced and may in the future experience significant delays in the</w:t>
      </w:r>
      <w:r>
        <w:rPr>
          <w:rFonts w:ascii="Arial" w:cs="Arial" w:eastAsia="Arial" w:hAnsi="Arial"/>
          <w:sz w:val="16"/>
          <w:szCs w:val="16"/>
          <w:color w:val="231F20"/>
        </w:rPr>
        <w:t xml:space="preserve"> </w:t>
      </w:r>
      <w:r>
        <w:rPr>
          <w:rFonts w:ascii="Arial" w:cs="Arial" w:eastAsia="Arial" w:hAnsi="Arial"/>
          <w:sz w:val="16"/>
          <w:szCs w:val="16"/>
          <w:i w:val="1"/>
          <w:iCs w:val="1"/>
          <w:color w:val="231F20"/>
        </w:rPr>
        <w:t>design, manufacture, launch and financing of our vehicles, including Lucid Air and Lucid Gravity, which could harm our business and prospects.</w:t>
      </w:r>
      <w:r>
        <w:rPr>
          <w:rFonts w:ascii="Arial" w:cs="Arial" w:eastAsia="Arial" w:hAnsi="Arial"/>
          <w:sz w:val="16"/>
          <w:szCs w:val="16"/>
          <w:color w:val="231F20"/>
        </w:rPr>
        <w:t>”</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52" w:name="page53"/>
    <w:bookmarkEnd w:id="52"/>
    <w:p>
      <w:pPr>
        <w:ind w:right="760"/>
        <w:spacing w:after="0" w:line="277" w:lineRule="auto"/>
        <w:rPr>
          <w:sz w:val="20"/>
          <w:szCs w:val="20"/>
          <w:color w:val="auto"/>
        </w:rPr>
      </w:pPr>
      <w:r>
        <w:rPr>
          <w:rFonts w:ascii="Arial" w:cs="Arial" w:eastAsia="Arial" w:hAnsi="Arial"/>
          <w:sz w:val="18"/>
          <w:szCs w:val="18"/>
          <w:b w:val="1"/>
          <w:bCs w:val="1"/>
          <w:i w:val="1"/>
          <w:iCs w:val="1"/>
          <w:color w:val="231F20"/>
        </w:rPr>
        <w:t>We are subject to various environmental, health and safety laws and regulations that could impose substantial costs on us and cause delays in expanding our production facilities.</w:t>
      </w:r>
    </w:p>
    <w:p>
      <w:pPr>
        <w:spacing w:after="0" w:line="170"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231F20"/>
        </w:rPr>
        <w:t>Our operations are subject to federal, state and local environmental laws and regulations and will be subject to international environmental laws, including laws relating to the use, handling, storage, disposal of and human exposure to hazardous materials. Environmental, health and safety laws and regulations are complex, and we have limited experience and resources to comply with them. For example, regulations regarding battery storage, recycling, disposal and processing are relatively new and the lack of uniform regulations and guidance may increase our cost of compliance. Moreover, we may be affected by future amendments to such laws or other new environmental, health and safety laws and regulations which may require us to change our operations, potentially resulting in a material adverse effect on our business, prospects, results of operations and financial condition. These laws can give rise to liability for administrative oversight costs, cleanup costs, property damage, bodily injury, fines and penalties. Capital and operating expenses needed to comply with environmental laws and regulations can be significant, and violations could result in substantial fines and penalties, third-party damages, suspension of production or a cessation of our operations.</w:t>
      </w:r>
    </w:p>
    <w:p>
      <w:pPr>
        <w:spacing w:after="0" w:line="181"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231F20"/>
        </w:rPr>
        <w:t>Contamination at properties we own or operate, properties we formerly owned or operated or properties to which we sent hazardous substances may result in liability for us under environmental laws and regulations, including, but not limited to, the Comprehensive Environmental Response, Compensation and Liability Act, which can impose liability for the full amount of remediation-related costs without regard to fault, for the investigation and cleanup of contaminated soil and ground water, for building contamination and impacts to human health and for damages to natural resources. The costs of complying with environmental laws and regulations and any claims concerning noncompliance, or liability with respect to contamination in the future, could have a material adverse effect on our financial condition or results of operations.</w:t>
      </w:r>
    </w:p>
    <w:p>
      <w:pPr>
        <w:spacing w:after="0" w:line="178" w:lineRule="exact"/>
        <w:rPr>
          <w:sz w:val="20"/>
          <w:szCs w:val="20"/>
          <w:color w:val="auto"/>
        </w:rPr>
      </w:pPr>
    </w:p>
    <w:p>
      <w:pPr>
        <w:jc w:val="both"/>
        <w:ind w:right="60"/>
        <w:spacing w:after="0" w:line="287" w:lineRule="auto"/>
        <w:rPr>
          <w:sz w:val="20"/>
          <w:szCs w:val="20"/>
          <w:color w:val="auto"/>
        </w:rPr>
      </w:pPr>
      <w:r>
        <w:rPr>
          <w:rFonts w:ascii="Arial" w:cs="Arial" w:eastAsia="Arial" w:hAnsi="Arial"/>
          <w:sz w:val="16"/>
          <w:szCs w:val="16"/>
          <w:color w:val="231F20"/>
        </w:rPr>
        <w:t>Our operations are also subject to federal, state, and local workplace safety laws and regulations, including, but not limited to, the Occupational Health and Safety Act, which require compliance with various workplace safety requirements, including requirements related to environmental safety. These laws and regulations can give rise to liability for oversight costs, compliance costs, bodily injury (including workers’ compensation), fines, and penalties.</w:t>
      </w:r>
    </w:p>
    <w:p>
      <w:pPr>
        <w:spacing w:after="0" w:line="2" w:lineRule="exact"/>
        <w:rPr>
          <w:sz w:val="20"/>
          <w:szCs w:val="20"/>
          <w:color w:val="auto"/>
        </w:rPr>
      </w:pPr>
    </w:p>
    <w:p>
      <w:pPr>
        <w:jc w:val="both"/>
        <w:ind w:right="260"/>
        <w:spacing w:after="0" w:line="277" w:lineRule="auto"/>
        <w:rPr>
          <w:sz w:val="20"/>
          <w:szCs w:val="20"/>
          <w:color w:val="auto"/>
        </w:rPr>
      </w:pPr>
      <w:r>
        <w:rPr>
          <w:rFonts w:ascii="Arial" w:cs="Arial" w:eastAsia="Arial" w:hAnsi="Arial"/>
          <w:sz w:val="17"/>
          <w:szCs w:val="17"/>
          <w:color w:val="231F20"/>
        </w:rPr>
        <w:t>Additionally, non-compliance could result in delay or suspension of production or cessation of operations. The costs required to comply with workplace safety laws can be significant, and non-compliance could adversely affect our production or other operations, including with respect to the production of Lucid Air, which could have a material adverse effect on our business, prospects and results of operations.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ADAS technology is subject to uncertain and evolving regulations.</w:t>
      </w:r>
    </w:p>
    <w:p>
      <w:pPr>
        <w:spacing w:after="0" w:line="225"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231F20"/>
        </w:rPr>
        <w:t>We expect to introduce certain ADAS technologies into our vehicles over time. ADAS technology is subject to considerable regulatory uncertainty as the law evolves to catch up with the rapidly evolving nature of the technology itself, all of which is beyond our control. There is a variety of international, federal and state regulations that may apply to self-driving and driver-assisted vehicles, which include many existing vehicle standards that assume a human driver will be controlling the vehicle at all times. There are currently no federal U.S. regulations pertaining to the safety of self-driving vehicles; however, NHTSA has established recommended guidelines. Certain states have legal restrictions on self-driving vehicles, and many other states are considering them. In Europe, certain vehicle safety regulations apply to self-driving braking and steering systems, and certain treaties also restrict the legality of certain higher levels of self-driving vehicles. Self-driving laws and regulations are expected to continue to evolve in numerous jurisdictions in the United States and foreign countries, which increases the likelihood of a patchwork of complex or conflicting regulations or may delay products or restrict self-driving features and availability, which could adversely affect our business. Our vehicles may not achieve compliance with the regulatory requirements in some countries or jurisdictions for certification and rollout to consumers or satisfy changing regulatory requirements which could require us to redesign, modify or update our ADAS hardware and related software systems. Any such requirements or limitations could impose significant expense or delays and could harm our competitive position, which could adversely affect our business, prospects, results of operations and financial condition.</w:t>
      </w:r>
    </w:p>
    <w:p>
      <w:pPr>
        <w:spacing w:after="0" w:line="168"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231F20"/>
        </w:rPr>
        <w:t>We are subject to U.S. and foreign anti-corruption, anti-money laundering and anti-boycott laws and regulations. We can face criminal liability and other serious consequences for violations, which can harm our business.</w:t>
      </w:r>
    </w:p>
    <w:p>
      <w:pPr>
        <w:spacing w:after="0" w:line="170" w:lineRule="exact"/>
        <w:rPr>
          <w:sz w:val="20"/>
          <w:szCs w:val="20"/>
          <w:color w:val="auto"/>
        </w:rPr>
      </w:pPr>
    </w:p>
    <w:p>
      <w:pPr>
        <w:spacing w:after="0" w:line="254" w:lineRule="auto"/>
        <w:rPr>
          <w:sz w:val="20"/>
          <w:szCs w:val="20"/>
          <w:color w:val="auto"/>
        </w:rPr>
      </w:pPr>
      <w:r>
        <w:rPr>
          <w:rFonts w:ascii="Arial" w:cs="Arial" w:eastAsia="Arial" w:hAnsi="Arial"/>
          <w:sz w:val="18"/>
          <w:szCs w:val="18"/>
          <w:color w:val="231F20"/>
        </w:rPr>
        <w:t>We are subject to the U.S. Foreign Corrupt Practices Act of 1977, as amended, the U.S. domestic bribery statute contained in 18 U.S.C. § 201, the U.S. Travel Act, the USA PATRIOT Act and possibly other anti-bribery and anti-money laundering laws in countries in which we expect to conduct activities. Anti-corruption laws are interpreted broadly and prohibit companies and their employees, agents, contractors and other collaborators from authorizing, promising, offering or providing, directly or indirectly, improper payments or anything else of value to recipients in the public or private sector. We can be held liable for the corrupt or other illegal activities of our employees, agents, contractors and other collaborators, even if we do not explicitly authorize or have actual knowledge of such activities. 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53" w:name="page54"/>
    <w:bookmarkEnd w:id="53"/>
    <w:p>
      <w:pPr>
        <w:spacing w:after="0"/>
        <w:rPr>
          <w:sz w:val="20"/>
          <w:szCs w:val="20"/>
          <w:color w:val="auto"/>
        </w:rPr>
      </w:pPr>
      <w:r>
        <w:rPr>
          <w:rFonts w:ascii="Arial" w:cs="Arial" w:eastAsia="Arial" w:hAnsi="Arial"/>
          <w:sz w:val="16"/>
          <w:szCs w:val="16"/>
          <w:b w:val="1"/>
          <w:bCs w:val="1"/>
          <w:i w:val="1"/>
          <w:iCs w:val="1"/>
          <w:color w:val="231F20"/>
        </w:rPr>
        <w:t>We are subject to governmental export and import controls and laws that could subject us to liability if we are not in compliance with such laws.</w:t>
      </w:r>
    </w:p>
    <w:p>
      <w:pPr>
        <w:spacing w:after="0" w:line="248"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231F20"/>
        </w:rPr>
        <w:t>Our vehicles and the equipment we use are subject to export control, import and economic sanctions laws and regulations, including the U.S. Export Administration Regulations, U.S. Customs regulations and various economic and trade sanctions regulations administered by the U.S. Treasury Department’s Office of Foreign Assets Control. Exports of our vehicles and technology must be made in compliance with these laws and regulations. If we fail to comply with these laws and regulations, we and certain of our employees could be subject to substantial civil or criminal penalties, including the possible loss of export or import privileges; fines, which may be imposed on us and responsible employees or managers; and, in extreme cases, the incarceration of responsible employees or managers. In addition, we may in the future establish international operations for the reassembly or manufacture of our vehicles, which could subject us to additional constraints under applicable export and import controls and laws.</w:t>
      </w:r>
    </w:p>
    <w:p>
      <w:pPr>
        <w:spacing w:after="0" w:line="177"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231F20"/>
        </w:rPr>
        <w:t>In addition, changes to our vehicles, or changes in applicable export control, import or economic sanctions laws and regulations, may create delays in the introduction and sale of our vehicles and solutions or, in some cases, prevent the export or import of our vehicles to certain countries, governments, or persons altogether. Any change in export, import, or economic sanctions laws and regulations, shift in the enforcement or scope of existing laws and regulations or change in the countries, governments, persons or technologies targeted by such laws and regulations could also result in decreased use of our vehicles, as well decreasing our ability to export or market our vehicles to potential customers. Any decreased use of our vehicles or limitation on our ability to export or market our vehicles could adversely affect our business, prospects, results of operations and financial condition.</w:t>
      </w:r>
    </w:p>
    <w:p>
      <w:pPr>
        <w:spacing w:after="0" w:line="164"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231F20"/>
        </w:rPr>
        <w:t>Changes in U.S. trade policy, including the imposition of tariffs or revocation of normal trade relations and the resulting consequences, could adversely affect our business, prospects, results of operations and financial condition.</w:t>
      </w:r>
    </w:p>
    <w:p>
      <w:pPr>
        <w:spacing w:after="0" w:line="170"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231F20"/>
        </w:rPr>
        <w:t>The U.S. government has adopted an evolving approach to trade policy and in some cases has attempted to renegotiate or terminate certain existing bilateral or multi-lateral trade agreements. It has also imposed tariffs on certain foreign goods, including steel and certain vehicle parts, which have resulted in increased costs for goods imported into the United States. In response to these tariffs, a number of U.S. trading partners have imposed retaliatory tariffs on a wide range of U.S. products, which could make it costlier for us to export our vehicles to those countries. If we are unable to pass the costs of such tariffs on to our customer base or otherwise mitigate such costs, or if demand for our exported vehicles decreases due to the higher cost, our results of operations could be materially adversely affected. In addition, further tariffs have been proposed by the United States and its trading partners, and additional trade restrictions could be implemented on a broad range of products or raw materials. The resulting environment of retaliatory trade or other practices could harm our ability to obtain necessary inputs or sell our vehicles at prices customers are willing to pay, which could have a material adverse effect on our business, prospects, results of operations and financial condition.</w:t>
      </w:r>
    </w:p>
    <w:p>
      <w:pPr>
        <w:spacing w:after="0" w:line="181"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 xml:space="preserve">In December 2021, the United States adopted the Uyghur Forced Labor Prevention Act (“UFLPA”) which creates a rebuttable presumption that any goods, wares, articles, and merchandise mined, produced, or manufactured in whole or in part in the Xinjiang Uyghur Administrative Region of China or that are produced by certain entities are prohibited from importation into the United States and are not entitled to entry. These import restrictions came into effect on June 21, 2022. While we are not presently aware of any direct impacts these restrictions will have on its supply chain, the UFLPA may materially and negatively impact our ability to import the goods and products we rely on to manufacture our products and operate our business. The UFLPA may further impact our supply chain and costs of goods as it may restrict the available supply of goods and products eligible for importation into the United States, including among other things, electronics assemblies, extractives (including coal, copper, hydrocarbons, oil, uranium, and zinc), textiles and fabrics (in particular, cotton) and renewable energy products (including polysilicon, ingots, wafers, crystalline silicon solar cells, and crystalline silicon solar photovoltaic modules). The full potential impact to us of the UFLPA remains uncertain </w:t>
      </w:r>
      <w:r>
        <w:rPr>
          <w:rFonts w:ascii="Arial" w:cs="Arial" w:eastAsia="Arial" w:hAnsi="Arial"/>
          <w:sz w:val="17"/>
          <w:szCs w:val="17"/>
          <w:color w:val="231F20"/>
        </w:rPr>
        <w:t>and could have an adverse effect on our business and results of</w:t>
      </w:r>
      <w:r>
        <w:rPr>
          <w:rFonts w:ascii="Arial" w:cs="Arial" w:eastAsia="Arial" w:hAnsi="Arial"/>
          <w:sz w:val="17"/>
          <w:szCs w:val="17"/>
          <w:color w:val="auto"/>
        </w:rPr>
        <w:t xml:space="preserve"> </w:t>
      </w:r>
      <w:r>
        <w:rPr>
          <w:rFonts w:ascii="Arial" w:cs="Arial" w:eastAsia="Arial" w:hAnsi="Arial"/>
          <w:sz w:val="17"/>
          <w:szCs w:val="17"/>
          <w:color w:val="231F20"/>
        </w:rPr>
        <w:t>operations</w:t>
      </w:r>
      <w:r>
        <w:rPr>
          <w:rFonts w:ascii="Arial" w:cs="Arial" w:eastAsia="Arial" w:hAnsi="Arial"/>
          <w:sz w:val="17"/>
          <w:szCs w:val="17"/>
          <w:color w:val="000000"/>
        </w:rPr>
        <w:t>.</w:t>
      </w:r>
    </w:p>
    <w:p>
      <w:pPr>
        <w:spacing w:after="0" w:line="185"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In 2022, in response to actions taken by the Russia against Ukraine, the United States and other countries around the world undertook rapidly evolving and escalating campaigns targeting Russia and Belarus, and Russian and Belarussian entities and persons, with significant new economic sanctions designations and embargoes, financial restrictions, trade controls and other government restrictions.</w:t>
      </w:r>
    </w:p>
    <w:p>
      <w:pPr>
        <w:spacing w:after="0" w:line="184"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Although we are not aware of any company-related operations or activities in these jurisdictions, these economic sanctions and other laws and regulations could disrupt our supply chains, impair our ability to compete in current or future markets, or otherwise subject us to potential liability. While we have implemented certain procedures to facilitate compliance with applicable laws and regulations in connection with the growing sanctions and trade control programs around the globe related to Russia and Belarus, we cannot be assured that these procedures are always effective or that we, or third parties, many of whom we do not control, have complied with all laws or regulations in this regard. Failure by our employees, representatives, contractors, agents, intermediaries, or other third parties to comply with applicable laws and regulations could also have negative consequences for us, including reputational harm, government investigations, loss of export privileges, and penalties or fines. These economic sanctions and other restrictions continue to evolve, and the long-term potential impact on our operations and business is still unclear.</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54" w:name="page55"/>
    <w:bookmarkEnd w:id="54"/>
    <w:p>
      <w:pPr>
        <w:ind w:right="60"/>
        <w:spacing w:after="0" w:line="257" w:lineRule="auto"/>
        <w:rPr>
          <w:sz w:val="20"/>
          <w:szCs w:val="20"/>
          <w:color w:val="auto"/>
        </w:rPr>
      </w:pPr>
      <w:r>
        <w:rPr>
          <w:rFonts w:ascii="Arial" w:cs="Arial" w:eastAsia="Arial" w:hAnsi="Arial"/>
          <w:sz w:val="18"/>
          <w:szCs w:val="18"/>
          <w:color w:val="auto"/>
        </w:rPr>
        <w:t>In addition, the United States enacted federal legislation that revokes normal trade relations between Russia and Belarus. As a result of this and executive action increasing import duty rates on certain Russia-origin products, imports of merchandise that is of Russian- or Belarussian-origin are subject to potentially higher import duty rates. To the extent such merchandise is found in our cross-border supply chains and subject to higher duties, the suspension of normal trade relations with Russian and Belarus could increase our input costs, which could have adverse impacts on our business and financial condition.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A failure to properly comply with foreign trade zone laws and regulations could increase the cost of our duties and tariffs.</w:t>
      </w:r>
    </w:p>
    <w:p>
      <w:pPr>
        <w:spacing w:after="0" w:line="225"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231F20"/>
        </w:rPr>
        <w:t>We have established a foreign trade zone with respect to certain of our facilities in Casa Grande, Arizona, through qualification with U.S. Customs and Border Protection. Materials received in a foreign trade zone are not subject to certain U.S. duties or tariffs until the material enters U.S. commerce. We expect to benefit from the adoption of a foreign trade zone by reduced duties, deferral of certain duties and tariffs, and reduced processing fees, which we expect to help us realize a reduction in duty and tariff costs. However, the operation of our foreign trade zone requires compliance with applicable regulations, including with respect to the physical security of the foreign trade zone, and continued support of U.S. Customs and Border Protection with respect to the foreign trade zone program. If we are unable to maintain the qualification of our foreign trade zone, or if foreign trade zones are limited or unavailable to us in the future, our duty and tariff costs could increase, which could have an adverse effect on our business and results of operations.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Risks Related to Intellectual Property</w:t>
      </w:r>
    </w:p>
    <w:p>
      <w:pPr>
        <w:spacing w:after="0" w:line="229"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b w:val="1"/>
          <w:bCs w:val="1"/>
          <w:i w:val="1"/>
          <w:iCs w:val="1"/>
          <w:color w:val="231F20"/>
        </w:rPr>
        <w:t>We may fail to adequately obtain, maintain, enforce and protect our intellectual property and may not be able to prevent third parties from unauthorized use of our intellectual property and proprietary technology. If we are unsuccessful in any of the foregoing, our competitive position could be harmed and we could be required to incur significant expenses to enforce our rights.</w:t>
      </w:r>
    </w:p>
    <w:p>
      <w:pPr>
        <w:spacing w:after="0" w:line="184" w:lineRule="exact"/>
        <w:rPr>
          <w:sz w:val="20"/>
          <w:szCs w:val="20"/>
          <w:color w:val="auto"/>
        </w:rPr>
      </w:pPr>
    </w:p>
    <w:p>
      <w:pPr>
        <w:spacing w:after="0" w:line="269" w:lineRule="auto"/>
        <w:rPr>
          <w:sz w:val="20"/>
          <w:szCs w:val="20"/>
          <w:color w:val="auto"/>
        </w:rPr>
      </w:pPr>
      <w:r>
        <w:rPr>
          <w:rFonts w:ascii="Arial" w:cs="Arial" w:eastAsia="Arial" w:hAnsi="Arial"/>
          <w:sz w:val="17"/>
          <w:szCs w:val="17"/>
          <w:color w:val="231F20"/>
        </w:rPr>
        <w:t>Our ability to compete effectively is dependent in part upon our ability to obtain, maintain, enforce and protect our intellectual property and proprietary technology, but we may not be able to prevent third parties from unauthorized use of our intellectual property and proprietary technology, which could harm our business and competitive position. We establish and protect our intellectual property and proprietary technology through a combination of licensing agreements, third-party nondisclosure and confidentiality agreements and other contractual rights, as well as through patent, trademark, copyright and trade secret laws in the United States and other jurisdictions. Monitoring unauthorized use of our intellectual property is costly and challenging, and the steps we have taken or will take to prevent misappropriation may not be successful. Despite our efforts to obtain and protect intellectual property rights, there can be no assurance that these protections will be available in all cases or will be adequate to prevent our competitors or other third parties from copying, reverse engineering or otherwise obtaining and using our technology or products or seeking court declarations that they do not infringe, misappropriate or otherwise violate our intellectual property. Failure to adequately obtain, maintain, enforce and protect our intellectual property could result in our competitors offering identical or similar products, potentially resulting in the loss of our competitive advantage and a decrease in our revenue which would adversely affect our business, prospects, financial condition and results of operations.</w:t>
      </w:r>
    </w:p>
    <w:p>
      <w:pPr>
        <w:spacing w:after="0" w:line="18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231F20"/>
        </w:rPr>
        <w:t>The measures we take to obtain, maintain, protect and enforce our intellectual property, including preventing unauthorized use by third parties, may not be effective for various reasons, including the following:</w:t>
      </w:r>
    </w:p>
    <w:p>
      <w:pPr>
        <w:spacing w:after="0" w:line="62"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18"/>
          <w:szCs w:val="18"/>
          <w:color w:val="231F20"/>
        </w:rPr>
      </w:pPr>
      <w:r>
        <w:rPr>
          <w:rFonts w:ascii="Arial" w:cs="Arial" w:eastAsia="Arial" w:hAnsi="Arial"/>
          <w:sz w:val="18"/>
          <w:szCs w:val="18"/>
          <w:color w:val="231F20"/>
        </w:rPr>
        <w:t>any trademark or patent applications we file may not result in the issuance of trademarks or patents;</w:t>
      </w:r>
    </w:p>
    <w:p>
      <w:pPr>
        <w:spacing w:after="0" w:line="117" w:lineRule="exact"/>
        <w:rPr>
          <w:rFonts w:ascii="Arial" w:cs="Arial" w:eastAsia="Arial" w:hAnsi="Arial"/>
          <w:sz w:val="18"/>
          <w:szCs w:val="18"/>
          <w:color w:val="231F20"/>
        </w:rPr>
      </w:pPr>
    </w:p>
    <w:p>
      <w:pPr>
        <w:ind w:left="660" w:right="240" w:hanging="328"/>
        <w:spacing w:after="0" w:line="277" w:lineRule="auto"/>
        <w:tabs>
          <w:tab w:leader="none" w:pos="655" w:val="left"/>
        </w:tabs>
        <w:numPr>
          <w:ilvl w:val="0"/>
          <w:numId w:val="30"/>
        </w:numPr>
        <w:rPr>
          <w:rFonts w:ascii="Arial" w:cs="Arial" w:eastAsia="Arial" w:hAnsi="Arial"/>
          <w:sz w:val="18"/>
          <w:szCs w:val="18"/>
          <w:color w:val="231F20"/>
        </w:rPr>
      </w:pPr>
      <w:r>
        <w:rPr>
          <w:rFonts w:ascii="Arial" w:cs="Arial" w:eastAsia="Arial" w:hAnsi="Arial"/>
          <w:sz w:val="18"/>
          <w:szCs w:val="18"/>
          <w:color w:val="231F20"/>
        </w:rPr>
        <w:t>we may not be the first inventor of the subject matter to which we have filed a particular patent application, and we may not be the first party to file such a patent application;</w:t>
      </w:r>
    </w:p>
    <w:p>
      <w:pPr>
        <w:spacing w:after="0" w:line="62" w:lineRule="exact"/>
        <w:rPr>
          <w:rFonts w:ascii="Arial" w:cs="Arial" w:eastAsia="Arial" w:hAnsi="Arial"/>
          <w:sz w:val="18"/>
          <w:szCs w:val="18"/>
          <w:color w:val="231F20"/>
        </w:rPr>
      </w:pPr>
    </w:p>
    <w:p>
      <w:pPr>
        <w:ind w:left="660" w:right="140" w:hanging="328"/>
        <w:spacing w:after="0" w:line="277" w:lineRule="auto"/>
        <w:tabs>
          <w:tab w:leader="none" w:pos="655" w:val="left"/>
        </w:tabs>
        <w:numPr>
          <w:ilvl w:val="0"/>
          <w:numId w:val="30"/>
        </w:numPr>
        <w:rPr>
          <w:rFonts w:ascii="Arial" w:cs="Arial" w:eastAsia="Arial" w:hAnsi="Arial"/>
          <w:sz w:val="18"/>
          <w:szCs w:val="18"/>
          <w:color w:val="231F20"/>
        </w:rPr>
      </w:pPr>
      <w:r>
        <w:rPr>
          <w:rFonts w:ascii="Arial" w:cs="Arial" w:eastAsia="Arial" w:hAnsi="Arial"/>
          <w:sz w:val="18"/>
          <w:szCs w:val="18"/>
          <w:color w:val="231F20"/>
        </w:rPr>
        <w:t>the claims under any of our issued patents may not be broad enough to (i) protect our inventions and proprietary technology nor (ii) prevent third parties from creating, developing, or implementing technologies that are similar to ours or offer similar performance;</w:t>
      </w:r>
    </w:p>
    <w:p>
      <w:pPr>
        <w:spacing w:after="0" w:line="62" w:lineRule="exact"/>
        <w:rPr>
          <w:rFonts w:ascii="Arial" w:cs="Arial" w:eastAsia="Arial" w:hAnsi="Arial"/>
          <w:sz w:val="18"/>
          <w:szCs w:val="18"/>
          <w:color w:val="231F20"/>
        </w:rPr>
      </w:pPr>
    </w:p>
    <w:p>
      <w:pPr>
        <w:ind w:left="660" w:hanging="328"/>
        <w:spacing w:after="0"/>
        <w:tabs>
          <w:tab w:leader="none" w:pos="660" w:val="left"/>
        </w:tabs>
        <w:numPr>
          <w:ilvl w:val="0"/>
          <w:numId w:val="30"/>
        </w:numPr>
        <w:rPr>
          <w:rFonts w:ascii="Arial" w:cs="Arial" w:eastAsia="Arial" w:hAnsi="Arial"/>
          <w:sz w:val="18"/>
          <w:szCs w:val="18"/>
          <w:color w:val="231F20"/>
        </w:rPr>
      </w:pPr>
      <w:r>
        <w:rPr>
          <w:rFonts w:ascii="Arial" w:cs="Arial" w:eastAsia="Arial" w:hAnsi="Arial"/>
          <w:sz w:val="18"/>
          <w:szCs w:val="18"/>
          <w:color w:val="231F20"/>
        </w:rPr>
        <w:t>our issued patents may be challenged or invalidated by our competitors or other third parties;</w:t>
      </w:r>
    </w:p>
    <w:p>
      <w:pPr>
        <w:spacing w:after="0" w:line="117" w:lineRule="exact"/>
        <w:rPr>
          <w:rFonts w:ascii="Arial" w:cs="Arial" w:eastAsia="Arial" w:hAnsi="Arial"/>
          <w:sz w:val="18"/>
          <w:szCs w:val="18"/>
          <w:color w:val="231F20"/>
        </w:rPr>
      </w:pPr>
    </w:p>
    <w:p>
      <w:pPr>
        <w:ind w:left="660" w:right="300" w:hanging="328"/>
        <w:spacing w:after="0" w:line="277" w:lineRule="auto"/>
        <w:tabs>
          <w:tab w:leader="none" w:pos="655" w:val="left"/>
        </w:tabs>
        <w:numPr>
          <w:ilvl w:val="0"/>
          <w:numId w:val="30"/>
        </w:numPr>
        <w:rPr>
          <w:rFonts w:ascii="Arial" w:cs="Arial" w:eastAsia="Arial" w:hAnsi="Arial"/>
          <w:sz w:val="18"/>
          <w:szCs w:val="18"/>
          <w:color w:val="231F20"/>
        </w:rPr>
      </w:pPr>
      <w:r>
        <w:rPr>
          <w:rFonts w:ascii="Arial" w:cs="Arial" w:eastAsia="Arial" w:hAnsi="Arial"/>
          <w:sz w:val="18"/>
          <w:szCs w:val="18"/>
          <w:color w:val="231F20"/>
        </w:rPr>
        <w:t>patents have a finite term, and competitors and other third parties may offer identical or similar products after the expiration of our patents that cover such products;</w:t>
      </w:r>
    </w:p>
    <w:p>
      <w:pPr>
        <w:spacing w:after="0" w:line="62" w:lineRule="exact"/>
        <w:rPr>
          <w:rFonts w:ascii="Arial" w:cs="Arial" w:eastAsia="Arial" w:hAnsi="Arial"/>
          <w:sz w:val="18"/>
          <w:szCs w:val="18"/>
          <w:color w:val="231F20"/>
        </w:rPr>
      </w:pPr>
    </w:p>
    <w:p>
      <w:pPr>
        <w:ind w:left="660" w:hanging="328"/>
        <w:spacing w:after="0"/>
        <w:tabs>
          <w:tab w:leader="none" w:pos="660" w:val="left"/>
        </w:tabs>
        <w:numPr>
          <w:ilvl w:val="0"/>
          <w:numId w:val="30"/>
        </w:numPr>
        <w:rPr>
          <w:rFonts w:ascii="Arial" w:cs="Arial" w:eastAsia="Arial" w:hAnsi="Arial"/>
          <w:sz w:val="18"/>
          <w:szCs w:val="18"/>
          <w:color w:val="231F20"/>
        </w:rPr>
      </w:pPr>
      <w:r>
        <w:rPr>
          <w:rFonts w:ascii="Arial" w:cs="Arial" w:eastAsia="Arial" w:hAnsi="Arial"/>
          <w:sz w:val="18"/>
          <w:szCs w:val="18"/>
          <w:color w:val="231F20"/>
        </w:rPr>
        <w:t>our employees, contractors or business partners may breach their confidentiality, non-disclosure and non-use obligations;</w:t>
      </w:r>
    </w:p>
    <w:p>
      <w:pPr>
        <w:spacing w:after="0" w:line="117" w:lineRule="exact"/>
        <w:rPr>
          <w:rFonts w:ascii="Arial" w:cs="Arial" w:eastAsia="Arial" w:hAnsi="Arial"/>
          <w:sz w:val="18"/>
          <w:szCs w:val="18"/>
          <w:color w:val="231F20"/>
        </w:rPr>
      </w:pPr>
    </w:p>
    <w:p>
      <w:pPr>
        <w:ind w:left="660" w:hanging="328"/>
        <w:spacing w:after="0"/>
        <w:tabs>
          <w:tab w:leader="none" w:pos="660" w:val="left"/>
        </w:tabs>
        <w:numPr>
          <w:ilvl w:val="0"/>
          <w:numId w:val="30"/>
        </w:numPr>
        <w:rPr>
          <w:rFonts w:ascii="Arial" w:cs="Arial" w:eastAsia="Arial" w:hAnsi="Arial"/>
          <w:sz w:val="18"/>
          <w:szCs w:val="18"/>
          <w:color w:val="231F20"/>
        </w:rPr>
      </w:pPr>
      <w:r>
        <w:rPr>
          <w:rFonts w:ascii="Arial" w:cs="Arial" w:eastAsia="Arial" w:hAnsi="Arial"/>
          <w:sz w:val="18"/>
          <w:szCs w:val="18"/>
          <w:color w:val="231F20"/>
        </w:rPr>
        <w:t>competitors and other third parties may independently develop technologies that are the same or similar to ours;</w:t>
      </w:r>
    </w:p>
    <w:p>
      <w:pPr>
        <w:spacing w:after="0" w:line="117" w:lineRule="exact"/>
        <w:rPr>
          <w:rFonts w:ascii="Arial" w:cs="Arial" w:eastAsia="Arial" w:hAnsi="Arial"/>
          <w:sz w:val="18"/>
          <w:szCs w:val="18"/>
          <w:color w:val="231F20"/>
        </w:rPr>
      </w:pPr>
    </w:p>
    <w:p>
      <w:pPr>
        <w:ind w:left="660" w:hanging="328"/>
        <w:spacing w:after="0"/>
        <w:tabs>
          <w:tab w:leader="none" w:pos="660" w:val="left"/>
        </w:tabs>
        <w:numPr>
          <w:ilvl w:val="0"/>
          <w:numId w:val="30"/>
        </w:numPr>
        <w:rPr>
          <w:rFonts w:ascii="Arial" w:cs="Arial" w:eastAsia="Arial" w:hAnsi="Arial"/>
          <w:sz w:val="17"/>
          <w:szCs w:val="17"/>
          <w:color w:val="231F20"/>
        </w:rPr>
      </w:pPr>
      <w:r>
        <w:rPr>
          <w:rFonts w:ascii="Arial" w:cs="Arial" w:eastAsia="Arial" w:hAnsi="Arial"/>
          <w:sz w:val="17"/>
          <w:szCs w:val="17"/>
          <w:color w:val="231F20"/>
        </w:rPr>
        <w:t>the intellectual property rights of others could also bar us from licensing and exploiting any patents that issue from our pending applications;</w:t>
      </w:r>
    </w:p>
    <w:p>
      <w:pPr>
        <w:spacing w:after="0" w:line="128" w:lineRule="exact"/>
        <w:rPr>
          <w:rFonts w:ascii="Arial" w:cs="Arial" w:eastAsia="Arial" w:hAnsi="Arial"/>
          <w:sz w:val="17"/>
          <w:szCs w:val="17"/>
          <w:color w:val="231F20"/>
        </w:rPr>
      </w:pPr>
    </w:p>
    <w:p>
      <w:pPr>
        <w:ind w:left="660" w:right="80" w:hanging="328"/>
        <w:spacing w:after="0" w:line="277"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231F20"/>
        </w:rPr>
        <w:t>the costs associated with enforcing patents or other intellectual property rights, or confidentiality and invention assignment agreements may make enforcement impracticable; and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231F20"/>
        </w:rPr>
      </w:pPr>
      <w:r>
        <w:rPr>
          <w:rFonts w:ascii="Arial" w:cs="Arial" w:eastAsia="Arial" w:hAnsi="Arial"/>
          <w:sz w:val="18"/>
          <w:szCs w:val="18"/>
          <w:color w:val="231F20"/>
        </w:rPr>
        <w:t>competitors and other third parties may circumvent or otherwise design around our patents or other intellectual property.</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9" w:right="359" w:bottom="1440" w:gutter="0" w:footer="0" w:header="0"/>
        </w:sectPr>
      </w:pPr>
    </w:p>
    <w:bookmarkStart w:id="55" w:name="page56"/>
    <w:bookmarkEnd w:id="55"/>
    <w:p>
      <w:pPr>
        <w:ind w:right="80"/>
        <w:spacing w:after="0" w:line="254" w:lineRule="auto"/>
        <w:rPr>
          <w:sz w:val="20"/>
          <w:szCs w:val="20"/>
          <w:color w:val="auto"/>
        </w:rPr>
      </w:pPr>
      <w:r>
        <w:rPr>
          <w:rFonts w:ascii="Arial" w:cs="Arial" w:eastAsia="Arial" w:hAnsi="Arial"/>
          <w:sz w:val="18"/>
          <w:szCs w:val="18"/>
          <w:color w:val="231F20"/>
        </w:rPr>
        <w:t>Patent, trademark, copyright and trade secret laws vary significantly throughout the world. The laws of some foreign countries, including countries in which our products are sold, may not be as protective of intellectual property rights as those in the United States, and mechanisms for obtaining and enforcing intellectual property rights may be inadequate. Therefore, our intellectual property may not be as strong or as easily obtained or enforced outside of the United States. Further, policing the unauthorized use of our intellectual property in foreign jurisdictions may be difficult. In addition, third parties may seek to challenge, invalidate or circumvent our patents, trademarks, copyrights, trade secrets or other intellectual property, or applications for any of the foregoing, which could permit our competitors or other third parties to develop and commercialize products and technologies that are the same or similar to ours.</w:t>
      </w:r>
    </w:p>
    <w:p>
      <w:pPr>
        <w:spacing w:after="0" w:line="19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231F20"/>
        </w:rPr>
        <w:t>While we have registered and applied for trademarks in an effort to protect our brand and goodwill with customers, competitors or other third parties have in the past and may in the future oppose our trademark applications or otherwise challenge our use of the trademarks and other brand names in which we have invested. Such oppositions and challenges can be expensive and may adversely affect our ability to maintain the goodwill gained in connection with a particular trademark. In addition, we may lose our trademark rights if we are unable to submit specimens of use by the applicable deadline to perfect such trademark rights.</w:t>
      </w:r>
    </w:p>
    <w:p>
      <w:pPr>
        <w:spacing w:after="0" w:line="188"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231F20"/>
        </w:rPr>
        <w:t>It is our policy to enter into confidentiality and invention assignment agreements with our employees and contractors that have developed material intellectual property for us, but these agreements may not be self-executing and may not otherwise adequately protect our intellectual property, particularly with respect to conflicts of ownership relating to work product generated by the employees and contractors. Furthermore, we cannot be certain that these agreements will not be breached and that third parties will not gain access to our trade secrets, know-how and other proprietary technology. Third parties may also independently develop the same or substantially similar proprietary technology. Monitoring unauthorized use of our intellectual property is difficult and costly, as are the steps we have taken or will take to prevent misappropriation.</w:t>
      </w:r>
    </w:p>
    <w:p>
      <w:pPr>
        <w:spacing w:after="0" w:line="178"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231F20"/>
        </w:rPr>
        <w:t>We have licensed and plan to further license patents and other intellectual property from third parties, including, but not limited to, suppliers and service providers, and we may face claims that our use of this in-licensed technology infringes, misappropriates or otherwise violates the intellectual property rights of third parties. In such cases, we will seek indemnification from our licensors. However, our rights to indemnification may be unavailable or insufficient to cover our costs and losses. Furthermore, disputes may arise with our licensors regarding the intellectual property subject to, and any of our rights and obligations under, any license or other commercial agreement.</w:t>
      </w:r>
    </w:p>
    <w:p>
      <w:pPr>
        <w:spacing w:after="0" w:line="188"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231F20"/>
        </w:rPr>
        <w:t>To prevent unauthorized use of our intellectual property, it may be necessary to prosecute actions for infringement, misappropriation or other violation of our intellectual property against third parties. Any such action could result in significant costs and diversion of our resources and management’s attention, and there can be no assurance that we will be successful in any such action. Furthermore, many of our current and potential competitors have the ability to dedicate substantially greater resources to enforce their intellectual property rights than we do. Accordingly, despite our efforts, we may not be able to prevent third parties from infringing, misappropriating or otherwise violating our intellectual property. Any of the foregoing could adversely affect our business, prospects, financial condition and results of operations.</w:t>
      </w:r>
    </w:p>
    <w:p>
      <w:pPr>
        <w:spacing w:after="0" w:line="178"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231F20"/>
        </w:rPr>
        <w:t>We may be sued by third parties for alleged infringement, misappropriation or other violation of their intellectual property, which could be time-consuming and costly and result in significant legal liability.</w:t>
      </w:r>
    </w:p>
    <w:p>
      <w:pPr>
        <w:spacing w:after="0" w:line="170" w:lineRule="exact"/>
        <w:rPr>
          <w:sz w:val="20"/>
          <w:szCs w:val="20"/>
          <w:color w:val="auto"/>
        </w:rPr>
      </w:pPr>
    </w:p>
    <w:p>
      <w:pPr>
        <w:spacing w:after="0" w:line="287" w:lineRule="auto"/>
        <w:rPr>
          <w:sz w:val="20"/>
          <w:szCs w:val="20"/>
          <w:color w:val="auto"/>
        </w:rPr>
      </w:pPr>
      <w:r>
        <w:rPr>
          <w:rFonts w:ascii="Arial" w:cs="Arial" w:eastAsia="Arial" w:hAnsi="Arial"/>
          <w:sz w:val="16"/>
          <w:szCs w:val="16"/>
          <w:color w:val="231F20"/>
        </w:rPr>
        <w:t>There are considerable issued patent, pending patent applications, and other intellectual property development, ownership, and activity in our industry. Companies, organizations and individuals, including our competitors, may hold or obtain patents, trademarks or other intellectual property that would prevent, limit or interfere with our ability to make, use, develop, sell, lease, market or otherwise exploit our vehicles, components or other technology, which could make it more difficult for us to operate our business. Our success depends in part on not infringing, misappropriating or otherwise violating the intellectual property of third parties. From time to time, we may receive communications from third parties, including our competitors, alleging that we are infringing, misappropriating or otherwise violating their intellectual property or otherwise asserting their rights and urging us to take licenses, and we may be found to be infringing, misappropriating or otherwise violating such rights. There can be no assurance that we can adequately mitigate the risk of potential suits or other legal demands by our competitors or other third parties. Accordingly, we may consider entering into licensing agreements with respect to such rights, although no assurance can be given that such licenses can be obtained on acceptable terms or at all or that litigation will not occur, and such licenses and associated litigation could significantly increase our operating expenses. We may be unaware of the intellectual property and other proprietary rights of third parties that may cover some or all of our products or technologies. Any claims or litigation could cause us to incur significant expenses and, if successfully asserted against it, could have adverse effects on our business, including requiring that it:</w:t>
      </w:r>
    </w:p>
    <w:p>
      <w:pPr>
        <w:spacing w:after="0" w:line="60" w:lineRule="exact"/>
        <w:rPr>
          <w:sz w:val="20"/>
          <w:szCs w:val="20"/>
          <w:color w:val="auto"/>
        </w:rPr>
      </w:pPr>
    </w:p>
    <w:p>
      <w:pPr>
        <w:ind w:left="660" w:hanging="328"/>
        <w:spacing w:after="0"/>
        <w:tabs>
          <w:tab w:leader="none" w:pos="660" w:val="left"/>
        </w:tabs>
        <w:numPr>
          <w:ilvl w:val="0"/>
          <w:numId w:val="31"/>
        </w:numPr>
        <w:rPr>
          <w:rFonts w:ascii="Arial" w:cs="Arial" w:eastAsia="Arial" w:hAnsi="Arial"/>
          <w:sz w:val="18"/>
          <w:szCs w:val="18"/>
          <w:color w:val="231F20"/>
        </w:rPr>
      </w:pPr>
      <w:r>
        <w:rPr>
          <w:rFonts w:ascii="Arial" w:cs="Arial" w:eastAsia="Arial" w:hAnsi="Arial"/>
          <w:sz w:val="18"/>
          <w:szCs w:val="18"/>
          <w:color w:val="231F20"/>
        </w:rPr>
        <w:t>pay substantial damages, including treble damages for willful infringement, or ongoing royalty payments;</w:t>
      </w:r>
    </w:p>
    <w:p>
      <w:pPr>
        <w:spacing w:after="0" w:line="117" w:lineRule="exact"/>
        <w:rPr>
          <w:rFonts w:ascii="Arial" w:cs="Arial" w:eastAsia="Arial" w:hAnsi="Arial"/>
          <w:sz w:val="18"/>
          <w:szCs w:val="18"/>
          <w:color w:val="231F20"/>
        </w:rPr>
      </w:pPr>
    </w:p>
    <w:p>
      <w:pPr>
        <w:ind w:left="660" w:right="60" w:hanging="328"/>
        <w:spacing w:after="0" w:line="277" w:lineRule="auto"/>
        <w:tabs>
          <w:tab w:leader="none" w:pos="655" w:val="left"/>
        </w:tabs>
        <w:numPr>
          <w:ilvl w:val="0"/>
          <w:numId w:val="31"/>
        </w:numPr>
        <w:rPr>
          <w:rFonts w:ascii="Arial" w:cs="Arial" w:eastAsia="Arial" w:hAnsi="Arial"/>
          <w:sz w:val="18"/>
          <w:szCs w:val="18"/>
          <w:color w:val="231F20"/>
        </w:rPr>
      </w:pPr>
      <w:r>
        <w:rPr>
          <w:rFonts w:ascii="Arial" w:cs="Arial" w:eastAsia="Arial" w:hAnsi="Arial"/>
          <w:sz w:val="18"/>
          <w:szCs w:val="18"/>
          <w:color w:val="231F20"/>
        </w:rPr>
        <w:t>cease developing, selling, leasing, using or incorporating certain components into vehicles or offering goods or services that incorporate or use the asserted intellectual property;</w:t>
      </w:r>
    </w:p>
    <w:p>
      <w:pPr>
        <w:spacing w:after="0" w:line="62" w:lineRule="exact"/>
        <w:rPr>
          <w:rFonts w:ascii="Arial" w:cs="Arial" w:eastAsia="Arial" w:hAnsi="Arial"/>
          <w:sz w:val="18"/>
          <w:szCs w:val="18"/>
          <w:color w:val="231F20"/>
        </w:rPr>
      </w:pPr>
    </w:p>
    <w:p>
      <w:pPr>
        <w:ind w:left="660" w:hanging="328"/>
        <w:spacing w:after="0"/>
        <w:tabs>
          <w:tab w:leader="none" w:pos="660" w:val="left"/>
        </w:tabs>
        <w:numPr>
          <w:ilvl w:val="0"/>
          <w:numId w:val="31"/>
        </w:numPr>
        <w:rPr>
          <w:rFonts w:ascii="Arial" w:cs="Arial" w:eastAsia="Arial" w:hAnsi="Arial"/>
          <w:sz w:val="18"/>
          <w:szCs w:val="18"/>
          <w:color w:val="231F20"/>
        </w:rPr>
      </w:pPr>
      <w:r>
        <w:rPr>
          <w:rFonts w:ascii="Arial" w:cs="Arial" w:eastAsia="Arial" w:hAnsi="Arial"/>
          <w:sz w:val="18"/>
          <w:szCs w:val="18"/>
          <w:color w:val="231F20"/>
        </w:rPr>
        <w:t>seek a license from the owner of the asserted intellectual property, which license may not be available on reasonable terms, or at all;</w:t>
      </w:r>
    </w:p>
    <w:p>
      <w:pPr>
        <w:spacing w:after="0" w:line="117" w:lineRule="exact"/>
        <w:rPr>
          <w:rFonts w:ascii="Arial" w:cs="Arial" w:eastAsia="Arial" w:hAnsi="Arial"/>
          <w:sz w:val="18"/>
          <w:szCs w:val="18"/>
          <w:color w:val="231F20"/>
        </w:rPr>
      </w:pPr>
    </w:p>
    <w:p>
      <w:pPr>
        <w:ind w:left="660" w:hanging="328"/>
        <w:spacing w:after="0"/>
        <w:tabs>
          <w:tab w:leader="none" w:pos="660" w:val="left"/>
        </w:tabs>
        <w:numPr>
          <w:ilvl w:val="0"/>
          <w:numId w:val="31"/>
        </w:numPr>
        <w:rPr>
          <w:rFonts w:ascii="Arial" w:cs="Arial" w:eastAsia="Arial" w:hAnsi="Arial"/>
          <w:sz w:val="18"/>
          <w:szCs w:val="18"/>
          <w:color w:val="231F20"/>
        </w:rPr>
      </w:pPr>
      <w:r>
        <w:rPr>
          <w:rFonts w:ascii="Arial" w:cs="Arial" w:eastAsia="Arial" w:hAnsi="Arial"/>
          <w:sz w:val="18"/>
          <w:szCs w:val="18"/>
          <w:color w:val="231F20"/>
        </w:rPr>
        <w:t>comply with other unfavorable terms; or</w:t>
      </w:r>
    </w:p>
    <w:p>
      <w:pPr>
        <w:spacing w:after="0" w:line="117" w:lineRule="exact"/>
        <w:rPr>
          <w:rFonts w:ascii="Arial" w:cs="Arial" w:eastAsia="Arial" w:hAnsi="Arial"/>
          <w:sz w:val="18"/>
          <w:szCs w:val="18"/>
          <w:color w:val="231F20"/>
        </w:rPr>
      </w:pPr>
    </w:p>
    <w:p>
      <w:pPr>
        <w:ind w:left="660" w:hanging="328"/>
        <w:spacing w:after="0"/>
        <w:tabs>
          <w:tab w:leader="none" w:pos="660" w:val="left"/>
        </w:tabs>
        <w:numPr>
          <w:ilvl w:val="0"/>
          <w:numId w:val="31"/>
        </w:numPr>
        <w:rPr>
          <w:rFonts w:ascii="Arial" w:cs="Arial" w:eastAsia="Arial" w:hAnsi="Arial"/>
          <w:sz w:val="18"/>
          <w:szCs w:val="18"/>
          <w:color w:val="231F20"/>
        </w:rPr>
      </w:pPr>
      <w:r>
        <w:rPr>
          <w:rFonts w:ascii="Arial" w:cs="Arial" w:eastAsia="Arial" w:hAnsi="Arial"/>
          <w:sz w:val="18"/>
          <w:szCs w:val="18"/>
          <w:color w:val="231F20"/>
        </w:rPr>
        <w:t>establish and maintain alternative branding for our products and services.</w:t>
      </w:r>
    </w:p>
    <w:p>
      <w:pPr>
        <w:sectPr>
          <w:pgSz w:w="11900" w:h="16838" w:orient="portrait"/>
          <w:cols w:equalWidth="0" w:num="1">
            <w:col w:w="11240"/>
          </w:cols>
          <w:pgMar w:left="320" w:top="989" w:right="339" w:bottom="1440" w:gutter="0" w:footer="0" w:header="0"/>
        </w:sect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type w:val="continuous"/>
        </w:sectPr>
      </w:pPr>
    </w:p>
    <w:bookmarkStart w:id="56" w:name="page57"/>
    <w:bookmarkEnd w:id="56"/>
    <w:p>
      <w:pPr>
        <w:ind w:right="20"/>
        <w:spacing w:after="0" w:line="271" w:lineRule="auto"/>
        <w:rPr>
          <w:sz w:val="20"/>
          <w:szCs w:val="20"/>
          <w:color w:val="auto"/>
        </w:rPr>
      </w:pPr>
      <w:r>
        <w:rPr>
          <w:rFonts w:ascii="Arial" w:cs="Arial" w:eastAsia="Arial" w:hAnsi="Arial"/>
          <w:sz w:val="17"/>
          <w:szCs w:val="17"/>
          <w:color w:val="231F20"/>
        </w:rPr>
        <w:t>If any of our customers or indemnitees are alleged to have infringed, misappropriated or otherwise violated any third-party intellectual property, we would in general be required to defend or settle the litigation on their behalf. In addition, if we are unable to obtain licenses or modify our products or technologies to make them non-infringing, we might have to refund a portion of license fees paid to us and terminate those agreements, which could further exhaust our resources. In addition, we may pay substantial settlement amounts or royalties on future product sales to resolve claims or litigation, whether or not legitimately or successfully asserted against us. Even if we were to prevail in the actual or potential claims or litigation against us, any claim or litigation regarding our intellectual property could be costly and time-consuming and divert the attention and resources of our management and key personnel from our business operations. Such disputes, with or without merit, could also cause potential customers to refrain from purchasing our products or otherwise cause us reputational harm and negative publicity.</w:t>
      </w:r>
    </w:p>
    <w:p>
      <w:pPr>
        <w:spacing w:after="0" w:line="178"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231F20"/>
        </w:rPr>
        <w:t>Furthermore, many of our employees were previously employed by other automotive companies or by suppliers to automotive companies, or related industries. We may be subject to claims that we or our employees have inadvertently or otherwise used or disclosed trade secrets or other proprietary information of these employees’ former employers. Litigation may be necessary to defend against these claims. If we fail in defending such claims, in addition to paying monetary damages, we may be enjoined from using certain technology, product, services, or knowledge or, we may lose valuable intellectual property or personnel. A loss of key personnel, our trade secrets, or our other work product could hamper or prevent our ability to commercialize our products, which could severely harm our business. Even if we are successful in defending against these claims, litigation could result in substantial costs and demand on management resources. Any of the foregoing could materially adversely affect our business, prospects, results of operations and financial condition.</w:t>
      </w:r>
    </w:p>
    <w:p>
      <w:pPr>
        <w:spacing w:after="0" w:line="192"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231F20"/>
        </w:rPr>
        <w:t>Some of our products contain open source software, which may pose particular risks to our proprietary software, products and services in a manner that could harm our business.</w:t>
      </w:r>
    </w:p>
    <w:p>
      <w:pPr>
        <w:spacing w:after="0" w:line="170" w:lineRule="exact"/>
        <w:rPr>
          <w:sz w:val="20"/>
          <w:szCs w:val="20"/>
          <w:color w:val="auto"/>
        </w:rPr>
      </w:pPr>
    </w:p>
    <w:p>
      <w:pPr>
        <w:spacing w:after="0" w:line="268" w:lineRule="auto"/>
        <w:rPr>
          <w:sz w:val="20"/>
          <w:szCs w:val="20"/>
          <w:color w:val="auto"/>
        </w:rPr>
      </w:pPr>
      <w:r>
        <w:rPr>
          <w:rFonts w:ascii="Arial" w:cs="Arial" w:eastAsia="Arial" w:hAnsi="Arial"/>
          <w:sz w:val="17"/>
          <w:szCs w:val="17"/>
          <w:color w:val="231F20"/>
        </w:rPr>
        <w:t>We use open source software, available from third parties, in our products and anticipate using open source software in the future. Some open source software licenses require those who distribute open source software as part of their own software product to publicly disclose all or part of the source code to such software product or to make available any derivative works of the open source code on unfavorable terms or at no cost, and we may be subject to such terms. The terms of many open source licenses to which we are subject have not been interpreted by U.S. or foreign courts, and there is a risk that open source software licenses could be construed in a manner that imposes unanticipated conditions or restrictions on our ability to provide or distribute our products or services. Any actual or claimed requirement to disclose our proprietary source code or pay damages for breach of contract could harm our business and could help third parties, including our competitors, develop products and services that are similar to or better than ours. While we monitor our use of open source software, compliance with open source licenses by us and third party suppliers of software to us, and try to ensure that none is used in a manner that would require us to disclose our proprietary source code or that would otherwise breach the terms of an open source agreement, such use could inadvertently occur, or could be claimed to have occurred. Additionally, we could face claims from third parties claiming non-compliance, ownership of, or demanding release of, the open source software or derivative works that we developed using such software, which could include our proprietary source code, or otherwise seeking to enforce the terms of the applicable open source license. These claims could result in litigation and could require us to make our software source code freely available, purchase a costly license or cease offering the implicated products or services unless and until we can re-engineer them to avoid infringement, which may be a costly and time-consuming process, and we may not be able to complete the re-engineering process successfully.</w:t>
      </w:r>
    </w:p>
    <w:p>
      <w:pPr>
        <w:spacing w:after="0" w:line="182"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231F20"/>
        </w:rPr>
        <w:t>Additionally, the use of certain open source software can lead to greater risks than use of third-party commercial software, as open source licensors generally do not provide warranties or controls on the origin of software or other contractual protections regarding infringement claims or the quality of the code, including with respect to security vulnerabilities. Moreover, some open source projects have known security and other vulnerabilities and architectural instabilities, or are otherwise subject to security attacks due to their wide availability, and are provided on an “ as-is” basis. There is typically no support available for open source software, and we cannot ensure that the authors of such open source software will implement or push updates to address security risks or will not abandon further development and maintenance. Many of the risks associated with the use of open source software, such as the lack of warranties or assurances of title or performance, cannot be eliminated, and could, if not properly addressed, negatively affect our business. Any of these risks could be difficult to eliminate or manage and, if not addressed, could have a material adverse effect on our business, financial condition and results of operations.</w:t>
      </w: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color w:val="231F20"/>
        </w:rPr>
        <w:t>Risks Related to Financing and Strategic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231F20"/>
        </w:rPr>
        <w:t>We will require additional capital to support business growth, and this capital might not be available on commercially reasonable terms, or at all.</w:t>
      </w:r>
    </w:p>
    <w:p>
      <w:pPr>
        <w:spacing w:after="0" w:line="248"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231F20"/>
        </w:rPr>
        <w:t xml:space="preserve">We have funded our operations since inception primarily through equity and debt financings. For example, we issued approximately $2.0 billion of 1.25% convertible senior notes due 2026 in December 2021 (the “2026 Notes”) and we entered into a credit agreement that provides for a $1.0 billion senior secured asset-based revolving credit facility in June 2022 (the “ABL Credit Facility”). In addition, we have, through our subsidiary, entered into a loan agreement with the Saudi Industrial Development Fund for an aggregate principal amount of up to SAR 5.19 billion in February 2022 (the “SIDF Loan Agreement”) and also entered into a revolving credit facility agreement with Gulf International Bank for an aggregate principal amount of SAR 1 billion in April 2022 (the “GIB Facility Agreement”). </w:t>
      </w:r>
      <w:r>
        <w:rPr>
          <w:rFonts w:ascii="Arial" w:cs="Arial" w:eastAsia="Arial" w:hAnsi="Arial"/>
          <w:sz w:val="16"/>
          <w:szCs w:val="16"/>
          <w:color w:val="000000"/>
        </w:rPr>
        <w:t>In December 2022, we completed an “at-the-market” equity offering program for net proceeds of $594.3</w:t>
      </w:r>
      <w:r>
        <w:rPr>
          <w:rFonts w:ascii="Arial" w:cs="Arial" w:eastAsia="Arial" w:hAnsi="Arial"/>
          <w:sz w:val="16"/>
          <w:szCs w:val="16"/>
          <w:color w:val="231F20"/>
        </w:rPr>
        <w:t xml:space="preserve"> </w:t>
      </w:r>
      <w:r>
        <w:rPr>
          <w:rFonts w:ascii="Arial" w:cs="Arial" w:eastAsia="Arial" w:hAnsi="Arial"/>
          <w:sz w:val="16"/>
          <w:szCs w:val="16"/>
          <w:color w:val="000000"/>
        </w:rPr>
        <w:t xml:space="preserve">million after deducting commissions and other issuance costs and also consummated a private placement of common stock to Ayar for aggregate proceeds of $915.0 million. </w:t>
      </w:r>
      <w:r>
        <w:rPr>
          <w:rFonts w:ascii="Arial" w:cs="Arial" w:eastAsia="Arial" w:hAnsi="Arial"/>
          <w:sz w:val="16"/>
          <w:szCs w:val="16"/>
          <w:color w:val="231F20"/>
        </w:rPr>
        <w:t>We anticipate that we will need to raise additional funds through equity, equity-linked or debt financings. Our business is capital-intensive, and we expect the costs and expenses associated with our planned operations will continue to increase in the near term. We do not expect to achieve positive cash flow from operations for several years, if at all. In addition, we have and we expect to settle tax withholding obligations in connection with vesting of the restricted stock units granted to Peter Rawlinson, our Chief Executive Officer and Chief Technology Officer, that were previously granted to him in March 2021 through “net settlement,” i.e., by remitting cash to satisfy the tax withholding obligation and withholding a number of the vested shares on each vesting date. The amount of the tax withholding due on each vesting date will be based on the fair value of our common stock on such vesting date. Depending on the fair value of our common stock and the number of restricted stock units vesting on any applicable vesting date, such net settlement could require us to expend substantial funds to satisfy tax withholding.</w:t>
      </w:r>
    </w:p>
    <w:p>
      <w:pPr>
        <w:spacing w:after="0" w:line="167"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231F20"/>
        </w:rPr>
        <w:t xml:space="preserve">Our plan to continue the commercial production of our vehicles and grow our business is dependent upon the timely availability of funds and further investment in design, engineering, component procurement, testing, and the build-out of manufacturing capabilities. </w:t>
      </w:r>
      <w:r>
        <w:rPr>
          <w:rFonts w:ascii="Arial" w:cs="Arial" w:eastAsia="Arial" w:hAnsi="Arial"/>
          <w:sz w:val="18"/>
          <w:szCs w:val="18"/>
          <w:color w:val="000000"/>
        </w:rPr>
        <w:t>For example, we have entered into</w:t>
      </w:r>
      <w:r>
        <w:rPr>
          <w:rFonts w:ascii="Arial" w:cs="Arial" w:eastAsia="Arial" w:hAnsi="Arial"/>
          <w:sz w:val="18"/>
          <w:szCs w:val="18"/>
          <w:color w:val="231F20"/>
        </w:rPr>
        <w:t xml:space="preserve"> </w:t>
      </w:r>
      <w:r>
        <w:rPr>
          <w:rFonts w:ascii="Arial" w:cs="Arial" w:eastAsia="Arial" w:hAnsi="Arial"/>
          <w:sz w:val="18"/>
          <w:szCs w:val="18"/>
          <w:color w:val="000000"/>
        </w:rPr>
        <w:t xml:space="preserve">agreements with Panasonic Energy Co., Ltd. and certain of its affiliates to purchase an aggregate of approximately $5 billion of lithium-ion battery cells, subject to certain conditions and adjustments, beginning in 2023 through 2031. </w:t>
      </w:r>
      <w:r>
        <w:rPr>
          <w:rFonts w:ascii="Arial" w:cs="Arial" w:eastAsia="Arial" w:hAnsi="Arial"/>
          <w:sz w:val="18"/>
          <w:szCs w:val="18"/>
          <w:color w:val="231F20"/>
        </w:rPr>
        <w:t>In addition, the fact that we have a limited operating history means that we</w:t>
      </w:r>
      <w:r>
        <w:rPr>
          <w:rFonts w:ascii="Arial" w:cs="Arial" w:eastAsia="Arial" w:hAnsi="Arial"/>
          <w:sz w:val="18"/>
          <w:szCs w:val="18"/>
          <w:color w:val="000000"/>
        </w:rPr>
        <w:t xml:space="preserve"> </w:t>
      </w:r>
      <w:r>
        <w:rPr>
          <w:rFonts w:ascii="Arial" w:cs="Arial" w:eastAsia="Arial" w:hAnsi="Arial"/>
          <w:sz w:val="18"/>
          <w:szCs w:val="18"/>
          <w:color w:val="231F20"/>
        </w:rPr>
        <w:t>have limited historical data on the demand for our vehicles. As a result, our future capital requirements are uncertain, and actual capital requirements may be greater than what we currently anticipate.</w:t>
      </w:r>
    </w:p>
    <w:p>
      <w:pPr>
        <w:spacing w:after="0" w:line="192"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231F20"/>
        </w:rPr>
        <w:t>If we raise additional funds through further issuances of equity or convertible debt securities, our stockholders could suffer significant dilution, and any new equity securities we issue could have rights, preferences and privileges superior to those of holders of our common stock. Any debt financing in the future could involve additional restrictive covenants relating to our capital raising activities and other financial and operational matters, which may make it more difficult for us to obtain additional capital and to pursue business opportunities, including potential acquisitions.</w:t>
      </w:r>
    </w:p>
    <w:p>
      <w:pPr>
        <w:spacing w:after="0" w:line="17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231F20"/>
        </w:rPr>
        <w:t>We may not be able to obtain additional financing on terms favorable to us, if at all. Our ability to obtain such financing could be adversely affected by a number of factors, including general conditions in the global economy and in the global financial markets, including recent volatility and disruptions in the capital and credit markets, including as a result of inflation, interest rate changes, the ongoing conflict between Ukraine and Russia and the COVID-19 pandemic, or investor acceptance of our business model. These factors may make the timing, amount, terms and conditions of such financing unattractive or unavailable to us. If we are unable to obtain adequate financing or financing on terms satisfactory to us, when we require it, we will have to significantly reduce our spending, delay or cancel our planned activities or substantially change our corporate structure, and we might not have sufficient resources to conduct or support our business as projected, which would have a material adverse effect on our business, prospects, results of operations and financial condition.</w:t>
      </w:r>
    </w:p>
    <w:p>
      <w:pPr>
        <w:spacing w:after="0" w:line="192" w:lineRule="exact"/>
        <w:rPr>
          <w:sz w:val="20"/>
          <w:szCs w:val="20"/>
          <w:color w:val="auto"/>
        </w:rPr>
      </w:pPr>
    </w:p>
    <w:p>
      <w:pPr>
        <w:spacing w:after="0" w:line="381" w:lineRule="auto"/>
        <w:rPr>
          <w:sz w:val="20"/>
          <w:szCs w:val="20"/>
          <w:color w:val="auto"/>
        </w:rPr>
      </w:pPr>
      <w:r>
        <w:rPr>
          <w:rFonts w:ascii="Arial" w:cs="Arial" w:eastAsia="Arial" w:hAnsi="Arial"/>
          <w:sz w:val="15"/>
          <w:szCs w:val="15"/>
          <w:b w:val="1"/>
          <w:bCs w:val="1"/>
          <w:i w:val="1"/>
          <w:iCs w:val="1"/>
          <w:color w:val="auto"/>
        </w:rPr>
        <w:t>The accounting method for reflecting the 2026 Notes on our consolidated balance sheet, accruing interest expense for the 2026 Notes and reflecting the underlying shares of our common stock in our reported diluted earnings per share may adversely affect our reported earnings and financial condition.</w:t>
      </w:r>
    </w:p>
    <w:p>
      <w:pPr>
        <w:spacing w:after="0" w:line="100" w:lineRule="exact"/>
        <w:rPr>
          <w:sz w:val="20"/>
          <w:szCs w:val="20"/>
          <w:color w:val="auto"/>
        </w:rPr>
      </w:pPr>
    </w:p>
    <w:p>
      <w:pPr>
        <w:ind w:right="180"/>
        <w:spacing w:after="0" w:line="296" w:lineRule="auto"/>
        <w:rPr>
          <w:sz w:val="20"/>
          <w:szCs w:val="20"/>
          <w:color w:val="auto"/>
        </w:rPr>
      </w:pPr>
      <w:r>
        <w:rPr>
          <w:rFonts w:ascii="Arial" w:cs="Arial" w:eastAsia="Arial" w:hAnsi="Arial"/>
          <w:sz w:val="16"/>
          <w:szCs w:val="16"/>
          <w:color w:val="auto"/>
        </w:rPr>
        <w:t>In August 2020, the Financial Accounting Standards Board published an Accounting Standards Update, which we refer to as ASU 2020-06, which simplifies certain of the accounting standards that apply to convertible notes. ASU 2020-06 will be effective for SEC-reporting entities for fiscal years beginning after December 15, 2021 (or, in the case of smaller reporting companies, December 15, 2023), including interim periods within those fiscal years. However, early adoption is permitted in certain circumstances for fiscal years beginning after December 15, 2020, including interim periods within those fiscal years. We adopted ASU 2020-06 for the year ended December 31, 2021, including interim periods within that fiscal year.</w:t>
      </w:r>
    </w:p>
    <w:p>
      <w:pPr>
        <w:spacing w:after="0" w:line="16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accordance with ASU 2020-06, we accounted for the issuance of the 2026 Notes as a liability on our balance sheets, with the initial carrying amount equal to the principal amount of the 2026 Notes, net of issuance costs. The issuance costs will be treated as a debt discount for accounting purposes, which will be amortized into interest expense over the term of the 2026 Notes. As a result of this amortization, the interest expense that we expect to recognize for the 2026 Notes for accounting purposes will be greater than the cash interest payments we will pay on the 2026 Notes, which will result in higher reported loss.</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58" w:name="page59"/>
    <w:bookmarkEnd w:id="58"/>
    <w:p>
      <w:pPr>
        <w:ind w:right="200"/>
        <w:spacing w:after="0" w:line="257" w:lineRule="auto"/>
        <w:rPr>
          <w:sz w:val="20"/>
          <w:szCs w:val="20"/>
          <w:color w:val="auto"/>
        </w:rPr>
      </w:pPr>
      <w:r>
        <w:rPr>
          <w:rFonts w:ascii="Arial" w:cs="Arial" w:eastAsia="Arial" w:hAnsi="Arial"/>
          <w:sz w:val="18"/>
          <w:szCs w:val="18"/>
          <w:color w:val="auto"/>
        </w:rPr>
        <w:t>In addition, the shares underlying the 2026 Notes will be reflected in our diluted earnings per share using the “if converted” method, in accordance with ASU 2020-06. Under that method, diluted earnings per share would generally be calculated assuming that all the 2026 Notes were converted solely into shares of common stock at the beginning of the reporting period, unless the result would be anti-dilutive. The application of the if-converted method may reduce our reported diluted earnings per share, and accounting standards may change in the future in a manner that may adversely affect our diluted earnings per share.</w:t>
      </w:r>
    </w:p>
    <w:p>
      <w:pPr>
        <w:spacing w:after="0" w:line="188"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Furthermore, if any of the conditions to the convertibility of the 2026 Notes is satisfied, then we may be required under applicable accounting standards to reclassify the liability carrying value of the 2026 Notes as a current, rather than a long-term liability. This reclassification could be required even if no noteholders convert their 2026 Notes and could materially reduce our reported working capital.</w:t>
      </w:r>
    </w:p>
    <w:p>
      <w:pPr>
        <w:spacing w:after="0" w:line="184"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b w:val="1"/>
          <w:bCs w:val="1"/>
          <w:i w:val="1"/>
          <w:iCs w:val="1"/>
          <w:color w:val="auto"/>
        </w:rPr>
        <w:t>Servicing our current and future debt may require a significant amount of cash, and we may not have sufficient cash flow from our business to pay our indebtedness. Our payment obligations under such indebtedness may limit the funds available to us, and the terms of our debt agreements may restrict our flexibility in operating our business or otherwise adversely affect our results of operations.</w:t>
      </w:r>
    </w:p>
    <w:p>
      <w:pPr>
        <w:spacing w:after="0" w:line="165"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In December 2021, we issued approximately $2.0 billion principal amount of 2026 Notes and have entered into several credit facilities in 2022. See Note 6 “Debt” to our consolidated financial statements included elsewhere in this Annual Report for further information on our outstanding debt obligations. Our ability to make scheduled payments of the principal of, to pay interest on or to refinance our indebtedness from time to time depends on our future performance, which is subject to economic, financial, competitive and other factors beyond our control. Our business may not generate cash flow from operations in the future sufficient to service our debt and make necessary capital expenditures. If we are unable to generate such cash flow, we may be required to adopt one or more alternatives, such as selling assets, restructuring debt or obtaining additional debt financing or equity capital on terms that may be onerous or highly dilutive. Our ability to refinance any future indebtedness will depend on the capital markets and our financial condition at such time. We may not be able to engage in any of these activities or engage in these activities on desirable terms, which could result in a default on our debt obligations. In addition, our existing debt agreements contain, and any of our future debt agreements may contain restrictive covenants that may prohibit us from adopting any of these alternatives. Our failure to comply with these covenants could result in an event of default which, if not cured or waived, could result in the acceleration of our debt.</w:t>
      </w:r>
    </w:p>
    <w:p>
      <w:pPr>
        <w:spacing w:after="0" w:line="18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In addition, our indebtedness, combined with our other existing and future financial obligations and contractual commitments, could have other important consequences. For example, it could:</w:t>
      </w:r>
    </w:p>
    <w:p>
      <w:pPr>
        <w:spacing w:after="0" w:line="62" w:lineRule="exact"/>
        <w:rPr>
          <w:sz w:val="20"/>
          <w:szCs w:val="20"/>
          <w:color w:val="auto"/>
        </w:rPr>
      </w:pPr>
    </w:p>
    <w:p>
      <w:pPr>
        <w:ind w:left="660" w:right="80" w:hanging="328"/>
        <w:spacing w:after="0" w:line="277" w:lineRule="auto"/>
        <w:tabs>
          <w:tab w:leader="none" w:pos="579" w:val="left"/>
        </w:tabs>
        <w:numPr>
          <w:ilvl w:val="0"/>
          <w:numId w:val="32"/>
        </w:numPr>
        <w:rPr>
          <w:rFonts w:ascii="Arial" w:cs="Arial" w:eastAsia="Arial" w:hAnsi="Arial"/>
          <w:sz w:val="18"/>
          <w:szCs w:val="18"/>
          <w:color w:val="231F20"/>
        </w:rPr>
      </w:pPr>
      <w:r>
        <w:rPr>
          <w:rFonts w:ascii="Arial" w:cs="Arial" w:eastAsia="Arial" w:hAnsi="Arial"/>
          <w:sz w:val="18"/>
          <w:szCs w:val="18"/>
          <w:color w:val="231F20"/>
        </w:rPr>
        <w:t>make us more vulnerable to adverse changes in general U.S. and worldwide economic, industry and competitive conditions and adverse changes in government regulation;</w:t>
      </w:r>
    </w:p>
    <w:p>
      <w:pPr>
        <w:spacing w:after="0" w:line="62" w:lineRule="exact"/>
        <w:rPr>
          <w:rFonts w:ascii="Arial" w:cs="Arial" w:eastAsia="Arial" w:hAnsi="Arial"/>
          <w:sz w:val="18"/>
          <w:szCs w:val="18"/>
          <w:color w:val="231F20"/>
        </w:rPr>
      </w:pPr>
    </w:p>
    <w:p>
      <w:pPr>
        <w:ind w:left="580" w:hanging="248"/>
        <w:spacing w:after="0"/>
        <w:tabs>
          <w:tab w:leader="none" w:pos="5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limit our flexibility in planning for, or reacting to, changes in our business and our industry;</w:t>
      </w:r>
    </w:p>
    <w:p>
      <w:pPr>
        <w:spacing w:after="0" w:line="117" w:lineRule="exact"/>
        <w:rPr>
          <w:rFonts w:ascii="Arial" w:cs="Arial" w:eastAsia="Arial" w:hAnsi="Arial"/>
          <w:sz w:val="18"/>
          <w:szCs w:val="18"/>
          <w:color w:val="auto"/>
        </w:rPr>
      </w:pPr>
    </w:p>
    <w:p>
      <w:pPr>
        <w:ind w:left="580" w:hanging="248"/>
        <w:spacing w:after="0"/>
        <w:tabs>
          <w:tab w:leader="none" w:pos="5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place us at a disadvantage compared to our competitors who have less debt;</w:t>
      </w:r>
    </w:p>
    <w:p>
      <w:pPr>
        <w:spacing w:after="0" w:line="117" w:lineRule="exact"/>
        <w:rPr>
          <w:rFonts w:ascii="Arial" w:cs="Arial" w:eastAsia="Arial" w:hAnsi="Arial"/>
          <w:sz w:val="18"/>
          <w:szCs w:val="18"/>
          <w:color w:val="auto"/>
        </w:rPr>
      </w:pPr>
    </w:p>
    <w:p>
      <w:pPr>
        <w:ind w:left="580" w:hanging="248"/>
        <w:spacing w:after="0"/>
        <w:tabs>
          <w:tab w:leader="none" w:pos="5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limit our ability to borrow additional amounts to fund acquisitions, for working capital and for other general corporate purposes; and</w:t>
      </w:r>
    </w:p>
    <w:p>
      <w:pPr>
        <w:spacing w:after="0" w:line="117" w:lineRule="exact"/>
        <w:rPr>
          <w:rFonts w:ascii="Arial" w:cs="Arial" w:eastAsia="Arial" w:hAnsi="Arial"/>
          <w:sz w:val="18"/>
          <w:szCs w:val="18"/>
          <w:color w:val="auto"/>
        </w:rPr>
      </w:pPr>
    </w:p>
    <w:p>
      <w:pPr>
        <w:ind w:left="580" w:hanging="248"/>
        <w:spacing w:after="0"/>
        <w:tabs>
          <w:tab w:leader="none" w:pos="5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make an acquisition of our company less attractive or more difficult.</w:t>
      </w:r>
    </w:p>
    <w:p>
      <w:pPr>
        <w:spacing w:after="0" w:line="22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addition, under the SIDF Loan Agreement, the GIB Facility Agreement, and the ABL Credit Facility, we are subject to customary affirmative and negative covenants regarding our business and operations, including limitations on our ability to, among other things, pay dividends, incur debt, create liens and encumbrances, redeem or repurchase stock, dispose of assets (including dispositions of material intellectual property), consummate acquisitions or other investments, prepay certain debt, engage in transactions with affiliates, engage in sale and leaseback transactions, consummate mergers and other fundamental changes, enter in to restrictive agreements or modify their organizational documents. Any debt financing secured by us in the future could also involve such covenants as well as additional restrictive covenants relating to our capital-raising activities and other financial and operational matters, which may make it more difficult for us to obtain additional capital to pursue business opportunities, including potential acquisitions or divestitures. Any default under our debt arrangements could require that we repay our indebtedness immediately, and may limit our ability to obtain additional financing, which in turn may have an adverse effect on our cash flows and liquidity.</w:t>
      </w:r>
    </w:p>
    <w:p>
      <w:pPr>
        <w:spacing w:after="0" w:line="18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Further, shares of our common stock are subordinate in right of payment to all of our current and future debt. We cannot assure that there would be any remaining funds after the payment of all of our debt for any distribution to our stockholders.</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Any of these factors could harm our business, results of operations and financial condition. In addition, if we incur additional indebtedness, the risks related to our business and our ability to service or repay our indebtedness would increase.</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i w:val="1"/>
          <w:iCs w:val="1"/>
          <w:color w:val="auto"/>
        </w:rPr>
        <w:t>We have incurred and may still incur substantially more debt.</w:t>
      </w:r>
    </w:p>
    <w:p>
      <w:pPr>
        <w:spacing w:after="0" w:line="22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and our subsidiaries have incurred and may be able to incur substantial additional debt in the future, subject to the restrictions contained in our debt instruments, some of which may be secured debt. The ABL Credit Facility imposes certain restrictions on our ability to incur additional debt, but we are not restricted under the terms of the indenture governing our 2026 Notes from incurring additional debt, securing existing or future debt, recapitalizing our debt or taking a number of other actions that are not limited by the terms of such indenture governing our 2026 Notes that could have the effect of diminishing our ability to make payments on our 2026 Notes when due.</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conditional conversion feature of the 2026 Notes, if triggered, may adversely affect our financial condition and operating results.</w:t>
      </w:r>
    </w:p>
    <w:p>
      <w:pPr>
        <w:spacing w:after="0" w:line="237"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From and after September 15, 2026, noteholders may convert their 2026 Notes at any time at their election until the close of business on the second scheduled trading day immediately before the maturity date. In the event the conditional conversion feature of the 2026 Notes is triggered, holders of such 2026 Notes will be entitled under the indenture governing such 2026 Notes to convert their 2026 Notes at any time during specified periods at their option. If one or more holders of 2026 Notes elect to convert such 2026 Notes, unless we elect to satisfy our conversion obligation by delivering solely shares of our common stock, we would be required to settle a portion or all of our conversion obligation through the payment of cash, which could adversely affect our liquidity. In addition, in certain circumstances, such as conversion by holders or redemption, we could be required under applicable accounting rules to reclassify all or a portion of the outstanding principal of the 2026 Notes as a current rather than long-term liability, which would result in a material reduction of our net working capital.</w:t>
      </w:r>
    </w:p>
    <w:p>
      <w:pPr>
        <w:spacing w:after="0" w:line="192"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b w:val="1"/>
          <w:bCs w:val="1"/>
          <w:i w:val="1"/>
          <w:iCs w:val="1"/>
          <w:color w:val="auto"/>
        </w:rPr>
        <w:t>We may be unable to raise the funds necessary to repurchase the notes for cash following a fundamental change, or to pay any cash amounts due upon conversion, and our other indebtedness may limit our ability to repurchase the notes or pay cash upon their conversion.</w:t>
      </w:r>
    </w:p>
    <w:p>
      <w:pPr>
        <w:spacing w:after="0" w:line="124"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Noteholders may, subject to a limited exception, require us to repurchase their notes following a fundamental change at a cash repurchase price generally equal to the principal amount of the 2026 Notes to be repurchased, plus accrued and unpaid interest, if any. In addition, upon conversion, we will satisfy part or all of our conversion obligation in cash unless we elect to settle conversions solely in shares of our common stock. We may not have enough available cash or be able to obtain financing at the time we are required to repurchase the 2026 Notes or pay any cash amounts due upon conversion. In addition, applicable law, regulatory authorities and the agreements governing our other indebtedness, such as the covenants in the ABL Credit Facility, may restrict our ability to repurchase the 2026 Notes or pay any cash amounts due upon conversion. Our failure to repurchase 2026 Notes or pay any cash amounts due upon conversion when required will constitute a default under the indenture. A default under the indenture or the fundamental change itself could also lead to a default under agreements governing our other indebtedness, which may result in that other indebtedness becoming immediately payable in full. We may not have sufficient funds to satisfy all amounts due under the other indebtedness and the 2026 Notes.</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be unable to draw down the full amounts available under the ABL Credit Facility, the SIDF Loan Agreement and the GIB Facility Agreement.</w:t>
      </w:r>
    </w:p>
    <w:p>
      <w:pPr>
        <w:spacing w:after="0" w:line="248"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 xml:space="preserve">The ABL Credit Facility has an initial aggregate principal commitment amount of up to $1.0 billion. However, availability of the committed amounts under the ABL Credit Facility is subject to the value of the eligible borrowing base and we are currently able to draw down only a portion of the full amount available under the ABL Credit Facility. In addition, there is no guarantee that we will have sufficient eligible borrowing base in the future to be able to draw down the full amount available under the ABL Credit Facility. In addition, amounts committed under the SIDF Loan Agreement and the GIB Facility Agreement are only available for certain specific purposes and subject to conditions on drawdowns. Any inability to draw down the full amounts committed under these facilities, should the need arise, may have an </w:t>
      </w:r>
      <w:r>
        <w:rPr>
          <w:rFonts w:ascii="Arial" w:cs="Arial" w:eastAsia="Arial" w:hAnsi="Arial"/>
          <w:sz w:val="17"/>
          <w:szCs w:val="17"/>
          <w:color w:val="231F20"/>
        </w:rPr>
        <w:t>adverse effect on our cash flows and liquidity.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We may not be able to identify adequate strategic relationship opportunities or form strategic relationships, in the future.</w:t>
      </w:r>
    </w:p>
    <w:p>
      <w:pPr>
        <w:spacing w:after="0" w:line="225"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231F20"/>
        </w:rPr>
        <w:t xml:space="preserve">We expect that strategic business relationships will be an important factor in the growth and success of our business. From time to time, we explore opportunities to enter into strategic relationships, including partnerships with original equipment manufacturers. However, there are no assurances that we will be able to identify or secure suitable business relationship opportunities in the future or that </w:t>
      </w:r>
      <w:r>
        <w:rPr>
          <w:rFonts w:ascii="Arial" w:cs="Arial" w:eastAsia="Arial" w:hAnsi="Arial"/>
          <w:sz w:val="17"/>
          <w:szCs w:val="17"/>
          <w:color w:val="000000"/>
        </w:rPr>
        <w:t>we will be able to maintain such relationships. In addition,</w:t>
      </w:r>
      <w:r>
        <w:rPr>
          <w:rFonts w:ascii="Arial" w:cs="Arial" w:eastAsia="Arial" w:hAnsi="Arial"/>
          <w:sz w:val="17"/>
          <w:szCs w:val="17"/>
          <w:color w:val="231F20"/>
        </w:rPr>
        <w:t xml:space="preserve"> our competitors may capitalize on such opportunities before we do and we may not be able to offer similar benefits to other companies with which we would like to establish and maintain strategic relationships, which could impair our ability to establish such relationships. For example, we have partnered with Electrify America to provide our customers with access to Electrify America’s charging infrastructure, and we will rely on ongoing access to such infrastructure to provide our customers with charging solutions. If Electrify America terminates this partnership or otherwise fails to deliver the anticipated benefits of this partnership, our ability to provide a satisfactory customer experience will be harmed, and we will be required to identify alternate charging partners or invest in our own charging network. Our current and future alliances could subject us to a number of risks, including risks associated with sharing proprietary information, non-performance by the third party and increased expenses in establishing new strategic alliances, any of which may materially and adversely affect our business. We may have limited ability to monitor or control the actions of these third parties and, to the extent any of these strategic third parties suffer negative publicity or harm to their reputation from events relating to their business, we may also suffer negative publicity or harm to our reputation by virtue of our association with any such third party.</w:t>
      </w:r>
    </w:p>
    <w:p>
      <w:pPr>
        <w:sectPr>
          <w:pgSz w:w="11900" w:h="16838" w:orient="portrait"/>
          <w:cols w:equalWidth="0" w:num="1">
            <w:col w:w="11240"/>
          </w:cols>
          <w:pgMar w:left="320" w:top="989" w:right="339" w:bottom="1440" w:gutter="0" w:footer="0" w:header="0"/>
        </w:sect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type w:val="continuous"/>
        </w:sectPr>
      </w:pPr>
    </w:p>
    <w:bookmarkStart w:id="60" w:name="page61"/>
    <w:bookmarkEnd w:id="60"/>
    <w:p>
      <w:pPr>
        <w:ind w:right="160"/>
        <w:spacing w:after="0" w:line="311" w:lineRule="auto"/>
        <w:rPr>
          <w:sz w:val="20"/>
          <w:szCs w:val="20"/>
          <w:color w:val="auto"/>
        </w:rPr>
      </w:pPr>
      <w:r>
        <w:rPr>
          <w:rFonts w:ascii="Arial" w:cs="Arial" w:eastAsia="Arial" w:hAnsi="Arial"/>
          <w:sz w:val="16"/>
          <w:szCs w:val="16"/>
          <w:color w:val="231F20"/>
        </w:rPr>
        <w:t>Moreover, identifying and executing on such opportunities could demand substantial management time and resources, and negotiating and financing relationships involves significant costs and uncertainties. If we are unable to successfully source and execute on strategic relationship opportunities in the future, our overall growth could be impaired, and our business, prospects and results of operations could be materially adversely affected.</w:t>
      </w:r>
    </w:p>
    <w:p>
      <w:pPr>
        <w:spacing w:after="0" w:line="14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231F20"/>
        </w:rPr>
        <w:t>We may acquire other businesses, which could require significant management attention, disrupt our business, dilute stockholder value and adversely affect our results of operations.</w:t>
      </w:r>
    </w:p>
    <w:p>
      <w:pPr>
        <w:spacing w:after="0" w:line="170"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231F20"/>
        </w:rPr>
        <w:t>As part of our business strategy, we may make investments in complementary companies, solutions or technologies. We may not be able to find suitable acquisition candidates, and we may not be able to complete such acquisitions on favorable terms, if at all. In addition to possible stockholder approval, we may need approvals and licenses from relevant government authorities for the acquisitions and to comply with any applicable laws and regulations, which could result in increased delay and costs, and may disrupt our business strategy if we fail to do so. If we do complete acquisitions, we may not ultimately strengthen our competitive position or achieve our goals. In addition, if we are unsuccessful at integrating such acquisitions or developing the acquired technologies, the revenue and results of operations of the combined company could be adversely affected. Further, the integration of acquired businesses or assets typically requires significant time and resources, which could result in a diversion of resources from our existing business, which could have an adverse effect on our operations, and we may not be able to manage the process successfully. We may not successfully evaluate or utilize the acquired technology or personnel or accurately forecast the financial impact of an acquisition transaction, including accounting charges. We may have to pay cash, incur debt or issue equity securities to pay for any such acquisition, each of which could adversely affect our financial condition or the value of our common stock. The sale of equity or issuance of debt to finance any such acquisitions could result in dilution to our stockholders. The incurrence of indebtedness could result in increased fixed obligations and exposure to potential unknown liabilities of the acquired business and could also include covenants or other restrictions that could impede our ability to manage our operations.</w:t>
      </w:r>
    </w:p>
    <w:p>
      <w:pPr>
        <w:spacing w:after="0" w:line="174"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231F20"/>
        </w:rPr>
        <w:t>Our financial results may vary significantly from period to period due to fluctuations in our production levels, operating costs, product demand and other factors.</w:t>
      </w:r>
    </w:p>
    <w:p>
      <w:pPr>
        <w:spacing w:after="0" w:line="170" w:lineRule="exact"/>
        <w:rPr>
          <w:sz w:val="20"/>
          <w:szCs w:val="20"/>
          <w:color w:val="auto"/>
        </w:rPr>
      </w:pPr>
    </w:p>
    <w:p>
      <w:pPr>
        <w:ind w:right="100"/>
        <w:spacing w:after="0" w:line="268" w:lineRule="auto"/>
        <w:rPr>
          <w:sz w:val="20"/>
          <w:szCs w:val="20"/>
          <w:color w:val="auto"/>
        </w:rPr>
      </w:pPr>
      <w:r>
        <w:rPr>
          <w:rFonts w:ascii="Arial" w:cs="Arial" w:eastAsia="Arial" w:hAnsi="Arial"/>
          <w:sz w:val="17"/>
          <w:szCs w:val="17"/>
          <w:color w:val="231F20"/>
        </w:rPr>
        <w:t>We expect our period-to-period financial results to vary based on our production levels, operating costs and product demand, which we anticipate will fluctuate as we continue to design, develop and manufacture new vehicles, increase production capacity and establish or expand design, research and development, production, sales and service facilities. Our revenues from period to period may fluctuate as we identify and investigate areas of demand, adjust volumes and add new product derivatives based on market demand and margin opportunities, develop and introduce new vehicles or introduce existing vehicles to new markets for the first time. Our production levels also depend on our ability to obtain vehicle components from our suppliers, the effective operation of our manufacturing facilities, our ability to expand our production capacity, and our ability to timely deliver finished vehicles to customers. In addition, automotive manufacturers typically experience significant seasonality, with comparatively low sales in the first quarter and comparatively high sales in the fourth quarter, and we expect to experience similar seasonality as we scale commercial production and sale of Lucid Air and future vehicles. Our period-to-period results of operations may also fluctuate because of other factors including labor availability and costs for hourly and management personnel; profitability of our vehicles, especially in new markets; changes in interest rates; impairment of long-lived assets; macroeconomic conditions, both nationally and locally; negative publicity relating to our vehicles; changes in consumer preferences and competitive conditions; or investment in expansion to new markets. As a result of these factors, we believe that quarter-to-quarter comparisons of our financial results, especially in the short term, may have limited utility as an indicator of future performance. Significant variation in our quarterly performance could significantly and adversely affect the trading price of our common stock.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Risks Related to Tax</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Our ability to use net operating loss carryforwards and certain other tax attributes may be limited.</w:t>
      </w:r>
    </w:p>
    <w:p>
      <w:pPr>
        <w:spacing w:after="0" w:line="225" w:lineRule="exact"/>
        <w:rPr>
          <w:sz w:val="20"/>
          <w:szCs w:val="20"/>
          <w:color w:val="auto"/>
        </w:rPr>
      </w:pPr>
    </w:p>
    <w:p>
      <w:pPr>
        <w:spacing w:after="0" w:line="296" w:lineRule="auto"/>
        <w:rPr>
          <w:sz w:val="20"/>
          <w:szCs w:val="20"/>
          <w:color w:val="auto"/>
        </w:rPr>
      </w:pPr>
      <w:r>
        <w:rPr>
          <w:rFonts w:ascii="Arial" w:cs="Arial" w:eastAsia="Arial" w:hAnsi="Arial"/>
          <w:sz w:val="16"/>
          <w:szCs w:val="16"/>
          <w:color w:val="231F20"/>
        </w:rPr>
        <w:t xml:space="preserve">We have accumulated U.S. federal and state net operating loss (“NOL”) carryforwards and research and development credits which may be available to offset and reduce future taxable income. While our U.S. federal NOL carryforwards arising in taxable years beginning after December 31, 2017, will </w:t>
      </w:r>
      <w:r>
        <w:rPr>
          <w:rFonts w:ascii="Arial" w:cs="Arial" w:eastAsia="Arial" w:hAnsi="Arial"/>
          <w:sz w:val="16"/>
          <w:szCs w:val="16"/>
          <w:color w:val="000000"/>
        </w:rPr>
        <w:t>not be</w:t>
      </w:r>
      <w:r>
        <w:rPr>
          <w:rFonts w:ascii="Arial" w:cs="Arial" w:eastAsia="Arial" w:hAnsi="Arial"/>
          <w:sz w:val="16"/>
          <w:szCs w:val="16"/>
          <w:color w:val="231F20"/>
        </w:rPr>
        <w:t xml:space="preserve"> </w:t>
      </w:r>
      <w:r>
        <w:rPr>
          <w:rFonts w:ascii="Arial" w:cs="Arial" w:eastAsia="Arial" w:hAnsi="Arial"/>
          <w:sz w:val="16"/>
          <w:szCs w:val="16"/>
          <w:color w:val="000000"/>
        </w:rPr>
        <w:t>subject to expiration, some of our U.S. federal and state NOL carryforwards from taxable years prior to 2018 will begin to expire in 2031. As of December 31, 2022, we also had U.S. federal research and development credit carryforwards which will begin to expire in 2036 and state research and development credit carryforwards with no expiration. As of December 31, 2022, we maintain a full valuation allowance for our net deferred tax assets.</w:t>
      </w:r>
    </w:p>
    <w:p>
      <w:pPr>
        <w:spacing w:after="0" w:line="16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Our U.S. federal and state NOL carryforwa</w:t>
      </w:r>
      <w:r>
        <w:rPr>
          <w:rFonts w:ascii="Arial" w:cs="Arial" w:eastAsia="Arial" w:hAnsi="Arial"/>
          <w:sz w:val="18"/>
          <w:szCs w:val="18"/>
          <w:color w:val="231F20"/>
        </w:rPr>
        <w:t>rds and certain tax credits may be subject to significant limitations under Section 382 and Section 383 of the</w:t>
      </w:r>
      <w:r>
        <w:rPr>
          <w:rFonts w:ascii="Arial" w:cs="Arial" w:eastAsia="Arial" w:hAnsi="Arial"/>
          <w:sz w:val="18"/>
          <w:szCs w:val="18"/>
          <w:color w:val="auto"/>
        </w:rPr>
        <w:t xml:space="preserve"> </w:t>
      </w:r>
      <w:r>
        <w:rPr>
          <w:rFonts w:ascii="Arial" w:cs="Arial" w:eastAsia="Arial" w:hAnsi="Arial"/>
          <w:sz w:val="18"/>
          <w:szCs w:val="18"/>
          <w:color w:val="231F20"/>
        </w:rPr>
        <w:t>U.S. tax code, respectively, and similar provisions of state law. Under those sections of the U.S. tax code, if a corporation undergoes an “ownership change,” the corporation’s ability to use its pre-change NOL carryforwards and other pre-change attributes, such as research tax credits, to offset its post-change income or tax may be limited.</w:t>
      </w: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9" w:right="359" w:bottom="1440" w:gutter="0" w:footer="0" w:header="0"/>
        </w:sectPr>
      </w:pPr>
    </w:p>
    <w:bookmarkStart w:id="61" w:name="page62"/>
    <w:bookmarkEnd w:id="61"/>
    <w:p>
      <w:pPr>
        <w:ind w:right="240"/>
        <w:spacing w:after="0" w:line="296" w:lineRule="auto"/>
        <w:rPr>
          <w:sz w:val="20"/>
          <w:szCs w:val="20"/>
          <w:color w:val="auto"/>
        </w:rPr>
      </w:pPr>
      <w:r>
        <w:rPr>
          <w:rFonts w:ascii="Arial" w:cs="Arial" w:eastAsia="Arial" w:hAnsi="Arial"/>
          <w:sz w:val="16"/>
          <w:szCs w:val="16"/>
          <w:color w:val="231F20"/>
        </w:rPr>
        <w:t>In general, an “ownership change” will occur if there is a cumulative change in our ownership by “5-percent shareholders” that exceeds 50 percentage poin</w:t>
      </w:r>
      <w:r>
        <w:rPr>
          <w:rFonts w:ascii="Arial" w:cs="Arial" w:eastAsia="Arial" w:hAnsi="Arial"/>
          <w:sz w:val="16"/>
          <w:szCs w:val="16"/>
          <w:color w:val="000000"/>
        </w:rPr>
        <w:t>ts over a rolling three-year period. Similar rules may apply under state tax laws. We have completed a formal Section 382 study of our equity</w:t>
      </w:r>
      <w:r>
        <w:rPr>
          <w:rFonts w:ascii="Arial" w:cs="Arial" w:eastAsia="Arial" w:hAnsi="Arial"/>
          <w:sz w:val="16"/>
          <w:szCs w:val="16"/>
          <w:color w:val="231F20"/>
        </w:rPr>
        <w:t xml:space="preserve"> </w:t>
      </w:r>
      <w:r>
        <w:rPr>
          <w:rFonts w:ascii="Arial" w:cs="Arial" w:eastAsia="Arial" w:hAnsi="Arial"/>
          <w:sz w:val="16"/>
          <w:szCs w:val="16"/>
          <w:color w:val="000000"/>
        </w:rPr>
        <w:t>transactions through December 31, 2020. The study determined that we experienced an “ownership change” in 2016, and we will not be able to utilize approximately $12 million of our gross U.S. federal NOL and $15 million of gross U.S. federal research and development tax credit (or $3 million in net credit) carryforwards. Similar provisions of state law may also apply to limit our use of accumulated state tax attributes from the same period.</w:t>
      </w:r>
    </w:p>
    <w:p>
      <w:pPr>
        <w:spacing w:after="0" w:line="16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have not yet completed an analysis of whether the busin</w:t>
      </w:r>
      <w:r>
        <w:rPr>
          <w:rFonts w:ascii="Arial" w:cs="Arial" w:eastAsia="Arial" w:hAnsi="Arial"/>
          <w:sz w:val="18"/>
          <w:szCs w:val="18"/>
          <w:color w:val="231F20"/>
        </w:rPr>
        <w:t>ess combination also caused an “ownership change.” In addition, future changes in our stock</w:t>
      </w:r>
      <w:r>
        <w:rPr>
          <w:rFonts w:ascii="Arial" w:cs="Arial" w:eastAsia="Arial" w:hAnsi="Arial"/>
          <w:sz w:val="18"/>
          <w:szCs w:val="18"/>
          <w:color w:val="auto"/>
        </w:rPr>
        <w:t xml:space="preserve"> </w:t>
      </w:r>
      <w:r>
        <w:rPr>
          <w:rFonts w:ascii="Arial" w:cs="Arial" w:eastAsia="Arial" w:hAnsi="Arial"/>
          <w:sz w:val="18"/>
          <w:szCs w:val="18"/>
          <w:color w:val="231F20"/>
        </w:rPr>
        <w:t>ownership may be outside of our control. If we undergo an ownership change, we may be prevented from fully utilizing the NOL carryforwards and tax credits existing at the time of the ownership change prior to their expiration. Future regulatory changes could also limit our ability to utilize NOL carryforwards and tax credits. To the extent we are not able to offset future taxable income with our NOL carryforwards and tax credits, our net income and cash flows may be adversely affected.</w:t>
      </w:r>
    </w:p>
    <w:p>
      <w:pPr>
        <w:spacing w:after="0" w:line="188"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231F20"/>
        </w:rPr>
        <w:t>It is possible that we will not generate taxable income in time to use any of our NOL carryforwards and research and development credits before their expiration.</w:t>
      </w:r>
    </w:p>
    <w:p>
      <w:pPr>
        <w:spacing w:after="0" w:line="170"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231F20"/>
        </w:rPr>
        <w:t>Unanticipated tax laws or any change in the application of existing tax laws to us or our customers or any change to our corporate structure may adversely impact our profitability and business.</w:t>
      </w:r>
    </w:p>
    <w:p>
      <w:pPr>
        <w:spacing w:after="0" w:line="170"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231F20"/>
        </w:rPr>
        <w:t>We are subject to income and other taxes in the United States and a growing number of foreign jurisdictions. Existing domestic and foreign tax laws, statutes, rules, regulations, or ordinances could be interpreted, changed, modified, or applied adversely to us (possibly with retroactive effect), which could require us to change our transfer pricing policies and pay additional tax amounts, fines or penalties, surcharges, and interest charges for past amounts due, the amounts and timing of which are difficult to discern. Existing tax laws, statutes, rules, regulations, or ordinances could also be interpreted, changed, modified, or applied adversely to our customers (possibly with retroactive effect) and, if our customers are required to pay additional surcharges, it could adversely affect demand for our vehicles.</w:t>
      </w:r>
    </w:p>
    <w:p>
      <w:pPr>
        <w:spacing w:after="0" w:line="192"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231F20"/>
        </w:rPr>
        <w:t>Furthermore, changes to federal, state, local, or international tax laws on income, sales, use, import/export, indirect, or other tax laws, statutes, rules, regulations, or ordinances on multinational corporations continue to be considered by the United States and other countries where we currently operate or plan to operate.</w:t>
      </w:r>
    </w:p>
    <w:p>
      <w:pPr>
        <w:spacing w:after="0" w:line="184"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231F20"/>
        </w:rPr>
        <w:t>These contemplated tax initiatives, if finalized and adopted by the United States or other countries where we do business, and the other tax issues described above may materially and adversely impact our operating activities, transfer pricing policies, effective tax rate, deferred tax assets, operating income, and cash flows.</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231F20"/>
        </w:rPr>
        <w:t>We may change our corporate structure, our business operations or certain agreements that we have entered into relating to taxes in a particular jurisdiction.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231F20"/>
        </w:rPr>
        <w:t>These changes may materially and adversely impact our consolidated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31F20"/>
        </w:rPr>
        <w:t>Our warrants are accounted for as liabilities and the changes in value of our warrants could have a material effect on our financial results.</w:t>
      </w:r>
    </w:p>
    <w:p>
      <w:pPr>
        <w:spacing w:after="0" w:line="237" w:lineRule="exact"/>
        <w:rPr>
          <w:sz w:val="20"/>
          <w:szCs w:val="20"/>
          <w:color w:val="auto"/>
        </w:rPr>
      </w:pPr>
    </w:p>
    <w:p>
      <w:pPr>
        <w:spacing w:after="0" w:line="268" w:lineRule="auto"/>
        <w:rPr>
          <w:sz w:val="20"/>
          <w:szCs w:val="20"/>
          <w:color w:val="auto"/>
        </w:rPr>
      </w:pPr>
      <w:r>
        <w:rPr>
          <w:rFonts w:ascii="Arial" w:cs="Arial" w:eastAsia="Arial" w:hAnsi="Arial"/>
          <w:sz w:val="17"/>
          <w:szCs w:val="17"/>
          <w:color w:val="231F20"/>
        </w:rPr>
        <w:t>On April 12, 2021, the Acting Director of the Division of Corporation Finance and Acting Chief Accountant of the SEC together issued a public statement (the “SEC Warrant Accounting Statement”) on accounting and reporting considerations for warrants issued by special purpose acquisition companies (“SPACs”). The SEC Warrant Accounting Statement discussed “certain features of warrants issued in SPAC transactions” that “may be common across many entities.” The SEC Warrant Accounting Statement indicated that when one or more of such features is included in a warrant, the warrant “should be classified as a liability measured at fair value, with changes in fair value each period reported in earnings.” In light of the SEC Warrant Accounting Statement and guidance in Accounting Standards Codification (“ASC”) 815-40, “Derivatives and Hedging — Contracts in Entity’s Own Equity,” Churchill’s management evaluated the terms of the Warrant Agreement entered into in connection with the Churchill IPO and concluded that the warrants include provisions that, based on the SEC Warrant Accounting Statement, preclude the warrants from being classified as components of equity. As a result, Churchill classified the warrants as liabilities. Under this accounting treatment, we are required to measure the fair value of the Private Placement Warrants at the end of each reporting period and recognize changes in the fair value from the prior period in our operating results for the current period. As a result of the recurring fair value measurement, our financial statements and results of operations may fluctuate quarterly based on factors which are outside our control. We expect that we will recognize non-cash gains or losses due to the quarterly fair valuation of the warrants and that such gains or losses could be material.</w:t>
      </w:r>
    </w:p>
    <w:p>
      <w:pPr>
        <w:spacing w:after="0" w:line="186" w:lineRule="exact"/>
        <w:rPr>
          <w:sz w:val="20"/>
          <w:szCs w:val="20"/>
          <w:color w:val="auto"/>
        </w:rPr>
      </w:pPr>
    </w:p>
    <w:p>
      <w:pPr>
        <w:ind w:right="440"/>
        <w:spacing w:after="0" w:line="279" w:lineRule="auto"/>
        <w:rPr>
          <w:sz w:val="20"/>
          <w:szCs w:val="20"/>
          <w:color w:val="auto"/>
        </w:rPr>
      </w:pPr>
      <w:r>
        <w:rPr>
          <w:rFonts w:ascii="Arial" w:cs="Arial" w:eastAsia="Arial" w:hAnsi="Arial"/>
          <w:sz w:val="17"/>
          <w:szCs w:val="17"/>
          <w:color w:val="231F20"/>
        </w:rPr>
        <w:t>In addition, following the issuance of the SEC Warrant Accounting Statement, and after consultation with Churchill’s independent registered public accounting firm and Churchill’s management team, Churchill concluded that, in light of the SEC Warrant Accounting Statement, it was appropriate to restate its financial statements for the period ended December 31, 2020, and the financial statements as of August 3, 2020 and as of and for the period ended September 30, 2020, in the financial statements accompanying Churchill’s Annual Report on Form 10-K/A.</w:t>
      </w:r>
    </w:p>
    <w:p>
      <w:pPr>
        <w:sectPr>
          <w:pgSz w:w="11900" w:h="16838" w:orient="portrait"/>
          <w:cols w:equalWidth="0" w:num="1">
            <w:col w:w="11240"/>
          </w:cols>
          <w:pgMar w:left="320" w:top="989" w:right="339" w:bottom="1440" w:gutter="0" w:footer="0" w:header="0"/>
        </w:sect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type w:val="continuous"/>
        </w:sectPr>
      </w:pPr>
    </w:p>
    <w:bookmarkStart w:id="62" w:name="page63"/>
    <w:bookmarkEnd w:id="62"/>
    <w:p>
      <w:pPr>
        <w:spacing w:after="0"/>
        <w:rPr>
          <w:sz w:val="20"/>
          <w:szCs w:val="20"/>
          <w:color w:val="auto"/>
        </w:rPr>
      </w:pPr>
      <w:r>
        <w:rPr>
          <w:rFonts w:ascii="Arial" w:cs="Arial" w:eastAsia="Arial" w:hAnsi="Arial"/>
          <w:sz w:val="18"/>
          <w:szCs w:val="18"/>
          <w:b w:val="1"/>
          <w:bCs w:val="1"/>
          <w:color w:val="231F20"/>
        </w:rPr>
        <w:t>Risks Related to Public Company Requirements</w:t>
      </w:r>
    </w:p>
    <w:p>
      <w:pPr>
        <w:spacing w:after="0" w:line="229"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231F20"/>
        </w:rPr>
        <w:t>The requirements of being a public company may strain our resources and distract our management, which could make it difficult to manage our business.</w:t>
      </w:r>
    </w:p>
    <w:p>
      <w:pPr>
        <w:spacing w:after="0" w:line="170"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231F20"/>
        </w:rPr>
        <w:t>We are required to comply with various regulatory and reporting requirements, including those required by the SEC and Nasdaq. Complying with these reporting and other regulatory requirements is time-consuming and will result in increased costs to us and could have a negative effect on our results of operations, financial condition or business. Those requirements and their interpretation and application may also change from time to time and those changes could have a material adverse effect on our results of operations, financial condition or business. A failure to comply with such requirements, as interpreted and applied, could also have a material adverse effect on our results of operations, financial condition or business. These obligations and constituents will require significant attention from our senior management and could divert their attention away from the day-to-day management of our business, which could adversely affect our business, results of operations, cash flows, and financial condition.</w:t>
      </w:r>
    </w:p>
    <w:p>
      <w:pPr>
        <w:spacing w:after="0" w:line="166"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231F20"/>
        </w:rPr>
        <w:t xml:space="preserve">As a public company, we are subject to the reporting requirements of the Exchange Act and the requirements of the Sarbanes-Oxley Act. These requirements may place a strain on our systems and resources. The Exchange Act requires that we file annual, quarterly and current reports with respect to our business and financial condition. The Sarbanes-Oxley Act requires that we implement and maintain effective disclosure controls and procedures and internal controls over financial reporting. </w:t>
      </w:r>
      <w:r>
        <w:rPr>
          <w:rFonts w:ascii="Arial" w:cs="Arial" w:eastAsia="Arial" w:hAnsi="Arial"/>
          <w:sz w:val="16"/>
          <w:szCs w:val="16"/>
          <w:color w:val="000000"/>
        </w:rPr>
        <w:t>In addition, changing laws, regulations, and standards related to corporate governance and public disclosure are</w:t>
      </w:r>
      <w:r>
        <w:rPr>
          <w:rFonts w:ascii="Arial" w:cs="Arial" w:eastAsia="Arial" w:hAnsi="Arial"/>
          <w:sz w:val="16"/>
          <w:szCs w:val="16"/>
          <w:color w:val="231F20"/>
        </w:rPr>
        <w:t xml:space="preserve"> </w:t>
      </w:r>
      <w:r>
        <w:rPr>
          <w:rFonts w:ascii="Arial" w:cs="Arial" w:eastAsia="Arial" w:hAnsi="Arial"/>
          <w:sz w:val="16"/>
          <w:szCs w:val="16"/>
          <w:color w:val="000000"/>
        </w:rPr>
        <w:t>creating uncertainty for public companies, increasing legal and financial compliance costs, and making some activities more time-consuming.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165" w:lineRule="exact"/>
        <w:rPr>
          <w:sz w:val="20"/>
          <w:szCs w:val="20"/>
          <w:color w:val="auto"/>
        </w:rPr>
      </w:pPr>
    </w:p>
    <w:p>
      <w:pPr>
        <w:spacing w:after="0" w:line="254" w:lineRule="auto"/>
        <w:rPr>
          <w:sz w:val="20"/>
          <w:szCs w:val="20"/>
          <w:color w:val="auto"/>
        </w:rPr>
      </w:pPr>
      <w:r>
        <w:rPr>
          <w:rFonts w:ascii="Arial" w:cs="Arial" w:eastAsia="Arial" w:hAnsi="Arial"/>
          <w:sz w:val="18"/>
          <w:szCs w:val="18"/>
          <w:color w:val="231F20"/>
        </w:rPr>
        <w:t xml:space="preserve">To implement, maintain and improve the effectiveness of our disclosure controls and procedures, we will need to commit significant resources and provide additional management oversight. </w:t>
      </w:r>
      <w:r>
        <w:rPr>
          <w:rFonts w:ascii="Arial" w:cs="Arial" w:eastAsia="Arial" w:hAnsi="Arial"/>
          <w:sz w:val="18"/>
          <w:szCs w:val="18"/>
          <w:color w:val="000000"/>
        </w:rPr>
        <w:t>To comply with the requirements of being a public company, we have undertaken, and expect to continue to further</w:t>
      </w:r>
      <w:r>
        <w:rPr>
          <w:rFonts w:ascii="Arial" w:cs="Arial" w:eastAsia="Arial" w:hAnsi="Arial"/>
          <w:sz w:val="18"/>
          <w:szCs w:val="18"/>
          <w:color w:val="231F20"/>
        </w:rPr>
        <w:t xml:space="preserve"> </w:t>
      </w:r>
      <w:r>
        <w:rPr>
          <w:rFonts w:ascii="Arial" w:cs="Arial" w:eastAsia="Arial" w:hAnsi="Arial"/>
          <w:sz w:val="18"/>
          <w:szCs w:val="18"/>
          <w:color w:val="000000"/>
        </w:rPr>
        <w:t xml:space="preserve">undertake in the future, various actions, such as implementing new internal controls and procedures </w:t>
      </w:r>
      <w:r>
        <w:rPr>
          <w:rFonts w:ascii="Arial" w:cs="Arial" w:eastAsia="Arial" w:hAnsi="Arial"/>
          <w:sz w:val="18"/>
          <w:szCs w:val="18"/>
          <w:color w:val="231F20"/>
        </w:rPr>
        <w:t>for the purpose of addressing the standards and</w:t>
      </w:r>
      <w:r>
        <w:rPr>
          <w:rFonts w:ascii="Arial" w:cs="Arial" w:eastAsia="Arial" w:hAnsi="Arial"/>
          <w:sz w:val="18"/>
          <w:szCs w:val="18"/>
          <w:color w:val="000000"/>
        </w:rPr>
        <w:t xml:space="preserve"> </w:t>
      </w:r>
      <w:r>
        <w:rPr>
          <w:rFonts w:ascii="Arial" w:cs="Arial" w:eastAsia="Arial" w:hAnsi="Arial"/>
          <w:sz w:val="18"/>
          <w:szCs w:val="18"/>
          <w:color w:val="231F20"/>
        </w:rPr>
        <w:t>requirements applicable to public companies. Sustaining our growth also will require us to commit additional management, operational and financial resources to identify new professionals to join us and to maintain appropriate operational and financial systems to adequately support expansion. These activities may divert management’s attention from other business concerns, which could have a material adverse effect on our results of operations, financial condition or business.</w:t>
      </w:r>
    </w:p>
    <w:p>
      <w:pPr>
        <w:spacing w:after="0" w:line="195"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231F20"/>
        </w:rPr>
        <w:t>We ceased to be an emerging growth company, and now are required to comply with certain heightened reporting requirements, including those relating to auditing standards and disclosure about our executive compensation.</w:t>
      </w:r>
    </w:p>
    <w:p>
      <w:pPr>
        <w:spacing w:after="0" w:line="170" w:lineRule="exact"/>
        <w:rPr>
          <w:sz w:val="20"/>
          <w:szCs w:val="20"/>
          <w:color w:val="auto"/>
        </w:rPr>
      </w:pPr>
    </w:p>
    <w:p>
      <w:pPr>
        <w:spacing w:after="0" w:line="268" w:lineRule="auto"/>
        <w:rPr>
          <w:sz w:val="20"/>
          <w:szCs w:val="20"/>
          <w:color w:val="auto"/>
        </w:rPr>
      </w:pPr>
      <w:r>
        <w:rPr>
          <w:rFonts w:ascii="Arial" w:cs="Arial" w:eastAsia="Arial" w:hAnsi="Arial"/>
          <w:sz w:val="17"/>
          <w:szCs w:val="17"/>
          <w:color w:val="231F20"/>
        </w:rPr>
        <w:t>The Jumpstart Our Business Startups Act of 2012, (the “JOBS Act”), contains provisions that, among other things, relax certain reporting requirements for “emerging growth companies,” including certain requirements relating to auditing standards and compensation disclosure. Prior to December 31, 2021, we were classified as an emerging growth company. As an emerging growth company, we were not required to, among other things, (i) provide an auditor’s attestation report on management’s assessment of the effectiveness of our system of internal control over financial reporting pursuant to Section 404(b) of the Sarbanes-Oxley Act and (ii) comply with any new requirements adopted by the PCAOB requiring mandatory audit firm rotation or a supplement to the auditor’s report in which the auditor would be required to provide additional information about the audit and the financial statements of the issuer, (iii) provide certain disclosures regarding executive compensation required of larger public companies or (iv) hold nonbinding advisory votes on executive compensation. When we were an emerging growth company, we followed the exemptions described above. We also elected to use the extended transition period provided in Section 7(a)(2)(B) of the Securities Act for complying with new or revised accounting standards under Section 102(b)(2) of the JOBS Act. This election allowed us to delay the adoption of new or revised accounting standards that have different effective dates for public and private companies until those standards apply to private companies. As a result, our financial statements may not have been comparable to companies that comply with public company effective dates, and our stockholders and potential investors may have difficulty in analyzing our historical operating results if comparing us to such companies. In addition, because we relied on exemptions available to emerging growth companies, our historical public filings contained less information about our executive compensation and internal control over financial reporting than issuers that are not emerging growth companies.</w:t>
      </w:r>
    </w:p>
    <w:p>
      <w:pPr>
        <w:spacing w:after="0" w:line="182"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231F20"/>
        </w:rPr>
        <w:t>We have incurred additional costs associated with the heightened reporting requirements described above, including the requirement to provide auditor’s attestation report on our system of internal controls over financial reporting pursuant to Section 404(b) of the Sarbanes-Oxley Act, as well as additional audit costs resulting from PCAOB requirements. In addition, our auditors may identify control deficiencies of varying degrees of severity, and we may incur significant costs to remediate those deficiencies or otherwise improve our internal controls.</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985" w:right="419" w:bottom="1440" w:gutter="0" w:footer="0" w:header="0"/>
        </w:sectPr>
      </w:pPr>
    </w:p>
    <w:bookmarkStart w:id="63" w:name="page64"/>
    <w:bookmarkEnd w:id="63"/>
    <w:p>
      <w:pPr>
        <w:jc w:val="both"/>
        <w:ind w:right="180"/>
        <w:spacing w:after="0" w:line="263" w:lineRule="auto"/>
        <w:rPr>
          <w:sz w:val="20"/>
          <w:szCs w:val="20"/>
          <w:color w:val="auto"/>
        </w:rPr>
      </w:pPr>
      <w:r>
        <w:rPr>
          <w:rFonts w:ascii="Arial" w:cs="Arial" w:eastAsia="Arial" w:hAnsi="Arial"/>
          <w:sz w:val="18"/>
          <w:szCs w:val="18"/>
          <w:b w:val="1"/>
          <w:bCs w:val="1"/>
          <w:i w:val="1"/>
          <w:iCs w:val="1"/>
          <w:color w:val="auto"/>
        </w:rPr>
        <w:t>If we identify material weaknesses or otherwise fail to maintain an effective system of internal control over financial reporting, we may not be able to accurately or timely report our financial condition or results of operations, which may adversely affect investor confidence in us and the value of our common stock.</w:t>
      </w:r>
    </w:p>
    <w:p>
      <w:pPr>
        <w:spacing w:after="0" w:line="18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We are subject to the SEC’s internal control over financial reporting requirements. Internal control over financial reporting is complex and may be revised over time to adapt to changes in our business, or changes in applicable accounting rules.</w:t>
      </w:r>
    </w:p>
    <w:p>
      <w:pPr>
        <w:spacing w:after="0" w:line="170"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As part of such requirements, we are required to provide management’s attestation on the report on internal control over financial reporting by our independent registered public accounting firm. The design of internal controls over financial reporting for our business has required and will continue to require significant time and resources from management and other personnel.</w:t>
      </w:r>
    </w:p>
    <w:p>
      <w:pPr>
        <w:spacing w:after="0" w:line="184"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In addition, we are required to report any control deficiencies that constitute a “material weakness” in our internal control over financial reporting. We cannot assure you that our internal control over financial reporting will be effective in the future or that a material weakness will not be discovered with respect to a prior period for which we had previously believed that our internal control over financial reporting was effective. If we are not able to maintain or document effective internal control over financial reporting, our independent registered public accounting firm will not be able to certify as to the effectiveness of our internal control over financial reporting. Matters impacting our internal control over financial reporting may result in material misstatements of our consolidated financial statements, cause us to be unable to report our financial information on a timely basis, or may cause us to restate previously issued financial information, and thereby subject us to adverse regulatory consequences, including sanctions or investigations by the SEC, or violations of applicable stock exchange listing rules. There could also be a negative reaction in the financial markets due to a loss of investor confidence in us and the reliability of our financial statements. This could materially adversely affect us by, for example, leading to a decline in our stock price and impairing our ability to raise capital.</w:t>
      </w:r>
    </w:p>
    <w:p>
      <w:pPr>
        <w:spacing w:after="0" w:line="185"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b w:val="1"/>
          <w:bCs w:val="1"/>
          <w:i w:val="1"/>
          <w:iCs w:val="1"/>
          <w:color w:val="231F20"/>
        </w:rPr>
        <w:t>We may be required to take write-downs or write-offs, restructuring and impairment or other charges that could have a significant negative effect on our financial condition, results of operations and stock price, which could cause you to lose some or all of your investment.</w:t>
      </w:r>
    </w:p>
    <w:p>
      <w:pPr>
        <w:spacing w:after="0" w:line="124"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231F20"/>
        </w:rPr>
        <w:t>We may be forced to later write-down or write-off assets, restructure operations, or incur impairment or other charges that could result in losses. Even though these charges may be non-cash items and not have an immediate impact on our liquidity, charges of this nature could contribute to negative market perceptions about us or our securities. Accordingly, any of our stockholders could suffer a reduction in the value of their shares.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Risks Related to Our Common Stock</w:t>
      </w:r>
    </w:p>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231F20"/>
        </w:rPr>
        <w:t>The price of our common stock is volatile, and this volatility may negatively impact the market price of our common stock and the trading price of the 2026 Notes.</w:t>
      </w:r>
    </w:p>
    <w:p>
      <w:pPr>
        <w:spacing w:after="0" w:line="170"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231F20"/>
        </w:rPr>
        <w:t>The trading price of our common stock has fluctuated substantially. The trading price of our securities depends on many factors, including those described elsewhere in this “Risk Factors” section, many of which are beyond our control and may not be related to our operating performance. These fluctuations could cause investors to lose all or part of the investment in our securities since investors might be unable to sell them at or above the price the investor paid for them. Any of the factors listed below could have a material adverse effect on your investment in our securities and our securities may trade at prices significantly below the price you paid for them. In such circumstances, the trading price of our securities may not recover and may experience a further decline.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231F20"/>
        </w:rPr>
        <w:t>Factors affecting the trading price of our securities may include:</w:t>
      </w:r>
    </w:p>
    <w:p>
      <w:pPr>
        <w:spacing w:after="0" w:line="117" w:lineRule="exact"/>
        <w:rPr>
          <w:sz w:val="20"/>
          <w:szCs w:val="20"/>
          <w:color w:val="auto"/>
        </w:rPr>
      </w:pPr>
    </w:p>
    <w:p>
      <w:pPr>
        <w:ind w:left="660" w:hanging="328"/>
        <w:spacing w:after="0"/>
        <w:tabs>
          <w:tab w:leader="none" w:pos="660" w:val="left"/>
        </w:tabs>
        <w:numPr>
          <w:ilvl w:val="0"/>
          <w:numId w:val="33"/>
        </w:numPr>
        <w:rPr>
          <w:rFonts w:ascii="Arial" w:cs="Arial" w:eastAsia="Arial" w:hAnsi="Arial"/>
          <w:sz w:val="18"/>
          <w:szCs w:val="18"/>
          <w:color w:val="231F20"/>
        </w:rPr>
      </w:pPr>
      <w:r>
        <w:rPr>
          <w:rFonts w:ascii="Arial" w:cs="Arial" w:eastAsia="Arial" w:hAnsi="Arial"/>
          <w:sz w:val="18"/>
          <w:szCs w:val="18"/>
          <w:color w:val="231F20"/>
        </w:rPr>
        <w:t>market conditions in the broader stock market in general, or in our industry in particular;</w:t>
      </w:r>
    </w:p>
    <w:p>
      <w:pPr>
        <w:spacing w:after="0" w:line="117" w:lineRule="exact"/>
        <w:rPr>
          <w:rFonts w:ascii="Arial" w:cs="Arial" w:eastAsia="Arial" w:hAnsi="Arial"/>
          <w:sz w:val="18"/>
          <w:szCs w:val="18"/>
          <w:color w:val="231F20"/>
        </w:rPr>
      </w:pPr>
    </w:p>
    <w:p>
      <w:pPr>
        <w:ind w:left="660" w:right="680" w:hanging="328"/>
        <w:spacing w:after="0" w:line="277" w:lineRule="auto"/>
        <w:tabs>
          <w:tab w:leader="none" w:pos="655" w:val="left"/>
        </w:tabs>
        <w:numPr>
          <w:ilvl w:val="0"/>
          <w:numId w:val="33"/>
        </w:numPr>
        <w:rPr>
          <w:rFonts w:ascii="Arial" w:cs="Arial" w:eastAsia="Arial" w:hAnsi="Arial"/>
          <w:sz w:val="18"/>
          <w:szCs w:val="18"/>
          <w:color w:val="231F20"/>
        </w:rPr>
      </w:pPr>
      <w:r>
        <w:rPr>
          <w:rFonts w:ascii="Arial" w:cs="Arial" w:eastAsia="Arial" w:hAnsi="Arial"/>
          <w:sz w:val="18"/>
          <w:szCs w:val="18"/>
          <w:color w:val="231F20"/>
        </w:rPr>
        <w:t>actual or anticipated fluctuations in our quarterly financial or operating results or the quarterly financial or operating results of companies perceived to be similar to ours;</w:t>
      </w:r>
    </w:p>
    <w:p>
      <w:pPr>
        <w:spacing w:after="0" w:line="62" w:lineRule="exact"/>
        <w:rPr>
          <w:rFonts w:ascii="Arial" w:cs="Arial" w:eastAsia="Arial" w:hAnsi="Arial"/>
          <w:sz w:val="18"/>
          <w:szCs w:val="18"/>
          <w:color w:val="231F20"/>
        </w:rPr>
      </w:pPr>
    </w:p>
    <w:p>
      <w:pPr>
        <w:ind w:left="660" w:hanging="328"/>
        <w:spacing w:after="0"/>
        <w:tabs>
          <w:tab w:leader="none" w:pos="660" w:val="left"/>
        </w:tabs>
        <w:numPr>
          <w:ilvl w:val="0"/>
          <w:numId w:val="33"/>
        </w:numPr>
        <w:rPr>
          <w:rFonts w:ascii="Arial" w:cs="Arial" w:eastAsia="Arial" w:hAnsi="Arial"/>
          <w:sz w:val="18"/>
          <w:szCs w:val="18"/>
          <w:color w:val="231F20"/>
        </w:rPr>
      </w:pPr>
      <w:r>
        <w:rPr>
          <w:rFonts w:ascii="Arial" w:cs="Arial" w:eastAsia="Arial" w:hAnsi="Arial"/>
          <w:sz w:val="18"/>
          <w:szCs w:val="18"/>
          <w:color w:val="231F20"/>
        </w:rPr>
        <w:t>changes in the market’s expectations about our operating results;</w:t>
      </w:r>
    </w:p>
    <w:p>
      <w:pPr>
        <w:spacing w:after="0" w:line="117" w:lineRule="exact"/>
        <w:rPr>
          <w:rFonts w:ascii="Arial" w:cs="Arial" w:eastAsia="Arial" w:hAnsi="Arial"/>
          <w:sz w:val="18"/>
          <w:szCs w:val="18"/>
          <w:color w:val="231F20"/>
        </w:rPr>
      </w:pPr>
    </w:p>
    <w:p>
      <w:pPr>
        <w:ind w:left="660" w:hanging="328"/>
        <w:spacing w:after="0"/>
        <w:tabs>
          <w:tab w:leader="none" w:pos="660" w:val="left"/>
        </w:tabs>
        <w:numPr>
          <w:ilvl w:val="0"/>
          <w:numId w:val="33"/>
        </w:numPr>
        <w:rPr>
          <w:rFonts w:ascii="Arial" w:cs="Arial" w:eastAsia="Arial" w:hAnsi="Arial"/>
          <w:sz w:val="18"/>
          <w:szCs w:val="18"/>
          <w:color w:val="231F20"/>
        </w:rPr>
      </w:pPr>
      <w:r>
        <w:rPr>
          <w:rFonts w:ascii="Arial" w:cs="Arial" w:eastAsia="Arial" w:hAnsi="Arial"/>
          <w:sz w:val="18"/>
          <w:szCs w:val="18"/>
          <w:color w:val="231F20"/>
        </w:rPr>
        <w:t>the public’s reaction to our press releases, other public announcements and filings with the SEC;</w:t>
      </w:r>
    </w:p>
    <w:p>
      <w:pPr>
        <w:spacing w:after="0" w:line="117" w:lineRule="exact"/>
        <w:rPr>
          <w:rFonts w:ascii="Arial" w:cs="Arial" w:eastAsia="Arial" w:hAnsi="Arial"/>
          <w:sz w:val="18"/>
          <w:szCs w:val="18"/>
          <w:color w:val="231F20"/>
        </w:rPr>
      </w:pPr>
    </w:p>
    <w:p>
      <w:pPr>
        <w:ind w:left="660" w:hanging="328"/>
        <w:spacing w:after="0" w:line="277" w:lineRule="auto"/>
        <w:tabs>
          <w:tab w:leader="none" w:pos="655" w:val="left"/>
        </w:tabs>
        <w:numPr>
          <w:ilvl w:val="0"/>
          <w:numId w:val="33"/>
        </w:numPr>
        <w:rPr>
          <w:rFonts w:ascii="Arial" w:cs="Arial" w:eastAsia="Arial" w:hAnsi="Arial"/>
          <w:sz w:val="18"/>
          <w:szCs w:val="18"/>
          <w:color w:val="231F20"/>
        </w:rPr>
      </w:pPr>
      <w:r>
        <w:rPr>
          <w:rFonts w:ascii="Arial" w:cs="Arial" w:eastAsia="Arial" w:hAnsi="Arial"/>
          <w:sz w:val="18"/>
          <w:szCs w:val="18"/>
          <w:color w:val="231F20"/>
        </w:rPr>
        <w:t>the public’s reaction to the number of unit reservations, financial projections and any other guidance or metrics that we may publicly disclose from time to time;</w:t>
      </w:r>
    </w:p>
    <w:p>
      <w:pPr>
        <w:spacing w:after="0" w:line="62" w:lineRule="exact"/>
        <w:rPr>
          <w:rFonts w:ascii="Arial" w:cs="Arial" w:eastAsia="Arial" w:hAnsi="Arial"/>
          <w:sz w:val="18"/>
          <w:szCs w:val="18"/>
          <w:color w:val="231F20"/>
        </w:rPr>
      </w:pPr>
    </w:p>
    <w:p>
      <w:pPr>
        <w:ind w:left="660" w:hanging="328"/>
        <w:spacing w:after="0"/>
        <w:tabs>
          <w:tab w:leader="none" w:pos="660" w:val="left"/>
        </w:tabs>
        <w:numPr>
          <w:ilvl w:val="0"/>
          <w:numId w:val="33"/>
        </w:numPr>
        <w:rPr>
          <w:rFonts w:ascii="Arial" w:cs="Arial" w:eastAsia="Arial" w:hAnsi="Arial"/>
          <w:sz w:val="18"/>
          <w:szCs w:val="18"/>
          <w:color w:val="231F20"/>
        </w:rPr>
      </w:pPr>
      <w:r>
        <w:rPr>
          <w:rFonts w:ascii="Arial" w:cs="Arial" w:eastAsia="Arial" w:hAnsi="Arial"/>
          <w:sz w:val="18"/>
          <w:szCs w:val="18"/>
          <w:color w:val="231F20"/>
        </w:rPr>
        <w:t>speculation in the press or investment community;</w:t>
      </w:r>
    </w:p>
    <w:p>
      <w:pPr>
        <w:spacing w:after="0" w:line="117" w:lineRule="exact"/>
        <w:rPr>
          <w:rFonts w:ascii="Arial" w:cs="Arial" w:eastAsia="Arial" w:hAnsi="Arial"/>
          <w:sz w:val="18"/>
          <w:szCs w:val="18"/>
          <w:color w:val="231F20"/>
        </w:rPr>
      </w:pPr>
    </w:p>
    <w:p>
      <w:pPr>
        <w:ind w:left="660" w:hanging="328"/>
        <w:spacing w:after="0"/>
        <w:tabs>
          <w:tab w:leader="none" w:pos="660" w:val="left"/>
        </w:tabs>
        <w:numPr>
          <w:ilvl w:val="0"/>
          <w:numId w:val="33"/>
        </w:numPr>
        <w:rPr>
          <w:rFonts w:ascii="Arial" w:cs="Arial" w:eastAsia="Arial" w:hAnsi="Arial"/>
          <w:sz w:val="18"/>
          <w:szCs w:val="18"/>
          <w:color w:val="231F20"/>
        </w:rPr>
      </w:pPr>
      <w:r>
        <w:rPr>
          <w:rFonts w:ascii="Arial" w:cs="Arial" w:eastAsia="Arial" w:hAnsi="Arial"/>
          <w:sz w:val="18"/>
          <w:szCs w:val="18"/>
          <w:color w:val="231F20"/>
        </w:rPr>
        <w:t>actual or anticipated developments in our business, competitors’ businesses or the competitive landscape generally;</w:t>
      </w:r>
    </w:p>
    <w:p>
      <w:pPr>
        <w:spacing w:after="0" w:line="117" w:lineRule="exact"/>
        <w:rPr>
          <w:rFonts w:ascii="Arial" w:cs="Arial" w:eastAsia="Arial" w:hAnsi="Arial"/>
          <w:sz w:val="18"/>
          <w:szCs w:val="18"/>
          <w:color w:val="231F20"/>
        </w:rPr>
      </w:pPr>
    </w:p>
    <w:p>
      <w:pPr>
        <w:ind w:left="660" w:hanging="328"/>
        <w:spacing w:after="0"/>
        <w:tabs>
          <w:tab w:leader="none" w:pos="660" w:val="left"/>
        </w:tabs>
        <w:numPr>
          <w:ilvl w:val="0"/>
          <w:numId w:val="33"/>
        </w:numPr>
        <w:rPr>
          <w:rFonts w:ascii="Arial" w:cs="Arial" w:eastAsia="Arial" w:hAnsi="Arial"/>
          <w:sz w:val="18"/>
          <w:szCs w:val="18"/>
          <w:color w:val="231F20"/>
        </w:rPr>
      </w:pPr>
      <w:r>
        <w:rPr>
          <w:rFonts w:ascii="Arial" w:cs="Arial" w:eastAsia="Arial" w:hAnsi="Arial"/>
          <w:sz w:val="18"/>
          <w:szCs w:val="18"/>
          <w:color w:val="231F20"/>
        </w:rPr>
        <w:t>the operating results failing to meet the expectation of securities analysts or investors in a particular period;</w:t>
      </w:r>
    </w:p>
    <w:p>
      <w:pPr>
        <w:spacing w:after="0" w:line="117" w:lineRule="exact"/>
        <w:rPr>
          <w:rFonts w:ascii="Arial" w:cs="Arial" w:eastAsia="Arial" w:hAnsi="Arial"/>
          <w:sz w:val="18"/>
          <w:szCs w:val="18"/>
          <w:color w:val="231F20"/>
        </w:rPr>
      </w:pPr>
    </w:p>
    <w:p>
      <w:pPr>
        <w:ind w:left="660" w:hanging="328"/>
        <w:spacing w:after="0"/>
        <w:tabs>
          <w:tab w:leader="none" w:pos="660" w:val="left"/>
        </w:tabs>
        <w:numPr>
          <w:ilvl w:val="0"/>
          <w:numId w:val="33"/>
        </w:numPr>
        <w:rPr>
          <w:rFonts w:ascii="Arial" w:cs="Arial" w:eastAsia="Arial" w:hAnsi="Arial"/>
          <w:sz w:val="17"/>
          <w:szCs w:val="17"/>
          <w:color w:val="231F20"/>
        </w:rPr>
      </w:pPr>
      <w:r>
        <w:rPr>
          <w:rFonts w:ascii="Arial" w:cs="Arial" w:eastAsia="Arial" w:hAnsi="Arial"/>
          <w:sz w:val="17"/>
          <w:szCs w:val="17"/>
          <w:color w:val="231F20"/>
        </w:rPr>
        <w:t>the timing of the achievement of objectives under our business plan and the timing and amount of costs we incur in connection therewith;</w:t>
      </w:r>
    </w:p>
    <w:p>
      <w:pPr>
        <w:sectPr>
          <w:pgSz w:w="11900" w:h="16838" w:orient="portrait"/>
          <w:cols w:equalWidth="0" w:num="1">
            <w:col w:w="11220"/>
          </w:cols>
          <w:pgMar w:left="320" w:top="989" w:right="359" w:bottom="1440" w:gutter="0" w:footer="0" w:header="0"/>
        </w:sectPr>
      </w:pPr>
    </w:p>
    <w:p>
      <w:pPr>
        <w:spacing w:after="0" w:line="29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9" w:right="359" w:bottom="1440" w:gutter="0" w:footer="0" w:header="0"/>
          <w:type w:val="continuous"/>
        </w:sectPr>
      </w:pPr>
    </w:p>
    <w:bookmarkStart w:id="64" w:name="page65"/>
    <w:bookmarkEnd w:id="64"/>
    <w:p>
      <w:pPr>
        <w:ind w:left="660" w:hanging="328"/>
        <w:spacing w:after="0"/>
        <w:tabs>
          <w:tab w:leader="none" w:pos="660" w:val="left"/>
        </w:tabs>
        <w:numPr>
          <w:ilvl w:val="0"/>
          <w:numId w:val="34"/>
        </w:numPr>
        <w:rPr>
          <w:rFonts w:ascii="Arial" w:cs="Arial" w:eastAsia="Arial" w:hAnsi="Arial"/>
          <w:sz w:val="18"/>
          <w:szCs w:val="18"/>
          <w:color w:val="231F20"/>
        </w:rPr>
      </w:pPr>
      <w:r>
        <w:rPr>
          <w:rFonts w:ascii="Arial" w:cs="Arial" w:eastAsia="Arial" w:hAnsi="Arial"/>
          <w:sz w:val="18"/>
          <w:szCs w:val="18"/>
          <w:color w:val="231F20"/>
        </w:rPr>
        <w:t>changes in financial estimates and recommendations by securities analysts concerning us or the market in general;</w:t>
      </w:r>
    </w:p>
    <w:p>
      <w:pPr>
        <w:spacing w:after="0" w:line="117" w:lineRule="exact"/>
        <w:rPr>
          <w:rFonts w:ascii="Arial" w:cs="Arial" w:eastAsia="Arial" w:hAnsi="Arial"/>
          <w:sz w:val="18"/>
          <w:szCs w:val="18"/>
          <w:color w:val="231F20"/>
        </w:rPr>
      </w:pPr>
    </w:p>
    <w:p>
      <w:pPr>
        <w:ind w:left="660" w:hanging="328"/>
        <w:spacing w:after="0"/>
        <w:tabs>
          <w:tab w:leader="none" w:pos="660" w:val="left"/>
        </w:tabs>
        <w:numPr>
          <w:ilvl w:val="0"/>
          <w:numId w:val="34"/>
        </w:numPr>
        <w:rPr>
          <w:rFonts w:ascii="Arial" w:cs="Arial" w:eastAsia="Arial" w:hAnsi="Arial"/>
          <w:sz w:val="18"/>
          <w:szCs w:val="18"/>
          <w:color w:val="231F20"/>
        </w:rPr>
      </w:pPr>
      <w:r>
        <w:rPr>
          <w:rFonts w:ascii="Arial" w:cs="Arial" w:eastAsia="Arial" w:hAnsi="Arial"/>
          <w:sz w:val="18"/>
          <w:szCs w:val="18"/>
          <w:color w:val="231F20"/>
        </w:rPr>
        <w:t>operating and stock price performance of other companies that investors deem comparable to ours;</w:t>
      </w:r>
    </w:p>
    <w:p>
      <w:pPr>
        <w:spacing w:after="0" w:line="117" w:lineRule="exact"/>
        <w:rPr>
          <w:rFonts w:ascii="Arial" w:cs="Arial" w:eastAsia="Arial" w:hAnsi="Arial"/>
          <w:sz w:val="18"/>
          <w:szCs w:val="18"/>
          <w:color w:val="231F20"/>
        </w:rPr>
      </w:pPr>
    </w:p>
    <w:p>
      <w:pPr>
        <w:ind w:left="660" w:hanging="328"/>
        <w:spacing w:after="0"/>
        <w:tabs>
          <w:tab w:leader="none" w:pos="660" w:val="left"/>
        </w:tabs>
        <w:numPr>
          <w:ilvl w:val="0"/>
          <w:numId w:val="34"/>
        </w:numPr>
        <w:rPr>
          <w:rFonts w:ascii="Arial" w:cs="Arial" w:eastAsia="Arial" w:hAnsi="Arial"/>
          <w:sz w:val="18"/>
          <w:szCs w:val="18"/>
          <w:color w:val="231F20"/>
        </w:rPr>
      </w:pPr>
      <w:r>
        <w:rPr>
          <w:rFonts w:ascii="Arial" w:cs="Arial" w:eastAsia="Arial" w:hAnsi="Arial"/>
          <w:sz w:val="18"/>
          <w:szCs w:val="18"/>
          <w:color w:val="231F20"/>
        </w:rPr>
        <w:t>changes in laws and regulations affecting our business;</w:t>
      </w:r>
    </w:p>
    <w:p>
      <w:pPr>
        <w:spacing w:after="0" w:line="117" w:lineRule="exact"/>
        <w:rPr>
          <w:rFonts w:ascii="Arial" w:cs="Arial" w:eastAsia="Arial" w:hAnsi="Arial"/>
          <w:sz w:val="18"/>
          <w:szCs w:val="18"/>
          <w:color w:val="231F20"/>
        </w:rPr>
      </w:pPr>
    </w:p>
    <w:p>
      <w:pPr>
        <w:ind w:left="660" w:hanging="328"/>
        <w:spacing w:after="0"/>
        <w:tabs>
          <w:tab w:leader="none" w:pos="660" w:val="left"/>
        </w:tabs>
        <w:numPr>
          <w:ilvl w:val="0"/>
          <w:numId w:val="34"/>
        </w:numPr>
        <w:rPr>
          <w:rFonts w:ascii="Arial" w:cs="Arial" w:eastAsia="Arial" w:hAnsi="Arial"/>
          <w:sz w:val="18"/>
          <w:szCs w:val="18"/>
          <w:color w:val="231F20"/>
        </w:rPr>
      </w:pPr>
      <w:r>
        <w:rPr>
          <w:rFonts w:ascii="Arial" w:cs="Arial" w:eastAsia="Arial" w:hAnsi="Arial"/>
          <w:sz w:val="18"/>
          <w:szCs w:val="18"/>
          <w:color w:val="231F20"/>
        </w:rPr>
        <w:t>commencement of, or involvement in, litigation or investigations involving us;</w:t>
      </w:r>
    </w:p>
    <w:p>
      <w:pPr>
        <w:spacing w:after="0" w:line="117" w:lineRule="exact"/>
        <w:rPr>
          <w:rFonts w:ascii="Arial" w:cs="Arial" w:eastAsia="Arial" w:hAnsi="Arial"/>
          <w:sz w:val="18"/>
          <w:szCs w:val="18"/>
          <w:color w:val="231F20"/>
        </w:rPr>
      </w:pPr>
    </w:p>
    <w:p>
      <w:pPr>
        <w:ind w:left="660" w:hanging="328"/>
        <w:spacing w:after="0"/>
        <w:tabs>
          <w:tab w:leader="none" w:pos="660" w:val="left"/>
        </w:tabs>
        <w:numPr>
          <w:ilvl w:val="0"/>
          <w:numId w:val="34"/>
        </w:numPr>
        <w:rPr>
          <w:rFonts w:ascii="Arial" w:cs="Arial" w:eastAsia="Arial" w:hAnsi="Arial"/>
          <w:sz w:val="18"/>
          <w:szCs w:val="18"/>
          <w:color w:val="231F20"/>
        </w:rPr>
      </w:pPr>
      <w:r>
        <w:rPr>
          <w:rFonts w:ascii="Arial" w:cs="Arial" w:eastAsia="Arial" w:hAnsi="Arial"/>
          <w:sz w:val="18"/>
          <w:szCs w:val="18"/>
          <w:color w:val="231F20"/>
        </w:rPr>
        <w:t>changes in our capital structure, such as future issuances of securities or the incurrence of additional debt;</w:t>
      </w:r>
    </w:p>
    <w:p>
      <w:pPr>
        <w:spacing w:after="0" w:line="117" w:lineRule="exact"/>
        <w:rPr>
          <w:rFonts w:ascii="Arial" w:cs="Arial" w:eastAsia="Arial" w:hAnsi="Arial"/>
          <w:sz w:val="18"/>
          <w:szCs w:val="18"/>
          <w:color w:val="231F20"/>
        </w:rPr>
      </w:pPr>
    </w:p>
    <w:p>
      <w:pPr>
        <w:ind w:left="660" w:hanging="328"/>
        <w:spacing w:after="0"/>
        <w:tabs>
          <w:tab w:leader="none" w:pos="660" w:val="left"/>
        </w:tabs>
        <w:numPr>
          <w:ilvl w:val="0"/>
          <w:numId w:val="34"/>
        </w:numPr>
        <w:rPr>
          <w:rFonts w:ascii="Arial" w:cs="Arial" w:eastAsia="Arial" w:hAnsi="Arial"/>
          <w:sz w:val="18"/>
          <w:szCs w:val="18"/>
          <w:color w:val="231F20"/>
        </w:rPr>
      </w:pPr>
      <w:r>
        <w:rPr>
          <w:rFonts w:ascii="Arial" w:cs="Arial" w:eastAsia="Arial" w:hAnsi="Arial"/>
          <w:sz w:val="18"/>
          <w:szCs w:val="18"/>
          <w:color w:val="231F20"/>
        </w:rPr>
        <w:t>the volume of our common stock available for public sale;</w:t>
      </w:r>
    </w:p>
    <w:p>
      <w:pPr>
        <w:spacing w:after="0" w:line="117" w:lineRule="exact"/>
        <w:rPr>
          <w:rFonts w:ascii="Arial" w:cs="Arial" w:eastAsia="Arial" w:hAnsi="Arial"/>
          <w:sz w:val="18"/>
          <w:szCs w:val="18"/>
          <w:color w:val="231F20"/>
        </w:rPr>
      </w:pPr>
    </w:p>
    <w:p>
      <w:pPr>
        <w:ind w:left="660" w:hanging="328"/>
        <w:spacing w:after="0"/>
        <w:tabs>
          <w:tab w:leader="none" w:pos="660" w:val="left"/>
        </w:tabs>
        <w:numPr>
          <w:ilvl w:val="0"/>
          <w:numId w:val="34"/>
        </w:numPr>
        <w:rPr>
          <w:rFonts w:ascii="Arial" w:cs="Arial" w:eastAsia="Arial" w:hAnsi="Arial"/>
          <w:sz w:val="18"/>
          <w:szCs w:val="18"/>
          <w:color w:val="231F20"/>
        </w:rPr>
      </w:pPr>
      <w:r>
        <w:rPr>
          <w:rFonts w:ascii="Arial" w:cs="Arial" w:eastAsia="Arial" w:hAnsi="Arial"/>
          <w:sz w:val="18"/>
          <w:szCs w:val="18"/>
          <w:color w:val="231F20"/>
        </w:rPr>
        <w:t xml:space="preserve">any major change in our Board </w:t>
      </w:r>
      <w:r>
        <w:rPr>
          <w:rFonts w:ascii="Arial" w:cs="Arial" w:eastAsia="Arial" w:hAnsi="Arial"/>
          <w:sz w:val="18"/>
          <w:szCs w:val="18"/>
          <w:color w:val="000000"/>
        </w:rPr>
        <w:t>or management;</w:t>
      </w:r>
    </w:p>
    <w:p>
      <w:pPr>
        <w:spacing w:after="0" w:line="117" w:lineRule="exact"/>
        <w:rPr>
          <w:rFonts w:ascii="Arial" w:cs="Arial" w:eastAsia="Arial" w:hAnsi="Arial"/>
          <w:sz w:val="18"/>
          <w:szCs w:val="18"/>
          <w:color w:val="231F20"/>
        </w:rPr>
      </w:pPr>
    </w:p>
    <w:p>
      <w:pPr>
        <w:jc w:val="both"/>
        <w:ind w:left="660" w:right="400" w:hanging="328"/>
        <w:spacing w:after="0" w:line="342" w:lineRule="auto"/>
        <w:tabs>
          <w:tab w:leader="none" w:pos="655" w:val="left"/>
        </w:tabs>
        <w:numPr>
          <w:ilvl w:val="0"/>
          <w:numId w:val="34"/>
        </w:numPr>
        <w:rPr>
          <w:rFonts w:ascii="Arial" w:cs="Arial" w:eastAsia="Arial" w:hAnsi="Arial"/>
          <w:sz w:val="16"/>
          <w:szCs w:val="16"/>
          <w:color w:val="auto"/>
        </w:rPr>
      </w:pPr>
      <w:r>
        <w:rPr>
          <w:rFonts w:ascii="Arial" w:cs="Arial" w:eastAsia="Arial" w:hAnsi="Arial"/>
          <w:sz w:val="16"/>
          <w:szCs w:val="16"/>
          <w:color w:val="auto"/>
        </w:rPr>
        <w:t>sales of substantial amounts of our common stock by our directors, officers or significant stockholders or the perception that such sales could occur, including the expiration of the lock-up periods applicable to certain holders of our common stock pursuant to the Sponsor Agreement;</w:t>
      </w:r>
    </w:p>
    <w:p>
      <w:pPr>
        <w:spacing w:after="0" w:line="15" w:lineRule="exact"/>
        <w:rPr>
          <w:rFonts w:ascii="Arial" w:cs="Arial" w:eastAsia="Arial" w:hAnsi="Arial"/>
          <w:sz w:val="16"/>
          <w:szCs w:val="16"/>
          <w:color w:val="auto"/>
        </w:rPr>
      </w:pPr>
    </w:p>
    <w:p>
      <w:pPr>
        <w:ind w:left="660" w:right="80" w:hanging="328"/>
        <w:spacing w:after="0" w:line="308" w:lineRule="auto"/>
        <w:tabs>
          <w:tab w:leader="none" w:pos="655" w:val="left"/>
        </w:tabs>
        <w:numPr>
          <w:ilvl w:val="0"/>
          <w:numId w:val="34"/>
        </w:numPr>
        <w:rPr>
          <w:rFonts w:ascii="Arial" w:cs="Arial" w:eastAsia="Arial" w:hAnsi="Arial"/>
          <w:sz w:val="17"/>
          <w:szCs w:val="17"/>
          <w:color w:val="auto"/>
        </w:rPr>
      </w:pPr>
      <w:r>
        <w:rPr>
          <w:rFonts w:ascii="Arial" w:cs="Arial" w:eastAsia="Arial" w:hAnsi="Arial"/>
          <w:sz w:val="17"/>
          <w:szCs w:val="17"/>
          <w:color w:val="auto"/>
        </w:rPr>
        <w:t>general economic and political conditions, such as recessions, interest rates, pandemics (such as COVID-19), inflation, changes in diplomatic and trade relationships, fluctuations in foreign currency exchange rates, acts of war or terrorism, and natural disasters; and</w:t>
      </w:r>
    </w:p>
    <w:p>
      <w:pPr>
        <w:spacing w:after="0" w:line="38" w:lineRule="exact"/>
        <w:rPr>
          <w:rFonts w:ascii="Arial" w:cs="Arial" w:eastAsia="Arial" w:hAnsi="Arial"/>
          <w:sz w:val="17"/>
          <w:szCs w:val="17"/>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other risk factors listed in this section “Risk Factors.”</w:t>
      </w:r>
    </w:p>
    <w:p>
      <w:pPr>
        <w:spacing w:after="0" w:line="225"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Broad market and industry factors may materially harm the market price of our securities irrespective of our operating performance. The stock market in general and Nasdaq have experienced extreme price and volume fluctuations that have often been unrelated or disproportionate to the operating performance of the particular companies affected. The trading prices and valuations of these stocks, and of our securities, may not be predictable. A loss of investor confidence in the market for the stocks of other companies which investors perceive to be similar to ours could depress our stock price and the trading price of the 2026 Notes regardless of our business, prospects, financial conditions or results of operations. Broad market and industry factors, including, the impact of the conflict between Ukraine and Russia, natural disasters, the COVID-19 pandemic, and any other global pa</w:t>
      </w:r>
      <w:r>
        <w:rPr>
          <w:rFonts w:ascii="Arial" w:cs="Arial" w:eastAsia="Arial" w:hAnsi="Arial"/>
          <w:sz w:val="17"/>
          <w:szCs w:val="17"/>
          <w:color w:val="231F20"/>
        </w:rPr>
        <w:t>ndemics, as well as</w:t>
      </w:r>
      <w:r>
        <w:rPr>
          <w:rFonts w:ascii="Arial" w:cs="Arial" w:eastAsia="Arial" w:hAnsi="Arial"/>
          <w:sz w:val="17"/>
          <w:szCs w:val="17"/>
          <w:color w:val="auto"/>
        </w:rPr>
        <w:t xml:space="preserve"> </w:t>
      </w:r>
      <w:r>
        <w:rPr>
          <w:rFonts w:ascii="Arial" w:cs="Arial" w:eastAsia="Arial" w:hAnsi="Arial"/>
          <w:sz w:val="17"/>
          <w:szCs w:val="17"/>
          <w:color w:val="231F20"/>
        </w:rPr>
        <w:t>general economic, political and market conditions such as recessions, inflation, or interest rate changes, may seriously affect the market price of our common stock and other securities, regardless of our actual operating performance. A decline in the market price of our securities also could adversely affect our ability to issue additional securities and our ability to obtain additional financing in the future.</w:t>
      </w:r>
    </w:p>
    <w:p>
      <w:pPr>
        <w:spacing w:after="0" w:line="18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231F20"/>
        </w:rPr>
        <w:t>Furthermore, the stock markets in general, and the markets for technology and electric vehicle stocks in particular, have experienced extreme volatility, including as a result of the COVID-19 pandemic, that has sometimes been unrelated to the operating performance of the issuer. The trading price of our common stock may be adversely affected by third parties trying to drive down or drive up the market price. Short sellers and others, some of whom post anonymously on social media, may be positioned to profit if our stock declines or otherwise exhibits volatility, and their activities can negatively affect our stock price and increase the volatility of our stock price. These broad market and industry factors may seriously harm the market price of our common stock, regardless of our operating performance. In addition, hedging activity by holders of the 2026 Notes may impact the market price of our common stock, in particular during any redemption conversion period in connection with a redemption of the 2026 Notes or any observation period for a conversion of the 2026 Notes.</w:t>
      </w:r>
    </w:p>
    <w:p>
      <w:pPr>
        <w:spacing w:after="0" w:line="192" w:lineRule="exact"/>
        <w:rPr>
          <w:sz w:val="20"/>
          <w:szCs w:val="20"/>
          <w:color w:val="auto"/>
        </w:rPr>
      </w:pPr>
    </w:p>
    <w:p>
      <w:pPr>
        <w:spacing w:after="0" w:line="259" w:lineRule="auto"/>
        <w:rPr>
          <w:sz w:val="20"/>
          <w:szCs w:val="20"/>
          <w:color w:val="auto"/>
        </w:rPr>
      </w:pPr>
      <w:r>
        <w:rPr>
          <w:rFonts w:ascii="Arial" w:cs="Arial" w:eastAsia="Arial" w:hAnsi="Arial"/>
          <w:sz w:val="18"/>
          <w:szCs w:val="18"/>
          <w:color w:val="231F20"/>
        </w:rPr>
        <w:t>In addition, in the past, following periods of volatility in the overall market and the market prices of particular companies’ securities, securities class action litigations have often been instituted against these companies. Litigation of this type, if instituted against us, could result in substantial costs and a diversion of our management’s attention and resources. Any adverse determination in any such litigation or any amounts paid to settle any such actual or threatened litigation could require that we make significant payments.</w:t>
      </w:r>
    </w:p>
    <w:p>
      <w:pPr>
        <w:spacing w:after="0" w:line="187"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231F20"/>
        </w:rPr>
        <w:t>The issuance of additional shares of our common stock or other equity or equity-linked securities, or sales of a significant portion of our common stock, could depress the market price of our common stock.</w:t>
      </w:r>
    </w:p>
    <w:p>
      <w:pPr>
        <w:spacing w:after="0" w:line="170"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231F20"/>
        </w:rPr>
        <w:t>Future issuances of shares of our common stock, or of securities convertible into or exercisable for our common stock, could depress the market price of our common stock and result in significant dilution for holders of our common stock. The exercise of our outstanding warrants and options, the vesting and settlement of our restricted stock units, or the conversion of our 2026 Notes would result in additional dilution to holders of our common stock. In the future, we may issue additional shares of our common stock, or securities convertible into or exercisable for common stock, in connection with generating additional capital, future acquisitions, repayment of outstanding indebtedness, under our stock incentive plan, or for other reasons.</w:t>
      </w:r>
    </w:p>
    <w:p>
      <w:pPr>
        <w:spacing w:after="0" w:line="16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231F20"/>
        </w:rPr>
        <w:t>The market price of shares of our common stock could decline as a result of substantial sales of common stock, particularly by our significant stockholders, a large number of shares of common stock becoming available for sale or the perception in the market that holders of a large number of shares intend to sell their shares.</w:t>
      </w:r>
    </w:p>
    <w:p>
      <w:pPr>
        <w:spacing w:after="0" w:line="184"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231F20"/>
        </w:rPr>
        <w:t>In addition, pursuant to the Investor Rights Agreement, Ayar, and certain other parties thereto are entitled to, among other things, certain registration rights, including demand, piggy-back and shelf registration rights. If one or more of these stockholders were to sell a substantial portion of the shares they hold, it could cause the trading price of our common stock to decline.</w:t>
      </w:r>
    </w:p>
    <w:p>
      <w:pPr>
        <w:sectPr>
          <w:pgSz w:w="11900" w:h="16838" w:orient="portrait"/>
          <w:cols w:equalWidth="0" w:num="1">
            <w:col w:w="11220"/>
          </w:cols>
          <w:pgMar w:left="320" w:top="881" w:right="359" w:bottom="1440" w:gutter="0" w:footer="0" w:header="0"/>
        </w:sectPr>
      </w:pPr>
    </w:p>
    <w:p>
      <w:pPr>
        <w:spacing w:after="0" w:line="23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1" w:right="359" w:bottom="1440" w:gutter="0" w:footer="0" w:header="0"/>
          <w:type w:val="continuous"/>
        </w:sectPr>
      </w:pPr>
    </w:p>
    <w:bookmarkStart w:id="65" w:name="page66"/>
    <w:bookmarkEnd w:id="65"/>
    <w:p>
      <w:pPr>
        <w:ind w:right="420"/>
        <w:spacing w:after="0" w:line="263" w:lineRule="auto"/>
        <w:rPr>
          <w:sz w:val="20"/>
          <w:szCs w:val="20"/>
          <w:color w:val="auto"/>
        </w:rPr>
      </w:pPr>
      <w:r>
        <w:rPr>
          <w:rFonts w:ascii="Arial" w:cs="Arial" w:eastAsia="Arial" w:hAnsi="Arial"/>
          <w:sz w:val="18"/>
          <w:szCs w:val="18"/>
          <w:b w:val="1"/>
          <w:bCs w:val="1"/>
          <w:i w:val="1"/>
          <w:iCs w:val="1"/>
          <w:color w:val="231F20"/>
        </w:rPr>
        <w:t>We are a “controlled company” within the meaning of the applicable Nasdaq rules and, as a result, qualify for exemptions from certain corporate governance requirements. Our stockholders will not have the same protections afforded to stockholders of companies that are not controlled companies.</w:t>
      </w:r>
    </w:p>
    <w:p>
      <w:pPr>
        <w:spacing w:after="0" w:line="184" w:lineRule="exact"/>
        <w:rPr>
          <w:sz w:val="20"/>
          <w:szCs w:val="20"/>
          <w:color w:val="auto"/>
        </w:rPr>
      </w:pPr>
    </w:p>
    <w:p>
      <w:pPr>
        <w:spacing w:after="0" w:line="288" w:lineRule="auto"/>
        <w:rPr>
          <w:sz w:val="20"/>
          <w:szCs w:val="20"/>
          <w:color w:val="auto"/>
        </w:rPr>
      </w:pPr>
      <w:r>
        <w:rPr>
          <w:rFonts w:ascii="Arial" w:cs="Arial" w:eastAsia="Arial" w:hAnsi="Arial"/>
          <w:sz w:val="16"/>
          <w:szCs w:val="16"/>
          <w:color w:val="231F20"/>
        </w:rPr>
        <w:t>As of December 31, 2022, PIF, both directly and indirectly through Ayar, held approximate</w:t>
      </w:r>
      <w:r>
        <w:rPr>
          <w:rFonts w:ascii="Arial" w:cs="Arial" w:eastAsia="Arial" w:hAnsi="Arial"/>
          <w:sz w:val="16"/>
          <w:szCs w:val="16"/>
          <w:color w:val="000000"/>
        </w:rPr>
        <w:t>ly 60.6% of</w:t>
      </w:r>
      <w:r>
        <w:rPr>
          <w:rFonts w:ascii="Arial" w:cs="Arial" w:eastAsia="Arial" w:hAnsi="Arial"/>
          <w:sz w:val="16"/>
          <w:szCs w:val="16"/>
          <w:color w:val="231F20"/>
        </w:rPr>
        <w:t xml:space="preserve"> our common stock. As a result, we are a “controlled company” within the meaning of the Nasdaq rules, and as a result, we qualify for exemptions from certain corporate governance requirements. Under these rules, a company of which more than 50% of the voting power for the election of directors is held by an individual, group or another company is a “controlled company” and may elect not to comply with certain corporate governance requirements, including the requirements to have: (a) a majority of independent directors on the board; (b) a nominating committee comprised solely of independent directors; (c) compensation of executive officers determined by a majority of the independent directors or a compensation committee comprised solely of independent directors; and (d) director nominees selected, or recommended for the selection by the board, either by a majority of the independent directors or a nominating committee comprised solely of independent directors. Although currently we do not utilize any of these exemptions, we may elect to utilize one or more of these exemptions for so long as we remain a “controlled company.” As a result, our stockholders may not have the same protections afforded to stockholders of companies that are subject to all of the Nasdaq corporate governance requirements. Ayar also has the ability to nominate five of the nine directors to our Board.</w:t>
      </w:r>
    </w:p>
    <w:p>
      <w:pPr>
        <w:spacing w:after="0" w:line="168" w:lineRule="exact"/>
        <w:rPr>
          <w:sz w:val="20"/>
          <w:szCs w:val="20"/>
          <w:color w:val="auto"/>
        </w:rPr>
      </w:pPr>
    </w:p>
    <w:p>
      <w:pPr>
        <w:spacing w:after="0" w:line="255" w:lineRule="auto"/>
        <w:rPr>
          <w:sz w:val="20"/>
          <w:szCs w:val="20"/>
          <w:color w:val="auto"/>
        </w:rPr>
      </w:pPr>
      <w:r>
        <w:rPr>
          <w:rFonts w:ascii="Arial" w:cs="Arial" w:eastAsia="Arial" w:hAnsi="Arial"/>
          <w:sz w:val="18"/>
          <w:szCs w:val="18"/>
          <w:color w:val="231F20"/>
        </w:rPr>
        <w:t>Further, this concentration of ownership and voting power allows Ayar to control our decisions, including matters requiring approval by our stockholders (such as, subject to the Investor Rights Agreement, the election of directors and the approval of mergers or other extraordinary transactions), regardless of whether or not other stockholders believe that the transaction is in their own best interests. Such concentration of voting power could also have the effect of delaying, deterring or preventing a change of control or other business combination that might otherwise be beneficial to our stockholders, could deprive our stockholders of an opportunity to receive a premium for their common stock as part of a sale of our company and might ultimately affect the market price of our common stock and the trading price of the 2026 Notes.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PIF and Ayar beneficially own a significant equity interest in us and may take actions that conflict with your interests.</w:t>
      </w:r>
    </w:p>
    <w:p>
      <w:pPr>
        <w:spacing w:after="0" w:line="225"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231F20"/>
        </w:rPr>
        <w:t>The interests of PIF and Ayar may not align with our interests and the interests of our other stockholders or securityholders. PIF and Ayar are each in the business of making investments in companies and may acquire and hold interests in businesses that compete directly or indirectly with us. PIF and Ayar and their respective affiliates, may also pursue acquisition opportunities that may be c</w:t>
      </w:r>
      <w:r>
        <w:rPr>
          <w:rFonts w:ascii="Arial" w:cs="Arial" w:eastAsia="Arial" w:hAnsi="Arial"/>
          <w:sz w:val="18"/>
          <w:szCs w:val="18"/>
          <w:color w:val="000000"/>
        </w:rPr>
        <w:t>omplementary to our business and, as a result, those acquisition</w:t>
      </w:r>
      <w:r>
        <w:rPr>
          <w:rFonts w:ascii="Arial" w:cs="Arial" w:eastAsia="Arial" w:hAnsi="Arial"/>
          <w:sz w:val="18"/>
          <w:szCs w:val="18"/>
          <w:color w:val="231F20"/>
        </w:rPr>
        <w:t xml:space="preserve"> </w:t>
      </w:r>
      <w:r>
        <w:rPr>
          <w:rFonts w:ascii="Arial" w:cs="Arial" w:eastAsia="Arial" w:hAnsi="Arial"/>
          <w:sz w:val="18"/>
          <w:szCs w:val="18"/>
          <w:color w:val="000000"/>
        </w:rPr>
        <w:t>opportunities may not be available to us.</w:t>
      </w:r>
    </w:p>
    <w:p>
      <w:pPr>
        <w:spacing w:after="0" w:line="187" w:lineRule="exact"/>
        <w:rPr>
          <w:sz w:val="20"/>
          <w:szCs w:val="20"/>
          <w:color w:val="auto"/>
        </w:rPr>
      </w:pPr>
    </w:p>
    <w:p>
      <w:pPr>
        <w:jc w:val="both"/>
        <w:ind w:right="900"/>
        <w:spacing w:after="0" w:line="381" w:lineRule="auto"/>
        <w:rPr>
          <w:sz w:val="20"/>
          <w:szCs w:val="20"/>
          <w:color w:val="auto"/>
        </w:rPr>
      </w:pPr>
      <w:r>
        <w:rPr>
          <w:rFonts w:ascii="Arial" w:cs="Arial" w:eastAsia="Arial" w:hAnsi="Arial"/>
          <w:sz w:val="15"/>
          <w:szCs w:val="15"/>
          <w:b w:val="1"/>
          <w:bCs w:val="1"/>
          <w:i w:val="1"/>
          <w:iCs w:val="1"/>
          <w:color w:val="auto"/>
        </w:rPr>
        <w:t>Securities or industry analysts may not publish or cease publishing research or reports about us, our business, our market, or change their recommendations regarding our common stock adversely, which could cause the price and trading volume of our common stock to decline.</w:t>
      </w:r>
    </w:p>
    <w:p>
      <w:pPr>
        <w:spacing w:after="0" w:line="10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trading market for our common stock can be influenced by the research and reports that industry or securities analysts may publish about us, our business and operations, our market, or our competitors. Similarly, if any of the analysts who do cover us change their recommendation regarding our stock adversely, or provide more favorable relative recommendations about our competitors, the price of our common stock may decline. If any analyst who covers us were to cease coverage of us or fail to regularly publish reports on us, we could lose visibility in the financial markets, which could cause our stock price or trading volume to decline.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anticipate paying any cash dividends for the foreseeable future.</w:t>
      </w:r>
    </w:p>
    <w:p>
      <w:pPr>
        <w:spacing w:after="0" w:line="225"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231F20"/>
        </w:rPr>
        <w:t>We have never declared or paid cash dividends on our capital stock, and we do not anticipate paying any cash dividends in the foreseeable future. In addition, the ABL Credit Facility limits our and certain of our subsidiaries’ ability to pay dividends. We currently intend to retain our future earnings, if any, for the foreseeable future, to fund the development and growth of our business.</w:t>
      </w:r>
    </w:p>
    <w:p>
      <w:pPr>
        <w:spacing w:after="0" w:line="184" w:lineRule="exact"/>
        <w:rPr>
          <w:sz w:val="20"/>
          <w:szCs w:val="20"/>
          <w:color w:val="auto"/>
        </w:rPr>
      </w:pPr>
    </w:p>
    <w:p>
      <w:pPr>
        <w:spacing w:after="0" w:line="263" w:lineRule="auto"/>
        <w:rPr>
          <w:sz w:val="20"/>
          <w:szCs w:val="20"/>
          <w:color w:val="auto"/>
        </w:rPr>
      </w:pPr>
      <w:r>
        <w:rPr>
          <w:rFonts w:ascii="Arial" w:cs="Arial" w:eastAsia="Arial" w:hAnsi="Arial"/>
          <w:sz w:val="18"/>
          <w:szCs w:val="18"/>
          <w:color w:val="231F20"/>
        </w:rPr>
        <w:t>Any future determination to pay dividends will be at the discretion of our Board and will be dependent upon our financial condition, results of operations, capital requirements, applicable contractual restrictions and such other factors as the Board may deem relevant. As a result, capital appreciation in the price of our common stock, if any, will be your only source of gain on an investment in our common stock.</w:t>
      </w:r>
    </w:p>
    <w:p>
      <w:pPr>
        <w:spacing w:after="0" w:line="184"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231F20"/>
        </w:rPr>
        <w:t>Se</w:t>
      </w:r>
      <w:r>
        <w:rPr>
          <w:rFonts w:ascii="Arial" w:cs="Arial" w:eastAsia="Arial" w:hAnsi="Arial"/>
          <w:sz w:val="18"/>
          <w:szCs w:val="18"/>
          <w:color w:val="000000"/>
        </w:rPr>
        <w:t>e the section titled “Management’s Discussion and Analysis of Financial Condition and Results of Operations — Liquidity and Capital Resources” in</w:t>
      </w:r>
      <w:r>
        <w:rPr>
          <w:rFonts w:ascii="Arial" w:cs="Arial" w:eastAsia="Arial" w:hAnsi="Arial"/>
          <w:sz w:val="18"/>
          <w:szCs w:val="18"/>
          <w:color w:val="231F20"/>
        </w:rPr>
        <w:t xml:space="preserve"> </w:t>
      </w:r>
      <w:r>
        <w:rPr>
          <w:rFonts w:ascii="Arial" w:cs="Arial" w:eastAsia="Arial" w:hAnsi="Arial"/>
          <w:sz w:val="18"/>
          <w:szCs w:val="18"/>
          <w:color w:val="000000"/>
        </w:rPr>
        <w:t>this Annual Report.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is no guarantee that an active and liquid public market for our securities will be sustained.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If a liquid trading market for our common stock is not sustained:</w:t>
      </w:r>
    </w:p>
    <w:p>
      <w:pPr>
        <w:spacing w:after="0" w:line="117" w:lineRule="exact"/>
        <w:rPr>
          <w:sz w:val="20"/>
          <w:szCs w:val="20"/>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holders of our common stock may not be able to liquidate their investment in shares of our common stock;</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holders of our common stock may not be able to resell their shares of our common stock at favorable prices, or at all;</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market price of shares of our common stock may experience significant price volatility;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there may be less efficiency in carrying out purchase and sale orders with respect to our common stock.</w:t>
      </w:r>
    </w:p>
    <w:p>
      <w:pPr>
        <w:sectPr>
          <w:pgSz w:w="11900" w:h="16838" w:orient="portrait"/>
          <w:cols w:equalWidth="0" w:num="1">
            <w:col w:w="11200"/>
          </w:cols>
          <w:pgMar w:left="320" w:top="989" w:right="379" w:bottom="1440" w:gutter="0" w:footer="0" w:header="0"/>
        </w:sectPr>
      </w:pPr>
    </w:p>
    <w:p>
      <w:pPr>
        <w:spacing w:after="0" w:line="279"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9" w:right="379" w:bottom="1440" w:gutter="0" w:footer="0" w:header="0"/>
          <w:type w:val="continuous"/>
        </w:sectPr>
      </w:pPr>
    </w:p>
    <w:bookmarkStart w:id="66" w:name="page67"/>
    <w:bookmarkEnd w:id="66"/>
    <w:p>
      <w:pPr>
        <w:jc w:val="both"/>
        <w:spacing w:after="0" w:line="311" w:lineRule="auto"/>
        <w:rPr>
          <w:sz w:val="20"/>
          <w:szCs w:val="20"/>
          <w:color w:val="auto"/>
        </w:rPr>
      </w:pPr>
      <w:r>
        <w:rPr>
          <w:rFonts w:ascii="Arial" w:cs="Arial" w:eastAsia="Arial" w:hAnsi="Arial"/>
          <w:sz w:val="16"/>
          <w:szCs w:val="16"/>
          <w:color w:val="auto"/>
        </w:rPr>
        <w:t>Additionally, if our securities become delisted from Nasdaq for any reason, and are quoted on the OTC Bulletin Board, an inter-dealer automated quotation system for equity securities that is not a national securities exchange, the liquidity and price of our securities may be more limited than if we were quoted or listed on Nasdaq or another national securities exchange. You may be unable to sell your securities unless a market can be established or sustained.</w:t>
      </w:r>
    </w:p>
    <w:p>
      <w:pPr>
        <w:spacing w:after="0" w:line="149" w:lineRule="exact"/>
        <w:rPr>
          <w:sz w:val="20"/>
          <w:szCs w:val="20"/>
          <w:color w:val="auto"/>
        </w:rPr>
      </w:pPr>
    </w:p>
    <w:p>
      <w:pPr>
        <w:spacing w:after="0" w:line="340" w:lineRule="auto"/>
        <w:rPr>
          <w:sz w:val="20"/>
          <w:szCs w:val="20"/>
          <w:color w:val="auto"/>
        </w:rPr>
      </w:pPr>
      <w:r>
        <w:rPr>
          <w:rFonts w:ascii="Arial" w:cs="Arial" w:eastAsia="Arial" w:hAnsi="Arial"/>
          <w:sz w:val="15"/>
          <w:szCs w:val="15"/>
          <w:b w:val="1"/>
          <w:bCs w:val="1"/>
          <w:i w:val="1"/>
          <w:iCs w:val="1"/>
          <w:color w:val="auto"/>
        </w:rPr>
        <w:t>Our current bylaws designate a state court within the State of Delaware, to the fullest extent permitted by law, as the sole and exclusive forum for certain types of actions and proceedings that may be initiated by our stockholders, which could limit the ability of our stockholders to obtain a favorable judicial forum f</w:t>
      </w:r>
      <w:r>
        <w:rPr>
          <w:rFonts w:ascii="Arial" w:cs="Arial" w:eastAsia="Arial" w:hAnsi="Arial"/>
          <w:sz w:val="15"/>
          <w:szCs w:val="15"/>
          <w:b w:val="1"/>
          <w:bCs w:val="1"/>
          <w:i w:val="1"/>
          <w:iCs w:val="1"/>
          <w:color w:val="231F20"/>
        </w:rPr>
        <w:t>or disputes with us or with our directors, officers or employees and may discourage stockholders from bringing such claims.</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color w:val="231F20"/>
        </w:rPr>
        <w:t>Under our current bylaws, unless we consent in writing to the selection of an alternative forum, the sole and exclusive forum will be a state court within the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231F20"/>
        </w:rPr>
        <w:t>State of Delaware (or, if no state court located within the State of Delaware has jurisdiction, the federal district court for the District of Delaware) for:</w:t>
      </w:r>
    </w:p>
    <w:p>
      <w:pPr>
        <w:spacing w:after="0" w:line="114" w:lineRule="exact"/>
        <w:rPr>
          <w:sz w:val="20"/>
          <w:szCs w:val="20"/>
          <w:color w:val="auto"/>
        </w:rPr>
      </w:pPr>
    </w:p>
    <w:p>
      <w:pPr>
        <w:ind w:left="660" w:hanging="328"/>
        <w:spacing w:after="0"/>
        <w:tabs>
          <w:tab w:leader="none" w:pos="660" w:val="left"/>
        </w:tabs>
        <w:numPr>
          <w:ilvl w:val="0"/>
          <w:numId w:val="36"/>
        </w:numPr>
        <w:rPr>
          <w:rFonts w:ascii="Arial" w:cs="Arial" w:eastAsia="Arial" w:hAnsi="Arial"/>
          <w:sz w:val="18"/>
          <w:szCs w:val="18"/>
          <w:color w:val="231F20"/>
        </w:rPr>
      </w:pPr>
      <w:r>
        <w:rPr>
          <w:rFonts w:ascii="Arial" w:cs="Arial" w:eastAsia="Arial" w:hAnsi="Arial"/>
          <w:sz w:val="18"/>
          <w:szCs w:val="18"/>
          <w:color w:val="231F20"/>
        </w:rPr>
        <w:t>any derivative action or proceeding brought on our behalf;</w:t>
      </w:r>
    </w:p>
    <w:p>
      <w:pPr>
        <w:spacing w:after="0" w:line="117" w:lineRule="exact"/>
        <w:rPr>
          <w:rFonts w:ascii="Arial" w:cs="Arial" w:eastAsia="Arial" w:hAnsi="Arial"/>
          <w:sz w:val="18"/>
          <w:szCs w:val="18"/>
          <w:color w:val="231F20"/>
        </w:rPr>
      </w:pPr>
    </w:p>
    <w:p>
      <w:pPr>
        <w:ind w:left="660" w:hanging="328"/>
        <w:spacing w:after="0"/>
        <w:tabs>
          <w:tab w:leader="none" w:pos="660" w:val="left"/>
        </w:tabs>
        <w:numPr>
          <w:ilvl w:val="0"/>
          <w:numId w:val="36"/>
        </w:numPr>
        <w:rPr>
          <w:rFonts w:ascii="Arial" w:cs="Arial" w:eastAsia="Arial" w:hAnsi="Arial"/>
          <w:sz w:val="17"/>
          <w:szCs w:val="17"/>
          <w:color w:val="231F20"/>
        </w:rPr>
      </w:pPr>
      <w:r>
        <w:rPr>
          <w:rFonts w:ascii="Arial" w:cs="Arial" w:eastAsia="Arial" w:hAnsi="Arial"/>
          <w:sz w:val="17"/>
          <w:szCs w:val="17"/>
          <w:color w:val="231F20"/>
        </w:rPr>
        <w:t>any action asserting a claim of breach of a fiduciary duty owed by any of our directors, officers or employees to us or our stockholders;</w:t>
      </w:r>
    </w:p>
    <w:p>
      <w:pPr>
        <w:spacing w:after="0" w:line="128" w:lineRule="exact"/>
        <w:rPr>
          <w:rFonts w:ascii="Arial" w:cs="Arial" w:eastAsia="Arial" w:hAnsi="Arial"/>
          <w:sz w:val="17"/>
          <w:szCs w:val="17"/>
          <w:color w:val="231F20"/>
        </w:rPr>
      </w:pPr>
    </w:p>
    <w:p>
      <w:pPr>
        <w:ind w:left="660" w:right="80" w:hanging="328"/>
        <w:spacing w:after="0" w:line="308" w:lineRule="auto"/>
        <w:tabs>
          <w:tab w:leader="none" w:pos="655" w:val="left"/>
        </w:tabs>
        <w:numPr>
          <w:ilvl w:val="0"/>
          <w:numId w:val="36"/>
        </w:numPr>
        <w:rPr>
          <w:rFonts w:ascii="Arial" w:cs="Arial" w:eastAsia="Arial" w:hAnsi="Arial"/>
          <w:sz w:val="17"/>
          <w:szCs w:val="17"/>
          <w:color w:val="231F20"/>
        </w:rPr>
      </w:pPr>
      <w:r>
        <w:rPr>
          <w:rFonts w:ascii="Arial" w:cs="Arial" w:eastAsia="Arial" w:hAnsi="Arial"/>
          <w:sz w:val="17"/>
          <w:szCs w:val="17"/>
          <w:color w:val="231F20"/>
        </w:rPr>
        <w:t>any action asserting a claim against us or any of our directors or officers or other employees arising pursuant to any provision of the DGCL or our certificate of incorporation or bylaws (as either may be amended, restated, modified, supplemented or waived from time to time); or</w:t>
      </w:r>
    </w:p>
    <w:p>
      <w:pPr>
        <w:spacing w:after="0" w:line="38" w:lineRule="exact"/>
        <w:rPr>
          <w:rFonts w:ascii="Arial" w:cs="Arial" w:eastAsia="Arial" w:hAnsi="Arial"/>
          <w:sz w:val="17"/>
          <w:szCs w:val="17"/>
          <w:color w:val="231F20"/>
        </w:rPr>
      </w:pPr>
    </w:p>
    <w:p>
      <w:pPr>
        <w:ind w:left="660" w:hanging="328"/>
        <w:spacing w:after="0"/>
        <w:tabs>
          <w:tab w:leader="none" w:pos="660" w:val="left"/>
        </w:tabs>
        <w:numPr>
          <w:ilvl w:val="0"/>
          <w:numId w:val="36"/>
        </w:numPr>
        <w:rPr>
          <w:rFonts w:ascii="Arial" w:cs="Arial" w:eastAsia="Arial" w:hAnsi="Arial"/>
          <w:sz w:val="17"/>
          <w:szCs w:val="17"/>
          <w:color w:val="231F20"/>
        </w:rPr>
      </w:pPr>
      <w:r>
        <w:rPr>
          <w:rFonts w:ascii="Arial" w:cs="Arial" w:eastAsia="Arial" w:hAnsi="Arial"/>
          <w:sz w:val="17"/>
          <w:szCs w:val="17"/>
          <w:color w:val="231F20"/>
        </w:rPr>
        <w:t>any action asserting a claim against us or any of our directors or officers or other employees governed by the internal affairs doctrine.</w:t>
      </w:r>
    </w:p>
    <w:p>
      <w:pPr>
        <w:spacing w:after="0" w:line="237"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231F20"/>
        </w:rPr>
        <w:t>For the avoidance of doubt, the foregoing provisions of our current bylaws will not apply to any action or proceeding asserting a claim under the Securities Act or the Exchange Act. Section 22 of the Securities Act creates concurrent jurisdiction for federal and state courts over all suits brought to enforce any duty or liability created by the Securities Act or the rules and regulations thereunder. Accordingly, both state and federal courts have jurisdiction to entertain such claims. To prevent having to litigate claims in multiple jurisdictions and the threat of inconsistent or contrary rulings by different courts, among other considerations, our current bylaws provide that, unless we consent in writing to the selection of an alternative forum, the federal district courts of the United States will be the exclusive forum for resolving any complaint asserting a cause of action arising under the Securities Act. Although investors cannot waive compliance with the federal securities laws and the rules and regulations thereunder, any person or entity purchasing or otherwise acquiring any interest in shares of our capital stock will be deemed to have notice of, and consented to, the provisions of our current bylaws described in the preceding sentences. These provisions of our current bylaws could limit the ability of our stockholders to obtain a favorable judicial forum for certain disputes with us or with our directors, officers or other employees, which may discourage such lawsuits against us and our directors, officers and employees. Alternatively, if a court were to find these provisions of our current bylaws inapplicable to, or unenforceable in respect of, one or more of the types of actions or proceedings listed above, we may incur additional costs associated with resolving such matters in other jurisdictions, which could adversely affect our business, financial condition and results of operations. While the Delaware courts have determined that such choice of forum provisions are facially valid, a stockholder may nevertheless seek to bring a claim in a venue other than those designated in the exclusive forum provisions, and there can be no assurance that such provisions will be enforced by a court in those other jurisdictions.</w:t>
      </w:r>
    </w:p>
    <w:p>
      <w:pPr>
        <w:spacing w:after="0" w:line="16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231F20"/>
        </w:rPr>
        <w:t>Some provisions of Delaware law and our current certificate of incorporation and our current bylaws may deter third parties from acquiring us and diminish the value of our common stock and the 2026 Notes.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231F20"/>
        </w:rPr>
        <w:t>Our current certificate of incorporation and our current bylaws provide for, among other things:</w:t>
      </w:r>
    </w:p>
    <w:p>
      <w:pPr>
        <w:spacing w:after="0" w:line="117" w:lineRule="exact"/>
        <w:rPr>
          <w:sz w:val="20"/>
          <w:szCs w:val="20"/>
          <w:color w:val="auto"/>
        </w:rPr>
      </w:pPr>
    </w:p>
    <w:p>
      <w:pPr>
        <w:ind w:left="660" w:right="560" w:hanging="328"/>
        <w:spacing w:after="0" w:line="277" w:lineRule="auto"/>
        <w:tabs>
          <w:tab w:leader="none" w:pos="655" w:val="left"/>
        </w:tabs>
        <w:numPr>
          <w:ilvl w:val="0"/>
          <w:numId w:val="37"/>
        </w:numPr>
        <w:rPr>
          <w:rFonts w:ascii="Arial" w:cs="Arial" w:eastAsia="Arial" w:hAnsi="Arial"/>
          <w:sz w:val="18"/>
          <w:szCs w:val="18"/>
          <w:color w:val="231F20"/>
        </w:rPr>
      </w:pPr>
      <w:r>
        <w:rPr>
          <w:rFonts w:ascii="Arial" w:cs="Arial" w:eastAsia="Arial" w:hAnsi="Arial"/>
          <w:sz w:val="18"/>
          <w:szCs w:val="18"/>
          <w:color w:val="231F20"/>
        </w:rPr>
        <w:t>the ability of our Board to issue one or more series of preferred stock with voting or other rights or preferences that could have the effect of impeding the success of an attempt to acquire us or otherwise effect a change in control;</w:t>
      </w:r>
    </w:p>
    <w:p>
      <w:pPr>
        <w:spacing w:after="0" w:line="62" w:lineRule="exact"/>
        <w:rPr>
          <w:rFonts w:ascii="Arial" w:cs="Arial" w:eastAsia="Arial" w:hAnsi="Arial"/>
          <w:sz w:val="18"/>
          <w:szCs w:val="18"/>
          <w:color w:val="231F20"/>
        </w:rPr>
      </w:pPr>
    </w:p>
    <w:p>
      <w:pPr>
        <w:ind w:left="660" w:right="200" w:hanging="328"/>
        <w:spacing w:after="0" w:line="277" w:lineRule="auto"/>
        <w:tabs>
          <w:tab w:leader="none" w:pos="655" w:val="left"/>
        </w:tabs>
        <w:numPr>
          <w:ilvl w:val="0"/>
          <w:numId w:val="37"/>
        </w:numPr>
        <w:rPr>
          <w:rFonts w:ascii="Arial" w:cs="Arial" w:eastAsia="Arial" w:hAnsi="Arial"/>
          <w:sz w:val="18"/>
          <w:szCs w:val="18"/>
          <w:color w:val="231F20"/>
        </w:rPr>
      </w:pPr>
      <w:r>
        <w:rPr>
          <w:rFonts w:ascii="Arial" w:cs="Arial" w:eastAsia="Arial" w:hAnsi="Arial"/>
          <w:sz w:val="18"/>
          <w:szCs w:val="18"/>
          <w:color w:val="231F20"/>
        </w:rPr>
        <w:t>subject to the Investor Rights Agreement, advance notice for nominations of directors by stockholders and for stockholders to include matters to be considered at stockholder meetings; and</w:t>
      </w:r>
    </w:p>
    <w:p>
      <w:pPr>
        <w:spacing w:after="0" w:line="62" w:lineRule="exact"/>
        <w:rPr>
          <w:rFonts w:ascii="Arial" w:cs="Arial" w:eastAsia="Arial" w:hAnsi="Arial"/>
          <w:sz w:val="18"/>
          <w:szCs w:val="18"/>
          <w:color w:val="231F20"/>
        </w:rPr>
      </w:pPr>
    </w:p>
    <w:p>
      <w:pPr>
        <w:ind w:left="660" w:hanging="328"/>
        <w:spacing w:after="0"/>
        <w:tabs>
          <w:tab w:leader="none" w:pos="660" w:val="left"/>
        </w:tabs>
        <w:numPr>
          <w:ilvl w:val="0"/>
          <w:numId w:val="37"/>
        </w:numPr>
        <w:rPr>
          <w:rFonts w:ascii="Arial" w:cs="Arial" w:eastAsia="Arial" w:hAnsi="Arial"/>
          <w:sz w:val="18"/>
          <w:szCs w:val="18"/>
          <w:color w:val="231F20"/>
        </w:rPr>
      </w:pPr>
      <w:r>
        <w:rPr>
          <w:rFonts w:ascii="Arial" w:cs="Arial" w:eastAsia="Arial" w:hAnsi="Arial"/>
          <w:sz w:val="18"/>
          <w:szCs w:val="18"/>
          <w:color w:val="231F20"/>
        </w:rPr>
        <w:t>certain limitations on convening special stockholder meetings.</w:t>
      </w:r>
    </w:p>
    <w:p>
      <w:pPr>
        <w:spacing w:after="0" w:line="225" w:lineRule="exact"/>
        <w:rPr>
          <w:sz w:val="20"/>
          <w:szCs w:val="20"/>
          <w:color w:val="auto"/>
        </w:rPr>
      </w:pPr>
    </w:p>
    <w:p>
      <w:pPr>
        <w:jc w:val="both"/>
        <w:ind w:right="260"/>
        <w:spacing w:after="0" w:line="263" w:lineRule="auto"/>
        <w:rPr>
          <w:sz w:val="20"/>
          <w:szCs w:val="20"/>
          <w:color w:val="auto"/>
        </w:rPr>
      </w:pPr>
      <w:r>
        <w:rPr>
          <w:rFonts w:ascii="Arial" w:cs="Arial" w:eastAsia="Arial" w:hAnsi="Arial"/>
          <w:sz w:val="18"/>
          <w:szCs w:val="18"/>
          <w:color w:val="231F20"/>
        </w:rPr>
        <w:t>In addition, in our current certificate of incorporation, we have not opted out of Section 203 of the DGCL, which prohibits a Delaware corporation from engaging in certain “business combinations” with any “interested stockholder” for a three-year period following the time that the stockholder became an interested stockholder, unless:</w:t>
      </w:r>
    </w:p>
    <w:p>
      <w:pPr>
        <w:spacing w:after="0" w:line="76" w:lineRule="exact"/>
        <w:rPr>
          <w:sz w:val="20"/>
          <w:szCs w:val="20"/>
          <w:color w:val="auto"/>
        </w:rPr>
      </w:pPr>
    </w:p>
    <w:p>
      <w:pPr>
        <w:ind w:left="660" w:right="220" w:hanging="328"/>
        <w:spacing w:after="0" w:line="277" w:lineRule="auto"/>
        <w:tabs>
          <w:tab w:leader="none" w:pos="655" w:val="left"/>
        </w:tabs>
        <w:numPr>
          <w:ilvl w:val="0"/>
          <w:numId w:val="38"/>
        </w:numPr>
        <w:rPr>
          <w:rFonts w:ascii="Arial" w:cs="Arial" w:eastAsia="Arial" w:hAnsi="Arial"/>
          <w:sz w:val="18"/>
          <w:szCs w:val="18"/>
          <w:color w:val="231F20"/>
        </w:rPr>
      </w:pPr>
      <w:r>
        <w:rPr>
          <w:rFonts w:ascii="Arial" w:cs="Arial" w:eastAsia="Arial" w:hAnsi="Arial"/>
          <w:sz w:val="18"/>
          <w:szCs w:val="18"/>
          <w:color w:val="231F20"/>
        </w:rPr>
        <w:t>prior to such time, the Board approved either the business combination or the transaction that resulted in the stockholder becoming an interested stockholder;</w:t>
      </w:r>
    </w:p>
    <w:p>
      <w:pPr>
        <w:spacing w:after="0" w:line="62" w:lineRule="exact"/>
        <w:rPr>
          <w:rFonts w:ascii="Arial" w:cs="Arial" w:eastAsia="Arial" w:hAnsi="Arial"/>
          <w:sz w:val="18"/>
          <w:szCs w:val="18"/>
          <w:color w:val="231F20"/>
        </w:rPr>
      </w:pPr>
    </w:p>
    <w:p>
      <w:pPr>
        <w:ind w:left="660" w:right="340" w:hanging="328"/>
        <w:spacing w:after="0" w:line="277" w:lineRule="auto"/>
        <w:tabs>
          <w:tab w:leader="none" w:pos="655" w:val="left"/>
        </w:tabs>
        <w:numPr>
          <w:ilvl w:val="0"/>
          <w:numId w:val="38"/>
        </w:numPr>
        <w:rPr>
          <w:rFonts w:ascii="Arial" w:cs="Arial" w:eastAsia="Arial" w:hAnsi="Arial"/>
          <w:sz w:val="18"/>
          <w:szCs w:val="18"/>
          <w:color w:val="231F20"/>
        </w:rPr>
      </w:pPr>
      <w:r>
        <w:rPr>
          <w:rFonts w:ascii="Arial" w:cs="Arial" w:eastAsia="Arial" w:hAnsi="Arial"/>
          <w:sz w:val="18"/>
          <w:szCs w:val="18"/>
          <w:color w:val="231F20"/>
        </w:rPr>
        <w:t>upon consummation of the transaction that resulted in the stockholder becoming an interested stockholder, the interested stockholder owned at least 85% of voting stock outstanding at the time the transaction commenced, excluding certain shares; or</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67" w:name="page68"/>
    <w:bookmarkEnd w:id="67"/>
    <w:p>
      <w:pPr>
        <w:ind w:left="660" w:right="20" w:hanging="328"/>
        <w:spacing w:after="0" w:line="277" w:lineRule="auto"/>
        <w:tabs>
          <w:tab w:leader="none" w:pos="655" w:val="left"/>
        </w:tabs>
        <w:numPr>
          <w:ilvl w:val="0"/>
          <w:numId w:val="39"/>
        </w:numPr>
        <w:rPr>
          <w:rFonts w:ascii="Arial" w:cs="Arial" w:eastAsia="Arial" w:hAnsi="Arial"/>
          <w:sz w:val="18"/>
          <w:szCs w:val="18"/>
          <w:color w:val="231F20"/>
        </w:rPr>
      </w:pPr>
      <w:r>
        <w:rPr>
          <w:rFonts w:ascii="Arial" w:cs="Arial" w:eastAsia="Arial" w:hAnsi="Arial"/>
          <w:sz w:val="18"/>
          <w:szCs w:val="18"/>
          <w:color w:val="231F20"/>
        </w:rPr>
        <w:t>at or subsequent to that time, the business combination is approved by our Board and by the affirmative vote of holders of at least two-thirds of the votes of our outstanding voting stock that is not owned by the interested stockholder.</w:t>
      </w:r>
    </w:p>
    <w:p>
      <w:pPr>
        <w:spacing w:after="0" w:line="17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231F20"/>
        </w:rPr>
        <w:t>Generally, a “business combination” includes a merger, asset or stock sale or other transaction resulting in a financial benefit to the interested stockholder. Subject to certain exceptions, an “interested stockholder” is a person who, together with that person’s affiliates and associates, owns, or within the previous three years owned, 15% or more of the votes of our outstanding voting stock. For purposes of this provision, “voting stock” means any class or series of stock entitled to vote generally in the election of directors.</w:t>
      </w:r>
    </w:p>
    <w:p>
      <w:pPr>
        <w:spacing w:after="0" w:line="187"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231F20"/>
        </w:rPr>
        <w:t>Under certain circumstances, this provision will make it more difficult for a person who would be an “interested stockholder” to effect various business combinations with us for a three-year period. This provision may encourage companies interested in acquiring us to negotiate in advance with our Board because the stockholder approval requirement would be avoided if our Board approves either the business combination or the transaction that results in the stockholder becoming an interested stockholder. These provisions also may have the effect of preventing changes in our Board and may make it more difficult to accomplish transactions that stockholders may otherwise deem to be in their best interests.</w:t>
      </w:r>
    </w:p>
    <w:p>
      <w:pPr>
        <w:spacing w:after="0" w:line="176"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231F20"/>
        </w:rPr>
        <w:t>These provisions in our current certificate of incorporation and our current bylaws, as well as Delaware law, may discourage, delay or prevent a transaction involving a change in our control that is in the best interest of our minority stockholders. Even in the absence of a takeover attempt, the existence of these provisions may adversely affect the prevailing market price of our common stock or the trading price of the 2026 Notes if they are viewed as discouraging future takeover attempts. These provisions could also make it more difficult for stockholders to nominate directors for election to our Board and take other corporate actions, which could also affect the price investors are willing to pay for our common stock or the 2026 Notes.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29"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We are headquartered in Newark, California. Our principal facilities include properties in North America, Europe and the Middle East, which are primarily for manufacturing, assembly, warehousing, engineering, retail and service, and administrative activities. Our current manufacturing facilities are in Casa Grande, Arizona and we are also constructing our planned manufacturing facility in Saudi Arabia. We currently lease or own the land on which our material properties are situated, and the leased properties are subject to various lease arrangements with third-party entities.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Excluding our growing portfolio of retail locations, a list of certain of our principal facilities are outlined below:</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60" w:type="dxa"/>
            <w:vAlign w:val="bottom"/>
            <w:gridSpan w:val="2"/>
          </w:tcPr>
          <w:p>
            <w:pPr>
              <w:ind w:left="2300"/>
              <w:spacing w:after="0"/>
              <w:rPr>
                <w:sz w:val="20"/>
                <w:szCs w:val="20"/>
                <w:color w:val="auto"/>
              </w:rPr>
            </w:pPr>
            <w:r>
              <w:rPr>
                <w:rFonts w:ascii="Arial" w:cs="Arial" w:eastAsia="Arial" w:hAnsi="Arial"/>
                <w:sz w:val="18"/>
                <w:szCs w:val="18"/>
                <w:b w:val="1"/>
                <w:bCs w:val="1"/>
                <w:color w:val="auto"/>
              </w:rPr>
              <w:t>Primary Use</w:t>
            </w:r>
          </w:p>
        </w:tc>
        <w:tc>
          <w:tcPr>
            <w:tcW w:w="39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Location</w:t>
            </w: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90"/>
              </w:rPr>
              <w:t>Owned or Leased</w:t>
            </w:r>
          </w:p>
        </w:tc>
      </w:tr>
      <w:tr>
        <w:trPr>
          <w:trHeight w:val="223"/>
        </w:trPr>
        <w:tc>
          <w:tcPr>
            <w:tcW w:w="55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Headquarters</w:t>
            </w:r>
          </w:p>
        </w:tc>
        <w:tc>
          <w:tcPr>
            <w:tcW w:w="100" w:type="dxa"/>
            <w:vAlign w:val="bottom"/>
            <w:tcBorders>
              <w:top w:val="single" w:sz="8" w:color="CCEEFF"/>
            </w:tcBorders>
            <w:shd w:val="clear" w:color="auto" w:fill="CCEEFF"/>
          </w:tcPr>
          <w:p>
            <w:pPr>
              <w:spacing w:after="0"/>
              <w:rPr>
                <w:sz w:val="19"/>
                <w:szCs w:val="19"/>
                <w:color w:val="auto"/>
              </w:rPr>
            </w:pPr>
          </w:p>
        </w:tc>
        <w:tc>
          <w:tcPr>
            <w:tcW w:w="39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Newark, CA</w:t>
            </w:r>
          </w:p>
        </w:tc>
        <w:tc>
          <w:tcPr>
            <w:tcW w:w="8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Leased</w:t>
            </w:r>
          </w:p>
        </w:tc>
      </w:tr>
      <w:tr>
        <w:trPr>
          <w:trHeight w:val="304"/>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Manufacturing (AMP-1, LPM-1)</w:t>
            </w:r>
          </w:p>
        </w:tc>
        <w:tc>
          <w:tcPr>
            <w:tcW w:w="3980" w:type="dxa"/>
            <w:vAlign w:val="bottom"/>
            <w:gridSpan w:val="2"/>
          </w:tcPr>
          <w:p>
            <w:pPr>
              <w:jc w:val="center"/>
              <w:ind w:right="80"/>
              <w:spacing w:after="0"/>
              <w:rPr>
                <w:sz w:val="20"/>
                <w:szCs w:val="20"/>
                <w:color w:val="auto"/>
              </w:rPr>
            </w:pPr>
            <w:r>
              <w:rPr>
                <w:rFonts w:ascii="Arial" w:cs="Arial" w:eastAsia="Arial" w:hAnsi="Arial"/>
                <w:sz w:val="18"/>
                <w:szCs w:val="18"/>
                <w:color w:val="auto"/>
                <w:w w:val="89"/>
              </w:rPr>
              <w:t>Casa Grande, AZ</w:t>
            </w:r>
          </w:p>
        </w:tc>
        <w:tc>
          <w:tcPr>
            <w:tcW w:w="1600" w:type="dxa"/>
            <w:vAlign w:val="bottom"/>
          </w:tcPr>
          <w:p>
            <w:pPr>
              <w:jc w:val="center"/>
              <w:spacing w:after="0"/>
              <w:rPr>
                <w:sz w:val="20"/>
                <w:szCs w:val="20"/>
                <w:color w:val="auto"/>
              </w:rPr>
            </w:pPr>
            <w:r>
              <w:rPr>
                <w:rFonts w:ascii="Arial" w:cs="Arial" w:eastAsia="Arial" w:hAnsi="Arial"/>
                <w:sz w:val="18"/>
                <w:szCs w:val="18"/>
                <w:color w:val="auto"/>
                <w:w w:val="87"/>
              </w:rPr>
              <w:t>Owned/Leased</w:t>
            </w:r>
            <w:r>
              <w:rPr>
                <w:rFonts w:ascii="Arial" w:cs="Arial" w:eastAsia="Arial" w:hAnsi="Arial"/>
                <w:sz w:val="23"/>
                <w:szCs w:val="23"/>
                <w:color w:val="auto"/>
                <w:w w:val="87"/>
                <w:vertAlign w:val="superscript"/>
              </w:rPr>
              <w:t>(1)</w:t>
            </w:r>
          </w:p>
        </w:tc>
      </w:tr>
    </w:tbl>
    <w:p>
      <w:pPr>
        <w:spacing w:after="0" w:line="217" w:lineRule="exact"/>
        <w:rPr>
          <w:sz w:val="20"/>
          <w:szCs w:val="20"/>
          <w:color w:val="auto"/>
        </w:rPr>
      </w:pPr>
    </w:p>
    <w:p>
      <w:pPr>
        <w:ind w:right="60" w:firstLine="8"/>
        <w:spacing w:after="0"/>
        <w:tabs>
          <w:tab w:leader="none" w:pos="145" w:val="left"/>
        </w:tabs>
        <w:numPr>
          <w:ilvl w:val="0"/>
          <w:numId w:val="40"/>
        </w:numPr>
        <w:rPr>
          <w:rFonts w:ascii="Arial" w:cs="Arial" w:eastAsia="Arial" w:hAnsi="Arial"/>
          <w:sz w:val="16"/>
          <w:szCs w:val="16"/>
          <w:color w:val="auto"/>
          <w:vertAlign w:val="superscript"/>
        </w:rPr>
      </w:pPr>
      <w:r>
        <w:rPr>
          <w:rFonts w:ascii="Arial" w:cs="Arial" w:eastAsia="Arial" w:hAnsi="Arial"/>
          <w:sz w:val="12"/>
          <w:szCs w:val="12"/>
          <w:color w:val="auto"/>
        </w:rPr>
        <w:t>We own a substantial portion of the AMP-1 property and have an option to purchase the land for the portion of the AMP-1 property that is under lease. The property relating to LPM-1 is under 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color w:val="auto"/>
        </w:rPr>
        <w:t>Item 3. Legal Proceedings.</w:t>
      </w:r>
    </w:p>
    <w:p>
      <w:pPr>
        <w:spacing w:after="0" w:line="229"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For a description of our legal proceedings, please see the description set forth in the “Legal Matters” section in Note 15 “Commitments and Contingencies” in the notes to the consolidated financial statements in Item 8 of Part II of this Annual Report, which is incorporated herein by reference.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69" w:name="page70"/>
    <w:bookmarkEnd w:id="69"/>
    <w:p>
      <w:pPr>
        <w:jc w:val="center"/>
        <w:ind w:right="-39"/>
        <w:spacing w:after="0"/>
        <w:rPr>
          <w:sz w:val="20"/>
          <w:szCs w:val="20"/>
          <w:color w:val="auto"/>
        </w:rPr>
      </w:pPr>
      <w:r>
        <w:rPr>
          <w:rFonts w:ascii="Arial" w:cs="Arial" w:eastAsia="Arial" w:hAnsi="Arial"/>
          <w:sz w:val="18"/>
          <w:szCs w:val="18"/>
          <w:b w:val="1"/>
          <w:bCs w:val="1"/>
          <w:color w:val="auto"/>
        </w:rPr>
        <w:t>Part II</w:t>
      </w:r>
    </w:p>
    <w:p>
      <w:pPr>
        <w:spacing w:after="0" w:line="200" w:lineRule="exact"/>
        <w:rPr>
          <w:sz w:val="20"/>
          <w:szCs w:val="20"/>
          <w:color w:val="auto"/>
        </w:rPr>
      </w:pPr>
    </w:p>
    <w:p>
      <w:pPr>
        <w:spacing w:after="0" w:line="268" w:lineRule="exact"/>
        <w:rPr>
          <w:sz w:val="20"/>
          <w:szCs w:val="20"/>
          <w:color w:val="auto"/>
        </w:rPr>
      </w:pPr>
    </w:p>
    <w:p>
      <w:pPr>
        <w:ind w:right="1880"/>
        <w:spacing w:after="0" w:line="503"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 Market Information</w:t>
      </w:r>
    </w:p>
    <w:p>
      <w:pPr>
        <w:ind w:right="180" w:firstLine="405"/>
        <w:spacing w:after="0" w:line="308" w:lineRule="auto"/>
        <w:rPr>
          <w:sz w:val="20"/>
          <w:szCs w:val="20"/>
          <w:color w:val="auto"/>
        </w:rPr>
      </w:pPr>
      <w:r>
        <w:rPr>
          <w:rFonts w:ascii="Arial" w:cs="Arial" w:eastAsia="Arial" w:hAnsi="Arial"/>
          <w:sz w:val="17"/>
          <w:szCs w:val="17"/>
          <w:color w:val="auto"/>
        </w:rPr>
        <w:t>Our common stock is listed on the Nasdaq Stock Market LLC under the ticker symbol “LCID.” Prior to July 23, 2021 and before the completion of the Transactions, Churchill’s Class A common stock traded on the New York Stock Exchange under the ticker symbol “CCIV”.</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Record</w:t>
      </w:r>
    </w:p>
    <w:p>
      <w:pPr>
        <w:spacing w:after="0" w:line="229"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color w:val="auto"/>
        </w:rPr>
        <w:t>At January 31, 2023, there were 200 holders of record of our common stock. A substantially greater number of beneficial owners hold shares through banks, brokers and other financial institutions.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We have not paid any cash dividends on our common stock to date. The payment of cash dividends in the future is dependent upon our revenues and earnings, if any, capital requirements, the terms of any indebtedness and general financial condition. The payment of any cash dividends will be within the discretion of the Board at such time. In addition, the Board is not currently contemplating and does not anticipate declaring any stock dividends in the foreseeable future.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43"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For a description of securities authorized under our equity compensation plans, see Note 13 “Stock-based awards” to the consolidated financial statements included elsewhere in this Annual Report for more information.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 Use of Proceeds from Registered Offerings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2026 Notes</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On December 14, 2021, we issued and sold $1,750,000,000 principal amount of our 1.25% 2026 Notes in a private offering to qualified institutional buyers pursuant to Rule 144A under the Securities Act. Pursuant to the purchase agreement between us and the initial purchasers of the Convertible Notes, we granted the initial purchasers an option, for settlement within a period of 13 days from, and including, December 14, 2021 to purchase up to an additional $262,500,000 principal amount of our 2026 Notes. On December 20, 2021, we issued and sold an additional $262,500,000 principal amount of 2026 Notes pursuant to this option.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At-the-Market Offering</w:t>
      </w:r>
    </w:p>
    <w:p>
      <w:pPr>
        <w:spacing w:after="0" w:line="225"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On November 8, 2022, the Company entered into an equity distribution agreement (the “Equity Distribution Agreement”) with BofA Securities, Inc., Barclays Capital Inc. and Citigroup Global Markets Inc., under which the Company could offer and sell shares of its common stock having an aggregate offering price up to $600.0 million (the “At-the-Market Offering”). During the year ended December 31, 2022, the Company issued 56,203,334 shares at a weighted average price per share of $10.68, and received net proceeds of $594.3 million after deducting commissions and other issuance costs of approximately $5.7 million. No shares remain available for sale under the Equity Distribution Agreement.</w:t>
      </w:r>
    </w:p>
    <w:p>
      <w:pPr>
        <w:spacing w:after="0" w:line="203" w:lineRule="exact"/>
        <w:rPr>
          <w:sz w:val="20"/>
          <w:szCs w:val="20"/>
          <w:color w:val="auto"/>
        </w:rPr>
      </w:pPr>
    </w:p>
    <w:p>
      <w:pPr>
        <w:jc w:val="both"/>
        <w:ind w:right="80"/>
        <w:spacing w:after="0" w:line="311" w:lineRule="auto"/>
        <w:rPr>
          <w:sz w:val="20"/>
          <w:szCs w:val="20"/>
          <w:color w:val="auto"/>
        </w:rPr>
      </w:pPr>
      <w:r>
        <w:rPr>
          <w:rFonts w:ascii="Arial" w:cs="Arial" w:eastAsia="Arial" w:hAnsi="Arial"/>
          <w:sz w:val="16"/>
          <w:szCs w:val="16"/>
          <w:color w:val="auto"/>
        </w:rPr>
        <w:t>The shares issued were sold pursuant to a shelf registration statement registered under the Securities Act on a registration statement on Form S-3 (File No. 333-267147) and became effective on September 2, 2022, and a prospectus supplement filed with the Securities and Exchange Commission on November 8, 2022. We intend to use the net proceeds from the offering for general corporate purposes, which may include, capital expenditures and working capital.</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Subscription Agreement</w:t>
      </w:r>
    </w:p>
    <w:p>
      <w:pPr>
        <w:spacing w:after="0" w:line="225"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On November 8, 2022, the Company entered into a subscription agreement (the “Subscription Agreement”) with Ayar Third Investment Company, the controlling stockholder of the Company (“Ayar”), pursuant to which Ayar agreed to purchase from the Company, up to $915.0 million of shares of its common stock in one or more private placements through March 31, 2023. In December 2022, the Company issued 85,712,679 shares to Ayar pursuant to the Subscription Agreement at a weighted average price per share of $10.68, and received aggregate proceeds of $915.0 million. The shares of common stock sold to Ayar pursuant to the Subscription Agreement were sold in reliance on the exemption from registration provided in Section 4(a)(2) of the Securities Act.</w:t>
      </w:r>
    </w:p>
    <w:p>
      <w:pPr>
        <w:sectPr>
          <w:pgSz w:w="11900" w:h="16838" w:orient="portrait"/>
          <w:cols w:equalWidth="0" w:num="1">
            <w:col w:w="11200"/>
          </w:cols>
          <w:pgMar w:left="320" w:top="985" w:right="379" w:bottom="1440" w:gutter="0" w:footer="0" w:header="0"/>
        </w:sectPr>
      </w:pPr>
    </w:p>
    <w:p>
      <w:pPr>
        <w:spacing w:after="0" w:line="200" w:lineRule="exact"/>
        <w:rPr>
          <w:sz w:val="20"/>
          <w:szCs w:val="20"/>
          <w:color w:val="auto"/>
        </w:rPr>
      </w:pPr>
    </w:p>
    <w:p>
      <w:pPr>
        <w:spacing w:after="0" w:line="289"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5" w:right="379" w:bottom="1440" w:gutter="0" w:footer="0" w:header="0"/>
          <w:type w:val="continuous"/>
        </w:sectPr>
      </w:pPr>
    </w:p>
    <w:bookmarkStart w:id="70" w:name="page71"/>
    <w:bookmarkEnd w:id="70"/>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229"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i w:val="1"/>
          <w:iCs w:val="1"/>
          <w:color w:val="auto"/>
        </w:rPr>
        <w:t>This performance graph shall not be deemed “filed” for purposes of Section 18 of the Securities Exchange Act of 1934, as amended (the“Exchange Act”), or incorporated by reference into any of our other filings under the Securities Act of 1933, as amended (the “Securities Act”), or the Exchange Act, except as shall be expressly set forth by specific reference in such filing.</w:t>
      </w:r>
    </w:p>
    <w:p>
      <w:pPr>
        <w:spacing w:after="0" w:line="184"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following graph shows a comparison, from September 18, 2020 through December 31, 2022, of the cumulative total return on our common stock, The NASDAQ Composite Index and the 20 largest public companies sharing the same SIC code as us, which is SIC code 3711, “Motor Vehicles and Passenger Car Bodies” (Motor Vehicles and Passenger Car Bodies Public Company Group). Such returns are based on historical results and are not intended to suggest future performance. Data for The NASDAQ Composite Index and the Motor Vehicles and Passenger Car Bodies Public Company Group assumes an investment of $100 on September 18, 2020 and reinvestment of dividends. We have never declared or paid cash dividends on our common stock nor do we anticipate paying any such cash dividends in the foreseeable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6583680" cy="352298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583680" cy="3522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[Reserved].</w:t>
      </w:r>
    </w:p>
    <w:p>
      <w:pPr>
        <w:spacing w:after="0" w:line="28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69" w:right="39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29"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i w:val="1"/>
          <w:iCs w:val="1"/>
          <w:color w:val="auto"/>
        </w:rPr>
        <w:t>The following discussion and analysis provides information that Lucid management believes is relevant to an assessment and understanding of Lucid’s consolidated results of operations and financial condition as of December 31, 2022 and for the fiscal year ended December 31, 2022. The discussion should be read together with our consolidated financial statements and related notes that are included elsewhere in this Annual Report on Form 10-K (this “Annual Report”). For discussion related to our financial condition as of December 31, 2021, results of operations for the fiscal year ended December 31, 2021 and year to year comparison between the years ended December 31, 2021 and 2020, refer to the Annual Report on Form 10-K for the fiscal year ended December 31, 2021 filed on February 28, 2022 with the U.S. Securities and Exchange Commission (the “SEC”). This discussion may contain forward-looking statements based upon Lucid’s current expectations, estimates and projections that involve risks and uncertainties. Our actual results could differ materially from those anticipated in these forward-looking statements as a result of various factors, including those set forth under “Risk Factors” in Part I, Item 1A of this Annual Report.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right="60"/>
        <w:spacing w:after="0" w:line="286" w:lineRule="auto"/>
        <w:rPr>
          <w:sz w:val="20"/>
          <w:szCs w:val="20"/>
          <w:color w:val="auto"/>
        </w:rPr>
      </w:pPr>
      <w:r>
        <w:rPr>
          <w:rFonts w:ascii="Arial" w:cs="Arial" w:eastAsia="Arial" w:hAnsi="Arial"/>
          <w:sz w:val="17"/>
          <w:szCs w:val="17"/>
          <w:color w:val="auto"/>
        </w:rPr>
        <w:t>We are a technology and automotive company with a mission to inspire the adoption of sustainable energy by creating advanced technologies and the most captivating luxury electric vehicles, centered around the human experience. Our focus on in-house technology innovation, vertical integration, and a “clean sheet” approach to engineering and design have led to the development of the award-winning Lucid Air.</w:t>
      </w:r>
    </w:p>
    <w:p>
      <w:pPr>
        <w:spacing w:after="0" w:line="165"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We sell vehicles directly to consumers through our retail sales network and through direct online sales including through Lucid Financial Services. We believe that owning our sales network provides an opportunity to closely manage the customer experience, gather direct customer feedback, and ensure that customer interactions are on-brand and tailored to our customers’ needs. We own and operate a vehicle service network comprised of service centers in major metropolitan areas and a fleet of mobile service vehicles. In addition to our in-house service capabilities, we established and continue to grow an approved list of specially trained collision repair shops which also serve as repair hubs for our mobile service offerings in some cases.</w:t>
      </w:r>
    </w:p>
    <w:p>
      <w:pPr>
        <w:spacing w:after="0" w:line="161" w:lineRule="exact"/>
        <w:rPr>
          <w:sz w:val="20"/>
          <w:szCs w:val="20"/>
          <w:color w:val="auto"/>
        </w:rPr>
      </w:pPr>
    </w:p>
    <w:p>
      <w:pPr>
        <w:ind w:right="500"/>
        <w:spacing w:after="0" w:line="301" w:lineRule="auto"/>
        <w:rPr>
          <w:sz w:val="20"/>
          <w:szCs w:val="20"/>
          <w:color w:val="auto"/>
        </w:rPr>
      </w:pPr>
      <w:r>
        <w:rPr>
          <w:rFonts w:ascii="Arial" w:cs="Arial" w:eastAsia="Arial" w:hAnsi="Arial"/>
          <w:sz w:val="16"/>
          <w:szCs w:val="16"/>
          <w:color w:val="auto"/>
        </w:rPr>
        <w:t>We began delivering Lucid Air to customers in October 2021. We expect to launch additional vehicles over the coming decade. We have already commenced design and engineering work for Lucid Gravity, a luxury sports utility vehicle (“SUV”) that is expected to leverage and expand the technological advancements from Lucid Air. We expect to begin production of Lucid Gravity in 2024. After Lucid Air and Lucid Gravity, we plan to leverage and expand our technological and manufacturing advancements to develop and manufacture progressively higher-volume vehicle segments.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At-the-Market Offering</w:t>
      </w:r>
    </w:p>
    <w:p>
      <w:pPr>
        <w:spacing w:after="0" w:line="225"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On November 8, 2022, we entered into an equity distribution agreement (the “Equity Distribution Agreement”) with BofA Securities, Inc., Barclays Capital Inc. and Citigroup Global Markets Inc., under which we could offer and sell shares of our common stock having an aggregate offering price up to $600.0 million (the “At-the-Market Offering”). During the year ended December 31, 2022, we issued 56,203,334 shares at a weighted average price per share of $10.68, and received net proceeds of $594.3 million after deducting commissions and other issuance costs of approximately $5.7 million. No shares remain available for sale under the Equity Distribution Agreement.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Subscription Agreement</w:t>
      </w:r>
    </w:p>
    <w:p>
      <w:pPr>
        <w:spacing w:after="0" w:line="225" w:lineRule="exact"/>
        <w:rPr>
          <w:sz w:val="20"/>
          <w:szCs w:val="20"/>
          <w:color w:val="auto"/>
        </w:rPr>
      </w:pPr>
    </w:p>
    <w:p>
      <w:pPr>
        <w:jc w:val="both"/>
        <w:ind w:right="240"/>
        <w:spacing w:after="0" w:line="279" w:lineRule="auto"/>
        <w:rPr>
          <w:sz w:val="20"/>
          <w:szCs w:val="20"/>
          <w:color w:val="auto"/>
        </w:rPr>
      </w:pPr>
      <w:r>
        <w:rPr>
          <w:rFonts w:ascii="Arial" w:cs="Arial" w:eastAsia="Arial" w:hAnsi="Arial"/>
          <w:sz w:val="17"/>
          <w:szCs w:val="17"/>
          <w:color w:val="auto"/>
        </w:rPr>
        <w:t>On November 8, 2022, we entered into a subscription agreement (the “Subscription Agreement”) with Ayar Third Investment Company, the controlling stockholder of the Company (“Ayar”), pursuant to which Ayar agreed to purchase from us, up to $915.0 million of shares of our common stock in one or more private placements through March 31, 2023. In December 2022, we issued 85,712,679 shares to Ayar pursuant to the Subscription Agreement at a weighted average price per share of $10.68, and received aggregate proceeds of $915.0 million.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72" w:name="page73"/>
    <w:bookmarkEnd w:id="72"/>
    <w:p>
      <w:pPr>
        <w:spacing w:after="0"/>
        <w:rPr>
          <w:sz w:val="20"/>
          <w:szCs w:val="20"/>
          <w:color w:val="auto"/>
        </w:rPr>
      </w:pPr>
      <w:r>
        <w:rPr>
          <w:rFonts w:ascii="Arial" w:cs="Arial" w:eastAsia="Arial" w:hAnsi="Arial"/>
          <w:sz w:val="18"/>
          <w:szCs w:val="18"/>
          <w:b w:val="1"/>
          <w:bCs w:val="1"/>
          <w:color w:val="auto"/>
        </w:rPr>
        <w:t>Potential Impact of an Economic Downturn on our Business</w:t>
      </w:r>
    </w:p>
    <w:p>
      <w:pPr>
        <w:spacing w:after="0" w:line="229"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 xml:space="preserve">A global economic recession or other downturn, whether due to inflation, ongoing conflict in Ukraine or other geopolitical events, COVID-19 or other public health crises, interest rate increases or other policy actions by major central banks, or other factors, may have an adverse impact on our business, prospects, financial condition and results of operations. Adverse economic conditions as well as uncertainty about the current and future global economic conditions may cause our customers to defer purchases or cancel their reservations and orders in response to higher interest rates, availability of consumer credit, decreased cash availability, fluctuations in foreign currency exchange rates, and weakened consumer confidence. Reduced demand for our products may result in significant decreases in our product sales, which in turn would have a material adverse impact on our business, prospects, financial condition and results of operations. Because of our premium brand positioning and pricing, an economic downturn is likely to have a heightened adverse effect on us compared to many of our electric vehicle and traditional automotive industry competitors, to the extent that consumer demand for luxury goods is reduced in favor of lower-priced alternatives. In addition, any economic recession or other downturn could also cause logistical challenges and other operational risks if any of our suppliers, sub-suppliers or partners become insolvent or are otherwise unable to continue their operations, fulfill their obligations to us, or meet our future demand. In addition, the deterioration of conditions in global credit markets may limit our ability to obtain external financing to fund our operations and capital expenditures on terms favorable to us, if at all. See “Risk Factors” in Item 1A of Part I of this Annual Report for more information regarding risks associated with a global economic recession, including under the caption </w:t>
      </w:r>
      <w:r>
        <w:rPr>
          <w:rFonts w:ascii="Arial" w:cs="Arial" w:eastAsia="Arial" w:hAnsi="Arial"/>
          <w:sz w:val="16"/>
          <w:szCs w:val="16"/>
          <w:i w:val="1"/>
          <w:iCs w:val="1"/>
          <w:color w:val="auto"/>
        </w:rPr>
        <w:t>“A global economic recession or other downturn may have a</w:t>
      </w:r>
      <w:r>
        <w:rPr>
          <w:rFonts w:ascii="Arial" w:cs="Arial" w:eastAsia="Arial" w:hAnsi="Arial"/>
          <w:sz w:val="16"/>
          <w:szCs w:val="16"/>
          <w:color w:val="auto"/>
        </w:rPr>
        <w:t xml:space="preserve"> </w:t>
      </w:r>
      <w:r>
        <w:rPr>
          <w:rFonts w:ascii="Arial" w:cs="Arial" w:eastAsia="Arial" w:hAnsi="Arial"/>
          <w:sz w:val="16"/>
          <w:szCs w:val="16"/>
          <w:i w:val="1"/>
          <w:iCs w:val="1"/>
          <w:color w:val="auto"/>
        </w:rPr>
        <w:t>material adverse impact on our business, prospects, results of operations and financial condition.”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the COVID-19 Pandemic on our Business</w:t>
      </w:r>
    </w:p>
    <w:p>
      <w:pPr>
        <w:spacing w:after="0" w:line="229"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The COVID-19 pandemic has impacted the global economy and caused significant macroeconomic uncertainty. Infection rates vary across the jurisdictions in which we operate. We have taken proactive action to protect the health and safety of our employees, customers, partners and suppliers, consistent with the latest and evolving governmental guidelines. We continue to monitor the evolving situation and guidance from international and domestic authorities, including federal, state and local public health authorities, and may take additional actions based on their recommendations and requirements or as we otherwise see fit to protect the health and safety of our employees, customers, partners and suppliers.</w:t>
      </w:r>
    </w:p>
    <w:p>
      <w:pPr>
        <w:spacing w:after="0" w:line="176"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While certain of our and our suppliers’ operations have from time-to-time been temporarily affected by government-mandated restrictions, we were able to commence deliveries of Lucid Air to customers and to proceed with the construction of our Advanced Manufacturing Plant 1 in Casa Grande, Arizona (“AMP-1”). Broader impacts of the pandemic have included inflationary pressure as well as ongoing, industry-wide challenges in logistics and supply chains, such as increased port congestion, intermittent supplier delays and a shortfall of semiconductor supply. Because we rely on third party suppliers for the development, manufacture, and/or provision and development of many of the key components and materials used in our vehicles, as well as provisioning and servicing equipment in our manufacturing facilities, we have been affected by inflation and such industry-wide challenges in logistics and supply chains. While we continue to focus on mitigating risks to our operations and supply chain in the current industry environment, we expect that these industry-wide trends will continue to impact our cost structure as well as our ability and the ability of our suppliers to obtain parts, components and manufacturing equipment on a timely basis for the foreseeable future.</w:t>
      </w:r>
    </w:p>
    <w:p>
      <w:pPr>
        <w:spacing w:after="0" w:line="181"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In the current circumstances, any impact on our financial condition, results of operations or cash flows in the future continues to be difficult to estimate and predict, as it depends on future events that are highly uncertain and cannot be predicted with accuracy. See “Risk Factors” in Item 1A of Part I of this Annual Report for more information regarding risks associated with the COVID-19 pandemic, including under the caption “</w:t>
      </w:r>
      <w:r>
        <w:rPr>
          <w:rFonts w:ascii="Arial" w:cs="Arial" w:eastAsia="Arial" w:hAnsi="Arial"/>
          <w:sz w:val="16"/>
          <w:szCs w:val="16"/>
          <w:i w:val="1"/>
          <w:iCs w:val="1"/>
          <w:color w:val="auto"/>
        </w:rPr>
        <w:t>The COVID-19 pandemic has</w:t>
      </w:r>
      <w:r>
        <w:rPr>
          <w:rFonts w:ascii="Arial" w:cs="Arial" w:eastAsia="Arial" w:hAnsi="Arial"/>
          <w:sz w:val="16"/>
          <w:szCs w:val="16"/>
          <w:color w:val="auto"/>
        </w:rPr>
        <w:t xml:space="preserve"> </w:t>
      </w:r>
      <w:r>
        <w:rPr>
          <w:rFonts w:ascii="Arial" w:cs="Arial" w:eastAsia="Arial" w:hAnsi="Arial"/>
          <w:sz w:val="16"/>
          <w:szCs w:val="16"/>
          <w:i w:val="1"/>
          <w:iCs w:val="1"/>
          <w:color w:val="auto"/>
        </w:rPr>
        <w:t>adversely affected, and we cannot predict its ultimate impact on, our business, prospects, results of operations and financial condition.</w:t>
      </w:r>
      <w:r>
        <w:rPr>
          <w:rFonts w:ascii="Arial" w:cs="Arial" w:eastAsia="Arial" w:hAnsi="Arial"/>
          <w:sz w:val="16"/>
          <w:szCs w:val="16"/>
          <w:color w:val="auto"/>
        </w:rPr>
        <w:t>”</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Factors Affecting Our Performance</w:t>
      </w:r>
    </w:p>
    <w:p>
      <w:pPr>
        <w:spacing w:after="0" w:line="229"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We believe that our future success and financial performance depend on a number of factors that present significant opportunities for our business, but also pose risks and challenges, including those discussed below and in the section entitled “Risk Factors” in Item 1A of Part I of this Annual Report.</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i w:val="1"/>
          <w:iCs w:val="1"/>
          <w:color w:val="auto"/>
        </w:rPr>
        <w:t>Design and Technology Leadership</w:t>
      </w:r>
    </w:p>
    <w:p>
      <w:pPr>
        <w:spacing w:after="0" w:line="225"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We believe that we are positioned to be a leader in the electric vehicle market by unlocking the potential for advanced, high-performance, and long-range electric vehicles to co-exist. Lucid Air is designed with race-proven battery and powertrain technologies and robust performance together with a sleek exterior design and expansive interior space given our miniaturized key drivetrain components. We anticipate consumer demand for Lucid Air based on its luxurious design, high-performance technology and sustainability leadership, and the growing acceptance of and demand for electric vehicles as a substitute for gasoline-fueled vehicles. We have received significant interest in Lucid Air from potential customers. As of February 21, 2023, we had refundable reservations and non-refundable orders of cars yet to be delivered that reflect potential sales of over $2.7 billion. In addition, we have an agreement with the Ministry of Finance of Saudi Arabia, under which the Government of Saudi Arabia and its entities and corporate subsidiaries undertook to purchase up to 100,000 vehicles over a ten-year period, with an initial commitment to purchase 50,000 vehicles and an option to purchase up to an additional 50,000 vehicles over the same period. With the progression of our business, we believe production and deliveries are a better representation of our progress. Going forward, we no longer plan to provide an updated quarterly number on refundable reservations and non-refundable orders.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Direct-to-Consumer Model</w:t>
      </w:r>
    </w:p>
    <w:p>
      <w:pPr>
        <w:spacing w:after="0" w:line="22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We operate a direct-to-consumer sales and service model, which we believe will allow us to offer a personalized experience for our customers based on their purchase and ownership preferences. We expect to continue to incur significant expenses in our sales and marketing operations for sale of Lucid Air, including to open studios, hire a sales force, invest in marketing and brand awareness, and stand up a service center operation. As of December 31, 2022, we have opened thirty-five studios and service centers, one in Germany, one in Netherlands, one in Saudi Arabia, one in Switzerland, two in Canada, twenty-nine in the United States (one in each of Colorado, Michigan, New Jersey, and Virginia, two in each of Arizona, Illinois, Massachusetts, Texas, and Washington, three in Florida and New York, as well as nine in California). We also expect to hire additional sales, customer service, and service center personnel. We believe that investing in our direct-to-consumer sales and service model will be critical to deliver and service the Lucid electric vehicles we plan to manufacture and sell.</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Establishing Manufacturing Capacity</w:t>
      </w:r>
    </w:p>
    <w:p>
      <w:pPr>
        <w:spacing w:after="0" w:line="225"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Achieving commercialization and growth for each generation of electric vehicles requires us to make significant capital expenditures to scale our production capacity and improve our supply chain processes in the United States and internationally. We expect our capital expenditures to increase as we continue our expansion of AMP-1 and construction of planned Advanced Manufacturing Plant 2 in Saudi Arabia (“AMP-2”). The amount and timing of our future manufacturing capacity requirements, and resulting capital expenditures, will depend on many factors, including the pace and results of our research and development efforts to meet technological development milestones, our ability to develop and launch new electric vehicles, our ability to achieve sales and experience customer demand for our vehicles at the levels we anticipate, our ability to utilize planned capacity in our existing facilities and our ability to enter new markets.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Technology Innovation</w:t>
      </w:r>
    </w:p>
    <w:p>
      <w:pPr>
        <w:spacing w:after="0" w:line="225" w:lineRule="exact"/>
        <w:rPr>
          <w:sz w:val="20"/>
          <w:szCs w:val="20"/>
          <w:color w:val="auto"/>
        </w:rPr>
      </w:pPr>
    </w:p>
    <w:p>
      <w:pPr>
        <w:ind w:right="420"/>
        <w:spacing w:after="0" w:line="301" w:lineRule="auto"/>
        <w:rPr>
          <w:sz w:val="20"/>
          <w:szCs w:val="20"/>
          <w:color w:val="auto"/>
        </w:rPr>
      </w:pPr>
      <w:r>
        <w:rPr>
          <w:rFonts w:ascii="Arial" w:cs="Arial" w:eastAsia="Arial" w:hAnsi="Arial"/>
          <w:sz w:val="16"/>
          <w:szCs w:val="16"/>
          <w:color w:val="auto"/>
        </w:rPr>
        <w:t>We develop in-house battery and powertrain technology, which requires us to invest a significant amount of capital in research and development. The electric vehicle market is highly competitive and includes both established automotive manufacturers and new entrants. To establish market share and attract customers from competitors, we plan to continue to make substantial investments in research and development for the commercialization and continued enhancements of Lucid Air, the development of Lucid Gravity, and future generations of our electric vehicles and other products.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Inflationary Pressure</w:t>
      </w:r>
    </w:p>
    <w:p>
      <w:pPr>
        <w:spacing w:after="0" w:line="22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U.S. economy has experienced increased inflation recently, including as a result of the COVID-19 pandemic. Our cost to manufacture a vehicle is heavily influenced by the cost of the key components and materials used in the vehicle, cost of labor, as well as cost of equipment used in our manufacturing facilities. As we continue our phased construction of our AMP-1 facility, increases in steel prices and cost of construction labor have led to higher capital expenditures.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9" w:right="37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revenue for the periods presented (in thousands):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960" w:type="dxa"/>
            <w:vAlign w:val="bottom"/>
            <w:gridSpan w:val="5"/>
          </w:tcPr>
          <w:p>
            <w:pPr>
              <w:ind w:left="60"/>
              <w:spacing w:after="0"/>
              <w:rPr>
                <w:sz w:val="20"/>
                <w:szCs w:val="20"/>
                <w:color w:val="auto"/>
              </w:rPr>
            </w:pPr>
            <w:r>
              <w:rPr>
                <w:rFonts w:ascii="Arial" w:cs="Arial" w:eastAsia="Arial" w:hAnsi="Arial"/>
                <w:sz w:val="14"/>
                <w:szCs w:val="14"/>
                <w:b w:val="1"/>
                <w:bCs w:val="1"/>
                <w:color w:val="auto"/>
              </w:rPr>
              <w:t>Year Ended December 31,</w:t>
            </w: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70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 Change</w:t>
            </w:r>
          </w:p>
        </w:tc>
        <w:tc>
          <w:tcPr>
            <w:tcW w:w="98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9"/>
        </w:trPr>
        <w:tc>
          <w:tcPr>
            <w:tcW w:w="7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ind w:right="265"/>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ind w:right="264"/>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608,181</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27,111</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581,070</w:t>
            </w:r>
          </w:p>
        </w:tc>
        <w:tc>
          <w:tcPr>
            <w:tcW w:w="8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ind w:left="680"/>
              <w:spacing w:after="0"/>
              <w:rPr>
                <w:sz w:val="20"/>
                <w:szCs w:val="20"/>
                <w:color w:val="auto"/>
              </w:rPr>
            </w:pPr>
            <w:r>
              <w:rPr>
                <w:rFonts w:ascii="Arial" w:cs="Arial" w:eastAsia="Arial" w:hAnsi="Arial"/>
                <w:sz w:val="16"/>
                <w:szCs w:val="16"/>
                <w:i w:val="1"/>
                <w:iCs w:val="1"/>
                <w:color w:val="auto"/>
                <w:w w:val="98"/>
              </w:rPr>
              <w:t>*nm</w:t>
            </w: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*nm - not meaningful</w:t>
      </w:r>
    </w:p>
    <w:p>
      <w:pPr>
        <w:spacing w:after="0" w:line="200" w:lineRule="exact"/>
        <w:rPr>
          <w:sz w:val="20"/>
          <w:szCs w:val="20"/>
          <w:color w:val="auto"/>
        </w:rPr>
      </w:pPr>
    </w:p>
    <w:p>
      <w:pPr>
        <w:spacing w:after="0" w:line="268"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color w:val="auto"/>
        </w:rPr>
        <w:t>We began generating sales from the deliveries of vehicles in the fourth quarter of 2021. We recognize vehicle sales when the customer obtains control of the vehicle which is upon delivery. We also generate revenue from non-warranty after-sales vehicle services, sales of battery pack system, powertrain kits and retail merchandise.</w:t>
      </w:r>
    </w:p>
    <w:p>
      <w:pPr>
        <w:spacing w:after="0" w:line="184"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Revenue increased by $581.1 million for the year ended December 31, 2022, as compared to the year ended December 31, 2021, primarily driven by customer deliveries of Lucid Air vehicles.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cost of revenue for the periods presented (in thousands):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920" w:type="dxa"/>
            <w:vAlign w:val="bottom"/>
          </w:tcPr>
          <w:p>
            <w:pPr>
              <w:spacing w:after="0"/>
              <w:rPr>
                <w:sz w:val="16"/>
                <w:szCs w:val="16"/>
                <w:color w:val="auto"/>
              </w:rPr>
            </w:pPr>
          </w:p>
        </w:tc>
        <w:tc>
          <w:tcPr>
            <w:tcW w:w="2140" w:type="dxa"/>
            <w:vAlign w:val="bottom"/>
            <w:gridSpan w:val="5"/>
          </w:tcPr>
          <w:p>
            <w:pPr>
              <w:ind w:left="220"/>
              <w:spacing w:after="0"/>
              <w:rPr>
                <w:sz w:val="20"/>
                <w:szCs w:val="20"/>
                <w:color w:val="auto"/>
              </w:rPr>
            </w:pPr>
            <w:r>
              <w:rPr>
                <w:rFonts w:ascii="Arial" w:cs="Arial" w:eastAsia="Arial" w:hAnsi="Arial"/>
                <w:sz w:val="14"/>
                <w:szCs w:val="14"/>
                <w:b w:val="1"/>
                <w:bCs w:val="1"/>
                <w:color w:val="auto"/>
              </w:rPr>
              <w:t>Year Ended December 31,</w:t>
            </w: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69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 Change</w:t>
            </w:r>
          </w:p>
        </w:tc>
        <w:tc>
          <w:tcPr>
            <w:tcW w:w="1120" w:type="dxa"/>
            <w:vAlign w:val="bottom"/>
            <w:vMerge w:val="restart"/>
          </w:tcPr>
          <w:p>
            <w:pPr>
              <w:jc w:val="right"/>
              <w:ind w:right="164"/>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9"/>
        </w:trPr>
        <w:tc>
          <w:tcPr>
            <w:tcW w:w="6920" w:type="dxa"/>
            <w:vAlign w:val="bottom"/>
          </w:tcPr>
          <w:p>
            <w:pPr>
              <w:spacing w:after="0"/>
              <w:rPr>
                <w:sz w:val="16"/>
                <w:szCs w:val="16"/>
                <w:color w:val="auto"/>
              </w:rPr>
            </w:pPr>
          </w:p>
        </w:tc>
        <w:tc>
          <w:tcPr>
            <w:tcW w:w="980" w:type="dxa"/>
            <w:vAlign w:val="bottom"/>
          </w:tcPr>
          <w:p>
            <w:pPr>
              <w:jc w:val="right"/>
              <w:ind w:right="265"/>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jc w:val="right"/>
              <w:ind w:right="284"/>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Cost of revenue</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  1,646,086</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154,897</w:t>
            </w:r>
          </w:p>
        </w:tc>
        <w:tc>
          <w:tcPr>
            <w:tcW w:w="8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  1,491,189</w:t>
            </w:r>
          </w:p>
        </w:tc>
        <w:tc>
          <w:tcPr>
            <w:tcW w:w="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963 %</w:t>
            </w:r>
          </w:p>
        </w:tc>
        <w:tc>
          <w:tcPr>
            <w:tcW w:w="0" w:type="dxa"/>
            <w:vAlign w:val="bottom"/>
          </w:tcPr>
          <w:p>
            <w:pPr>
              <w:spacing w:after="0"/>
              <w:rPr>
                <w:sz w:val="1"/>
                <w:szCs w:val="1"/>
                <w:color w:val="auto"/>
              </w:rPr>
            </w:pPr>
          </w:p>
        </w:tc>
      </w:tr>
    </w:tbl>
    <w:p>
      <w:pPr>
        <w:spacing w:after="0" w:line="283" w:lineRule="exact"/>
        <w:rPr>
          <w:sz w:val="20"/>
          <w:szCs w:val="20"/>
          <w:color w:val="auto"/>
        </w:rPr>
      </w:pPr>
    </w:p>
    <w:p>
      <w:pPr>
        <w:ind w:right="100"/>
        <w:spacing w:after="0" w:line="311" w:lineRule="auto"/>
        <w:rPr>
          <w:sz w:val="20"/>
          <w:szCs w:val="20"/>
          <w:color w:val="auto"/>
        </w:rPr>
      </w:pPr>
      <w:r>
        <w:rPr>
          <w:rFonts w:ascii="Arial" w:cs="Arial" w:eastAsia="Arial" w:hAnsi="Arial"/>
          <w:sz w:val="16"/>
          <w:szCs w:val="16"/>
          <w:color w:val="auto"/>
        </w:rPr>
        <w:t>Cost of vehicle sales includes direct parts, materials, shipping and handling costs, allocable overhead costs such as depreciation of manufacturing related equipment and facilities, information technology costs, personnel costs, including wages and stock-based compensation, estimated warranty costs, charges to reduce inventories to their net realizable value, charges for any excess or obsolete inventories, and losses from firm purchase commitments.</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color w:val="auto"/>
        </w:rPr>
        <w:t>Cost of other revenue includes direct parts, material and labor costs, manufacturing overhead, including amortized tooling costs, shipping and logistic costs.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Cost of other revenue also includes costs associated with providing non-warranty after-sales services and costs for retail merchandise.</w:t>
      </w:r>
    </w:p>
    <w:p>
      <w:pPr>
        <w:spacing w:after="0" w:line="21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Cost of revenue increased by $1,491.2 million for the year ended December 31, 2022, as compared to the year ended December 31, 2021, primarily due to the manufacture and sale of Lucid Air vehicles in 2022. We incurred significant personnel and overhead costs to operate our large-scale manufacturing facilities while ramping up production. In the near term, we expect our production volume of vehicles to continue to be significantly less than our manufacturing capacity. Additionally, we recorded write-downs of $569.5 million and $48.9 million in the years ended December 31, 2022 and 2021, respectively, to reduce our inventories to their net realizable values, for any excess or obsolete inventories, and losses from firm purchase commitments. We expect inventory write-downs could negatively affect our costs of vehicle sales in upcoming periods in the near term as we ramp production volumes up toward our manufacturing capacity.</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operating expenses for the periods presented (in thousands):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980" w:type="dxa"/>
            <w:vAlign w:val="bottom"/>
            <w:gridSpan w:val="5"/>
          </w:tcPr>
          <w:p>
            <w:pPr>
              <w:ind w:left="60"/>
              <w:spacing w:after="0"/>
              <w:rPr>
                <w:sz w:val="20"/>
                <w:szCs w:val="20"/>
                <w:color w:val="auto"/>
              </w:rPr>
            </w:pPr>
            <w:r>
              <w:rPr>
                <w:rFonts w:ascii="Arial" w:cs="Arial" w:eastAsia="Arial" w:hAnsi="Arial"/>
                <w:sz w:val="14"/>
                <w:szCs w:val="14"/>
                <w:b w:val="1"/>
                <w:bCs w:val="1"/>
                <w:color w:val="auto"/>
              </w:rPr>
              <w:t>Year Ended December 31,</w:t>
            </w: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69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vMerge w:val="restart"/>
          </w:tcPr>
          <w:p>
            <w:pPr>
              <w:jc w:val="right"/>
              <w:ind w:right="121"/>
              <w:spacing w:after="0"/>
              <w:rPr>
                <w:sz w:val="20"/>
                <w:szCs w:val="20"/>
                <w:color w:val="auto"/>
              </w:rPr>
            </w:pPr>
            <w:r>
              <w:rPr>
                <w:rFonts w:ascii="Arial" w:cs="Arial" w:eastAsia="Arial" w:hAnsi="Arial"/>
                <w:sz w:val="14"/>
                <w:szCs w:val="14"/>
                <w:b w:val="1"/>
                <w:bCs w:val="1"/>
                <w:color w:val="auto"/>
                <w:w w:val="98"/>
              </w:rPr>
              <w:t>$ Change</w:t>
            </w:r>
          </w:p>
        </w:tc>
        <w:tc>
          <w:tcPr>
            <w:tcW w:w="80" w:type="dxa"/>
            <w:vAlign w:val="bottom"/>
          </w:tcPr>
          <w:p>
            <w:pPr>
              <w:spacing w:after="0"/>
              <w:rPr>
                <w:sz w:val="2"/>
                <w:szCs w:val="2"/>
                <w:color w:val="auto"/>
              </w:rPr>
            </w:pPr>
          </w:p>
        </w:tc>
        <w:tc>
          <w:tcPr>
            <w:tcW w:w="112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90"/>
        </w:trPr>
        <w:tc>
          <w:tcPr>
            <w:tcW w:w="69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63"/>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Research and development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821,512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750,185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71,327</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10 %</w:t>
            </w:r>
          </w:p>
        </w:tc>
        <w:tc>
          <w:tcPr>
            <w:tcW w:w="0" w:type="dxa"/>
            <w:vAlign w:val="bottom"/>
          </w:tcPr>
          <w:p>
            <w:pPr>
              <w:spacing w:after="0"/>
              <w:rPr>
                <w:sz w:val="1"/>
                <w:szCs w:val="1"/>
                <w:color w:val="auto"/>
              </w:rPr>
            </w:pPr>
          </w:p>
        </w:tc>
      </w:tr>
      <w:tr>
        <w:trPr>
          <w:trHeight w:val="213"/>
        </w:trPr>
        <w:tc>
          <w:tcPr>
            <w:tcW w:w="69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Selling, general and administrative</w:t>
            </w: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734,574</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652,475</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82,099</w:t>
            </w:r>
          </w:p>
        </w:tc>
        <w:tc>
          <w:tcPr>
            <w:tcW w:w="120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13 %</w:t>
            </w:r>
          </w:p>
        </w:tc>
        <w:tc>
          <w:tcPr>
            <w:tcW w:w="0" w:type="dxa"/>
            <w:vAlign w:val="bottom"/>
          </w:tcPr>
          <w:p>
            <w:pPr>
              <w:spacing w:after="0"/>
              <w:rPr>
                <w:sz w:val="1"/>
                <w:szCs w:val="1"/>
                <w:color w:val="auto"/>
              </w:rPr>
            </w:pPr>
          </w:p>
        </w:tc>
      </w:tr>
      <w:tr>
        <w:trPr>
          <w:trHeight w:val="237"/>
        </w:trPr>
        <w:tc>
          <w:tcPr>
            <w:tcW w:w="69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Total operating expenses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1,556,086</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w w:val="98"/>
              </w:rPr>
              <w:t>1,402,660</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153,426</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11 %</w:t>
            </w:r>
          </w:p>
        </w:tc>
        <w:tc>
          <w:tcPr>
            <w:tcW w:w="0" w:type="dxa"/>
            <w:vAlign w:val="bottom"/>
          </w:tcPr>
          <w:p>
            <w:pPr>
              <w:spacing w:after="0"/>
              <w:rPr>
                <w:sz w:val="1"/>
                <w:szCs w:val="1"/>
                <w:color w:val="auto"/>
              </w:rPr>
            </w:pPr>
          </w:p>
        </w:tc>
      </w:tr>
      <w:tr>
        <w:trPr>
          <w:trHeight w:val="20"/>
        </w:trPr>
        <w:tc>
          <w:tcPr>
            <w:tcW w:w="69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225"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Our research and development efforts have primarily focused on the development of our battery and powertrain technology, Lucid Air, Lucid Gravity, and future generations of our electric vehicles. Research and development expenses consist primarily of materials, supplies and personnel-related expenses for employees involved in the engineering, designing, and testing of electric vehicles. Personnel-related expenses primarily include salaries, benefits and stock-based compensation. Research and development expenses also include prototype material, engineering, design and testing services, and allocated facilities costs, such as office and rent expense and depreciation expense, and other engineering, designing, and testing expenses.</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color w:val="auto"/>
        </w:rPr>
        <w:t>Research and development expense increased by $71.3 million, or 10% for the year ended December 31, 2022, as compared to the year ended</w:t>
      </w:r>
    </w:p>
    <w:p>
      <w:pPr>
        <w:spacing w:after="0" w:line="35"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December 31, 2021. The increase was primarily attributable to higher personnel-related expenses of $53.0 million due to our growth in headcount (which included higher stock-based compensation expense of $14.2 million), and an increase of $56.0 million for prototype material, engineering, design and testing services, partially offset by decreases of $34.0 million in allocated facilities costs and $15.4 million from lower utilization of contractors and professional fees.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w:t>
      </w:r>
    </w:p>
    <w:p>
      <w:pPr>
        <w:spacing w:after="0" w:line="225"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Selling, general, and administrative expenses consist primarily of personnel-related expenses for employees involved in general corporate, selling and marketing functions, including executive management and administration, legal, human resources, facilities and real estate, accounting, finance, tax, and information technology. Personnel-related expenses primarily include salaries, benefits and stock-based compensation. Selling, general, and administrative expenses also include allocated facilities costs, such as office, rent and depreciation expenses, professional services fees and other general corporate expenses. As we continue to grow as a company, build out our sales force, and commercialize Lucid Air and planned future generations of our electric vehicles, we expect that our selling, general and administrative costs will increase.</w:t>
      </w:r>
    </w:p>
    <w:p>
      <w:pPr>
        <w:spacing w:after="0" w:line="178"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We are incurring additional expenses as a result of operating as a public company, including expenses necessary to comply with the rules and regulations applicable to companies listed on a national securities exchange and related to compliance and reporting obligations pursuant to the rules and regulations of the SEC, as well as higher expenses for general and director and officer insurance, investor relations, and professional services.</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Selling, general, and administrative expense increased by $82.1 million, or 13% for the year ended December 31, 2022, as compared to the year ended</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December 31, 2021. The increase was primarily attributable to higher utilization of contractors and professional fees of $39.6 million, and increases in</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allocated facilities costs of $26.5 million, other general corporate expenses of $25.5 million, and sales and marketing expenses of $21.9 million.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increases were partially offset by lower personnel related expenses of $37.0 million ($140.5 million lower stock-based compensation expense, offset by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$103.5 million increase due to our growth in headcount). The stock-based compensation expense for the year ended December 31, 2021 included expenses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recognized related to the RSUs upon the closing of the Merger, and the fourth closing of the Legacy Lucid Series E preferred stock issuance.</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76" w:name="page77"/>
    <w:bookmarkEnd w:id="76"/>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other income and expense, net for the periods presented (in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60" w:type="dxa"/>
            <w:vAlign w:val="bottom"/>
            <w:gridSpan w:val="5"/>
          </w:tcPr>
          <w:p>
            <w:pPr>
              <w:ind w:left="100"/>
              <w:spacing w:after="0"/>
              <w:rPr>
                <w:sz w:val="20"/>
                <w:szCs w:val="20"/>
                <w:color w:val="auto"/>
              </w:rPr>
            </w:pPr>
            <w:r>
              <w:rPr>
                <w:rFonts w:ascii="Arial" w:cs="Arial" w:eastAsia="Arial" w:hAnsi="Arial"/>
                <w:sz w:val="14"/>
                <w:szCs w:val="14"/>
                <w:b w:val="1"/>
                <w:bCs w:val="1"/>
                <w:color w:val="auto"/>
              </w:rPr>
              <w:t>Year Ended December 31,</w:t>
            </w: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68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vMerge w:val="restart"/>
          </w:tcPr>
          <w:p>
            <w:pPr>
              <w:jc w:val="right"/>
              <w:ind w:right="140"/>
              <w:spacing w:after="0"/>
              <w:rPr>
                <w:sz w:val="20"/>
                <w:szCs w:val="20"/>
                <w:color w:val="auto"/>
              </w:rPr>
            </w:pPr>
            <w:r>
              <w:rPr>
                <w:rFonts w:ascii="Arial" w:cs="Arial" w:eastAsia="Arial" w:hAnsi="Arial"/>
                <w:sz w:val="14"/>
                <w:szCs w:val="14"/>
                <w:b w:val="1"/>
                <w:bCs w:val="1"/>
                <w:color w:val="auto"/>
                <w:w w:val="95"/>
              </w:rPr>
              <w:t>$ Change</w:t>
            </w:r>
          </w:p>
        </w:tc>
        <w:tc>
          <w:tcPr>
            <w:tcW w:w="80" w:type="dxa"/>
            <w:vAlign w:val="bottom"/>
          </w:tcPr>
          <w:p>
            <w:pPr>
              <w:spacing w:after="0"/>
              <w:rPr>
                <w:sz w:val="2"/>
                <w:szCs w:val="2"/>
                <w:color w:val="auto"/>
              </w:rPr>
            </w:pPr>
          </w:p>
        </w:tc>
        <w:tc>
          <w:tcPr>
            <w:tcW w:w="1100" w:type="dxa"/>
            <w:vAlign w:val="bottom"/>
            <w:vMerge w:val="restart"/>
          </w:tcPr>
          <w:p>
            <w:pPr>
              <w:jc w:val="right"/>
              <w:ind w:right="141"/>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9"/>
        </w:trPr>
        <w:tc>
          <w:tcPr>
            <w:tcW w:w="68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 (expense), net:</w:t>
            </w: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820" w:type="dxa"/>
            <w:vAlign w:val="bottom"/>
          </w:tcPr>
          <w:p>
            <w:pPr>
              <w:ind w:left="140"/>
              <w:spacing w:after="0"/>
              <w:rPr>
                <w:sz w:val="20"/>
                <w:szCs w:val="20"/>
                <w:color w:val="auto"/>
              </w:rPr>
            </w:pPr>
            <w:r>
              <w:rPr>
                <w:rFonts w:ascii="Arial" w:cs="Arial" w:eastAsia="Arial" w:hAnsi="Arial"/>
                <w:sz w:val="16"/>
                <w:szCs w:val="16"/>
                <w:color w:val="auto"/>
              </w:rPr>
              <w:t>Change in fair value of forward contracts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(454,546)</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454,546</w:t>
            </w: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19"/>
        </w:trPr>
        <w:tc>
          <w:tcPr>
            <w:tcW w:w="6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Change in fair value of convertible preferred stock warrant liability</w:t>
            </w: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(6,976)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6,976</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13"/>
        </w:trPr>
        <w:tc>
          <w:tcPr>
            <w:tcW w:w="6820" w:type="dxa"/>
            <w:vAlign w:val="bottom"/>
          </w:tcPr>
          <w:p>
            <w:pPr>
              <w:ind w:left="140"/>
              <w:spacing w:after="0"/>
              <w:rPr>
                <w:sz w:val="20"/>
                <w:szCs w:val="20"/>
                <w:color w:val="auto"/>
              </w:rPr>
            </w:pPr>
            <w:r>
              <w:rPr>
                <w:rFonts w:ascii="Arial" w:cs="Arial" w:eastAsia="Arial" w:hAnsi="Arial"/>
                <w:sz w:val="16"/>
                <w:szCs w:val="16"/>
                <w:color w:val="auto"/>
              </w:rPr>
              <w:t>Change in fair value of common stock warrant liability</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1,254,218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(582,760)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1,836,978</w:t>
            </w:r>
          </w:p>
        </w:tc>
        <w:tc>
          <w:tcPr>
            <w:tcW w:w="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i w:val="1"/>
                <w:iCs w:val="1"/>
                <w:color w:val="auto"/>
              </w:rPr>
              <w:t>*nm</w:t>
            </w:r>
          </w:p>
        </w:tc>
        <w:tc>
          <w:tcPr>
            <w:tcW w:w="0" w:type="dxa"/>
            <w:vAlign w:val="bottom"/>
          </w:tcPr>
          <w:p>
            <w:pPr>
              <w:spacing w:after="0"/>
              <w:rPr>
                <w:sz w:val="1"/>
                <w:szCs w:val="1"/>
                <w:color w:val="auto"/>
              </w:rPr>
            </w:pPr>
          </w:p>
        </w:tc>
      </w:tr>
      <w:tr>
        <w:trPr>
          <w:trHeight w:val="219"/>
        </w:trPr>
        <w:tc>
          <w:tcPr>
            <w:tcW w:w="6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Transaction costs expensed</w:t>
            </w: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(2,717)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2,717</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13"/>
        </w:trPr>
        <w:tc>
          <w:tcPr>
            <w:tcW w:w="6820" w:type="dxa"/>
            <w:vAlign w:val="bottom"/>
          </w:tcPr>
          <w:p>
            <w:pPr>
              <w:ind w:left="140"/>
              <w:spacing w:after="0"/>
              <w:rPr>
                <w:sz w:val="20"/>
                <w:szCs w:val="20"/>
                <w:color w:val="auto"/>
              </w:rPr>
            </w:pPr>
            <w:r>
              <w:rPr>
                <w:rFonts w:ascii="Arial" w:cs="Arial" w:eastAsia="Arial" w:hAnsi="Arial"/>
                <w:sz w:val="16"/>
                <w:szCs w:val="16"/>
                <w:color w:val="auto"/>
              </w:rPr>
              <w:t>Interest income</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56,756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ind w:left="6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56,756</w:t>
            </w:r>
          </w:p>
        </w:tc>
        <w:tc>
          <w:tcPr>
            <w:tcW w:w="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i w:val="1"/>
                <w:iCs w:val="1"/>
                <w:color w:val="auto"/>
              </w:rPr>
              <w:t>*nm</w:t>
            </w:r>
          </w:p>
        </w:tc>
        <w:tc>
          <w:tcPr>
            <w:tcW w:w="0" w:type="dxa"/>
            <w:vAlign w:val="bottom"/>
          </w:tcPr>
          <w:p>
            <w:pPr>
              <w:spacing w:after="0"/>
              <w:rPr>
                <w:sz w:val="1"/>
                <w:szCs w:val="1"/>
                <w:color w:val="auto"/>
              </w:rPr>
            </w:pPr>
          </w:p>
        </w:tc>
      </w:tr>
      <w:tr>
        <w:trPr>
          <w:trHeight w:val="219"/>
        </w:trPr>
        <w:tc>
          <w:tcPr>
            <w:tcW w:w="6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Interest expense</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(30,596)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(29,222)</w:t>
            </w: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*nm</w:t>
            </w:r>
          </w:p>
        </w:tc>
        <w:tc>
          <w:tcPr>
            <w:tcW w:w="0" w:type="dxa"/>
            <w:vAlign w:val="bottom"/>
          </w:tcPr>
          <w:p>
            <w:pPr>
              <w:spacing w:after="0"/>
              <w:rPr>
                <w:sz w:val="1"/>
                <w:szCs w:val="1"/>
                <w:color w:val="auto"/>
              </w:rPr>
            </w:pPr>
          </w:p>
        </w:tc>
      </w:tr>
      <w:tr>
        <w:trPr>
          <w:trHeight w:val="213"/>
        </w:trPr>
        <w:tc>
          <w:tcPr>
            <w:tcW w:w="68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income (expense), net</w:t>
            </w: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9,532</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(893)</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10,425</w:t>
            </w:r>
          </w:p>
        </w:tc>
        <w:tc>
          <w:tcPr>
            <w:tcW w:w="80" w:type="dxa"/>
            <w:vAlign w:val="bottom"/>
            <w:tcBorders>
              <w:bottom w:val="single" w:sz="8" w:color="CCEEFF"/>
            </w:tcBorders>
          </w:tcPr>
          <w:p>
            <w:pPr>
              <w:spacing w:after="0"/>
              <w:rPr>
                <w:sz w:val="18"/>
                <w:szCs w:val="18"/>
                <w:color w:val="auto"/>
              </w:rPr>
            </w:pPr>
          </w:p>
        </w:tc>
        <w:tc>
          <w:tcPr>
            <w:tcW w:w="1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i w:val="1"/>
                <w:iCs w:val="1"/>
                <w:color w:val="auto"/>
              </w:rPr>
              <w:t>*nm</w:t>
            </w:r>
          </w:p>
        </w:tc>
        <w:tc>
          <w:tcPr>
            <w:tcW w:w="0" w:type="dxa"/>
            <w:vAlign w:val="bottom"/>
          </w:tcPr>
          <w:p>
            <w:pPr>
              <w:spacing w:after="0"/>
              <w:rPr>
                <w:sz w:val="1"/>
                <w:szCs w:val="1"/>
                <w:color w:val="auto"/>
              </w:rPr>
            </w:pPr>
          </w:p>
        </w:tc>
      </w:tr>
      <w:tr>
        <w:trPr>
          <w:trHeight w:val="238"/>
        </w:trPr>
        <w:tc>
          <w:tcPr>
            <w:tcW w:w="68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Total other income (expense), net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1,289,910</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(1,049,266)</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2,339,176</w:t>
            </w:r>
          </w:p>
        </w:tc>
        <w:tc>
          <w:tcPr>
            <w:tcW w:w="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i w:val="1"/>
                <w:iCs w:val="1"/>
                <w:color w:val="auto"/>
              </w:rPr>
              <w:t>*nm</w:t>
            </w:r>
          </w:p>
        </w:tc>
        <w:tc>
          <w:tcPr>
            <w:tcW w:w="0" w:type="dxa"/>
            <w:vAlign w:val="bottom"/>
          </w:tcPr>
          <w:p>
            <w:pPr>
              <w:spacing w:after="0"/>
              <w:rPr>
                <w:sz w:val="1"/>
                <w:szCs w:val="1"/>
                <w:color w:val="auto"/>
              </w:rPr>
            </w:pPr>
          </w:p>
        </w:tc>
      </w:tr>
      <w:tr>
        <w:trPr>
          <w:trHeight w:val="20"/>
        </w:trPr>
        <w:tc>
          <w:tcPr>
            <w:tcW w:w="68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*nm </w:t>
      </w:r>
      <w:r>
        <w:rPr>
          <w:rFonts w:ascii="Arial" w:cs="Arial" w:eastAsia="Arial" w:hAnsi="Arial"/>
          <w:sz w:val="18"/>
          <w:szCs w:val="18"/>
          <w:color w:val="auto"/>
        </w:rPr>
        <w:t>- not meaningful</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Fair Value of Contingent Forward Contracts</w:t>
      </w:r>
    </w:p>
    <w:p>
      <w:pPr>
        <w:spacing w:after="0" w:line="225" w:lineRule="exact"/>
        <w:rPr>
          <w:sz w:val="20"/>
          <w:szCs w:val="20"/>
          <w:color w:val="auto"/>
        </w:rPr>
      </w:pPr>
    </w:p>
    <w:p>
      <w:pPr>
        <w:jc w:val="both"/>
        <w:ind w:right="360"/>
        <w:spacing w:after="0" w:line="263" w:lineRule="auto"/>
        <w:rPr>
          <w:sz w:val="20"/>
          <w:szCs w:val="20"/>
          <w:color w:val="auto"/>
        </w:rPr>
      </w:pPr>
      <w:r>
        <w:rPr>
          <w:rFonts w:ascii="Arial" w:cs="Arial" w:eastAsia="Arial" w:hAnsi="Arial"/>
          <w:sz w:val="18"/>
          <w:szCs w:val="18"/>
          <w:color w:val="auto"/>
        </w:rPr>
        <w:t>Our contingent forward contracts provided the holder the right to purchase Legacy Lucid Series D preferred stock and Legacy Lucid Series E preferred stock in future periods and were subject to remeasurement to fair value at each balance sheet date. Changes in the fair value of our contingent forward contracts were recognized in the consolidated statements of operations and comprehensive loss.</w:t>
      </w:r>
    </w:p>
    <w:p>
      <w:pPr>
        <w:spacing w:after="0" w:line="184" w:lineRule="exact"/>
        <w:rPr>
          <w:sz w:val="20"/>
          <w:szCs w:val="20"/>
          <w:color w:val="auto"/>
        </w:rPr>
      </w:pPr>
    </w:p>
    <w:p>
      <w:pPr>
        <w:ind w:right="440"/>
        <w:spacing w:after="0" w:line="263" w:lineRule="auto"/>
        <w:rPr>
          <w:sz w:val="20"/>
          <w:szCs w:val="20"/>
          <w:color w:val="auto"/>
        </w:rPr>
      </w:pPr>
      <w:r>
        <w:rPr>
          <w:rFonts w:ascii="Arial" w:cs="Arial" w:eastAsia="Arial" w:hAnsi="Arial"/>
          <w:sz w:val="18"/>
          <w:szCs w:val="18"/>
          <w:color w:val="auto"/>
        </w:rPr>
        <w:t>Change in contingent forward contracts liability decreased by $454.5 million for the year ended December 31, 2022, as compared to the year ended December 31, 2021. The Legacy Lucid Series E contingent forward contracts were settled during the year ended December 31, 2021, and there are no future earnings adjustments pertaining to the contingent forward contracts.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Fair Value of Convertible Preferred Stock Warrant Liability</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convertible preferred stock warrant liability related to the warrants to purchase shares of Legacy Lucid Series D preferred stock was subject to remeasurement to fair value at each balance sheet date. Changes in the fair value of our convertible preferred stock warrant liability were recognized in the consolidated statements of operations and comprehensive loss. All issued and outstanding shares of Legacy Lucid Series D preferred stock were settled in February 2021 and there will no longer be future earnings adjustments pertaining to the convertible preferred share warrant liability related to Legacy Lucid Series D preferred stock.</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recorded a loss of $7.0 million for the year ended December 31, 2021 due to the changes in fair value of the convertible preferred stock warrant liability related to Legacy Lucid Series D preferred stock upon the exercise and settlement of all outstanding warrants to purchase Legacy Lucid Series D preferred stock.</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Fair Value of Common Stock Warrant Liability</w:t>
      </w:r>
    </w:p>
    <w:p>
      <w:pPr>
        <w:spacing w:after="0" w:line="22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231F20"/>
        </w:rPr>
        <w:t>Our common stock warrant liability relates to the privately placed common stock warrants (the “Private Placement Warrants”) to purchase shares of Lucid Group common stock that were effectively issued upon the Closing in connection with the reverse recapitalization treatment of the Merger. Our common stock warrant liability is subject to remeasurement to fair value at each balance sheet date. Changes in the fair value of our common stock warrant liability were recognized in the consolidated statements of operations and comprehensive loss.</w:t>
      </w:r>
    </w:p>
    <w:p>
      <w:pPr>
        <w:spacing w:after="0" w:line="18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Private Placement Warrants remained unexercised as of December 31, 2022. The liability was remeasured to fair value, resulting in a gain of $1,254.2 million and a loss of $582.8 million for the years ended December 31, 2022 and 2021, respectively, and was classified within change in fair value of common stock warrant liability in the consolidated statements of operations and comprehensive loss . See Note 9 “Common Stock Warrant Liability” to our consolidated financial statements included elsewhere in this Annual Report for more information.</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77" w:name="page78"/>
    <w:bookmarkEnd w:id="77"/>
    <w:p>
      <w:pPr>
        <w:spacing w:after="0"/>
        <w:rPr>
          <w:sz w:val="20"/>
          <w:szCs w:val="20"/>
          <w:color w:val="auto"/>
        </w:rPr>
      </w:pPr>
      <w:r>
        <w:rPr>
          <w:rFonts w:ascii="Arial" w:cs="Arial" w:eastAsia="Arial" w:hAnsi="Arial"/>
          <w:sz w:val="18"/>
          <w:szCs w:val="18"/>
          <w:i w:val="1"/>
          <w:iCs w:val="1"/>
          <w:color w:val="auto"/>
        </w:rPr>
        <w:t>Transaction Costs Expensed</w:t>
      </w:r>
    </w:p>
    <w:p>
      <w:pPr>
        <w:spacing w:after="0" w:line="22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In connection with the Merger, we incurred $38.9 million in one-time direct and incremental transaction costs, consisting of banking, legal, and other professional fees. Transaction costs incurred by Lucid were allocated on a relative fair value basis between equity and liability-classified instruments deemed to be issued for financial reporting purposes at the Closing by Lucid. The Company’s $36.2 million transaction costs allocable to equity-classified instruments, including the common stock and publicly traded common stock warrants (the “Public Warrants”), were charged as a direct reduction to Lucid’s additional paid-in capital of the gross proceeds remitted to Lucid from Churchill. The Company’s $2.7 million transaction costs allocable to liability-classified instruments measured at fair value, including the Private Placement Warrants, were charged to the consolidated statements of operations and comprehensive loss upon the Closing for the year ended December 31, 2021.</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212"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Interest income of $56.8 million for the year ended December 31, 2022, primarily consisted of interest, as well as amortization and accretion of purchase premiums and discounts on our investments of available-for-sale securities.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225" w:lineRule="exact"/>
        <w:rPr>
          <w:sz w:val="20"/>
          <w:szCs w:val="20"/>
          <w:color w:val="auto"/>
        </w:rPr>
      </w:pPr>
    </w:p>
    <w:p>
      <w:pPr>
        <w:jc w:val="both"/>
        <w:ind w:right="360"/>
        <w:spacing w:after="0" w:line="263" w:lineRule="auto"/>
        <w:rPr>
          <w:sz w:val="20"/>
          <w:szCs w:val="20"/>
          <w:color w:val="auto"/>
        </w:rPr>
      </w:pPr>
      <w:r>
        <w:rPr>
          <w:rFonts w:ascii="Arial" w:cs="Arial" w:eastAsia="Arial" w:hAnsi="Arial"/>
          <w:sz w:val="18"/>
          <w:szCs w:val="18"/>
          <w:color w:val="auto"/>
        </w:rPr>
        <w:t>Interest expense consists primarily of contractual interest and amortization of debt discounts and debt issuance costs incurred related to the 2026 Notes issued in December 2021, interest and commitment fee as well as amortization of issuance costs incurred associated with ABL Credit Facility and GIB Credit Agreement, and interest on our finance leases.</w:t>
      </w:r>
    </w:p>
    <w:p>
      <w:pPr>
        <w:spacing w:after="0" w:line="18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Interest expense increased by $29.2 million for the year ended December 31, 2022, as compared to the year ended December 31, 2021, primarily related to the 2026 Notes issued in December 2021.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(Expense), net</w:t>
      </w:r>
    </w:p>
    <w:p>
      <w:pPr>
        <w:spacing w:after="0" w:line="225"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Other income (expense), net primarily consists of foreign currency gains and losses and dividend income from our investments. Our foreign currency exchange gains and losses relate to transactions and asset and liability balances denominated in currencies other than the U.S. dollar. We expect our foreign currency gains and losses to continue to fluctuate in the future due to changes in foreign currency exchange rates.</w:t>
      </w:r>
    </w:p>
    <w:p>
      <w:pPr>
        <w:spacing w:after="0" w:line="165"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Other income (expense), net increased by $10.4 million for the year ended December 31, 2022, as compared to the year ended December 31, 2021, primarily due to changes in foreign currency exchange rates and dividend income from our investments.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960" w:type="dxa"/>
            <w:vAlign w:val="bottom"/>
            <w:gridSpan w:val="5"/>
          </w:tcPr>
          <w:p>
            <w:pPr>
              <w:ind w:left="60"/>
              <w:spacing w:after="0"/>
              <w:rPr>
                <w:sz w:val="20"/>
                <w:szCs w:val="20"/>
                <w:color w:val="auto"/>
              </w:rPr>
            </w:pPr>
            <w:r>
              <w:rPr>
                <w:rFonts w:ascii="Arial" w:cs="Arial" w:eastAsia="Arial" w:hAnsi="Arial"/>
                <w:sz w:val="14"/>
                <w:szCs w:val="14"/>
                <w:b w:val="1"/>
                <w:bCs w:val="1"/>
                <w:color w:val="auto"/>
              </w:rPr>
              <w:t>Year Ended December 31,</w:t>
            </w: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710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00"/>
        </w:trPr>
        <w:tc>
          <w:tcPr>
            <w:tcW w:w="71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jc w:val="right"/>
              <w:ind w:right="265"/>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jc w:val="right"/>
              <w:ind w:right="264"/>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gridSpan w:val="2"/>
          </w:tcPr>
          <w:p>
            <w:pPr>
              <w:ind w:left="20"/>
              <w:spacing w:after="0"/>
              <w:rPr>
                <w:sz w:val="20"/>
                <w:szCs w:val="20"/>
                <w:color w:val="auto"/>
              </w:rPr>
            </w:pPr>
            <w:r>
              <w:rPr>
                <w:rFonts w:ascii="Arial" w:cs="Arial" w:eastAsia="Arial" w:hAnsi="Arial"/>
                <w:sz w:val="14"/>
                <w:szCs w:val="14"/>
                <w:b w:val="1"/>
                <w:bCs w:val="1"/>
                <w:color w:val="auto"/>
              </w:rPr>
              <w:t>$ Change</w:t>
            </w:r>
          </w:p>
        </w:tc>
        <w:tc>
          <w:tcPr>
            <w:tcW w:w="1120" w:type="dxa"/>
            <w:vAlign w:val="bottom"/>
          </w:tcPr>
          <w:p>
            <w:pPr>
              <w:jc w:val="right"/>
              <w:ind w:right="164"/>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5"/>
        </w:trPr>
        <w:tc>
          <w:tcPr>
            <w:tcW w:w="7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7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Provision for income taxes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379</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49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330</w:t>
            </w: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673 %</w:t>
            </w:r>
          </w:p>
        </w:tc>
        <w:tc>
          <w:tcPr>
            <w:tcW w:w="0" w:type="dxa"/>
            <w:vAlign w:val="bottom"/>
          </w:tcPr>
          <w:p>
            <w:pPr>
              <w:spacing w:after="0"/>
              <w:rPr>
                <w:sz w:val="1"/>
                <w:szCs w:val="1"/>
                <w:color w:val="auto"/>
              </w:rPr>
            </w:pPr>
          </w:p>
        </w:tc>
      </w:tr>
    </w:tbl>
    <w:p>
      <w:pPr>
        <w:spacing w:after="0" w:line="323" w:lineRule="exact"/>
        <w:rPr>
          <w:sz w:val="20"/>
          <w:szCs w:val="20"/>
          <w:color w:val="auto"/>
        </w:rPr>
      </w:pPr>
    </w:p>
    <w:p>
      <w:pPr>
        <w:jc w:val="both"/>
        <w:ind w:right="320"/>
        <w:spacing w:after="0" w:line="263" w:lineRule="auto"/>
        <w:rPr>
          <w:sz w:val="20"/>
          <w:szCs w:val="20"/>
          <w:color w:val="auto"/>
        </w:rPr>
      </w:pPr>
      <w:r>
        <w:rPr>
          <w:rFonts w:ascii="Arial" w:cs="Arial" w:eastAsia="Arial" w:hAnsi="Arial"/>
          <w:sz w:val="18"/>
          <w:szCs w:val="18"/>
          <w:color w:val="auto"/>
        </w:rPr>
        <w:t>Our provision for income taxes consists primarily of U.S. state and foreign income taxes in jurisdictions in which we operate. We maintain a valuation allowance against the full value of our U.S. and state net deferred tax assets because we believe it is more likely than not that the recoverability of these deferred tax assets will not be realized.</w:t>
      </w:r>
    </w:p>
    <w:p>
      <w:pPr>
        <w:spacing w:after="0" w:line="184"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The provision for income taxes increased by $0.3 million for the year ended December 31, 2022, as compared to the year ended December 31, 2021, primarily due to changes in taxable income of our foreign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225"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As of December 31, 2022, Lucid had approximately $4.44 billion of cash, cash equivalents and investments. Our sources of cash are predominantly from proceeds from Lucid’s de-SPAC transaction with Churchill (plus the PIPE Investment), the issuance of convertible debt and proceeds from equity offerings.</w:t>
      </w:r>
    </w:p>
    <w:p>
      <w:pPr>
        <w:spacing w:after="0" w:line="12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expect that our current sources of liquidity together with our projection of cash flows from operating activities will provide us with adequate liquidity for at least the next 12 months, including investment in funding (i) ongoing operations, (ii) research and development projects for new products/ technologies, (iii) expanding production and manufacturing at existing manufacturing facilities in Casa Grande, Arizona, (iv) Phase 2 of construction at AMP-1 in Casa Grande, Arizona, (v) the construction of AMP-2, (vi) expansion of retail studios and service centers, and (vii) other initiatives related to the sale of vehicles and/ or technology.</w:t>
      </w:r>
    </w:p>
    <w:p>
      <w:pPr>
        <w:sectPr>
          <w:pgSz w:w="11900" w:h="16838" w:orient="portrait"/>
          <w:cols w:equalWidth="0" w:num="1">
            <w:col w:w="11240"/>
          </w:cols>
          <w:pgMar w:left="320" w:top="989" w:right="339" w:bottom="1440" w:gutter="0" w:footer="0" w:header="0"/>
        </w:sect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type w:val="continuous"/>
        </w:sectPr>
      </w:pPr>
    </w:p>
    <w:bookmarkStart w:id="78" w:name="page79"/>
    <w:bookmarkEnd w:id="78"/>
    <w:p>
      <w:pPr>
        <w:ind w:right="340"/>
        <w:spacing w:after="0" w:line="255" w:lineRule="auto"/>
        <w:rPr>
          <w:sz w:val="20"/>
          <w:szCs w:val="20"/>
          <w:color w:val="auto"/>
        </w:rPr>
      </w:pPr>
      <w:r>
        <w:rPr>
          <w:rFonts w:ascii="Arial" w:cs="Arial" w:eastAsia="Arial" w:hAnsi="Arial"/>
          <w:sz w:val="18"/>
          <w:szCs w:val="18"/>
          <w:color w:val="auto"/>
        </w:rPr>
        <w:t>We anticipate our cumulative spending on capital expenditures to be in the range of $1.5 billion to $1.75 billion for the fiscal year 2023 to support our continued commercialization and growth objectives as we strategically invest in manufacturing capacity and capabilities, our retail studios and service center capabilities throughout North America and across the globe, development of different products and technologies, and other areas supporting the growth of Lucid’s business. Our future capital expenditures may vary and will depend on many factors including the timing and extent of spending and other growth initiatives. In addition, we expect our operating expenses to increase in order to grow and support the operations of a global automotive company targeting volumes in line with Lucid’s aspirations.</w:t>
      </w:r>
    </w:p>
    <w:p>
      <w:pPr>
        <w:spacing w:after="0" w:line="19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As of December 31, 2022, our total minimum lease payments are $496.2 million, of which $49.0 million is due in the succeeding 12 months. We also have non-cancellable long-term commitments of $5.2 billion, primarily relating to certain inventory component purchases. For details regarding these obligations, refer to Note 14 “Leases” and Note 15 “Commitments and Contingencies” to the consolidated financial statements included elsewhere in this Annual Report for more information.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2026 Notes</w:t>
      </w:r>
    </w:p>
    <w:p>
      <w:pPr>
        <w:spacing w:after="0" w:line="22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 December 2021, Lucid issued $2,012.5 million of the 2026 Notes. The 2026 Notes accrue interest at a rate of 1.25% per annum, payable semi-annually in arrears on June 15 and December 15 of each year, beginning on June 15, 2022. The 2026 Notes will mature on December 15, 2026, unless earlier repurchased, redeemed or converted. Before the close of business on the business day immediately before September 15, 2026, noteholders will have the right to convert their Notes only upon the occurrence of certain events. From and after September 15, 2026, noteholders may convert their Notes at any time at their election until the close of business on the second scheduled trading day immediately before the maturity date. We will settle conversions by paying or delivering, as applicable, cash, shares of our common stock or a combination of cash and shares of our common stock, at our election. The initial conversion rate is 18.2548 shares of common stock per $1,000 principal amount of Notes, which represents an initial conversion price of approximately $54.78 per share of common stock. The conversion rate and conversion price will be subject to customary adjustments upon the occurrence of certain events. In addition, if certain corporate events that constitute a “Make-Whole Fundamental Change” (as defined in the indenture) occur, then the conversion rate will, in certain circumstances, be increased for a specified period of time. As of December 31, 2022, we were in compliance with applicable covenants under the indenture governing the 2026 Notes.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International Manufacturing Expansion</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On February 27, 2022, we announced that we had selected King Abdullah Economic City (“KAEC”) in Saudi Arabia as the location of our first international manufacturing plant and signed related agreements with the Ministry of Investment of Saudi Arabia, the Saudi Industrial Development Fund, and the Economic City at KAEC. The operations at the new plant would initially consist of re-assembly of Lucid Air vehicle “kits” pre-manufactured in the U.S. and, over time, production of complete vehicles.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Saudi Industrial Development Fund (“SIDF”) Loan Agreement</w:t>
      </w:r>
    </w:p>
    <w:p>
      <w:pPr>
        <w:spacing w:after="0" w:line="225" w:lineRule="exact"/>
        <w:rPr>
          <w:sz w:val="20"/>
          <w:szCs w:val="20"/>
          <w:color w:val="auto"/>
        </w:rPr>
      </w:pPr>
    </w:p>
    <w:p>
      <w:pPr>
        <w:jc w:val="both"/>
        <w:ind w:right="20"/>
        <w:spacing w:after="0" w:line="285" w:lineRule="auto"/>
        <w:rPr>
          <w:sz w:val="20"/>
          <w:szCs w:val="20"/>
          <w:color w:val="auto"/>
        </w:rPr>
      </w:pPr>
      <w:r>
        <w:rPr>
          <w:rFonts w:ascii="Arial" w:cs="Arial" w:eastAsia="Arial" w:hAnsi="Arial"/>
          <w:sz w:val="16"/>
          <w:szCs w:val="16"/>
          <w:color w:val="auto"/>
        </w:rPr>
        <w:t>On February 27, 2022, Lucid, LLC, a limited liability company established in Saudi Arabia and a subsidiary of the Company (“Lucid LLC”) entered into a loan agreement (as subsequently amended, the “SIDF Loan Agreement”) with SIDF, a related party of Public Investment Fund (“PIF”), which is an affiliate of Ayar. Under the SIDF Loan Agreement, SIDF has committed to provide loans (the “SIDF Loans”) to Lucid LLC in an aggregate principal amount of up to SAR 5.19 billion (approximately $1.4 billion); provided that SIDF may reduce the availability of SIDF Loans under the facility in certain circumstances. SIDF Loans will be subject to repayment in semi-annual installments in amounts ranging from SAR 25 million (approximately $6.7 million) to SAR</w:t>
      </w:r>
    </w:p>
    <w:p>
      <w:pPr>
        <w:spacing w:after="0" w:line="2" w:lineRule="exact"/>
        <w:rPr>
          <w:sz w:val="20"/>
          <w:szCs w:val="20"/>
          <w:color w:val="auto"/>
        </w:rPr>
      </w:pPr>
    </w:p>
    <w:p>
      <w:pPr>
        <w:ind w:right="20"/>
        <w:spacing w:after="0" w:line="277" w:lineRule="auto"/>
        <w:rPr>
          <w:sz w:val="20"/>
          <w:szCs w:val="20"/>
          <w:color w:val="auto"/>
        </w:rPr>
      </w:pPr>
      <w:r>
        <w:rPr>
          <w:rFonts w:ascii="Arial" w:cs="Arial" w:eastAsia="Arial" w:hAnsi="Arial"/>
          <w:sz w:val="17"/>
          <w:szCs w:val="17"/>
          <w:color w:val="auto"/>
        </w:rPr>
        <w:t>350 million (approximately $93.1 million), commencing on April 3, 2026 and ending on November 12, 2038. SIDF Loans are financing and will be used to finance certain costs in connection with the development and construction of AMP-2. Lucid LLC may repay SIDF Loans earlier than the maturity date without penalty. Obligations under the SIDF Loan Agreement do not extend to the Company or any of its other subsidiaries.</w:t>
      </w:r>
    </w:p>
    <w:p>
      <w:pPr>
        <w:spacing w:after="0" w:line="173" w:lineRule="exact"/>
        <w:rPr>
          <w:sz w:val="20"/>
          <w:szCs w:val="20"/>
          <w:color w:val="auto"/>
        </w:rPr>
      </w:pPr>
    </w:p>
    <w:p>
      <w:pPr>
        <w:jc w:val="both"/>
        <w:ind w:right="380"/>
        <w:spacing w:after="0" w:line="286" w:lineRule="auto"/>
        <w:rPr>
          <w:sz w:val="20"/>
          <w:szCs w:val="20"/>
          <w:color w:val="auto"/>
        </w:rPr>
      </w:pPr>
      <w:r>
        <w:rPr>
          <w:rFonts w:ascii="Arial" w:cs="Arial" w:eastAsia="Arial" w:hAnsi="Arial"/>
          <w:sz w:val="17"/>
          <w:szCs w:val="17"/>
          <w:color w:val="auto"/>
        </w:rPr>
        <w:t>SIDF Loans will not bear interest. Instead, Lucid LLC will be required to pay SIDF service fees, consisting of follow-up and technical evaluation fees, ranging, in aggregate, from SAR 415 million (approximately $110.4 million) to SAR 1.77 billion (approximately $471.0 million), over the term of the SIDF Loans. SIDF Loans will be secured by security interests in the equipment, machines and assets funded thereby.</w:t>
      </w:r>
    </w:p>
    <w:p>
      <w:pPr>
        <w:spacing w:after="0" w:line="16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SIDF Loan Agreement contains certain restrictive financial covenants and imposes annual caps on Lucid LLC’s payment of dividends, distributions of paid-in capital or certain capital expenditures. The SIDF Loan Agreement also defines customary events of default, including abandonment of or failure to commence operations at the plant in KAEC, and drawdowns under the SIDF Loan Agreement are subject to certain conditions precedent. As of December 31, 2022, no amount was outstanding under the SIDF Loan Agreement.</w:t>
      </w: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79" w:name="page80"/>
    <w:bookmarkEnd w:id="79"/>
    <w:p>
      <w:pPr>
        <w:spacing w:after="0"/>
        <w:rPr>
          <w:sz w:val="20"/>
          <w:szCs w:val="20"/>
          <w:color w:val="auto"/>
        </w:rPr>
      </w:pPr>
      <w:r>
        <w:rPr>
          <w:rFonts w:ascii="Arial" w:cs="Arial" w:eastAsia="Arial" w:hAnsi="Arial"/>
          <w:sz w:val="18"/>
          <w:szCs w:val="18"/>
          <w:i w:val="1"/>
          <w:iCs w:val="1"/>
          <w:color w:val="auto"/>
        </w:rPr>
        <w:t xml:space="preserve">Ministry of Investment of Saudi Arabia </w:t>
      </w:r>
      <w:r>
        <w:rPr>
          <w:rFonts w:ascii="Arial" w:cs="Arial" w:eastAsia="Arial" w:hAnsi="Arial"/>
          <w:sz w:val="18"/>
          <w:szCs w:val="18"/>
          <w:color w:val="auto"/>
        </w:rPr>
        <w:t>(“</w:t>
      </w:r>
      <w:r>
        <w:rPr>
          <w:rFonts w:ascii="Arial" w:cs="Arial" w:eastAsia="Arial" w:hAnsi="Arial"/>
          <w:sz w:val="18"/>
          <w:szCs w:val="18"/>
          <w:i w:val="1"/>
          <w:iCs w:val="1"/>
          <w:color w:val="auto"/>
        </w:rPr>
        <w:t>MISA”) Agreements</w:t>
      </w:r>
    </w:p>
    <w:p>
      <w:pPr>
        <w:spacing w:after="0" w:line="22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In February 2022, Lucid LLC entered into agreements with MISA, a related party of PIF, which is an affiliate of Ayar, pursuant to which MISA has agreed to provide economic support for certain capital expenditures in connection with Lucid LLC’s on-going design and construction of AMP-2. The support by MISA is subject to Lucid LLC’s completion of certain milestones related to the construction and operation of AMP-2. Following the commencement of construction, if operations at the plant do not commence within 30 months, or if the agreed scope of operations is not attained within 55 months, MISA may suspend availability of subsequent support.</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Pursuant to the agreements, MISA has the right to require Lucid LLC to transfer the ownership of AMP-2 to MISA, at the fair market value thereof, minus an amortized value of the support provided in the event of customary events of default including abandonment or material and chronically low utilization of AMP-2. Alternatively, Lucid LLC is entitled to avoid the transfer of the ownership of AMP-2 by electing to pay such amortized value. The agreements will terminate on the fifteenth anniversary of the commencement of completely-built-up (“CBU”) operations at AMP-2 at the latest.</w:t>
      </w:r>
    </w:p>
    <w:p>
      <w:pPr>
        <w:spacing w:after="0" w:line="171" w:lineRule="exact"/>
        <w:rPr>
          <w:sz w:val="20"/>
          <w:szCs w:val="20"/>
          <w:color w:val="auto"/>
        </w:rPr>
      </w:pPr>
    </w:p>
    <w:p>
      <w:pPr>
        <w:jc w:val="both"/>
        <w:ind w:right="320"/>
        <w:spacing w:after="0" w:line="311" w:lineRule="auto"/>
        <w:rPr>
          <w:sz w:val="20"/>
          <w:szCs w:val="20"/>
          <w:color w:val="auto"/>
        </w:rPr>
      </w:pPr>
      <w:r>
        <w:rPr>
          <w:rFonts w:ascii="Arial" w:cs="Arial" w:eastAsia="Arial" w:hAnsi="Arial"/>
          <w:sz w:val="16"/>
          <w:szCs w:val="16"/>
          <w:color w:val="auto"/>
        </w:rPr>
        <w:t>During the year ended December 31, 2022, we received support of SAR 366 million (approximately $97.3 million) in cash, of which $64.0 million was recorded as deferred liability within Other long-term liabilities and $33.3 million was recorded as a deduction in calculating the carrying amount of the related assets on the consolidated balance sheet. There are no unfulfilled conditions and contingencies attached to the payments received.</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242424"/>
        </w:rPr>
        <w:t>Gulf International Bank (“GIB”) Facility Agreement</w:t>
      </w:r>
    </w:p>
    <w:p>
      <w:pPr>
        <w:spacing w:after="0" w:line="225"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On April 29, 2022, Lucid LLC entered into a revolving credit facility agreement (the “GIB Facility Agreement”) with GIB, maturing on February 28, 2025. GIB is a related party of PIF, which is an affiliate of Ayar. The GIB Facility Agreement provides for two committed revolving credit facilities in an aggregate principal amount of SAR 1 billion (approximately $266.1 million). SAR 650 million (approximately $173.0 million) under the GIB Facility Agreement is available as bridge financing (the “Bridge Facility”) of Lucid LLC’s capital expenditures in connection with AMP-2. The remaining SAR</w:t>
      </w:r>
    </w:p>
    <w:p>
      <w:pPr>
        <w:spacing w:after="0" w:line="2"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auto"/>
        </w:rPr>
        <w:t>350 million (approximately $93.1 million) may be used for general corporate purposes (the “Working Capital Facility”). Loans under the Bridge Facility and the Working Capital Facility will have a maturity of no more than 12 months. The Bridge Facility will bear interest at a rate of 1.25% per annum over 3-month SAIBOR and the Working Capital Facility will bear interest at a rate of 1.70% per annum over 1~3-month SAIBOR and associated fees. We are required to pay a quarterly commitment fee of 0.15% per annum based on the unutilized portion of the GIB Credit Facility. Commitments under the GIB Facility Agreement will terminate, and all amounts then outstanding thereunder will become payable, on the maturity date of the GIB Facility Agreement. The GIB Facility Agreement contains certain conditions precedent to drawdowns, representations and warranties and covenants of Lucid LLC and events of default. As of December 31, 2022, we had outstanding borrowings of SAR 36 million (approximately $9.6 million) with interest rate of 6.40% from the Working Capital Facility, which was recorded within Other current liabilities on the consolidated balance sheets. As of December 31, 2022, available borrowings are SAR 650 million (approximately $173.0 million) and SAR 314 million (approximately $83.5 million) under the Bridge Facility and Working Capital Facility, respectively. As of December 31, 2022, we were in compliance with applicable covenants under the GIB Facility Agreement.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ABL Credit Facility</w:t>
      </w:r>
    </w:p>
    <w:p>
      <w:pPr>
        <w:spacing w:after="0" w:line="225"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In June 2022, we entered into a new five-year senior secured asset-based revolving credit facility (“ABL Credit Facility”) with a syndicate of banks that may be used for working capital and general corporate purposes. The ABL Credit Facility provides for an initial aggregate principal commitment amount of up to $1.0 billion (including a $350.0 million letter of credit subfacility and a $100.0 million swingline loan subfacility) and has a stated maturity date of June 9, 2027. Borrowings under the ABL Credit Facility bear interest at the applicable interest rates specified in the credit agreement governing the ABL Credit Facility. Availability under the ABL Credit Facility is subject to the value of eligible assets in the borrowing base and is reduced by outstanding loan borrowings and issuances of letters of credit which bear customary letter of credit fees. Subject to certain terms and conditions, we may request one or more increases in the amount of credit commitments under the ABL Credit Facility in an aggregate amount up to the sum of $500.0 million plus certain other amounts. We are required to pay a quarterly commitment fee of 0.25% per annum based on the unutilized portion of the ABL Credit Facility.</w:t>
      </w:r>
    </w:p>
    <w:p>
      <w:pPr>
        <w:spacing w:after="0" w:line="165"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The ABL Credit Facility contains customary covenants that limit the ability of the Company and its restricted subsidiaries to, among other activities, pay dividends, incur debt, create liens and encumbrances, redeem or repurchase stock, dispose of certain assets, consummate acquisitions or other investments, prepay certain debt, engage in transactions with affiliates, engage in sale and leaseback transactions or consummate mergers and other fundamental changes. The ABL Credit Facility also includes a minimum liquidity covenant which, at our option following satisfaction of certain pre-conditions, may be replaced with a springing, minimum fixed charge coverage ratio (“FCCR”) financial covenant, in each case on terms set forth in the credit agreement governing the ABL Credit Facility. As of December 31, 2022, we were in compliance with applicable covenants under the ABL Credit Facility.</w:t>
      </w: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80" w:name="page81"/>
    <w:bookmarkEnd w:id="80"/>
    <w:p>
      <w:pPr>
        <w:ind w:right="200"/>
        <w:spacing w:after="0" w:line="263" w:lineRule="auto"/>
        <w:rPr>
          <w:sz w:val="20"/>
          <w:szCs w:val="20"/>
          <w:color w:val="auto"/>
        </w:rPr>
      </w:pPr>
      <w:r>
        <w:rPr>
          <w:rFonts w:ascii="Arial" w:cs="Arial" w:eastAsia="Arial" w:hAnsi="Arial"/>
          <w:sz w:val="18"/>
          <w:szCs w:val="18"/>
          <w:color w:val="auto"/>
        </w:rPr>
        <w:t>As of December 31, 2022, we had no outstanding borrowings and $37.4 million outstanding letters of credit under the ABL Credit Facility. Availability under the ABL Credit Facility was $441.4 million (including $37.3 million cash and cash equivalents) as of December 31, 2022, after giving effect to the borrowing base and the outstanding letters of credit.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At-the-Market Offering and Subscription Agreement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December 2022, we completed our At-the-Market offering program pursuant to the Equity Distribution Agreement for net proceeds of $594.3 million after deducting commissions and other issuance costs and also consummated a private placement of shares to Ayar pursuant to the Subscription Agreement for $915.0 million. See Note 11 “Stockholders’ Equity” to the consolidated financial statements included elsewhere in this Annual Report, for more information.</w:t>
      </w:r>
    </w:p>
    <w:p>
      <w:pPr>
        <w:spacing w:after="0" w:line="187"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We have generated significant losses from our operations as reflected in our accumulated deficit of $7.4 billion and $6.1 billion as of December 31, 2022 and 2021, respectively. Additionally, we have generated significant negative cash flows from operations and investing activities as we continue to support the growth of our business.</w:t>
      </w:r>
    </w:p>
    <w:p>
      <w:pPr>
        <w:spacing w:after="0" w:line="184" w:lineRule="exact"/>
        <w:rPr>
          <w:sz w:val="20"/>
          <w:szCs w:val="20"/>
          <w:color w:val="auto"/>
        </w:rPr>
      </w:pPr>
    </w:p>
    <w:p>
      <w:pPr>
        <w:jc w:val="both"/>
        <w:ind w:right="340"/>
        <w:spacing w:after="0" w:line="259" w:lineRule="auto"/>
        <w:rPr>
          <w:sz w:val="20"/>
          <w:szCs w:val="20"/>
          <w:color w:val="auto"/>
        </w:rPr>
      </w:pPr>
      <w:r>
        <w:rPr>
          <w:rFonts w:ascii="Arial" w:cs="Arial" w:eastAsia="Arial" w:hAnsi="Arial"/>
          <w:sz w:val="18"/>
          <w:szCs w:val="18"/>
          <w:color w:val="auto"/>
        </w:rPr>
        <w:t>The expenditures associated with the development and commercial launch of our vehicles, the anticipated increase in manufacturing capacity, and the international expansion of our business operations are subject to significant risks and uncertainties, many of which are beyond our control, which may affect the timing and magnitude of these anticipated expenditures. These risk and uncertainties are described in more detail in the section entitled “Risk Factors” in Item 1A of Part I of this Annual Report.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flows for the periods presented (in thousands):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40" w:type="dxa"/>
            <w:vAlign w:val="bottom"/>
            <w:gridSpan w:val="6"/>
          </w:tcPr>
          <w:p>
            <w:pPr>
              <w:ind w:left="920"/>
              <w:spacing w:after="0"/>
              <w:rPr>
                <w:sz w:val="20"/>
                <w:szCs w:val="20"/>
                <w:color w:val="auto"/>
              </w:rPr>
            </w:pPr>
            <w:r>
              <w:rPr>
                <w:rFonts w:ascii="Arial" w:cs="Arial" w:eastAsia="Arial" w:hAnsi="Arial"/>
                <w:sz w:val="14"/>
                <w:szCs w:val="14"/>
                <w:b w:val="1"/>
                <w:bCs w:val="1"/>
                <w:color w:val="auto"/>
              </w:rPr>
              <w:t>Year Ended December 31,</w:t>
            </w:r>
          </w:p>
        </w:tc>
        <w:tc>
          <w:tcPr>
            <w:tcW w:w="980" w:type="dxa"/>
            <w:vAlign w:val="bottom"/>
          </w:tcPr>
          <w:p>
            <w:pPr>
              <w:spacing w:after="0"/>
              <w:rPr>
                <w:sz w:val="16"/>
                <w:szCs w:val="16"/>
                <w:color w:val="auto"/>
              </w:rPr>
            </w:pPr>
          </w:p>
        </w:tc>
      </w:tr>
      <w:tr>
        <w:trPr>
          <w:trHeight w:val="26"/>
        </w:trPr>
        <w:tc>
          <w:tcPr>
            <w:tcW w:w="72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90"/>
        </w:trPr>
        <w:tc>
          <w:tcPr>
            <w:tcW w:w="72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2020</w:t>
            </w:r>
          </w:p>
        </w:tc>
      </w:tr>
      <w:tr>
        <w:trPr>
          <w:trHeight w:val="216"/>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used in operating activities</w:t>
            </w:r>
          </w:p>
        </w:tc>
        <w:tc>
          <w:tcPr>
            <w:tcW w:w="28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ind w:left="220"/>
              <w:spacing w:after="0"/>
              <w:rPr>
                <w:sz w:val="20"/>
                <w:szCs w:val="20"/>
                <w:color w:val="auto"/>
              </w:rPr>
            </w:pPr>
            <w:r>
              <w:rPr>
                <w:rFonts w:ascii="Arial" w:cs="Arial" w:eastAsia="Arial" w:hAnsi="Arial"/>
                <w:sz w:val="16"/>
                <w:szCs w:val="16"/>
                <w:color w:val="auto"/>
                <w:w w:val="92"/>
              </w:rPr>
              <w:t>(2,226,258)</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(1,058,133)</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(570,196)</w:t>
            </w:r>
          </w:p>
        </w:tc>
      </w:tr>
      <w:tr>
        <w:trPr>
          <w:trHeight w:val="230"/>
        </w:trPr>
        <w:tc>
          <w:tcPr>
            <w:tcW w:w="7240" w:type="dxa"/>
            <w:vAlign w:val="bottom"/>
          </w:tcPr>
          <w:p>
            <w:pPr>
              <w:ind w:left="20"/>
              <w:spacing w:after="0"/>
              <w:rPr>
                <w:sz w:val="20"/>
                <w:szCs w:val="20"/>
                <w:color w:val="auto"/>
              </w:rPr>
            </w:pPr>
            <w:r>
              <w:rPr>
                <w:rFonts w:ascii="Arial" w:cs="Arial" w:eastAsia="Arial" w:hAnsi="Arial"/>
                <w:sz w:val="18"/>
                <w:szCs w:val="18"/>
                <w:color w:val="auto"/>
              </w:rPr>
              <w:t>Cash used in investing activities</w:t>
            </w:r>
          </w:p>
        </w:tc>
        <w:tc>
          <w:tcPr>
            <w:tcW w:w="280" w:type="dxa"/>
            <w:vAlign w:val="bottom"/>
          </w:tcPr>
          <w:p>
            <w:pPr>
              <w:spacing w:after="0"/>
              <w:rPr>
                <w:sz w:val="19"/>
                <w:szCs w:val="19"/>
                <w:color w:val="auto"/>
              </w:rPr>
            </w:pPr>
          </w:p>
        </w:tc>
        <w:tc>
          <w:tcPr>
            <w:tcW w:w="1000" w:type="dxa"/>
            <w:vAlign w:val="bottom"/>
          </w:tcPr>
          <w:p>
            <w:pPr>
              <w:ind w:left="220"/>
              <w:spacing w:after="0"/>
              <w:rPr>
                <w:sz w:val="20"/>
                <w:szCs w:val="20"/>
                <w:color w:val="auto"/>
              </w:rPr>
            </w:pPr>
            <w:r>
              <w:rPr>
                <w:rFonts w:ascii="Arial" w:cs="Arial" w:eastAsia="Arial" w:hAnsi="Arial"/>
                <w:sz w:val="16"/>
                <w:szCs w:val="16"/>
                <w:color w:val="auto"/>
                <w:w w:val="92"/>
              </w:rPr>
              <w:t>(3,681,677)</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(420,693)</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(459,582)</w:t>
            </w:r>
          </w:p>
        </w:tc>
      </w:tr>
      <w:tr>
        <w:trPr>
          <w:trHeight w:val="230"/>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provided by financing activities</w:t>
            </w: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6"/>
                <w:szCs w:val="16"/>
                <w:color w:val="auto"/>
                <w:w w:val="98"/>
              </w:rPr>
              <w:t>1,347,235</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7,136,428</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1,290,545</w:t>
            </w:r>
          </w:p>
        </w:tc>
      </w:tr>
      <w:tr>
        <w:trPr>
          <w:trHeight w:val="209"/>
        </w:trPr>
        <w:tc>
          <w:tcPr>
            <w:tcW w:w="7240" w:type="dxa"/>
            <w:vAlign w:val="bottom"/>
          </w:tcPr>
          <w:p>
            <w:pPr>
              <w:ind w:left="20"/>
              <w:spacing w:after="0"/>
              <w:rPr>
                <w:sz w:val="20"/>
                <w:szCs w:val="20"/>
                <w:color w:val="auto"/>
              </w:rPr>
            </w:pPr>
            <w:r>
              <w:rPr>
                <w:rFonts w:ascii="Arial" w:cs="Arial" w:eastAsia="Arial" w:hAnsi="Arial"/>
                <w:sz w:val="18"/>
                <w:szCs w:val="18"/>
                <w:color w:val="auto"/>
              </w:rPr>
              <w:t>Net (decrease) increase in cash, cash equivalents, and restricted cash</w:t>
            </w:r>
          </w:p>
        </w:tc>
        <w:tc>
          <w:tcPr>
            <w:tcW w:w="28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w w:val="92"/>
              </w:rPr>
              <w:t>(4,560,700)</w:t>
            </w:r>
          </w:p>
        </w:tc>
        <w:tc>
          <w:tcPr>
            <w:tcW w:w="8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5,657,602</w:t>
            </w:r>
          </w:p>
        </w:tc>
        <w:tc>
          <w:tcPr>
            <w:tcW w:w="8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260,767</w:t>
            </w:r>
          </w:p>
        </w:tc>
      </w:tr>
      <w:tr>
        <w:trPr>
          <w:trHeight w:val="20"/>
        </w:trPr>
        <w:tc>
          <w:tcPr>
            <w:tcW w:w="7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Used in Operating Activities</w:t>
      </w:r>
    </w:p>
    <w:p>
      <w:pPr>
        <w:spacing w:after="0" w:line="2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Our cash flows used in operating activities to date have been primarily comprised of cash outlays to support overall growth of the business, especially the costs related to inventory and sale of our vehicles, costs related to research and development, payroll and other general and administrative activities. As we continue to ramp up hiring after starting commercial operations, we expect our cash used in operating activities to increase significantly before it starts to generate any material cash flows from our business.</w:t>
      </w:r>
    </w:p>
    <w:p>
      <w:pPr>
        <w:spacing w:after="0" w:line="187" w:lineRule="exact"/>
        <w:rPr>
          <w:sz w:val="20"/>
          <w:szCs w:val="20"/>
          <w:color w:val="auto"/>
        </w:rPr>
      </w:pPr>
    </w:p>
    <w:p>
      <w:pPr>
        <w:ind w:right="140"/>
        <w:spacing w:after="0" w:line="301" w:lineRule="auto"/>
        <w:rPr>
          <w:sz w:val="20"/>
          <w:szCs w:val="20"/>
          <w:color w:val="auto"/>
        </w:rPr>
      </w:pPr>
      <w:r>
        <w:rPr>
          <w:rFonts w:ascii="Arial" w:cs="Arial" w:eastAsia="Arial" w:hAnsi="Arial"/>
          <w:sz w:val="16"/>
          <w:szCs w:val="16"/>
          <w:color w:val="auto"/>
        </w:rPr>
        <w:t>Net cash used in operating activities increased by $1,168.1 million to $2,226.3 million during the year ended December 31, 2022, as compared to the year ended December 31, 2021. The increase was primarily due to the increase in net loss excluding non-cash expenses and gains of $458.5 million and an overall increase in net operating assets and liabilities of $709.6 million. The change in net operating assets and liabilities was mainly attributable to an increase in inventory driven by planned production ramp-up, Accounts payable and Other current liabilities related to operating activities.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Used in Investing Activities</w:t>
      </w:r>
    </w:p>
    <w:p>
      <w:pPr>
        <w:spacing w:after="0" w:line="22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Cash flows from investing activities primarily relate to purchases of investments and capital expenditures to support our growth. We continue to experience negative cash flows from investing activities as we expand our business and continue to build our infrastructure.</w:t>
      </w:r>
    </w:p>
    <w:p>
      <w:pPr>
        <w:spacing w:after="0" w:line="170"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Net cash used in investing activities increased by $3,261.0 million to $3,681.7 million during the year ended December 31, 2022 as compared to the year ended December 31, 2021. The increase was primarily attributable to purchases of investments of $3,854.1 million during the year ended December 31, 2022 and an increase in capital expenditures of $653.6 million, partially offset by proceeds from maturities of investments of $1,149.7 million and capital expenditure support received from MISA of $97.3 million during the year ended December 31, 2022.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Provided by Financing Activities</w:t>
      </w:r>
    </w:p>
    <w:p>
      <w:pPr>
        <w:spacing w:after="0" w:line="225"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Since inception, we have financed our operations primarily from the issuances of equity securities, including the At-the-Market Offering, the private placement to Ayar, convertible preferred stock, the proceeds of the Merger, and the 2026 Notes.</w:t>
      </w:r>
    </w:p>
    <w:p>
      <w:pPr>
        <w:sectPr>
          <w:pgSz w:w="11900" w:h="16838" w:orient="portrait"/>
          <w:cols w:equalWidth="0" w:num="1">
            <w:col w:w="11240"/>
          </w:cols>
          <w:pgMar w:left="320" w:top="989" w:right="339" w:bottom="1440" w:gutter="0" w:footer="0" w:header="0"/>
        </w:sect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type w:val="continuous"/>
        </w:sectPr>
      </w:pPr>
    </w:p>
    <w:bookmarkStart w:id="81" w:name="page82"/>
    <w:bookmarkEnd w:id="81"/>
    <w:p>
      <w:pPr>
        <w:ind w:right="20"/>
        <w:spacing w:after="0" w:line="296" w:lineRule="auto"/>
        <w:rPr>
          <w:sz w:val="20"/>
          <w:szCs w:val="20"/>
          <w:color w:val="auto"/>
        </w:rPr>
      </w:pPr>
      <w:r>
        <w:rPr>
          <w:rFonts w:ascii="Arial" w:cs="Arial" w:eastAsia="Arial" w:hAnsi="Arial"/>
          <w:sz w:val="16"/>
          <w:szCs w:val="16"/>
          <w:color w:val="auto"/>
        </w:rPr>
        <w:t>Net cash provided by financing activities decreased by $5,789.2 million to $1,347.2 million during the year ended December 31, 2022, as compared to the year ended December 31, 2021. The decrease was primarily attributable to gross proceeds of approximately $4,439.2 million from the Merger, net proceeds from the issuance of the 2026 Notes of $2,002.4 million, proceeds from the issuance of Legacy Lucid Series E preferred stock of $600.0 million during the year ended December 31, 2021, partially offset by net proceeds from the issuance of common stock under the At-the-Market Offering of $594.3 million and proceeds from the issuance of common stock under Subscription Agreement of $915.0 million during the year ended December 31, 2022.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The consolidated financial statements and the related notes thereto included elsewhere in this Annual Report are prepared in accordance with generally accepted accounting principles in the United States (“U.S. GAAP”). The preparation of our consolidated financial statements requires us to make estimates and assumptions that affect the reported amounts and related disclosures in our financial statements and accompanying notes. We base our estimates on historical experience and on various other factors that we believe to be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due to the inherent uncertainty involved in making those estimates and any such differences may be material.</w:t>
      </w:r>
    </w:p>
    <w:p>
      <w:pPr>
        <w:spacing w:after="0" w:line="16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believe that the following accounting policies involve a high degree of judgment and complexity. Accordingly, these are the policies we believe are the most critical to aid in fully understanding and evaluating our consolidated financial condition and results of our operations. For more information about our accounting policies, see Note 2 “Summary of Significant Accounting Policies” to the consolidated financial statements included elsewhere in this Annual Report.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We follow a five-step process in which we identify the contract, identify the related performance obligations, determine the transaction price, allocate the transaction price to the identified performance obligations, and recognize revenue when (or as) the performance obligations are satisfied.</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Vehicle Sales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Vehicle Sales without Residual Value Guarantee</w:t>
      </w:r>
    </w:p>
    <w:p>
      <w:pPr>
        <w:spacing w:after="0" w:line="22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Vehicle sales revenue is generated from the sale of electric vehicles to customers. There are two performance obligations identified in vehicle sale arrangements. These are the vehicle including an onboard advanced driver assistance system (“ADAS”), and the right to unspecified over-the-air (“OTA”) software updates to be provided as and when available over the term of the basic vehicle warranty, which is generally 4 years. Shipping and handling provided by Company is considered a fulfillment activity.</w:t>
      </w:r>
    </w:p>
    <w:p>
      <w:pPr>
        <w:spacing w:after="0" w:line="187"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Payment is typically received at or prior to the transfer of control of the vehicle to the customer. Generally, control transfers to the customer at the time of delivery when the customer takes physical possession of the vehicle, which may be at a Lucid studio or other destination chosen by the customer. Our vehicle contracts do not contain a significant financing component. We have elected to exclude sales taxes from the measurement of the transaction price. We estimate the standalone selling price of all performance obligations by considering costs used to develop and deliver the good or service, third-party pricing of similar goods or services and other information that may be available. The transaction price is allocated among the performance obligations in proportion to the standalone selling price of our performance obligations.</w:t>
      </w:r>
    </w:p>
    <w:p>
      <w:pPr>
        <w:spacing w:after="0" w:line="17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recognize revenue related to the vehicle when the customer obtains control of the vehicle which occurs at a point in time either upon completion of delivery to the agreed upon delivery location or upon pick up of the vehicle by the customer. As the unspecified OTA software updates are provided when-and-if they become available, revenue related to OTA software updates is recognized ratably over the basic vehicle warranty term, commencing when control of the vehicle is transferred to the customer.</w:t>
      </w:r>
    </w:p>
    <w:p>
      <w:pPr>
        <w:spacing w:after="0" w:line="214"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At the time of revenue recognition, we reduce the transaction price and record a sales return reserve against revenue for estimated variable consideration related to future product returns. Such return rate estimates are based on historical experience.</w:t>
      </w:r>
    </w:p>
    <w:p>
      <w:pPr>
        <w:spacing w:after="0" w:line="170" w:lineRule="exact"/>
        <w:rPr>
          <w:sz w:val="20"/>
          <w:szCs w:val="20"/>
          <w:color w:val="auto"/>
        </w:rPr>
      </w:pPr>
    </w:p>
    <w:p>
      <w:pPr>
        <w:ind w:right="120"/>
        <w:spacing w:after="0" w:line="311" w:lineRule="auto"/>
        <w:rPr>
          <w:sz w:val="20"/>
          <w:szCs w:val="20"/>
          <w:color w:val="auto"/>
        </w:rPr>
      </w:pPr>
      <w:r>
        <w:rPr>
          <w:rFonts w:ascii="Arial" w:cs="Arial" w:eastAsia="Arial" w:hAnsi="Arial"/>
          <w:sz w:val="16"/>
          <w:szCs w:val="16"/>
          <w:color w:val="auto"/>
        </w:rPr>
        <w:t>We provide a manufacturer’s warranty on all vehicles sold. The warranty covers the rectification of reported defects via repair, replacement, or adjustment of faulty parts or components. The warranty does not cover any item where failure is due to normal wear and tear. This assurance-type warranty does not create a performance obligation separate from the vehicle. The estimated cost of the assurance-type warranty is accrued at the time of vehicle sale.</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82" w:name="page83"/>
    <w:bookmarkEnd w:id="82"/>
    <w:p>
      <w:pPr>
        <w:spacing w:after="0"/>
        <w:rPr>
          <w:sz w:val="20"/>
          <w:szCs w:val="20"/>
          <w:color w:val="auto"/>
        </w:rPr>
      </w:pPr>
      <w:r>
        <w:rPr>
          <w:rFonts w:ascii="Arial" w:cs="Arial" w:eastAsia="Arial" w:hAnsi="Arial"/>
          <w:sz w:val="18"/>
          <w:szCs w:val="18"/>
          <w:i w:val="1"/>
          <w:iCs w:val="1"/>
          <w:color w:val="auto"/>
        </w:rPr>
        <w:t>Vehicle Sales with Residual Value Guarantee</w:t>
      </w:r>
    </w:p>
    <w:p>
      <w:pPr>
        <w:spacing w:after="0" w:line="22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provide a residual value guarantee (“RVG”) to our commercial banking partner in connection with its vehicle leasing program. Under the vehicle leasing program, we generally receive full payment for the vehicle sales price at the time of delivery or shortly after delivery, do not bear casualty and credit risks during the lease term, and are contractually obligated (or entitled) to share a portion of the shortfall (or excess) between the resale value realized by the commercial banking partner and a predetermined resale value. At the lease inception, we are required to deposit cash collateral equal to a contractual percentage of the residual value of the leased vehicles with the commercial banking partner. The cash collateral is held in a restricted bank account owned by the commercial banking partner until it is used, as applicable, in settlement of the RVG at the end of the lease term. Cash collateral is recorded in Other noncurrent assets, subject to asset impairment review at each reporting period.</w:t>
      </w:r>
    </w:p>
    <w:p>
      <w:pPr>
        <w:spacing w:after="0" w:line="177"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 xml:space="preserve">We account for the vehicle leasing program in accordance with ASC 842, </w:t>
      </w:r>
      <w:r>
        <w:rPr>
          <w:rFonts w:ascii="Arial" w:cs="Arial" w:eastAsia="Arial" w:hAnsi="Arial"/>
          <w:sz w:val="17"/>
          <w:szCs w:val="17"/>
          <w:i w:val="1"/>
          <w:iCs w:val="1"/>
          <w:color w:val="auto"/>
        </w:rPr>
        <w:t>Leases,</w:t>
      </w:r>
      <w:r>
        <w:rPr>
          <w:rFonts w:ascii="Arial" w:cs="Arial" w:eastAsia="Arial" w:hAnsi="Arial"/>
          <w:sz w:val="17"/>
          <w:szCs w:val="17"/>
          <w:color w:val="auto"/>
        </w:rPr>
        <w:t xml:space="preserve"> ASC 460, </w:t>
      </w:r>
      <w:r>
        <w:rPr>
          <w:rFonts w:ascii="Arial" w:cs="Arial" w:eastAsia="Arial" w:hAnsi="Arial"/>
          <w:sz w:val="17"/>
          <w:szCs w:val="17"/>
          <w:i w:val="1"/>
          <w:iCs w:val="1"/>
          <w:color w:val="auto"/>
        </w:rPr>
        <w:t>Guarantees</w:t>
      </w:r>
      <w:r>
        <w:rPr>
          <w:rFonts w:ascii="Arial" w:cs="Arial" w:eastAsia="Arial" w:hAnsi="Arial"/>
          <w:sz w:val="17"/>
          <w:szCs w:val="17"/>
          <w:color w:val="auto"/>
        </w:rPr>
        <w:t xml:space="preserve"> and ASC 606, </w:t>
      </w:r>
      <w:r>
        <w:rPr>
          <w:rFonts w:ascii="Arial" w:cs="Arial" w:eastAsia="Arial" w:hAnsi="Arial"/>
          <w:sz w:val="17"/>
          <w:szCs w:val="17"/>
          <w:i w:val="1"/>
          <w:iCs w:val="1"/>
          <w:color w:val="auto"/>
        </w:rPr>
        <w:t>Revenue from Contracts with</w:t>
      </w:r>
      <w:r>
        <w:rPr>
          <w:rFonts w:ascii="Arial" w:cs="Arial" w:eastAsia="Arial" w:hAnsi="Arial"/>
          <w:sz w:val="17"/>
          <w:szCs w:val="17"/>
          <w:color w:val="auto"/>
        </w:rPr>
        <w:t xml:space="preserve"> </w:t>
      </w:r>
      <w:r>
        <w:rPr>
          <w:rFonts w:ascii="Arial" w:cs="Arial" w:eastAsia="Arial" w:hAnsi="Arial"/>
          <w:sz w:val="17"/>
          <w:szCs w:val="17"/>
          <w:i w:val="1"/>
          <w:iCs w:val="1"/>
          <w:color w:val="auto"/>
        </w:rPr>
        <w:t>Customers</w:t>
      </w:r>
      <w:r>
        <w:rPr>
          <w:rFonts w:ascii="Arial" w:cs="Arial" w:eastAsia="Arial" w:hAnsi="Arial"/>
          <w:sz w:val="17"/>
          <w:szCs w:val="17"/>
          <w:color w:val="auto"/>
        </w:rPr>
        <w:t>. We are the lessor at inception of a lease and immediately transfer the lease as well as the underlying vehicle to our commercial banking partner,</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with the transaction being accounted for as a sale under ASC 606. We recognize revenue when control transfer upon delivery when the consumer-lessee takes physical possession of the vehicle, and bifurcate the RVG at fair value and account for it as a guarantee liability. The remaining amount of the transaction price is allocated among the performance obligations, including the vehicle, the right to unspecified </w:t>
      </w:r>
      <w:r>
        <w:rPr>
          <w:rFonts w:ascii="Arial" w:cs="Arial" w:eastAsia="Arial" w:hAnsi="Arial"/>
          <w:sz w:val="17"/>
          <w:szCs w:val="17"/>
          <w:color w:val="333333"/>
        </w:rPr>
        <w:t>OTA</w:t>
      </w:r>
      <w:r>
        <w:rPr>
          <w:rFonts w:ascii="Arial" w:cs="Arial" w:eastAsia="Arial" w:hAnsi="Arial"/>
          <w:sz w:val="17"/>
          <w:szCs w:val="17"/>
          <w:color w:val="auto"/>
        </w:rPr>
        <w:t xml:space="preserve"> software updates and remarketing activities, in proportion to the standalone selling price of our performance obligations.</w:t>
      </w:r>
    </w:p>
    <w:p>
      <w:pPr>
        <w:spacing w:after="0" w:line="178"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color w:val="auto"/>
        </w:rPr>
        <w:t>The guarantee liability represents the estimated amount we expect to pay at the end of the lease term. We are released from residual risk upon either expiration or settlement of the RVG. We evaluate variables such as third-party residual value publications, risk of future price deterioration due to changes in market conditions and reconditioning costs to determine the estimated residual value guarantee liability. As we accumulate more data related to the resale value of our vehicles or as market conditions change, there could be material changes to the estimated guarantee liabilities.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Inventory Valuation</w:t>
      </w:r>
    </w:p>
    <w:p>
      <w:pPr>
        <w:spacing w:after="0" w:line="225"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color w:val="auto"/>
        </w:rPr>
        <w:t>Inventories are stated at the lower of cost or net realizable value. Cost is computed using standard cost for vehicles, which approximates actual cost on a first-in, first-out basis. We record inventory write-downs for excess or obsolete inventories based upon assumptions about current and future demand forecasts. If our inventory on-hand is in excess of future demand forecast, the excess amounts are written-off.</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Inventory is also reviewed to determine whether its carrying value exceeds the net amount realizable upon the ultimate sale of the inventory. This requires us to determine the selling price of our vehicles less the estimated cost to convert the inventory on-hand into a finished product. Once inventory is written-down, a new, lower cost basis for that inventory is established and subsequent changes in facts and circumstances do not result in the restoration or increase in that newly established cost basis.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We have granted stock-based awards consisting primarily of incentive and non-qualified stock options and restricted stock units (“RSUs”) to employees, members of our board of directors, and non-employees.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225" w:lineRule="exact"/>
        <w:rPr>
          <w:sz w:val="20"/>
          <w:szCs w:val="20"/>
          <w:color w:val="auto"/>
        </w:rPr>
      </w:pPr>
    </w:p>
    <w:p>
      <w:pPr>
        <w:ind w:right="200"/>
        <w:spacing w:after="0" w:line="272" w:lineRule="auto"/>
        <w:rPr>
          <w:sz w:val="20"/>
          <w:szCs w:val="20"/>
          <w:color w:val="auto"/>
        </w:rPr>
      </w:pPr>
      <w:r>
        <w:rPr>
          <w:rFonts w:ascii="Arial" w:cs="Arial" w:eastAsia="Arial" w:hAnsi="Arial"/>
          <w:sz w:val="17"/>
          <w:szCs w:val="17"/>
          <w:color w:val="auto"/>
        </w:rPr>
        <w:t xml:space="preserve">Stock options generally vest over four years, and the majority of which vest at a rate of 25% on the first anniversary of the grant date, with the remainder vesting ratably each month over the next three years. </w:t>
      </w:r>
      <w:r>
        <w:rPr>
          <w:rFonts w:ascii="Arial" w:cs="Arial" w:eastAsia="Arial" w:hAnsi="Arial"/>
          <w:sz w:val="17"/>
          <w:szCs w:val="17"/>
          <w:color w:val="231F20"/>
        </w:rPr>
        <w:t>Stock options generally expire 10 years from the date of grant and are exercisable when the options</w:t>
      </w:r>
      <w:r>
        <w:rPr>
          <w:rFonts w:ascii="Arial" w:cs="Arial" w:eastAsia="Arial" w:hAnsi="Arial"/>
          <w:sz w:val="17"/>
          <w:szCs w:val="17"/>
          <w:color w:val="auto"/>
        </w:rPr>
        <w:t xml:space="preserve"> </w:t>
      </w:r>
      <w:r>
        <w:rPr>
          <w:rFonts w:ascii="Arial" w:cs="Arial" w:eastAsia="Arial" w:hAnsi="Arial"/>
          <w:sz w:val="17"/>
          <w:szCs w:val="17"/>
          <w:color w:val="231F20"/>
        </w:rPr>
        <w:t>vest. Stock-based compensation expense for stock options is generally recognized on a straight-line basis over the requisite service period based on the estimated fair value of the awards on the date of grant. We estimate the fair value of stock options granted using the Black-Scholes option-pricing model. The Black-Scholes option-pricing model requires certain subjective inputs and assumptions, including the fair value of our underlying common stock, expected common stock price volatility, expected dividend yield of our common stock, risk-free interest rates, and the expected option term. The assumptions used in the Black-Scholes option-pricing model are estimated as follows:</w:t>
      </w:r>
    </w:p>
    <w:p>
      <w:pPr>
        <w:spacing w:after="0" w:line="177" w:lineRule="exact"/>
        <w:rPr>
          <w:sz w:val="20"/>
          <w:szCs w:val="20"/>
          <w:color w:val="auto"/>
        </w:rPr>
      </w:pPr>
    </w:p>
    <w:p>
      <w:pPr>
        <w:ind w:left="660" w:right="280"/>
        <w:spacing w:after="0" w:line="277" w:lineRule="auto"/>
        <w:rPr>
          <w:sz w:val="20"/>
          <w:szCs w:val="20"/>
          <w:color w:val="auto"/>
        </w:rPr>
      </w:pPr>
      <w:r>
        <w:rPr>
          <w:rFonts w:ascii="Arial" w:cs="Arial" w:eastAsia="Arial" w:hAnsi="Arial"/>
          <w:sz w:val="18"/>
          <w:szCs w:val="18"/>
          <w:i w:val="1"/>
          <w:iCs w:val="1"/>
          <w:color w:val="231F20"/>
        </w:rPr>
        <w:t xml:space="preserve">Fair value of common stock </w:t>
      </w:r>
      <w:r>
        <w:rPr>
          <w:rFonts w:ascii="Arial" w:cs="Arial" w:eastAsia="Arial" w:hAnsi="Arial"/>
          <w:sz w:val="18"/>
          <w:szCs w:val="18"/>
          <w:color w:val="231F20"/>
        </w:rPr>
        <w:t>— The fair value of our common stock was estimated because our common stock had not yet been publicly traded</w:t>
      </w:r>
      <w:r>
        <w:rPr>
          <w:rFonts w:ascii="Arial" w:cs="Arial" w:eastAsia="Arial" w:hAnsi="Arial"/>
          <w:sz w:val="18"/>
          <w:szCs w:val="18"/>
          <w:i w:val="1"/>
          <w:iCs w:val="1"/>
          <w:color w:val="231F20"/>
        </w:rPr>
        <w:t xml:space="preserve"> </w:t>
      </w:r>
      <w:r>
        <w:rPr>
          <w:rFonts w:ascii="Arial" w:cs="Arial" w:eastAsia="Arial" w:hAnsi="Arial"/>
          <w:sz w:val="18"/>
          <w:szCs w:val="18"/>
          <w:color w:val="231F20"/>
        </w:rPr>
        <w:t>prior to the Merger.</w:t>
      </w:r>
    </w:p>
    <w:p>
      <w:pPr>
        <w:spacing w:after="0" w:line="170" w:lineRule="exact"/>
        <w:rPr>
          <w:sz w:val="20"/>
          <w:szCs w:val="20"/>
          <w:color w:val="auto"/>
        </w:rPr>
      </w:pPr>
    </w:p>
    <w:p>
      <w:pPr>
        <w:ind w:left="660" w:right="140"/>
        <w:spacing w:after="0" w:line="263" w:lineRule="auto"/>
        <w:rPr>
          <w:sz w:val="20"/>
          <w:szCs w:val="20"/>
          <w:color w:val="auto"/>
        </w:rPr>
      </w:pPr>
      <w:r>
        <w:rPr>
          <w:rFonts w:ascii="Arial" w:cs="Arial" w:eastAsia="Arial" w:hAnsi="Arial"/>
          <w:sz w:val="18"/>
          <w:szCs w:val="18"/>
          <w:i w:val="1"/>
          <w:iCs w:val="1"/>
          <w:color w:val="231F20"/>
        </w:rPr>
        <w:t xml:space="preserve">Expected Volatility </w:t>
      </w:r>
      <w:r>
        <w:rPr>
          <w:rFonts w:ascii="Arial" w:cs="Arial" w:eastAsia="Arial" w:hAnsi="Arial"/>
          <w:sz w:val="18"/>
          <w:szCs w:val="18"/>
          <w:color w:val="231F20"/>
        </w:rPr>
        <w:t>— The volatility rate was determined by using an average of historical volatilities of selected industry peers deemed to be</w:t>
      </w:r>
      <w:r>
        <w:rPr>
          <w:rFonts w:ascii="Arial" w:cs="Arial" w:eastAsia="Arial" w:hAnsi="Arial"/>
          <w:sz w:val="18"/>
          <w:szCs w:val="18"/>
          <w:i w:val="1"/>
          <w:iCs w:val="1"/>
          <w:color w:val="231F20"/>
        </w:rPr>
        <w:t xml:space="preserve"> </w:t>
      </w:r>
      <w:r>
        <w:rPr>
          <w:rFonts w:ascii="Arial" w:cs="Arial" w:eastAsia="Arial" w:hAnsi="Arial"/>
          <w:sz w:val="18"/>
          <w:szCs w:val="18"/>
          <w:color w:val="231F20"/>
        </w:rPr>
        <w:t>comparable to our business corresponding to the expected option term as we did not have sufficient history of trading in our common stock prior to the Merger.</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9" w:right="359" w:bottom="1440" w:gutter="0" w:footer="0" w:header="0"/>
        </w:sectPr>
      </w:pPr>
    </w:p>
    <w:bookmarkStart w:id="83" w:name="page84"/>
    <w:bookmarkEnd w:id="83"/>
    <w:p>
      <w:pPr>
        <w:ind w:left="660" w:right="40"/>
        <w:spacing w:after="0" w:line="277" w:lineRule="auto"/>
        <w:rPr>
          <w:sz w:val="20"/>
          <w:szCs w:val="20"/>
          <w:color w:val="auto"/>
        </w:rPr>
      </w:pPr>
      <w:r>
        <w:rPr>
          <w:rFonts w:ascii="Arial" w:cs="Arial" w:eastAsia="Arial" w:hAnsi="Arial"/>
          <w:sz w:val="18"/>
          <w:szCs w:val="18"/>
          <w:i w:val="1"/>
          <w:iCs w:val="1"/>
          <w:color w:val="231F20"/>
        </w:rPr>
        <w:t xml:space="preserve">Dividend Yield </w:t>
      </w:r>
      <w:r>
        <w:rPr>
          <w:rFonts w:ascii="Arial" w:cs="Arial" w:eastAsia="Arial" w:hAnsi="Arial"/>
          <w:sz w:val="18"/>
          <w:szCs w:val="18"/>
          <w:color w:val="231F20"/>
        </w:rPr>
        <w:t>— The expected dividend yield was zero as we had never declared or paid cash dividends and have no current plans to do so in the</w:t>
      </w:r>
      <w:r>
        <w:rPr>
          <w:rFonts w:ascii="Arial" w:cs="Arial" w:eastAsia="Arial" w:hAnsi="Arial"/>
          <w:sz w:val="18"/>
          <w:szCs w:val="18"/>
          <w:i w:val="1"/>
          <w:iCs w:val="1"/>
          <w:color w:val="231F20"/>
        </w:rPr>
        <w:t xml:space="preserve"> </w:t>
      </w:r>
      <w:r>
        <w:rPr>
          <w:rFonts w:ascii="Arial" w:cs="Arial" w:eastAsia="Arial" w:hAnsi="Arial"/>
          <w:sz w:val="18"/>
          <w:szCs w:val="18"/>
          <w:color w:val="231F20"/>
        </w:rPr>
        <w:t>foreseeable future.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231F20"/>
        </w:rPr>
        <w:t xml:space="preserve">Risk Free Interest Rate </w:t>
      </w:r>
      <w:r>
        <w:rPr>
          <w:rFonts w:ascii="Arial" w:cs="Arial" w:eastAsia="Arial" w:hAnsi="Arial"/>
          <w:sz w:val="16"/>
          <w:szCs w:val="16"/>
          <w:color w:val="231F20"/>
        </w:rPr>
        <w:t>— The risk-free interest rate was based on the U.S. Treasury yield curve in effect at the time of grant for zero-coupon U.S.</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8"/>
          <w:szCs w:val="18"/>
          <w:color w:val="231F20"/>
        </w:rPr>
        <w:t>Treasury notes with maturities corresponding to the expected option term.</w:t>
      </w:r>
    </w:p>
    <w:p>
      <w:pPr>
        <w:spacing w:after="0" w:line="211" w:lineRule="exact"/>
        <w:rPr>
          <w:sz w:val="20"/>
          <w:szCs w:val="20"/>
          <w:color w:val="auto"/>
        </w:rPr>
      </w:pPr>
    </w:p>
    <w:p>
      <w:pPr>
        <w:ind w:left="660" w:right="200"/>
        <w:spacing w:after="0" w:line="263" w:lineRule="auto"/>
        <w:rPr>
          <w:sz w:val="20"/>
          <w:szCs w:val="20"/>
          <w:color w:val="auto"/>
        </w:rPr>
      </w:pPr>
      <w:r>
        <w:rPr>
          <w:rFonts w:ascii="Arial" w:cs="Arial" w:eastAsia="Arial" w:hAnsi="Arial"/>
          <w:sz w:val="18"/>
          <w:szCs w:val="18"/>
          <w:i w:val="1"/>
          <w:iCs w:val="1"/>
          <w:color w:val="231F20"/>
        </w:rPr>
        <w:t xml:space="preserve">Expected Option Term </w:t>
      </w:r>
      <w:r>
        <w:rPr>
          <w:rFonts w:ascii="Arial" w:cs="Arial" w:eastAsia="Arial" w:hAnsi="Arial"/>
          <w:sz w:val="18"/>
          <w:szCs w:val="18"/>
          <w:color w:val="231F20"/>
        </w:rPr>
        <w:t>— The expected option term represented the period that the Lucid Group Options were expected to be outstanding and is</w:t>
      </w:r>
      <w:r>
        <w:rPr>
          <w:rFonts w:ascii="Arial" w:cs="Arial" w:eastAsia="Arial" w:hAnsi="Arial"/>
          <w:sz w:val="18"/>
          <w:szCs w:val="18"/>
          <w:i w:val="1"/>
          <w:iCs w:val="1"/>
          <w:color w:val="231F20"/>
        </w:rPr>
        <w:t xml:space="preserve"> </w:t>
      </w:r>
      <w:r>
        <w:rPr>
          <w:rFonts w:ascii="Arial" w:cs="Arial" w:eastAsia="Arial" w:hAnsi="Arial"/>
          <w:sz w:val="18"/>
          <w:szCs w:val="18"/>
          <w:color w:val="231F20"/>
        </w:rPr>
        <w:t>based on historical experience of similar awards, giving consideration to the contractual terms, vesting schedules and expectations of future employee behavior.</w:t>
      </w:r>
    </w:p>
    <w:p>
      <w:pPr>
        <w:spacing w:after="0" w:line="184" w:lineRule="exact"/>
        <w:rPr>
          <w:sz w:val="20"/>
          <w:szCs w:val="20"/>
          <w:color w:val="auto"/>
        </w:rPr>
      </w:pPr>
    </w:p>
    <w:p>
      <w:pPr>
        <w:jc w:val="both"/>
        <w:ind w:right="220"/>
        <w:spacing w:after="0" w:line="311" w:lineRule="auto"/>
        <w:rPr>
          <w:sz w:val="20"/>
          <w:szCs w:val="20"/>
          <w:color w:val="auto"/>
        </w:rPr>
      </w:pPr>
      <w:r>
        <w:rPr>
          <w:rFonts w:ascii="Arial" w:cs="Arial" w:eastAsia="Arial" w:hAnsi="Arial"/>
          <w:sz w:val="16"/>
          <w:szCs w:val="16"/>
          <w:color w:val="231F20"/>
        </w:rPr>
        <w:t>We continue to use judgment in evaluating the expected volatility over the expected option term and the expected option term utilized in our stock-based compensation expense calculation on a prospective basis. As we continue to accumulate additional data related to our common stock, we may refine our estimates of the expected volatility over the expected option term, which could materially impact our future stock- based compensation expense.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RSUs</w:t>
      </w:r>
    </w:p>
    <w:p>
      <w:pPr>
        <w:spacing w:after="0" w:line="225" w:lineRule="exact"/>
        <w:rPr>
          <w:sz w:val="20"/>
          <w:szCs w:val="20"/>
          <w:color w:val="auto"/>
        </w:rPr>
      </w:pPr>
    </w:p>
    <w:p>
      <w:pPr>
        <w:spacing w:after="0" w:line="275" w:lineRule="auto"/>
        <w:rPr>
          <w:sz w:val="20"/>
          <w:szCs w:val="20"/>
          <w:color w:val="auto"/>
        </w:rPr>
      </w:pPr>
      <w:r>
        <w:rPr>
          <w:rFonts w:ascii="Arial" w:cs="Arial" w:eastAsia="Arial" w:hAnsi="Arial"/>
          <w:sz w:val="17"/>
          <w:szCs w:val="17"/>
          <w:color w:val="231F20"/>
        </w:rPr>
        <w:t xml:space="preserve">RSUs granted prior to the Closing of the Merger are subject to both service-based and performance-based vesting conditions, and RSUs granted subsequent to the Closing of the Merger are only subject to service-based vesting conditions. The service-based vesting condition for these awards is typically satisfied equally over four years with a cliff vesting period of one year and continued vesting in equal quarterly installments thereafter. The performance-based vesting condition was satisfied upon the Closing </w:t>
      </w:r>
      <w:r>
        <w:rPr>
          <w:rFonts w:ascii="Arial" w:cs="Arial" w:eastAsia="Arial" w:hAnsi="Arial"/>
          <w:sz w:val="17"/>
          <w:szCs w:val="17"/>
          <w:color w:val="000000"/>
        </w:rPr>
        <w:t>of the Merger</w:t>
      </w:r>
      <w:r>
        <w:rPr>
          <w:rFonts w:ascii="Arial" w:cs="Arial" w:eastAsia="Arial" w:hAnsi="Arial"/>
          <w:sz w:val="17"/>
          <w:szCs w:val="17"/>
          <w:color w:val="231F20"/>
        </w:rPr>
        <w:t xml:space="preserve">. These qualifying liquidity events were not deemed probable until consummated, and therefore, stock-based compensation related to these RSUs remained unrecognized prior to the consummation of the </w:t>
      </w:r>
      <w:r>
        <w:rPr>
          <w:rFonts w:ascii="Arial" w:cs="Arial" w:eastAsia="Arial" w:hAnsi="Arial"/>
          <w:sz w:val="17"/>
          <w:szCs w:val="17"/>
          <w:color w:val="000000"/>
        </w:rPr>
        <w:t>Merger</w:t>
      </w:r>
      <w:r>
        <w:rPr>
          <w:rFonts w:ascii="Arial" w:cs="Arial" w:eastAsia="Arial" w:hAnsi="Arial"/>
          <w:sz w:val="17"/>
          <w:szCs w:val="17"/>
          <w:color w:val="231F20"/>
        </w:rPr>
        <w:t>.</w:t>
      </w:r>
    </w:p>
    <w:p>
      <w:pPr>
        <w:spacing w:after="0" w:line="17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231F20"/>
        </w:rPr>
        <w:t>We estimate the fair value of RSUs based on the estimated fair value of our underlying common stock as of the date of the grant. Stock-based compensation for RSUs granted prior to the Closing of the Merger is generally recognized on a graded vesting basis over the requisite service period once the performance condition is satisfied. Stock-based compensation for RSUs that vest based only on continuous service is recognized on a straight-line basis over the requisite service period.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CEO RSU Award</w:t>
      </w:r>
    </w:p>
    <w:p>
      <w:pPr>
        <w:spacing w:after="0" w:line="22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231F20"/>
        </w:rPr>
        <w:t>In March 2021, our board of directors approved the grant of RSUs to Peter Rawlinson as Lucid’s CEO (the “CEO RSU Award”) to encourage Mr. Rawlinson to focus on the long-term success of Lucid. The CEO RSU Award is comprised of RSUs that are subject to performance and service conditions (the “CEO Time-Based RSUs”) and RSUs that are subject to performance and market conditions (the “CEO Performance RSUs”), as described further below.</w:t>
      </w:r>
    </w:p>
    <w:p>
      <w:pPr>
        <w:spacing w:after="0" w:line="187" w:lineRule="exact"/>
        <w:rPr>
          <w:sz w:val="20"/>
          <w:szCs w:val="20"/>
          <w:color w:val="auto"/>
        </w:rPr>
      </w:pPr>
    </w:p>
    <w:p>
      <w:pPr>
        <w:jc w:val="both"/>
        <w:ind w:right="180"/>
        <w:spacing w:after="0" w:line="286" w:lineRule="auto"/>
        <w:rPr>
          <w:sz w:val="20"/>
          <w:szCs w:val="20"/>
          <w:color w:val="auto"/>
        </w:rPr>
      </w:pPr>
      <w:r>
        <w:rPr>
          <w:rFonts w:ascii="Arial" w:cs="Arial" w:eastAsia="Arial" w:hAnsi="Arial"/>
          <w:sz w:val="17"/>
          <w:szCs w:val="17"/>
          <w:i w:val="1"/>
          <w:iCs w:val="1"/>
          <w:color w:val="auto"/>
        </w:rPr>
        <w:t xml:space="preserve">CEO Time-Based RSUs </w:t>
      </w:r>
      <w:r>
        <w:rPr>
          <w:rFonts w:ascii="Arial" w:cs="Arial" w:eastAsia="Arial" w:hAnsi="Arial"/>
          <w:sz w:val="17"/>
          <w:szCs w:val="17"/>
          <w:color w:val="auto"/>
        </w:rPr>
        <w:t>— The performance condition was satisfied upon the Closing of the Merger. The service conditions will be satisfied in 16 equal</w:t>
      </w:r>
      <w:r>
        <w:rPr>
          <w:rFonts w:ascii="Arial" w:cs="Arial" w:eastAsia="Arial" w:hAnsi="Arial"/>
          <w:sz w:val="17"/>
          <w:szCs w:val="17"/>
          <w:i w:val="1"/>
          <w:iCs w:val="1"/>
          <w:color w:val="auto"/>
        </w:rPr>
        <w:t xml:space="preserve"> </w:t>
      </w:r>
      <w:r>
        <w:rPr>
          <w:rFonts w:ascii="Arial" w:cs="Arial" w:eastAsia="Arial" w:hAnsi="Arial"/>
          <w:sz w:val="17"/>
          <w:szCs w:val="17"/>
          <w:color w:val="auto"/>
        </w:rPr>
        <w:t>quarterly installments on March 5, June 5, September 5, and December 5 beginning on the first quarterly installment date that is at least two months after the Closing, which was December 5, 2021, provided that Mr. Rawlinson remains in continuous service through each vesting date.</w:t>
      </w:r>
    </w:p>
    <w:p>
      <w:pPr>
        <w:spacing w:after="0" w:line="165"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The grant date fair value of the CEO Time-Based RSUs will be recognized using a graded vesting attribution method over the service period for each tranche. The grant date fair value of the CEO Time-Based RSUs was based on the estimated fair value of Lucid’s underlying common stock as of the date of the grant.</w:t>
      </w:r>
    </w:p>
    <w:p>
      <w:pPr>
        <w:spacing w:after="0" w:line="184"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i w:val="1"/>
          <w:iCs w:val="1"/>
          <w:color w:val="auto"/>
        </w:rPr>
        <w:t xml:space="preserve">CEO Performance RSUs </w:t>
      </w:r>
      <w:r>
        <w:rPr>
          <w:rFonts w:ascii="Arial" w:cs="Arial" w:eastAsia="Arial" w:hAnsi="Arial"/>
          <w:sz w:val="17"/>
          <w:szCs w:val="17"/>
          <w:color w:val="auto"/>
        </w:rPr>
        <w:t>— The performance condition was satisfied upon the Closing of the Merger. The market conditions will be satisfied based upon</w:t>
      </w:r>
      <w:r>
        <w:rPr>
          <w:rFonts w:ascii="Arial" w:cs="Arial" w:eastAsia="Arial" w:hAnsi="Arial"/>
          <w:sz w:val="17"/>
          <w:szCs w:val="17"/>
          <w:i w:val="1"/>
          <w:iCs w:val="1"/>
          <w:color w:val="auto"/>
        </w:rPr>
        <w:t xml:space="preserve"> </w:t>
      </w:r>
      <w:r>
        <w:rPr>
          <w:rFonts w:ascii="Arial" w:cs="Arial" w:eastAsia="Arial" w:hAnsi="Arial"/>
          <w:sz w:val="17"/>
          <w:szCs w:val="17"/>
          <w:color w:val="auto"/>
        </w:rPr>
        <w:t>the achievement of certain market capitalization goals of Lucid Group and the continued employment of Mr. Rawlinson at each vesting date during the five-year period beginning after the Closing of the Merger. The CEO Performance RSUs will vest only if Lucid Group achieves the Lucid Group market capitalization targets, which if achieved, would allow Lucid Group’s other stockholders to benefit from the increases in our market capitalization. The Lucid market capitalization targets will be adjusted to reflect any stock splits, stock dividends, combinations, reorganizations, reclassifications, or other similar changes in capitalization or corporate events.</w:t>
      </w:r>
    </w:p>
    <w:p>
      <w:pPr>
        <w:spacing w:after="0" w:line="17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grant date fair value of the CEO Performance RSUs will be recognized using a graded vesting attribution method over the estimated requisite service periods for the five tranches, regardless of whether the Lucid Group market capitalization targets are achieved. If the Lucid Group market capitalization targets are met sooner than the requisite service period, the stock-based compensation expense will be adjusted to reflect the cumulative expense associated with the vested award.</w:t>
      </w:r>
    </w:p>
    <w:p>
      <w:pPr>
        <w:spacing w:after="0" w:line="133"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During the year ended December 31, 2022, the market condition was met for the CEO performance-based awards for four of the five tranches and certified by the Board of Directors, representing 13,934,271 performance RSUs. We recorded stock-based compensation expense of $85.4 million for the four tranches during the year ended December 31, 2022.</w:t>
      </w:r>
    </w:p>
    <w:p>
      <w:pPr>
        <w:sectPr>
          <w:pgSz w:w="11900" w:h="16838" w:orient="portrait"/>
          <w:cols w:equalWidth="0" w:num="1">
            <w:col w:w="11220"/>
          </w:cols>
          <w:pgMar w:left="320" w:top="989" w:right="359" w:bottom="1440" w:gutter="0" w:footer="0" w:header="0"/>
        </w:sectPr>
      </w:pPr>
    </w:p>
    <w:p>
      <w:pPr>
        <w:spacing w:after="0" w:line="23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9" w:right="359" w:bottom="1440" w:gutter="0" w:footer="0" w:header="0"/>
          <w:type w:val="continuous"/>
        </w:sectPr>
      </w:pPr>
    </w:p>
    <w:bookmarkStart w:id="84" w:name="page85"/>
    <w:bookmarkEnd w:id="84"/>
    <w:p>
      <w:pPr>
        <w:ind w:right="20"/>
        <w:spacing w:after="0" w:line="254" w:lineRule="auto"/>
        <w:rPr>
          <w:sz w:val="20"/>
          <w:szCs w:val="20"/>
          <w:color w:val="auto"/>
        </w:rPr>
      </w:pPr>
      <w:r>
        <w:rPr>
          <w:rFonts w:ascii="Arial" w:cs="Arial" w:eastAsia="Arial" w:hAnsi="Arial"/>
          <w:sz w:val="18"/>
          <w:szCs w:val="18"/>
          <w:i w:val="1"/>
          <w:iCs w:val="1"/>
          <w:color w:val="auto"/>
        </w:rPr>
        <w:t xml:space="preserve">Tax Withholding </w:t>
      </w:r>
      <w:r>
        <w:rPr>
          <w:rFonts w:ascii="Arial" w:cs="Arial" w:eastAsia="Arial" w:hAnsi="Arial"/>
          <w:sz w:val="18"/>
          <w:szCs w:val="18"/>
          <w:color w:val="auto"/>
        </w:rPr>
        <w:t>— We expect that we will settle tax withholding obligations in connection with the vesting of the remaining CEO RSU Award through</w:t>
      </w:r>
      <w:r>
        <w:rPr>
          <w:rFonts w:ascii="Arial" w:cs="Arial" w:eastAsia="Arial" w:hAnsi="Arial"/>
          <w:sz w:val="18"/>
          <w:szCs w:val="18"/>
          <w:i w:val="1"/>
          <w:iCs w:val="1"/>
          <w:color w:val="auto"/>
        </w:rPr>
        <w:t xml:space="preserve"> </w:t>
      </w:r>
      <w:r>
        <w:rPr>
          <w:rFonts w:ascii="Arial" w:cs="Arial" w:eastAsia="Arial" w:hAnsi="Arial"/>
          <w:sz w:val="18"/>
          <w:szCs w:val="18"/>
          <w:color w:val="auto"/>
        </w:rPr>
        <w:t>“net settlement,” i.e., by remitting cash to satisfy the tax withholding obligation and withholding a number of the vested shares on the vesting date. However, we will assess the facts and circumstances at each vesting date to determine the appropriate method of tax settlement, which could include the satisfaction of tax withholding obligations via open market “sell to cover” sales by our CEO to the extent required to cover such obligations. The amount of the tax withholding will be based on the fair value of the common stock on the vesting and net settlement date. Depending on the fair value of the common stock and the number of RSUs vesting on the vesting and net settlement date, such net settlement could require us to expend substantial cash funds to satisfy tax withholding.</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Warrant Liability</w:t>
      </w:r>
    </w:p>
    <w:p>
      <w:pPr>
        <w:spacing w:after="0" w:line="22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We accounted for the Private Placement Warrants to purchase shares of Lucid Group common stock as liabilities at their estimated fair value because these Private Placement Warrants are not deemed indexed to our common stock. The warrants were recorded at fair value upon issuance and were subject to remeasurement to fair value at each reporting period, with any fair value adjustments recognized as a component within Other income (expense), net in our consolidated statements of operations and comprehensive loss. A portion of our Private Placement Warrants are subject to certain contingent forfeiture provisions.</w:t>
      </w:r>
    </w:p>
    <w:p>
      <w:pPr>
        <w:spacing w:after="0" w:line="215"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The fair value of the Private Placement Warrants that are not subject to the contingent forfeiture provisions was estimated using a Black-Scholes option pricing model that takes into account the contract terms as well as the quoted price of our common stock in an active market. The volatility is based on the actual market activity of our peer group as well as our historical volatility. The expected life is based on the remaining contractual term of the warrants, and the risk-free interest rate is based on the implied yield available on U.S. Treasury securities with a maturity equivalent to the warrants’ expected life.</w:t>
      </w:r>
    </w:p>
    <w:p>
      <w:pPr>
        <w:spacing w:after="0" w:line="184" w:lineRule="exact"/>
        <w:rPr>
          <w:sz w:val="20"/>
          <w:szCs w:val="20"/>
          <w:color w:val="auto"/>
        </w:rPr>
      </w:pPr>
    </w:p>
    <w:p>
      <w:pPr>
        <w:ind w:right="240"/>
        <w:spacing w:after="0" w:line="275" w:lineRule="auto"/>
        <w:rPr>
          <w:sz w:val="20"/>
          <w:szCs w:val="20"/>
          <w:color w:val="auto"/>
        </w:rPr>
      </w:pPr>
      <w:r>
        <w:rPr>
          <w:rFonts w:ascii="Arial" w:cs="Arial" w:eastAsia="Arial" w:hAnsi="Arial"/>
          <w:sz w:val="17"/>
          <w:szCs w:val="17"/>
          <w:color w:val="auto"/>
        </w:rPr>
        <w:t>The fair value of the Private Placement Warrants that are subject to the contingent forfeiture provisions was estimated using a Monte-Carlo simulation, which involved random iterations of future stock-price paths over the contractual life of the Private Placement Warrants, including the probability distribution of outcomes, the payoff to the holder was determined based on the achievement of the various market thresholds within each simulated path. The present value of the payoff in each simulated trial is calculated, and the fair value of the liability is determined by taking the average of all present values. As of December 31, 2022 and 2021, there were no warrants subject to contingent forfeiture provisions.</w:t>
      </w:r>
    </w:p>
    <w:p>
      <w:pPr>
        <w:spacing w:after="0" w:line="17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See Note 9 “Common Stock Warrant Liability” and Note 12 “Earnback Shares and Warrants” to the consolidated financial statements included elsewhere in this Annual Report for more information.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Contingent Forward Contract</w:t>
      </w:r>
    </w:p>
    <w:p>
      <w:pPr>
        <w:spacing w:after="0" w:line="225"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We accounted for the contingent forward contract to purchase Legacy Lucid Series E preferred stock as a derivative liability because the contingent forward contract could require us to issue additional stock at a future date. The contingent forward contract was recorded at fair value upon issuance and was subject to remeasurement to fair value at each period end, with any fair value adjustments recognized as a component within Other income (expense), net in our consolidated statements of operations and comprehensive loss. The fair value of the contingent forward contract liability for the Legacy Lucid Series E preferred stock issued in February 2021 and April 2021 was determined based on the forward payoff, which was determined as the difference between the estimated Legacy Lucid Series E preferred stock fair value and the $7.90 per share purchase price. We settled the contingent forward contract in April 2021.</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color w:val="auto"/>
        </w:rPr>
        <w:t>See Note 7 “Contingent Forward Contracts” to the consolidated financial statements included elsewhere in this Annual Report for more information.</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Preferred Stock Warrant Liability</w:t>
      </w:r>
    </w:p>
    <w:p>
      <w:pPr>
        <w:spacing w:after="0" w:line="225"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We accounted for warrants to purchase shares of Legacy Lucid Series D preferred stock as liabilities at their estimated fair value because these warrants obligate us to transfer assets to the holders at a future date under certain circumstances, such as a merger, acquisition, reorganization, sale of all or substantially all of our assets, each a change of control event. The warrants were recorded at fair value upon issuance and were subject to remeasurement to fair value at each period end, with any fair value adjustments recognized as a component within Other income (expense), net in our consolidated statements of operations and comprehensive loss. We used a Black-Scholes model to calculate the fair value of the redeemable convertible preferred stock warrant liability. In February 2021, all outstanding warrants to purchase shares of Legacy Lucid Series D Preferred Shares were exercised.</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color w:val="auto"/>
        </w:rPr>
        <w:t>See Note 10 “Convertible Preferred Stock” to the consolidated financial statements included elsewhere in this Annual Report for more information.</w:t>
      </w: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85" w:name="page86"/>
    <w:bookmarkEnd w:id="85"/>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22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See Note 2 “Summary of Significant Accounting Policies” to our consolidated financial statements included elsewhere in this Annual Report for more information.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did not have during the periods presented, and we do not currently have, any off-balance sheet activities or have any arrangements or relationships with unconsolidated entities, such as variable interest, special purpose, and structured finance entities.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Qualitative and Quantitative Disclosures about Market Risk.</w:t>
      </w:r>
    </w:p>
    <w:p>
      <w:pPr>
        <w:spacing w:after="0" w:line="229"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We are exposed to market risks in the ordinary course of our business. Market risk represents the risk of loss that may impact our financial position due to adverse changes in financial market prices and rates. Our market risk exposure is primarily the result of fluctuations in interest rates and inflationary pressure.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are exposed to market risk for changes in interest rates applicable to our Cash and cash equivalents, restricted cash, and investments. We had cash, cash equivalents, restricted cash, and investments totaling approximately $4.44 billion as of December 31, 2022. Our investment policy is focused on the preservation of capital and supporting our liquidity needs. Under the policy, we invest in highly rated securities, primarily issued by the U.S. government or liquid money market funds. We do not invest in financial instruments for trading or speculative purposes. We utilize external investment managers who adhere to the guidelines of our investment policy. Based on investment positions as of December 31, 2022, a hypothetical 100 basis point increase in interest rates would result in approximately $13.9 million incremental decline in the fair market value of our portfolio.</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Inflationary Pressure</w:t>
      </w:r>
    </w:p>
    <w:p>
      <w:pPr>
        <w:spacing w:after="0" w:line="225"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The U.S. economy has experienced increased inflation recently, including as a result of the COVID-19 pandemic. Our cost to manufacture a vehicle is heavily influenced by the cost of the key components and materials used in the vehicle, cost of labor, as well as cost of equipment used in our manufacturing facilities. As we continue our phased construction of our AMP-1 facility, increases in steel prices and cost of construction labor have led to higher capital expenditures. We expect that the inflationary pressure will persist for the foreseeable future.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Supply Risk</w:t>
      </w:r>
    </w:p>
    <w:p>
      <w:pPr>
        <w:spacing w:after="0" w:line="229"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We are dependent on its suppliers, the majority of which are single-source suppliers, and the inability of these suppliers to deliver necessary components of its products according to the schedule and at prices, quality levels and volumes acceptable to us, or its inability to efficiently manage these components, could have a material adverse effect on our results of operations and financial condition.</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9" w:right="359" w:bottom="1440" w:gutter="0" w:footer="0" w:header="0"/>
        </w:sectPr>
      </w:pPr>
    </w:p>
    <w:bookmarkStart w:id="86" w:name="page87"/>
    <w:bookmarkEnd w:id="86"/>
    <w:tbl>
      <w:tblPr>
        <w:tblLayout w:type="fixed"/>
        <w:tblInd w:w="0" w:type="dxa"/>
        <w:tblCellMar>
          <w:top w:w="0" w:type="dxa"/>
          <w:left w:w="0" w:type="dxa"/>
          <w:bottom w:w="0" w:type="dxa"/>
          <w:right w:w="0" w:type="dxa"/>
        </w:tblCellMar>
      </w:tblPr>
      <w:tr>
        <w:trPr>
          <w:trHeight w:val="234"/>
        </w:trPr>
        <w:tc>
          <w:tcPr>
            <w:tcW w:w="10560" w:type="dxa"/>
            <w:vAlign w:val="bottom"/>
            <w:gridSpan w:val="9"/>
          </w:tcPr>
          <w:p>
            <w:pPr>
              <w:spacing w:after="0"/>
              <w:rPr>
                <w:sz w:val="20"/>
                <w:szCs w:val="20"/>
                <w:color w:val="auto"/>
              </w:rPr>
            </w:pPr>
            <w:r>
              <w:rPr>
                <w:rFonts w:ascii="Arial" w:cs="Arial" w:eastAsia="Arial" w:hAnsi="Arial"/>
                <w:sz w:val="18"/>
                <w:szCs w:val="18"/>
                <w:b w:val="1"/>
                <w:bCs w:val="1"/>
                <w:color w:val="auto"/>
              </w:rPr>
              <w:t>Item 8. Financial Statements and Supplementary Data.</w:t>
            </w:r>
          </w:p>
        </w:tc>
        <w:tc>
          <w:tcPr>
            <w:tcW w:w="680" w:type="dxa"/>
            <w:vAlign w:val="bottom"/>
          </w:tcPr>
          <w:p>
            <w:pPr>
              <w:spacing w:after="0"/>
              <w:rPr>
                <w:sz w:val="20"/>
                <w:szCs w:val="20"/>
                <w:color w:val="auto"/>
              </w:rPr>
            </w:pPr>
          </w:p>
        </w:tc>
      </w:tr>
      <w:tr>
        <w:trPr>
          <w:trHeight w:val="432"/>
        </w:trPr>
        <w:tc>
          <w:tcPr>
            <w:tcW w:w="10560" w:type="dxa"/>
            <w:vAlign w:val="bottom"/>
            <w:gridSpan w:val="9"/>
          </w:tcPr>
          <w:p>
            <w:pPr>
              <w:spacing w:after="0"/>
              <w:rPr>
                <w:sz w:val="20"/>
                <w:szCs w:val="20"/>
                <w:color w:val="auto"/>
              </w:rPr>
            </w:pPr>
            <w:r>
              <w:rPr>
                <w:rFonts w:ascii="Arial" w:cs="Arial" w:eastAsia="Arial" w:hAnsi="Arial"/>
                <w:sz w:val="18"/>
                <w:szCs w:val="18"/>
                <w:color w:val="auto"/>
              </w:rPr>
              <w:t>Index of Consolidated Financial Statements for the fiscal years ended December 31, 2022, 2021 and 2020.</w:t>
            </w:r>
          </w:p>
        </w:tc>
        <w:tc>
          <w:tcPr>
            <w:tcW w:w="680" w:type="dxa"/>
            <w:vAlign w:val="bottom"/>
          </w:tcPr>
          <w:p>
            <w:pPr>
              <w:spacing w:after="0"/>
              <w:rPr>
                <w:sz w:val="24"/>
                <w:szCs w:val="24"/>
                <w:color w:val="auto"/>
              </w:rPr>
            </w:pPr>
          </w:p>
        </w:tc>
      </w:tr>
      <w:tr>
        <w:trPr>
          <w:trHeight w:val="473"/>
        </w:trPr>
        <w:tc>
          <w:tcPr>
            <w:tcW w:w="20" w:type="dxa"/>
            <w:vAlign w:val="bottom"/>
          </w:tcPr>
          <w:p>
            <w:pPr>
              <w:spacing w:after="0"/>
              <w:rPr>
                <w:sz w:val="24"/>
                <w:szCs w:val="24"/>
                <w:color w:val="auto"/>
              </w:rPr>
            </w:pPr>
          </w:p>
        </w:tc>
        <w:tc>
          <w:tcPr>
            <w:tcW w:w="10540" w:type="dxa"/>
            <w:vAlign w:val="bottom"/>
            <w:gridSpan w:val="8"/>
          </w:tcPr>
          <w:p>
            <w:pPr>
              <w:spacing w:after="0"/>
              <w:rPr>
                <w:sz w:val="20"/>
                <w:szCs w:val="20"/>
                <w:color w:val="auto"/>
              </w:rPr>
            </w:pPr>
            <w:r>
              <w:rPr>
                <w:rFonts w:ascii="Arial" w:cs="Arial" w:eastAsia="Arial" w:hAnsi="Arial"/>
                <w:sz w:val="18"/>
                <w:szCs w:val="18"/>
                <w:b w:val="1"/>
                <w:bCs w:val="1"/>
                <w:color w:val="auto"/>
              </w:rPr>
              <w:t>CONTENTS</w:t>
            </w:r>
          </w:p>
        </w:tc>
        <w:tc>
          <w:tcPr>
            <w:tcW w:w="680" w:type="dxa"/>
            <w:vAlign w:val="bottom"/>
          </w:tcPr>
          <w:p>
            <w:pPr>
              <w:jc w:val="right"/>
              <w:ind w:right="70"/>
              <w:spacing w:after="0"/>
              <w:rPr>
                <w:sz w:val="20"/>
                <w:szCs w:val="20"/>
                <w:color w:val="auto"/>
              </w:rPr>
            </w:pPr>
            <w:r>
              <w:rPr>
                <w:rFonts w:ascii="Arial" w:cs="Arial" w:eastAsia="Arial" w:hAnsi="Arial"/>
                <w:sz w:val="18"/>
                <w:szCs w:val="18"/>
                <w:b w:val="1"/>
                <w:bCs w:val="1"/>
                <w:color w:val="auto"/>
              </w:rPr>
              <w:t>Page</w:t>
            </w:r>
          </w:p>
        </w:tc>
      </w:tr>
      <w:tr>
        <w:trPr>
          <w:trHeight w:val="183"/>
        </w:trPr>
        <w:tc>
          <w:tcPr>
            <w:tcW w:w="20" w:type="dxa"/>
            <w:vAlign w:val="bottom"/>
            <w:tcBorders>
              <w:top w:val="single" w:sz="8" w:color="auto"/>
            </w:tcBorders>
          </w:tcPr>
          <w:p>
            <w:pPr>
              <w:spacing w:after="0"/>
              <w:rPr>
                <w:sz w:val="15"/>
                <w:szCs w:val="15"/>
                <w:color w:val="auto"/>
              </w:rPr>
            </w:pPr>
          </w:p>
        </w:tc>
        <w:tc>
          <w:tcPr>
            <w:tcW w:w="10460" w:type="dxa"/>
            <w:vAlign w:val="bottom"/>
            <w:tcBorders>
              <w:top w:val="single" w:sz="8" w:color="auto"/>
            </w:tcBorders>
            <w:gridSpan w:val="7"/>
          </w:tcPr>
          <w:p>
            <w:pPr>
              <w:spacing w:after="0" w:line="182" w:lineRule="exact"/>
              <w:rPr>
                <w:sz w:val="20"/>
                <w:szCs w:val="20"/>
                <w:color w:val="auto"/>
              </w:rPr>
            </w:pPr>
            <w:r>
              <w:rPr>
                <w:rFonts w:ascii="Arial" w:cs="Arial" w:eastAsia="Arial" w:hAnsi="Arial"/>
                <w:sz w:val="18"/>
                <w:szCs w:val="18"/>
                <w:color w:val="0000FF"/>
              </w:rPr>
              <w:t xml:space="preserve">Report of Independent Registered Public Accounting Firm </w:t>
            </w:r>
            <w:r>
              <w:rPr>
                <w:rFonts w:ascii="Arial" w:cs="Arial" w:eastAsia="Arial" w:hAnsi="Arial"/>
                <w:sz w:val="18"/>
                <w:szCs w:val="18"/>
                <w:color w:val="000000"/>
              </w:rPr>
              <w:t>(PCAOB ID Number 248)</w:t>
            </w:r>
          </w:p>
        </w:tc>
        <w:tc>
          <w:tcPr>
            <w:tcW w:w="80" w:type="dxa"/>
            <w:vAlign w:val="bottom"/>
          </w:tcPr>
          <w:p>
            <w:pPr>
              <w:spacing w:after="0"/>
              <w:rPr>
                <w:sz w:val="15"/>
                <w:szCs w:val="15"/>
                <w:color w:val="auto"/>
              </w:rPr>
            </w:pPr>
          </w:p>
        </w:tc>
        <w:tc>
          <w:tcPr>
            <w:tcW w:w="68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color w:val="auto"/>
              </w:rPr>
              <w:t>87</w:t>
            </w:r>
          </w:p>
        </w:tc>
      </w:tr>
      <w:tr>
        <w:trPr>
          <w:trHeight w:val="20"/>
        </w:trPr>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86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49"/>
        </w:trPr>
        <w:tc>
          <w:tcPr>
            <w:tcW w:w="20" w:type="dxa"/>
            <w:vAlign w:val="bottom"/>
          </w:tcPr>
          <w:p>
            <w:pPr>
              <w:spacing w:after="0"/>
              <w:rPr>
                <w:sz w:val="21"/>
                <w:szCs w:val="21"/>
                <w:color w:val="auto"/>
              </w:rPr>
            </w:pPr>
          </w:p>
        </w:tc>
        <w:tc>
          <w:tcPr>
            <w:tcW w:w="10540" w:type="dxa"/>
            <w:vAlign w:val="bottom"/>
            <w:gridSpan w:val="8"/>
          </w:tcPr>
          <w:p>
            <w:pPr>
              <w:spacing w:after="0"/>
              <w:rPr>
                <w:sz w:val="20"/>
                <w:szCs w:val="20"/>
                <w:color w:val="auto"/>
              </w:rPr>
            </w:pPr>
            <w:r>
              <w:rPr>
                <w:rFonts w:ascii="Arial" w:cs="Arial" w:eastAsia="Arial" w:hAnsi="Arial"/>
                <w:sz w:val="18"/>
                <w:szCs w:val="18"/>
                <w:color w:val="auto"/>
              </w:rPr>
              <w:t>Consolidated Financial Statements of Lucid Group, Inc. and its consolidated subsidiaries:</w:t>
            </w:r>
          </w:p>
        </w:tc>
        <w:tc>
          <w:tcPr>
            <w:tcW w:w="680" w:type="dxa"/>
            <w:vAlign w:val="bottom"/>
          </w:tcPr>
          <w:p>
            <w:pPr>
              <w:spacing w:after="0"/>
              <w:rPr>
                <w:sz w:val="21"/>
                <w:szCs w:val="21"/>
                <w:color w:val="auto"/>
              </w:rPr>
            </w:pPr>
          </w:p>
        </w:tc>
      </w:tr>
      <w:tr>
        <w:trPr>
          <w:trHeight w:val="190"/>
        </w:trPr>
        <w:tc>
          <w:tcPr>
            <w:tcW w:w="20" w:type="dxa"/>
            <w:vAlign w:val="bottom"/>
          </w:tcPr>
          <w:p>
            <w:pPr>
              <w:spacing w:after="0"/>
              <w:rPr>
                <w:sz w:val="16"/>
                <w:szCs w:val="16"/>
                <w:color w:val="auto"/>
              </w:rPr>
            </w:pPr>
          </w:p>
        </w:tc>
        <w:tc>
          <w:tcPr>
            <w:tcW w:w="4660" w:type="dxa"/>
            <w:vAlign w:val="bottom"/>
            <w:tcBorders>
              <w:bottom w:val="single" w:sz="8" w:color="0000FF"/>
            </w:tcBorders>
            <w:gridSpan w:val="3"/>
          </w:tcPr>
          <w:p>
            <w:pPr>
              <w:spacing w:after="0" w:line="190" w:lineRule="exact"/>
              <w:rPr>
                <w:sz w:val="20"/>
                <w:szCs w:val="20"/>
                <w:color w:val="auto"/>
              </w:rPr>
            </w:pPr>
            <w:r>
              <w:rPr>
                <w:rFonts w:ascii="Arial" w:cs="Arial" w:eastAsia="Arial" w:hAnsi="Arial"/>
                <w:sz w:val="18"/>
                <w:szCs w:val="18"/>
                <w:color w:val="0000FF"/>
                <w:w w:val="88"/>
              </w:rPr>
              <w:t>Consolidated Balance Sheets as of December 31, 2022 and 2021</w:t>
            </w:r>
          </w:p>
        </w:tc>
        <w:tc>
          <w:tcPr>
            <w:tcW w:w="5880" w:type="dxa"/>
            <w:vAlign w:val="bottom"/>
            <w:gridSpan w:val="5"/>
          </w:tcPr>
          <w:p>
            <w:pPr>
              <w:spacing w:after="0"/>
              <w:rPr>
                <w:sz w:val="16"/>
                <w:szCs w:val="16"/>
                <w:color w:val="auto"/>
              </w:rPr>
            </w:pPr>
          </w:p>
        </w:tc>
        <w:tc>
          <w:tcPr>
            <w:tcW w:w="680" w:type="dxa"/>
            <w:vAlign w:val="bottom"/>
          </w:tcPr>
          <w:p>
            <w:pPr>
              <w:jc w:val="right"/>
              <w:spacing w:after="0" w:line="190" w:lineRule="exact"/>
              <w:rPr>
                <w:sz w:val="20"/>
                <w:szCs w:val="20"/>
                <w:color w:val="auto"/>
              </w:rPr>
            </w:pPr>
            <w:r>
              <w:rPr>
                <w:rFonts w:ascii="Arial" w:cs="Arial" w:eastAsia="Arial" w:hAnsi="Arial"/>
                <w:sz w:val="18"/>
                <w:szCs w:val="18"/>
                <w:color w:val="auto"/>
              </w:rPr>
              <w:t>89</w:t>
            </w:r>
          </w:p>
        </w:tc>
      </w:tr>
      <w:tr>
        <w:trPr>
          <w:trHeight w:val="209"/>
        </w:trPr>
        <w:tc>
          <w:tcPr>
            <w:tcW w:w="20" w:type="dxa"/>
            <w:vAlign w:val="bottom"/>
          </w:tcPr>
          <w:p>
            <w:pPr>
              <w:spacing w:after="0"/>
              <w:rPr>
                <w:sz w:val="18"/>
                <w:szCs w:val="18"/>
                <w:color w:val="auto"/>
              </w:rPr>
            </w:pPr>
          </w:p>
        </w:tc>
        <w:tc>
          <w:tcPr>
            <w:tcW w:w="10540" w:type="dxa"/>
            <w:vAlign w:val="bottom"/>
            <w:gridSpan w:val="8"/>
          </w:tcPr>
          <w:p>
            <w:pPr>
              <w:spacing w:after="0"/>
              <w:rPr>
                <w:sz w:val="20"/>
                <w:szCs w:val="20"/>
                <w:color w:val="auto"/>
              </w:rPr>
            </w:pPr>
            <w:r>
              <w:rPr>
                <w:rFonts w:ascii="Arial" w:cs="Arial" w:eastAsia="Arial" w:hAnsi="Arial"/>
                <w:sz w:val="18"/>
                <w:szCs w:val="18"/>
                <w:color w:val="0000FF"/>
              </w:rPr>
              <w:t>Consolidated Statements of Operations and Comprehensive Loss for the years ended December 31, 2022, 2021 and 2020</w:t>
            </w:r>
          </w:p>
        </w:tc>
        <w:tc>
          <w:tcPr>
            <w:tcW w:w="68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0"/>
        </w:trPr>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300" w:type="dxa"/>
            <w:vAlign w:val="bottom"/>
            <w:gridSpan w:val="2"/>
            <w:shd w:val="clear" w:color="auto" w:fill="0000FF"/>
          </w:tcPr>
          <w:p>
            <w:pPr>
              <w:spacing w:after="0" w:line="20" w:lineRule="exact"/>
              <w:rPr>
                <w:sz w:val="1"/>
                <w:szCs w:val="1"/>
                <w:color w:val="auto"/>
              </w:rPr>
            </w:pPr>
          </w:p>
        </w:tc>
        <w:tc>
          <w:tcPr>
            <w:tcW w:w="2260" w:type="dxa"/>
            <w:vAlign w:val="bottom"/>
            <w:shd w:val="clear" w:color="auto" w:fill="0000FF"/>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0540" w:type="dxa"/>
            <w:vAlign w:val="bottom"/>
            <w:gridSpan w:val="8"/>
          </w:tcPr>
          <w:p>
            <w:pPr>
              <w:spacing w:after="0"/>
              <w:rPr>
                <w:sz w:val="20"/>
                <w:szCs w:val="20"/>
                <w:color w:val="auto"/>
              </w:rPr>
            </w:pPr>
            <w:r>
              <w:rPr>
                <w:rFonts w:ascii="Arial" w:cs="Arial" w:eastAsia="Arial" w:hAnsi="Arial"/>
                <w:sz w:val="18"/>
                <w:szCs w:val="18"/>
                <w:color w:val="0000FF"/>
                <w:w w:val="93"/>
              </w:rPr>
              <w:t>Consolidated Statements of Convertible Preferred Stock and Stockholders' Equity (Deficit) for the years ended December 31, 2022, 2021 and</w:t>
            </w:r>
          </w:p>
        </w:tc>
        <w:tc>
          <w:tcPr>
            <w:tcW w:w="68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156"/>
        </w:trPr>
        <w:tc>
          <w:tcPr>
            <w:tcW w:w="20" w:type="dxa"/>
            <w:vAlign w:val="bottom"/>
          </w:tcPr>
          <w:p>
            <w:pPr>
              <w:spacing w:after="0"/>
              <w:rPr>
                <w:sz w:val="13"/>
                <w:szCs w:val="13"/>
                <w:color w:val="auto"/>
              </w:rPr>
            </w:pPr>
          </w:p>
        </w:tc>
        <w:tc>
          <w:tcPr>
            <w:tcW w:w="360" w:type="dxa"/>
            <w:vAlign w:val="bottom"/>
            <w:tcBorders>
              <w:top w:val="single" w:sz="8" w:color="0000FF"/>
              <w:bottom w:val="single" w:sz="8" w:color="0000FF"/>
            </w:tcBorders>
          </w:tcPr>
          <w:p>
            <w:pPr>
              <w:spacing w:after="0" w:line="156" w:lineRule="exact"/>
              <w:rPr>
                <w:sz w:val="20"/>
                <w:szCs w:val="20"/>
                <w:color w:val="auto"/>
              </w:rPr>
            </w:pPr>
            <w:r>
              <w:rPr>
                <w:rFonts w:ascii="Arial" w:cs="Arial" w:eastAsia="Arial" w:hAnsi="Arial"/>
                <w:sz w:val="18"/>
                <w:szCs w:val="18"/>
                <w:color w:val="0000FF"/>
                <w:w w:val="84"/>
              </w:rPr>
              <w:t>2020</w:t>
            </w:r>
          </w:p>
        </w:tc>
        <w:tc>
          <w:tcPr>
            <w:tcW w:w="3860" w:type="dxa"/>
            <w:vAlign w:val="bottom"/>
            <w:tcBorders>
              <w:top w:val="single" w:sz="8" w:color="0000FF"/>
            </w:tcBorders>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2260" w:type="dxa"/>
            <w:vAlign w:val="bottom"/>
            <w:tcBorders>
              <w:top w:val="single" w:sz="8" w:color="0000FF"/>
            </w:tcBorders>
          </w:tcPr>
          <w:p>
            <w:pPr>
              <w:spacing w:after="0"/>
              <w:rPr>
                <w:sz w:val="13"/>
                <w:szCs w:val="13"/>
                <w:color w:val="auto"/>
              </w:rPr>
            </w:pPr>
          </w:p>
        </w:tc>
        <w:tc>
          <w:tcPr>
            <w:tcW w:w="1800" w:type="dxa"/>
            <w:vAlign w:val="bottom"/>
            <w:tcBorders>
              <w:top w:val="single" w:sz="8" w:color="0000FF"/>
            </w:tcBorders>
          </w:tcPr>
          <w:p>
            <w:pPr>
              <w:spacing w:after="0"/>
              <w:rPr>
                <w:sz w:val="13"/>
                <w:szCs w:val="13"/>
                <w:color w:val="auto"/>
              </w:rPr>
            </w:pPr>
          </w:p>
        </w:tc>
        <w:tc>
          <w:tcPr>
            <w:tcW w:w="1480" w:type="dxa"/>
            <w:vAlign w:val="bottom"/>
            <w:tcBorders>
              <w:top w:val="single" w:sz="8" w:color="0000FF"/>
            </w:tcBorders>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r>
      <w:tr>
        <w:trPr>
          <w:trHeight w:val="223"/>
        </w:trPr>
        <w:tc>
          <w:tcPr>
            <w:tcW w:w="20" w:type="dxa"/>
            <w:vAlign w:val="bottom"/>
          </w:tcPr>
          <w:p>
            <w:pPr>
              <w:spacing w:after="0"/>
              <w:rPr>
                <w:sz w:val="19"/>
                <w:szCs w:val="19"/>
                <w:color w:val="auto"/>
              </w:rPr>
            </w:pPr>
          </w:p>
        </w:tc>
        <w:tc>
          <w:tcPr>
            <w:tcW w:w="692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color w:val="0000FF"/>
                <w:w w:val="89"/>
              </w:rPr>
              <w:t>Consolidated Statements of Cash Flows for the years ended December 31, 2022, 2021 and 2020</w:t>
            </w:r>
          </w:p>
        </w:tc>
        <w:tc>
          <w:tcPr>
            <w:tcW w:w="3620" w:type="dxa"/>
            <w:vAlign w:val="bottom"/>
            <w:gridSpan w:val="4"/>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50"/>
        </w:trPr>
        <w:tc>
          <w:tcPr>
            <w:tcW w:w="20" w:type="dxa"/>
            <w:vAlign w:val="bottom"/>
          </w:tcPr>
          <w:p>
            <w:pPr>
              <w:spacing w:after="0"/>
              <w:rPr>
                <w:sz w:val="21"/>
                <w:szCs w:val="21"/>
                <w:color w:val="auto"/>
              </w:rPr>
            </w:pPr>
          </w:p>
        </w:tc>
        <w:tc>
          <w:tcPr>
            <w:tcW w:w="10540" w:type="dxa"/>
            <w:vAlign w:val="bottom"/>
            <w:gridSpan w:val="8"/>
          </w:tcPr>
          <w:p>
            <w:pPr>
              <w:spacing w:after="0"/>
              <w:rPr>
                <w:sz w:val="20"/>
                <w:szCs w:val="20"/>
                <w:color w:val="auto"/>
              </w:rPr>
            </w:pPr>
            <w:r>
              <w:rPr>
                <w:rFonts w:ascii="Arial" w:cs="Arial" w:eastAsia="Arial" w:hAnsi="Arial"/>
                <w:sz w:val="18"/>
                <w:szCs w:val="18"/>
                <w:color w:val="auto"/>
              </w:rPr>
              <w:t>Notes to Consolidated Financial Statements</w:t>
            </w:r>
          </w:p>
        </w:tc>
        <w:tc>
          <w:tcPr>
            <w:tcW w:w="68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580"/>
        </w:trPr>
        <w:tc>
          <w:tcPr>
            <w:tcW w:w="6940" w:type="dxa"/>
            <w:vAlign w:val="bottom"/>
            <w:gridSpan w:val="5"/>
          </w:tcPr>
          <w:p>
            <w:pPr>
              <w:jc w:val="right"/>
              <w:ind w:right="1220"/>
              <w:spacing w:after="0"/>
              <w:rPr>
                <w:sz w:val="20"/>
                <w:szCs w:val="20"/>
                <w:color w:val="auto"/>
              </w:rPr>
            </w:pPr>
            <w:r>
              <w:rPr>
                <w:rFonts w:ascii="Arial" w:cs="Arial" w:eastAsia="Arial" w:hAnsi="Arial"/>
                <w:sz w:val="18"/>
                <w:szCs w:val="18"/>
                <w:color w:val="auto"/>
              </w:rPr>
              <w:t>86</w:t>
            </w:r>
          </w:p>
        </w:tc>
        <w:tc>
          <w:tcPr>
            <w:tcW w:w="18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386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2260" w:type="dxa"/>
            <w:vAlign w:val="bottom"/>
            <w:tcBorders>
              <w:bottom w:val="single" w:sz="8" w:color="9A9A9A"/>
            </w:tcBorders>
          </w:tcPr>
          <w:p>
            <w:pPr>
              <w:spacing w:after="0"/>
              <w:rPr>
                <w:sz w:val="10"/>
                <w:szCs w:val="10"/>
                <w:color w:val="auto"/>
              </w:rPr>
            </w:pPr>
          </w:p>
        </w:tc>
        <w:tc>
          <w:tcPr>
            <w:tcW w:w="180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87" w:name="page88"/>
    <w:bookmarkEnd w:id="87"/>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color w:val="auto"/>
        </w:rPr>
        <w:t>Board of Directors and Stockholders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Lucid Group, Inc.</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Opinion on the financial statements</w:t>
      </w:r>
    </w:p>
    <w:p>
      <w:pPr>
        <w:spacing w:after="0" w:line="25" w:lineRule="exact"/>
        <w:rPr>
          <w:sz w:val="20"/>
          <w:szCs w:val="20"/>
          <w:color w:val="auto"/>
        </w:rPr>
      </w:pPr>
    </w:p>
    <w:p>
      <w:pPr>
        <w:ind w:right="340"/>
        <w:spacing w:after="0" w:line="256" w:lineRule="auto"/>
        <w:rPr>
          <w:sz w:val="20"/>
          <w:szCs w:val="20"/>
          <w:color w:val="auto"/>
        </w:rPr>
      </w:pPr>
      <w:r>
        <w:rPr>
          <w:rFonts w:ascii="Arial" w:cs="Arial" w:eastAsia="Arial" w:hAnsi="Arial"/>
          <w:sz w:val="17"/>
          <w:szCs w:val="17"/>
          <w:color w:val="auto"/>
        </w:rPr>
        <w:t>We have audited the accompanying consolidated balance sheets of Lucid Group, Inc. (a Delaware corporation) and subsidiaries (the “Company”) as of December 31, 2022 and 2021, the related consolidated statements of operations and comprehensive loss, convertible preferred stock and stockholders’ equity (deficit), and cash flows for each of the three years in the period ended December 31, 2022, and the related notes (collectively referred to as the “financial statements”). In our opinion, the financial statements present fairly, in all material respects, the financial position of the Company as of December 31, 2022 and 2021, and the results of its operations and its cash flows for each of the three years in the period ended December 31, 2022, in conformity with accounting principles generally accepted in the United States of America.</w:t>
      </w:r>
    </w:p>
    <w:p>
      <w:pPr>
        <w:spacing w:after="0" w:line="193" w:lineRule="exact"/>
        <w:rPr>
          <w:sz w:val="20"/>
          <w:szCs w:val="20"/>
          <w:color w:val="auto"/>
        </w:rPr>
      </w:pPr>
    </w:p>
    <w:p>
      <w:pPr>
        <w:ind w:right="200"/>
        <w:spacing w:after="0" w:line="312" w:lineRule="auto"/>
        <w:rPr>
          <w:sz w:val="20"/>
          <w:szCs w:val="20"/>
          <w:color w:val="auto"/>
        </w:rPr>
      </w:pPr>
      <w:r>
        <w:rPr>
          <w:rFonts w:ascii="Arial" w:cs="Arial" w:eastAsia="Arial" w:hAnsi="Arial"/>
          <w:sz w:val="15"/>
          <w:szCs w:val="15"/>
          <w:color w:val="auto"/>
        </w:rPr>
        <w:t xml:space="preserve">We also have audited, in accordance with the standards of the Public Company Accounting Oversight Board (United States) (“PCAOB”), the Company’s internal control over financial reporting as of December 31, 2022, based on criteria established in the 2013 </w:t>
      </w:r>
      <w:r>
        <w:rPr>
          <w:rFonts w:ascii="Arial" w:cs="Arial" w:eastAsia="Arial" w:hAnsi="Arial"/>
          <w:sz w:val="15"/>
          <w:szCs w:val="15"/>
          <w:i w:val="1"/>
          <w:iCs w:val="1"/>
          <w:color w:val="auto"/>
        </w:rPr>
        <w:t>Internal Control—Integrated Framework</w:t>
      </w:r>
      <w:r>
        <w:rPr>
          <w:rFonts w:ascii="Arial" w:cs="Arial" w:eastAsia="Arial" w:hAnsi="Arial"/>
          <w:sz w:val="15"/>
          <w:szCs w:val="15"/>
          <w:color w:val="auto"/>
        </w:rPr>
        <w:t xml:space="preserve"> issued by the Committee of Sponsoring Organizations of the Treadway Commission (“COSO”), and our report dated February 28, 2023 expressed an unqualified opinion.</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Basis for opinion</w:t>
      </w:r>
    </w:p>
    <w:p>
      <w:pPr>
        <w:spacing w:after="0" w:line="25" w:lineRule="exact"/>
        <w:rPr>
          <w:sz w:val="20"/>
          <w:szCs w:val="20"/>
          <w:color w:val="auto"/>
        </w:rPr>
      </w:pPr>
    </w:p>
    <w:p>
      <w:pPr>
        <w:ind w:right="100"/>
        <w:spacing w:after="0" w:line="285"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68"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audit matter</w:t>
      </w:r>
    </w:p>
    <w:p>
      <w:pPr>
        <w:spacing w:after="0" w:line="25" w:lineRule="exact"/>
        <w:rPr>
          <w:sz w:val="20"/>
          <w:szCs w:val="20"/>
          <w:color w:val="auto"/>
        </w:rPr>
      </w:pPr>
    </w:p>
    <w:p>
      <w:pPr>
        <w:ind w:right="120"/>
        <w:spacing w:after="0" w:line="254" w:lineRule="auto"/>
        <w:rPr>
          <w:sz w:val="20"/>
          <w:szCs w:val="20"/>
          <w:color w:val="auto"/>
        </w:rPr>
      </w:pPr>
      <w:r>
        <w:rPr>
          <w:rFonts w:ascii="Arial" w:cs="Arial" w:eastAsia="Arial" w:hAnsi="Arial"/>
          <w:sz w:val="17"/>
          <w:szCs w:val="17"/>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Valuation of Inventory – Adjustment to Net Realizable Value</w:t>
      </w:r>
    </w:p>
    <w:p>
      <w:pPr>
        <w:spacing w:after="0" w:line="223" w:lineRule="exact"/>
        <w:rPr>
          <w:sz w:val="20"/>
          <w:szCs w:val="20"/>
          <w:color w:val="auto"/>
        </w:rPr>
      </w:pPr>
    </w:p>
    <w:p>
      <w:pPr>
        <w:ind w:right="20"/>
        <w:spacing w:after="0" w:line="308" w:lineRule="auto"/>
        <w:rPr>
          <w:sz w:val="20"/>
          <w:szCs w:val="20"/>
          <w:color w:val="auto"/>
        </w:rPr>
      </w:pPr>
      <w:r>
        <w:rPr>
          <w:rFonts w:ascii="Arial" w:cs="Arial" w:eastAsia="Arial" w:hAnsi="Arial"/>
          <w:sz w:val="15"/>
          <w:szCs w:val="15"/>
          <w:color w:val="auto"/>
        </w:rPr>
        <w:t>As described further in Note 4 to the financial statements, the Company’s inventories totaled approximately $834.4 million as of December 31, 2022, and inventory and firm purchase commitment write-downs during the year ended December 31, 2022 were approximately $569.5 million. As discussed in Note 2 to the financial statements, inventory is reviewed to determine whether its carrying value exceeds the net amount realizable upon the ultimate sale of the inventory. This requires an assessment to determine the selling price of the vehicles less the estimated cost to convert the inventory on-hand into a finished product.</w:t>
      </w:r>
    </w:p>
    <w:p>
      <w:pPr>
        <w:spacing w:after="0" w:line="154" w:lineRule="exact"/>
        <w:rPr>
          <w:sz w:val="20"/>
          <w:szCs w:val="20"/>
          <w:color w:val="auto"/>
        </w:rPr>
      </w:pPr>
    </w:p>
    <w:p>
      <w:pPr>
        <w:ind w:right="320"/>
        <w:spacing w:after="0" w:line="262" w:lineRule="auto"/>
        <w:rPr>
          <w:sz w:val="20"/>
          <w:szCs w:val="20"/>
          <w:color w:val="auto"/>
        </w:rPr>
      </w:pPr>
      <w:r>
        <w:rPr>
          <w:rFonts w:ascii="Arial" w:cs="Arial" w:eastAsia="Arial" w:hAnsi="Arial"/>
          <w:sz w:val="17"/>
          <w:szCs w:val="17"/>
          <w:color w:val="auto"/>
        </w:rPr>
        <w:t>The principal consideration for our determination that performing procedures relating to adjustment to reduce inventory to net realizable value is a critical audit matter is the significant judgment exercised by management when developing the estimate, which in turn led to a high degree of auditor judgment and effort to perform procedures and evaluate the audit evidence obtained relating to the significant assumptions regarding production forecasts, future manufacturing and conversion costs and selling price.</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color w:val="auto"/>
        </w:rPr>
        <w:t>Our audit procedures related to the Valuation of Inventory – Adjustment to Net Realizable Value included the following, among others:</w:t>
      </w:r>
    </w:p>
    <w:p>
      <w:pPr>
        <w:spacing w:after="0" w:line="115" w:lineRule="exact"/>
        <w:rPr>
          <w:sz w:val="20"/>
          <w:szCs w:val="20"/>
          <w:color w:val="auto"/>
        </w:rPr>
      </w:pPr>
    </w:p>
    <w:p>
      <w:pPr>
        <w:ind w:left="660" w:right="380" w:hanging="324"/>
        <w:spacing w:after="0" w:line="274" w:lineRule="auto"/>
        <w:rPr>
          <w:sz w:val="20"/>
          <w:szCs w:val="20"/>
          <w:color w:val="auto"/>
        </w:rPr>
      </w:pPr>
      <w:r>
        <w:rPr>
          <w:rFonts w:ascii="Arial" w:cs="Arial" w:eastAsia="Arial" w:hAnsi="Arial"/>
          <w:sz w:val="17"/>
          <w:szCs w:val="17"/>
          <w:color w:val="auto"/>
        </w:rPr>
        <w:t>– we tested the design and operating effectiveness of the Company’s internal controls over the process to develop the net realizable value adjustment to inventory</w:t>
      </w:r>
    </w:p>
    <w:p>
      <w:pPr>
        <w:spacing w:after="0" w:line="80" w:lineRule="exact"/>
        <w:rPr>
          <w:sz w:val="20"/>
          <w:szCs w:val="20"/>
          <w:color w:val="auto"/>
        </w:rPr>
      </w:pPr>
    </w:p>
    <w:p>
      <w:pPr>
        <w:ind w:left="660" w:right="100" w:hanging="324"/>
        <w:spacing w:after="0" w:line="274" w:lineRule="auto"/>
        <w:rPr>
          <w:sz w:val="20"/>
          <w:szCs w:val="20"/>
          <w:color w:val="auto"/>
        </w:rPr>
      </w:pPr>
      <w:r>
        <w:rPr>
          <w:rFonts w:ascii="Arial" w:cs="Arial" w:eastAsia="Arial" w:hAnsi="Arial"/>
          <w:sz w:val="17"/>
          <w:szCs w:val="17"/>
          <w:color w:val="auto"/>
        </w:rPr>
        <w:t>– we assessed the reasonableness of the significant assumptions, including evaluating the accuracy, completeness and relevance of management’s data used in developing the assumptions</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color w:val="auto"/>
        </w:rPr>
        <w:t>/s/ GRANT THORNTON LLP</w:t>
      </w: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color w:val="auto"/>
        </w:rPr>
        <w:t>We have served as the Company’s auditor since 2020.</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San Francisco, California</w:t>
      </w:r>
    </w:p>
    <w:p>
      <w:pPr>
        <w:spacing w:after="0" w:line="8" w:lineRule="exact"/>
        <w:rPr>
          <w:sz w:val="20"/>
          <w:szCs w:val="20"/>
          <w:color w:val="auto"/>
        </w:rPr>
      </w:pPr>
    </w:p>
    <w:p>
      <w:pPr>
        <w:spacing w:after="0"/>
        <w:rPr>
          <w:sz w:val="20"/>
          <w:szCs w:val="20"/>
          <w:color w:val="auto"/>
        </w:rPr>
      </w:pPr>
      <w:r>
        <w:rPr>
          <w:rFonts w:ascii="Arial" w:cs="Arial" w:eastAsia="Arial" w:hAnsi="Arial"/>
          <w:sz w:val="17"/>
          <w:szCs w:val="17"/>
          <w:color w:val="auto"/>
        </w:rPr>
        <w:t>February 28, 2023</w:t>
      </w:r>
    </w:p>
    <w:p>
      <w:pPr>
        <w:sectPr>
          <w:pgSz w:w="11900" w:h="16838" w:orient="portrait"/>
          <w:cols w:equalWidth="0" w:num="1">
            <w:col w:w="11240"/>
          </w:cols>
          <w:pgMar w:left="320" w:top="985" w:right="339" w:bottom="1440" w:gutter="0" w:footer="0" w:header="0"/>
        </w:sect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type w:val="continuous"/>
        </w:sectPr>
      </w:pPr>
    </w:p>
    <w:bookmarkStart w:id="88" w:name="page89"/>
    <w:bookmarkEnd w:id="88"/>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color w:val="auto"/>
        </w:rPr>
        <w:t>Board of Directors and Stockholders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Lucid Group, Inc.</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Opinion on internal control over financial reporting</w:t>
      </w:r>
    </w:p>
    <w:p>
      <w:pPr>
        <w:spacing w:after="0" w:line="25" w:lineRule="exact"/>
        <w:rPr>
          <w:sz w:val="20"/>
          <w:szCs w:val="20"/>
          <w:color w:val="auto"/>
        </w:rPr>
      </w:pPr>
    </w:p>
    <w:p>
      <w:pPr>
        <w:ind w:right="160"/>
        <w:spacing w:after="0" w:line="272" w:lineRule="auto"/>
        <w:rPr>
          <w:sz w:val="20"/>
          <w:szCs w:val="20"/>
          <w:color w:val="auto"/>
        </w:rPr>
      </w:pPr>
      <w:r>
        <w:rPr>
          <w:rFonts w:ascii="Arial" w:cs="Arial" w:eastAsia="Arial" w:hAnsi="Arial"/>
          <w:sz w:val="16"/>
          <w:szCs w:val="16"/>
          <w:color w:val="auto"/>
        </w:rPr>
        <w:t xml:space="preserve">We have audited the internal control over financial reporting of Lucid Group, Inc. (a Delaware corporation) and subsidiaries (the “Company”) as of December 31, 2022, based on criteria established in the 2013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xml:space="preserve"> issued by the Committee of Sponsoring Organizations of the Treadway Commission (“COSO”). In our opinion, the Company maintained, in all material respects, effective internal control over financial reporting as of December 31, 2022, based on criteria established in the 2013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xml:space="preserve"> issued by COSO.</w:t>
      </w:r>
    </w:p>
    <w:p>
      <w:pPr>
        <w:spacing w:after="0" w:line="192" w:lineRule="exact"/>
        <w:rPr>
          <w:sz w:val="20"/>
          <w:szCs w:val="20"/>
          <w:color w:val="auto"/>
        </w:rPr>
      </w:pPr>
    </w:p>
    <w:p>
      <w:pPr>
        <w:ind w:right="40"/>
        <w:spacing w:after="0" w:line="261" w:lineRule="auto"/>
        <w:rPr>
          <w:sz w:val="20"/>
          <w:szCs w:val="20"/>
          <w:color w:val="auto"/>
        </w:rPr>
      </w:pPr>
      <w:r>
        <w:rPr>
          <w:rFonts w:ascii="Arial" w:cs="Arial" w:eastAsia="Arial" w:hAnsi="Arial"/>
          <w:sz w:val="17"/>
          <w:szCs w:val="17"/>
          <w:color w:val="auto"/>
        </w:rPr>
        <w:t>We also have audited, in accordance with the standards of the Public Company Accounting Oversight Board (United States) (“PCAOB”), the consolidated financial statements of the Company as of and for the year ended December 31, 2022, and our report dated February 28, 2023 expressed an unqualified opinion on those financial statements.</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Basis for opinion</w:t>
      </w:r>
    </w:p>
    <w:p>
      <w:pPr>
        <w:spacing w:after="0" w:line="25" w:lineRule="exact"/>
        <w:rPr>
          <w:sz w:val="20"/>
          <w:szCs w:val="20"/>
          <w:color w:val="auto"/>
        </w:rPr>
      </w:pPr>
    </w:p>
    <w:p>
      <w:pPr>
        <w:spacing w:after="0" w:line="254" w:lineRule="auto"/>
        <w:rPr>
          <w:sz w:val="20"/>
          <w:szCs w:val="20"/>
          <w:color w:val="auto"/>
        </w:rPr>
      </w:pPr>
      <w:r>
        <w:rPr>
          <w:rFonts w:ascii="Arial" w:cs="Arial" w:eastAsia="Arial" w:hAnsi="Arial"/>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94" w:lineRule="exact"/>
        <w:rPr>
          <w:sz w:val="20"/>
          <w:szCs w:val="20"/>
          <w:color w:val="auto"/>
        </w:rPr>
      </w:pPr>
    </w:p>
    <w:p>
      <w:pPr>
        <w:ind w:right="40"/>
        <w:spacing w:after="0" w:line="259" w:lineRule="auto"/>
        <w:rPr>
          <w:sz w:val="20"/>
          <w:szCs w:val="20"/>
          <w:color w:val="auto"/>
        </w:rPr>
      </w:pPr>
      <w:r>
        <w:rPr>
          <w:rFonts w:ascii="Arial" w:cs="Arial" w:eastAsia="Arial" w:hAnsi="Arial"/>
          <w:sz w:val="17"/>
          <w:szCs w:val="17"/>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Definition and limitations of internal control over financial reporting</w:t>
      </w:r>
    </w:p>
    <w:p>
      <w:pPr>
        <w:spacing w:after="0" w:line="25" w:lineRule="exact"/>
        <w:rPr>
          <w:sz w:val="20"/>
          <w:szCs w:val="20"/>
          <w:color w:val="auto"/>
        </w:rPr>
      </w:pPr>
    </w:p>
    <w:p>
      <w:pPr>
        <w:ind w:right="20"/>
        <w:spacing w:after="0" w:line="274"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76" w:lineRule="exact"/>
        <w:rPr>
          <w:sz w:val="20"/>
          <w:szCs w:val="20"/>
          <w:color w:val="auto"/>
        </w:rPr>
      </w:pPr>
    </w:p>
    <w:p>
      <w:pPr>
        <w:ind w:right="160"/>
        <w:spacing w:after="0" w:line="261" w:lineRule="auto"/>
        <w:rPr>
          <w:sz w:val="20"/>
          <w:szCs w:val="20"/>
          <w:color w:val="auto"/>
        </w:rPr>
      </w:pPr>
      <w:r>
        <w:rPr>
          <w:rFonts w:ascii="Arial" w:cs="Arial" w:eastAsia="Arial" w:hAnsi="Arial"/>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color w:val="auto"/>
        </w:rPr>
        <w:t>/s/ GRANT THORNTON LLP</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San Francisco, California</w:t>
      </w:r>
    </w:p>
    <w:p>
      <w:pPr>
        <w:spacing w:after="0" w:line="8" w:lineRule="exact"/>
        <w:rPr>
          <w:sz w:val="20"/>
          <w:szCs w:val="20"/>
          <w:color w:val="auto"/>
        </w:rPr>
      </w:pPr>
    </w:p>
    <w:p>
      <w:pPr>
        <w:spacing w:after="0"/>
        <w:rPr>
          <w:sz w:val="20"/>
          <w:szCs w:val="20"/>
          <w:color w:val="auto"/>
        </w:rPr>
      </w:pPr>
      <w:r>
        <w:rPr>
          <w:rFonts w:ascii="Arial" w:cs="Arial" w:eastAsia="Arial" w:hAnsi="Arial"/>
          <w:sz w:val="17"/>
          <w:szCs w:val="17"/>
          <w:color w:val="auto"/>
        </w:rPr>
        <w:t>February 28, 2023</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2" w:right="339" w:bottom="1440" w:gutter="0" w:footer="0" w:header="0"/>
        </w:sectPr>
      </w:pPr>
    </w:p>
    <w:bookmarkStart w:id="89" w:name="page90"/>
    <w:bookmarkEnd w:id="89"/>
    <w:p>
      <w:pPr>
        <w:jc w:val="center"/>
        <w:spacing w:after="0"/>
        <w:rPr>
          <w:sz w:val="20"/>
          <w:szCs w:val="20"/>
          <w:color w:val="auto"/>
        </w:rPr>
      </w:pPr>
      <w:r>
        <w:rPr>
          <w:rFonts w:ascii="Arial" w:cs="Arial" w:eastAsia="Arial" w:hAnsi="Arial"/>
          <w:sz w:val="18"/>
          <w:szCs w:val="18"/>
          <w:b w:val="1"/>
          <w:bCs w:val="1"/>
          <w:color w:val="auto"/>
        </w:rPr>
        <w:t>LUCID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4"/>
                <w:szCs w:val="14"/>
                <w:color w:val="auto"/>
              </w:rPr>
            </w:pPr>
          </w:p>
        </w:tc>
        <w:tc>
          <w:tcPr>
            <w:tcW w:w="1100" w:type="dxa"/>
            <w:vAlign w:val="bottom"/>
          </w:tcPr>
          <w:p>
            <w:pPr>
              <w:jc w:val="right"/>
              <w:ind w:right="131"/>
              <w:spacing w:after="0"/>
              <w:rPr>
                <w:sz w:val="20"/>
                <w:szCs w:val="20"/>
                <w:color w:val="auto"/>
              </w:rPr>
            </w:pPr>
            <w:r>
              <w:rPr>
                <w:rFonts w:ascii="Arial" w:cs="Arial" w:eastAsia="Arial" w:hAnsi="Arial"/>
                <w:sz w:val="14"/>
                <w:szCs w:val="14"/>
                <w:b w:val="1"/>
                <w:bCs w:val="1"/>
                <w:color w:val="auto"/>
                <w:w w:val="94"/>
              </w:rPr>
              <w:t>December 31,</w:t>
            </w:r>
          </w:p>
        </w:tc>
      </w:tr>
      <w:tr>
        <w:trPr>
          <w:trHeight w:val="192"/>
        </w:trPr>
        <w:tc>
          <w:tcPr>
            <w:tcW w:w="85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2021</w:t>
            </w:r>
          </w:p>
        </w:tc>
      </w:tr>
      <w:tr>
        <w:trPr>
          <w:trHeight w:val="229"/>
        </w:trPr>
        <w:tc>
          <w:tcPr>
            <w:tcW w:w="85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8620" w:type="dxa"/>
            <w:vAlign w:val="bottom"/>
            <w:gridSpan w:val="2"/>
          </w:tcPr>
          <w:p>
            <w:pPr>
              <w:ind w:left="20"/>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8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1,735,765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6,262,905</w:t>
            </w:r>
          </w:p>
        </w:tc>
      </w:tr>
      <w:tr>
        <w:trPr>
          <w:trHeight w:val="229"/>
        </w:trPr>
        <w:tc>
          <w:tcPr>
            <w:tcW w:w="8620" w:type="dxa"/>
            <w:vAlign w:val="bottom"/>
            <w:gridSpan w:val="2"/>
          </w:tcPr>
          <w:p>
            <w:pPr>
              <w:ind w:left="180"/>
              <w:spacing w:after="0"/>
              <w:rPr>
                <w:sz w:val="20"/>
                <w:szCs w:val="20"/>
                <w:color w:val="auto"/>
              </w:rPr>
            </w:pPr>
            <w:r>
              <w:rPr>
                <w:rFonts w:ascii="Arial" w:cs="Arial" w:eastAsia="Arial" w:hAnsi="Arial"/>
                <w:sz w:val="18"/>
                <w:szCs w:val="18"/>
                <w:color w:val="auto"/>
              </w:rPr>
              <w:t>Short-term investments</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2,177,231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Accounts receivable, net</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19,542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3,148</w:t>
            </w:r>
          </w:p>
        </w:tc>
      </w:tr>
      <w:tr>
        <w:trPr>
          <w:trHeight w:val="229"/>
        </w:trPr>
        <w:tc>
          <w:tcPr>
            <w:tcW w:w="8620" w:type="dxa"/>
            <w:vAlign w:val="bottom"/>
            <w:gridSpan w:val="2"/>
          </w:tcPr>
          <w:p>
            <w:pPr>
              <w:ind w:left="180"/>
              <w:spacing w:after="0"/>
              <w:rPr>
                <w:sz w:val="20"/>
                <w:szCs w:val="20"/>
                <w:color w:val="auto"/>
              </w:rPr>
            </w:pPr>
            <w:r>
              <w:rPr>
                <w:rFonts w:ascii="Arial" w:cs="Arial" w:eastAsia="Arial" w:hAnsi="Arial"/>
                <w:sz w:val="18"/>
                <w:szCs w:val="18"/>
                <w:color w:val="auto"/>
              </w:rPr>
              <w:t>Inventory</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834,401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127,250</w:t>
            </w:r>
          </w:p>
        </w:tc>
      </w:tr>
      <w:tr>
        <w:trPr>
          <w:trHeight w:val="229"/>
        </w:trPr>
        <w:tc>
          <w:tcPr>
            <w:tcW w:w="8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Prepaid expenses</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63,548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70,346</w:t>
            </w:r>
          </w:p>
        </w:tc>
      </w:tr>
      <w:tr>
        <w:trPr>
          <w:trHeight w:val="230"/>
        </w:trPr>
        <w:tc>
          <w:tcPr>
            <w:tcW w:w="862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Other current assets</w:t>
            </w: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81,541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43,328</w:t>
            </w:r>
          </w:p>
        </w:tc>
      </w:tr>
      <w:tr>
        <w:trPr>
          <w:trHeight w:val="223"/>
        </w:trPr>
        <w:tc>
          <w:tcPr>
            <w:tcW w:w="862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Total current assets</w:t>
            </w: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4,912,028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6,506,977</w:t>
            </w:r>
          </w:p>
        </w:tc>
      </w:tr>
      <w:tr>
        <w:trPr>
          <w:trHeight w:val="223"/>
        </w:trPr>
        <w:tc>
          <w:tcPr>
            <w:tcW w:w="8620" w:type="dxa"/>
            <w:vAlign w:val="bottom"/>
            <w:gridSpan w:val="2"/>
          </w:tcPr>
          <w:p>
            <w:pPr>
              <w:ind w:left="20"/>
              <w:spacing w:after="0"/>
              <w:rPr>
                <w:sz w:val="20"/>
                <w:szCs w:val="20"/>
                <w:color w:val="auto"/>
              </w:rPr>
            </w:pPr>
            <w:r>
              <w:rPr>
                <w:rFonts w:ascii="Arial" w:cs="Arial" w:eastAsia="Arial" w:hAnsi="Arial"/>
                <w:sz w:val="18"/>
                <w:szCs w:val="18"/>
                <w:color w:val="auto"/>
              </w:rPr>
              <w:t>Property, plant and equipment, net</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2,166,776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1,182,153</w:t>
            </w:r>
          </w:p>
        </w:tc>
      </w:tr>
      <w:tr>
        <w:trPr>
          <w:trHeight w:val="229"/>
        </w:trPr>
        <w:tc>
          <w:tcPr>
            <w:tcW w:w="8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Right-of-use assets</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215,160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161,974</w:t>
            </w:r>
          </w:p>
        </w:tc>
      </w:tr>
      <w:tr>
        <w:trPr>
          <w:trHeight w:val="230"/>
        </w:trPr>
        <w:tc>
          <w:tcPr>
            <w:tcW w:w="8620" w:type="dxa"/>
            <w:vAlign w:val="bottom"/>
            <w:gridSpan w:val="2"/>
          </w:tcPr>
          <w:p>
            <w:pPr>
              <w:ind w:left="20"/>
              <w:spacing w:after="0"/>
              <w:rPr>
                <w:sz w:val="20"/>
                <w:szCs w:val="20"/>
                <w:color w:val="auto"/>
              </w:rPr>
            </w:pPr>
            <w:r>
              <w:rPr>
                <w:rFonts w:ascii="Arial" w:cs="Arial" w:eastAsia="Arial" w:hAnsi="Arial"/>
                <w:sz w:val="18"/>
                <w:szCs w:val="18"/>
                <w:color w:val="auto"/>
              </w:rPr>
              <w:t>Long-term investments</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529,974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noncurrent assets</w:t>
            </w: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55,300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30,609</w:t>
            </w:r>
          </w:p>
        </w:tc>
      </w:tr>
      <w:tr>
        <w:trPr>
          <w:trHeight w:val="223"/>
        </w:trPr>
        <w:tc>
          <w:tcPr>
            <w:tcW w:w="862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 ASSETS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7,879,238</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7,881,713</w:t>
            </w:r>
          </w:p>
        </w:tc>
      </w:tr>
      <w:tr>
        <w:trPr>
          <w:trHeight w:val="20"/>
        </w:trPr>
        <w:tc>
          <w:tcPr>
            <w:tcW w:w="85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23"/>
        </w:trPr>
        <w:tc>
          <w:tcPr>
            <w:tcW w:w="8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8620" w:type="dxa"/>
            <w:vAlign w:val="bottom"/>
            <w:gridSpan w:val="2"/>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8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8620" w:type="dxa"/>
            <w:vAlign w:val="bottom"/>
            <w:gridSpan w:val="2"/>
          </w:tcPr>
          <w:p>
            <w:pPr>
              <w:ind w:left="180"/>
              <w:spacing w:after="0"/>
              <w:rPr>
                <w:sz w:val="20"/>
                <w:szCs w:val="20"/>
                <w:color w:val="auto"/>
              </w:rPr>
            </w:pPr>
            <w:r>
              <w:rPr>
                <w:rFonts w:ascii="Arial" w:cs="Arial" w:eastAsia="Arial" w:hAnsi="Arial"/>
                <w:sz w:val="18"/>
                <w:szCs w:val="18"/>
                <w:color w:val="auto"/>
              </w:rPr>
              <w:t>Accounts payable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229,084</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41,342</w:t>
            </w:r>
          </w:p>
        </w:tc>
      </w:tr>
      <w:tr>
        <w:trPr>
          <w:trHeight w:val="229"/>
        </w:trPr>
        <w:tc>
          <w:tcPr>
            <w:tcW w:w="8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Accrued compensation</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63,322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32,364</w:t>
            </w:r>
          </w:p>
        </w:tc>
      </w:tr>
      <w:tr>
        <w:trPr>
          <w:trHeight w:val="230"/>
        </w:trPr>
        <w:tc>
          <w:tcPr>
            <w:tcW w:w="8620" w:type="dxa"/>
            <w:vAlign w:val="bottom"/>
            <w:gridSpan w:val="2"/>
          </w:tcPr>
          <w:p>
            <w:pPr>
              <w:ind w:left="180"/>
              <w:spacing w:after="0"/>
              <w:rPr>
                <w:sz w:val="20"/>
                <w:szCs w:val="20"/>
                <w:color w:val="auto"/>
              </w:rPr>
            </w:pPr>
            <w:r>
              <w:rPr>
                <w:rFonts w:ascii="Arial" w:cs="Arial" w:eastAsia="Arial" w:hAnsi="Arial"/>
                <w:sz w:val="18"/>
                <w:szCs w:val="18"/>
                <w:color w:val="auto"/>
              </w:rPr>
              <w:t>Finance lease liabilities, current portion</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10,586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4,183</w:t>
            </w:r>
          </w:p>
        </w:tc>
      </w:tr>
      <w:tr>
        <w:trPr>
          <w:trHeight w:val="230"/>
        </w:trPr>
        <w:tc>
          <w:tcPr>
            <w:tcW w:w="8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Other current liabilities</w:t>
            </w: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634,567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318,212</w:t>
            </w:r>
          </w:p>
        </w:tc>
      </w:tr>
      <w:tr>
        <w:trPr>
          <w:trHeight w:val="223"/>
        </w:trPr>
        <w:tc>
          <w:tcPr>
            <w:tcW w:w="8620" w:type="dxa"/>
            <w:vAlign w:val="bottom"/>
            <w:gridSpan w:val="2"/>
          </w:tcPr>
          <w:p>
            <w:pPr>
              <w:ind w:left="680"/>
              <w:spacing w:after="0"/>
              <w:rPr>
                <w:sz w:val="20"/>
                <w:szCs w:val="20"/>
                <w:color w:val="auto"/>
              </w:rPr>
            </w:pPr>
            <w:r>
              <w:rPr>
                <w:rFonts w:ascii="Arial" w:cs="Arial" w:eastAsia="Arial" w:hAnsi="Arial"/>
                <w:sz w:val="18"/>
                <w:szCs w:val="18"/>
                <w:color w:val="auto"/>
              </w:rPr>
              <w:t>Total current liabilities</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937,559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396,101</w:t>
            </w:r>
          </w:p>
        </w:tc>
      </w:tr>
      <w:tr>
        <w:trPr>
          <w:trHeight w:val="230"/>
        </w:trPr>
        <w:tc>
          <w:tcPr>
            <w:tcW w:w="8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Finance lease liabilities, net of current portion</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81,336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6,083</w:t>
            </w:r>
          </w:p>
        </w:tc>
      </w:tr>
      <w:tr>
        <w:trPr>
          <w:trHeight w:val="230"/>
        </w:trPr>
        <w:tc>
          <w:tcPr>
            <w:tcW w:w="8620" w:type="dxa"/>
            <w:vAlign w:val="bottom"/>
            <w:gridSpan w:val="2"/>
          </w:tcPr>
          <w:p>
            <w:pPr>
              <w:ind w:left="20"/>
              <w:spacing w:after="0"/>
              <w:rPr>
                <w:sz w:val="20"/>
                <w:szCs w:val="20"/>
                <w:color w:val="auto"/>
              </w:rPr>
            </w:pPr>
            <w:r>
              <w:rPr>
                <w:rFonts w:ascii="Arial" w:cs="Arial" w:eastAsia="Arial" w:hAnsi="Arial"/>
                <w:sz w:val="18"/>
                <w:szCs w:val="18"/>
                <w:color w:val="auto"/>
              </w:rPr>
              <w:t>Common stock warrant liability</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140,590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1,394,808</w:t>
            </w:r>
          </w:p>
        </w:tc>
      </w:tr>
      <w:tr>
        <w:trPr>
          <w:trHeight w:val="229"/>
        </w:trPr>
        <w:tc>
          <w:tcPr>
            <w:tcW w:w="8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1,991,840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1,986,791</w:t>
            </w:r>
          </w:p>
        </w:tc>
      </w:tr>
      <w:tr>
        <w:trPr>
          <w:trHeight w:val="230"/>
        </w:trPr>
        <w:tc>
          <w:tcPr>
            <w:tcW w:w="86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 long-term liabilities</w:t>
            </w: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378,212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188,575</w:t>
            </w:r>
          </w:p>
        </w:tc>
      </w:tr>
      <w:tr>
        <w:trPr>
          <w:trHeight w:val="223"/>
        </w:trPr>
        <w:tc>
          <w:tcPr>
            <w:tcW w:w="862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Total liabilities</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3,529,537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3,972,358</w:t>
            </w:r>
          </w:p>
        </w:tc>
      </w:tr>
      <w:tr>
        <w:trPr>
          <w:trHeight w:val="230"/>
        </w:trPr>
        <w:tc>
          <w:tcPr>
            <w:tcW w:w="8620" w:type="dxa"/>
            <w:vAlign w:val="bottom"/>
            <w:gridSpan w:val="2"/>
          </w:tcPr>
          <w:p>
            <w:pPr>
              <w:ind w:left="20"/>
              <w:spacing w:after="0"/>
              <w:rPr>
                <w:sz w:val="20"/>
                <w:szCs w:val="20"/>
                <w:color w:val="auto"/>
              </w:rPr>
            </w:pPr>
            <w:r>
              <w:rPr>
                <w:rFonts w:ascii="Arial" w:cs="Arial" w:eastAsia="Arial" w:hAnsi="Arial"/>
                <w:sz w:val="18"/>
                <w:szCs w:val="18"/>
                <w:color w:val="auto"/>
              </w:rPr>
              <w:t>Commitments and contingencies (Note 15)</w:t>
            </w: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57"/>
        </w:trPr>
        <w:tc>
          <w:tcPr>
            <w:tcW w:w="85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r>
      <w:tr>
        <w:trPr>
          <w:trHeight w:val="229"/>
        </w:trPr>
        <w:tc>
          <w:tcPr>
            <w:tcW w:w="8620" w:type="dxa"/>
            <w:vAlign w:val="bottom"/>
            <w:gridSpan w:val="2"/>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176"/>
        </w:trPr>
        <w:tc>
          <w:tcPr>
            <w:tcW w:w="862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Preferred stock, par value $0.0001; 10,000,000 shares authorized as of December 31, 2022 and</w:t>
            </w:r>
          </w:p>
        </w:tc>
        <w:tc>
          <w:tcPr>
            <w:tcW w:w="16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60"/>
              <w:spacing w:after="0" w:line="176"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r>
      <w:tr>
        <w:trPr>
          <w:trHeight w:val="243"/>
        </w:trPr>
        <w:tc>
          <w:tcPr>
            <w:tcW w:w="86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2021; no shares issued and outstanding as of December 31, 2022 and 2021</w:t>
            </w:r>
          </w:p>
        </w:tc>
        <w:tc>
          <w:tcPr>
            <w:tcW w:w="16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r>
      <w:tr>
        <w:trPr>
          <w:trHeight w:val="175"/>
        </w:trPr>
        <w:tc>
          <w:tcPr>
            <w:tcW w:w="862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Common stock, par value $0.0001; 15,000,000,000 shares authorized as of December 31, 2022 and 2021;</w:t>
            </w: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88"/>
        </w:trPr>
        <w:tc>
          <w:tcPr>
            <w:tcW w:w="8620" w:type="dxa"/>
            <w:vAlign w:val="bottom"/>
            <w:gridSpan w:val="2"/>
          </w:tcPr>
          <w:p>
            <w:pPr>
              <w:ind w:left="360"/>
              <w:spacing w:after="0" w:line="189" w:lineRule="exact"/>
              <w:rPr>
                <w:sz w:val="20"/>
                <w:szCs w:val="20"/>
                <w:color w:val="auto"/>
              </w:rPr>
            </w:pPr>
            <w:r>
              <w:rPr>
                <w:rFonts w:ascii="Arial" w:cs="Arial" w:eastAsia="Arial" w:hAnsi="Arial"/>
                <w:sz w:val="18"/>
                <w:szCs w:val="18"/>
                <w:color w:val="auto"/>
                <w:w w:val="91"/>
              </w:rPr>
              <w:t>1,830,172,561 and 1,648,413,415 shares issued and 1,829,314,736 and 1,647,555,590 shares outstanding as of</w:t>
            </w: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30"/>
        </w:trPr>
        <w:tc>
          <w:tcPr>
            <w:tcW w:w="8620" w:type="dxa"/>
            <w:vAlign w:val="bottom"/>
            <w:gridSpan w:val="2"/>
          </w:tcPr>
          <w:p>
            <w:pPr>
              <w:ind w:left="360"/>
              <w:spacing w:after="0"/>
              <w:rPr>
                <w:sz w:val="20"/>
                <w:szCs w:val="20"/>
                <w:color w:val="auto"/>
              </w:rPr>
            </w:pPr>
            <w:r>
              <w:rPr>
                <w:rFonts w:ascii="Arial" w:cs="Arial" w:eastAsia="Arial" w:hAnsi="Arial"/>
                <w:sz w:val="18"/>
                <w:szCs w:val="18"/>
                <w:color w:val="auto"/>
              </w:rPr>
              <w:t>December 31, 2022 and 2021, respectively</w:t>
            </w: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165</w:t>
            </w:r>
          </w:p>
        </w:tc>
      </w:tr>
      <w:tr>
        <w:trPr>
          <w:trHeight w:val="230"/>
        </w:trPr>
        <w:tc>
          <w:tcPr>
            <w:tcW w:w="8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Additional paid-in capital</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11,752,138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9,995,778</w:t>
            </w:r>
          </w:p>
        </w:tc>
      </w:tr>
      <w:tr>
        <w:trPr>
          <w:trHeight w:val="230"/>
        </w:trPr>
        <w:tc>
          <w:tcPr>
            <w:tcW w:w="8620" w:type="dxa"/>
            <w:vAlign w:val="bottom"/>
            <w:gridSpan w:val="2"/>
          </w:tcPr>
          <w:p>
            <w:pPr>
              <w:ind w:left="20"/>
              <w:spacing w:after="0"/>
              <w:rPr>
                <w:sz w:val="20"/>
                <w:szCs w:val="20"/>
                <w:color w:val="auto"/>
              </w:rPr>
            </w:pPr>
            <w:r>
              <w:rPr>
                <w:rFonts w:ascii="Arial" w:cs="Arial" w:eastAsia="Arial" w:hAnsi="Arial"/>
                <w:sz w:val="18"/>
                <w:szCs w:val="18"/>
                <w:color w:val="auto"/>
              </w:rPr>
              <w:t>Treasury stock, at cost, 857,825 shares at December 31, 2022 and 2021</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(20,716)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(20,716)</w:t>
            </w:r>
          </w:p>
        </w:tc>
      </w:tr>
      <w:tr>
        <w:trPr>
          <w:trHeight w:val="230"/>
        </w:trPr>
        <w:tc>
          <w:tcPr>
            <w:tcW w:w="8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Accumulated other comprehensive loss</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(11,572)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6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Accumulated deficit</w:t>
            </w: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(7,370,332)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(6,065,872)</w:t>
            </w:r>
          </w:p>
        </w:tc>
      </w:tr>
      <w:tr>
        <w:trPr>
          <w:trHeight w:val="223"/>
        </w:trPr>
        <w:tc>
          <w:tcPr>
            <w:tcW w:w="86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stockholders’ equity</w:t>
            </w: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4,349,701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3,909,355</w:t>
            </w:r>
          </w:p>
        </w:tc>
      </w:tr>
      <w:tr>
        <w:trPr>
          <w:trHeight w:val="223"/>
        </w:trPr>
        <w:tc>
          <w:tcPr>
            <w:tcW w:w="862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 LIABILITIES AND STOCKHOLDERS’ EQUITY</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7,879,238</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7,881,713</w:t>
            </w:r>
          </w:p>
        </w:tc>
      </w:tr>
      <w:tr>
        <w:trPr>
          <w:trHeight w:val="20"/>
        </w:trPr>
        <w:tc>
          <w:tcPr>
            <w:tcW w:w="8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240"/>
          </w:cols>
          <w:pgMar w:left="320" w:top="985" w:right="339" w:bottom="1440" w:gutter="0" w:footer="0" w:header="0"/>
        </w:sect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type w:val="continuous"/>
        </w:sectPr>
      </w:pPr>
    </w:p>
    <w:bookmarkStart w:id="90" w:name="page91"/>
    <w:bookmarkEnd w:id="90"/>
    <w:p>
      <w:pPr>
        <w:jc w:val="center"/>
        <w:spacing w:after="0"/>
        <w:rPr>
          <w:sz w:val="20"/>
          <w:szCs w:val="20"/>
          <w:color w:val="auto"/>
        </w:rPr>
      </w:pPr>
      <w:r>
        <w:rPr>
          <w:rFonts w:ascii="Arial" w:cs="Arial" w:eastAsia="Arial" w:hAnsi="Arial"/>
          <w:sz w:val="18"/>
          <w:szCs w:val="18"/>
          <w:b w:val="1"/>
          <w:bCs w:val="1"/>
          <w:color w:val="auto"/>
        </w:rPr>
        <w:t>LUCID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940" w:type="dxa"/>
            <w:vAlign w:val="bottom"/>
            <w:tcBorders>
              <w:bottom w:val="single" w:sz="8" w:color="auto"/>
            </w:tcBorders>
          </w:tcPr>
          <w:p>
            <w:pPr>
              <w:spacing w:after="0"/>
              <w:rPr>
                <w:sz w:val="20"/>
                <w:szCs w:val="20"/>
                <w:color w:val="auto"/>
              </w:rPr>
            </w:pPr>
          </w:p>
        </w:tc>
      </w:tr>
      <w:tr>
        <w:trPr>
          <w:trHeight w:val="223"/>
        </w:trPr>
        <w:tc>
          <w:tcPr>
            <w:tcW w:w="72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2022</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r>
      <w:tr>
        <w:trPr>
          <w:trHeight w:val="223"/>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608,181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27,111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3,976</w:t>
            </w:r>
          </w:p>
        </w:tc>
      </w:tr>
      <w:tr>
        <w:trPr>
          <w:trHeight w:val="257"/>
        </w:trPr>
        <w:tc>
          <w:tcPr>
            <w:tcW w:w="72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29"/>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Costs and expenses</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0"/>
        </w:trPr>
        <w:tc>
          <w:tcPr>
            <w:tcW w:w="7240" w:type="dxa"/>
            <w:vAlign w:val="bottom"/>
          </w:tcPr>
          <w:p>
            <w:pPr>
              <w:ind w:left="20"/>
              <w:spacing w:after="0"/>
              <w:rPr>
                <w:sz w:val="20"/>
                <w:szCs w:val="20"/>
                <w:color w:val="auto"/>
              </w:rPr>
            </w:pPr>
            <w:r>
              <w:rPr>
                <w:rFonts w:ascii="Arial" w:cs="Arial" w:eastAsia="Arial" w:hAnsi="Arial"/>
                <w:sz w:val="18"/>
                <w:szCs w:val="18"/>
                <w:color w:val="auto"/>
              </w:rPr>
              <w:t>Cost of revenue</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1,646,086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154,897</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3,070</w:t>
            </w:r>
          </w:p>
        </w:tc>
      </w:tr>
      <w:tr>
        <w:trPr>
          <w:trHeight w:val="229"/>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821,512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750,185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511,110</w:t>
            </w:r>
          </w:p>
        </w:tc>
      </w:tr>
      <w:tr>
        <w:trPr>
          <w:trHeight w:val="230"/>
        </w:trPr>
        <w:tc>
          <w:tcPr>
            <w:tcW w:w="7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Selling, general and administrative</w:t>
            </w: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734,574</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652,475</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89,023</w:t>
            </w:r>
          </w:p>
        </w:tc>
      </w:tr>
      <w:tr>
        <w:trPr>
          <w:trHeight w:val="223"/>
        </w:trPr>
        <w:tc>
          <w:tcPr>
            <w:tcW w:w="7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cost and expenses</w:t>
            </w: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3,202,172</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1,557,557</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603,203</w:t>
            </w:r>
          </w:p>
        </w:tc>
      </w:tr>
      <w:tr>
        <w:trPr>
          <w:trHeight w:val="237"/>
        </w:trPr>
        <w:tc>
          <w:tcPr>
            <w:tcW w:w="7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29"/>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(2,593,991)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(1,530,446)</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(599,227)</w:t>
            </w:r>
          </w:p>
        </w:tc>
      </w:tr>
      <w:tr>
        <w:trPr>
          <w:trHeight w:val="257"/>
        </w:trPr>
        <w:tc>
          <w:tcPr>
            <w:tcW w:w="72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29"/>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income (expense), net</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0"/>
        </w:trPr>
        <w:tc>
          <w:tcPr>
            <w:tcW w:w="7240" w:type="dxa"/>
            <w:vAlign w:val="bottom"/>
          </w:tcPr>
          <w:p>
            <w:pPr>
              <w:ind w:left="140"/>
              <w:spacing w:after="0"/>
              <w:rPr>
                <w:sz w:val="20"/>
                <w:szCs w:val="20"/>
                <w:color w:val="auto"/>
              </w:rPr>
            </w:pPr>
            <w:r>
              <w:rPr>
                <w:rFonts w:ascii="Arial" w:cs="Arial" w:eastAsia="Arial" w:hAnsi="Arial"/>
                <w:sz w:val="18"/>
                <w:szCs w:val="18"/>
                <w:color w:val="auto"/>
              </w:rPr>
              <w:t>Change in fair value of forward contracts</w:t>
            </w:r>
          </w:p>
        </w:tc>
        <w:tc>
          <w:tcPr>
            <w:tcW w:w="14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(454,546)</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(118,382)</w:t>
            </w:r>
          </w:p>
        </w:tc>
      </w:tr>
      <w:tr>
        <w:trPr>
          <w:trHeight w:val="229"/>
        </w:trPr>
        <w:tc>
          <w:tcPr>
            <w:tcW w:w="7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Change in fair value of convertible preferred stock warrant liability</w:t>
            </w: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(6,976)</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(1,205)</w:t>
            </w:r>
          </w:p>
        </w:tc>
      </w:tr>
      <w:tr>
        <w:trPr>
          <w:trHeight w:val="230"/>
        </w:trPr>
        <w:tc>
          <w:tcPr>
            <w:tcW w:w="7240" w:type="dxa"/>
            <w:vAlign w:val="bottom"/>
          </w:tcPr>
          <w:p>
            <w:pPr>
              <w:ind w:left="140"/>
              <w:spacing w:after="0"/>
              <w:rPr>
                <w:sz w:val="20"/>
                <w:szCs w:val="20"/>
                <w:color w:val="auto"/>
              </w:rPr>
            </w:pPr>
            <w:r>
              <w:rPr>
                <w:rFonts w:ascii="Arial" w:cs="Arial" w:eastAsia="Arial" w:hAnsi="Arial"/>
                <w:sz w:val="18"/>
                <w:szCs w:val="18"/>
                <w:color w:val="auto"/>
              </w:rPr>
              <w:t>Change in fair value of common stock warrant liability</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1,254,218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(582,760)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Transaction costs expensed</w:t>
            </w: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240" w:type="dxa"/>
            <w:vAlign w:val="bottom"/>
          </w:tcPr>
          <w:p>
            <w:pPr>
              <w:ind w:left="140"/>
              <w:spacing w:after="0"/>
              <w:rPr>
                <w:sz w:val="20"/>
                <w:szCs w:val="20"/>
                <w:color w:val="auto"/>
              </w:rPr>
            </w:pPr>
            <w:r>
              <w:rPr>
                <w:rFonts w:ascii="Arial" w:cs="Arial" w:eastAsia="Arial" w:hAnsi="Arial"/>
                <w:sz w:val="18"/>
                <w:szCs w:val="18"/>
                <w:color w:val="auto"/>
              </w:rPr>
              <w:t>Interest income</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56,756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expense</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(30,596)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(1,374)</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r>
      <w:tr>
        <w:trPr>
          <w:trHeight w:val="229"/>
        </w:trPr>
        <w:tc>
          <w:tcPr>
            <w:tcW w:w="72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income (expense), net</w:t>
            </w: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9,532</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(893)</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(690)</w:t>
            </w:r>
          </w:p>
        </w:tc>
      </w:tr>
      <w:tr>
        <w:trPr>
          <w:trHeight w:val="223"/>
        </w:trPr>
        <w:tc>
          <w:tcPr>
            <w:tcW w:w="7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other income (expense), net</w:t>
            </w: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1,289,910</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(1,049,266)</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(120,341)</w:t>
            </w:r>
          </w:p>
        </w:tc>
      </w:tr>
      <w:tr>
        <w:trPr>
          <w:trHeight w:val="223"/>
        </w:trPr>
        <w:tc>
          <w:tcPr>
            <w:tcW w:w="7240" w:type="dxa"/>
            <w:vAlign w:val="bottom"/>
          </w:tcPr>
          <w:p>
            <w:pPr>
              <w:ind w:left="20"/>
              <w:spacing w:after="0"/>
              <w:rPr>
                <w:sz w:val="20"/>
                <w:szCs w:val="20"/>
                <w:color w:val="auto"/>
              </w:rPr>
            </w:pPr>
            <w:r>
              <w:rPr>
                <w:rFonts w:ascii="Arial" w:cs="Arial" w:eastAsia="Arial" w:hAnsi="Arial"/>
                <w:sz w:val="18"/>
                <w:szCs w:val="18"/>
                <w:color w:val="auto"/>
              </w:rPr>
              <w:t>Loss before provision for (benefit from) income taxes</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(1,304,081)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(2,579,712)</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(719,568)</w:t>
            </w:r>
          </w:p>
        </w:tc>
      </w:tr>
      <w:tr>
        <w:trPr>
          <w:trHeight w:val="230"/>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(benefit from) income taxes</w:t>
            </w: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w:t>
            </w:r>
          </w:p>
        </w:tc>
      </w:tr>
      <w:tr>
        <w:trPr>
          <w:trHeight w:val="223"/>
        </w:trPr>
        <w:tc>
          <w:tcPr>
            <w:tcW w:w="7240" w:type="dxa"/>
            <w:vAlign w:val="bottom"/>
          </w:tcPr>
          <w:p>
            <w:pPr>
              <w:ind w:left="20"/>
              <w:spacing w:after="0"/>
              <w:rPr>
                <w:sz w:val="20"/>
                <w:szCs w:val="20"/>
                <w:color w:val="auto"/>
              </w:rPr>
            </w:pPr>
            <w:r>
              <w:rPr>
                <w:rFonts w:ascii="Arial" w:cs="Arial" w:eastAsia="Arial" w:hAnsi="Arial"/>
                <w:sz w:val="18"/>
                <w:szCs w:val="18"/>
                <w:b w:val="1"/>
                <w:bCs w:val="1"/>
                <w:color w:val="auto"/>
              </w:rPr>
              <w:t>Net loss</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(1,304,460)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(2,579,761)</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(719,380)</w:t>
            </w:r>
          </w:p>
        </w:tc>
      </w:tr>
      <w:tr>
        <w:trPr>
          <w:trHeight w:val="230"/>
        </w:trPr>
        <w:tc>
          <w:tcPr>
            <w:tcW w:w="7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Deemed contribution related to repurchase of Series B convertible preferred stock</w:t>
            </w: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30"/>
        </w:trPr>
        <w:tc>
          <w:tcPr>
            <w:tcW w:w="7240" w:type="dxa"/>
            <w:vAlign w:val="bottom"/>
          </w:tcPr>
          <w:p>
            <w:pPr>
              <w:ind w:left="140"/>
              <w:spacing w:after="0"/>
              <w:rPr>
                <w:sz w:val="20"/>
                <w:szCs w:val="20"/>
                <w:color w:val="auto"/>
              </w:rPr>
            </w:pPr>
            <w:r>
              <w:rPr>
                <w:rFonts w:ascii="Arial" w:cs="Arial" w:eastAsia="Arial" w:hAnsi="Arial"/>
                <w:sz w:val="18"/>
                <w:szCs w:val="18"/>
                <w:color w:val="auto"/>
              </w:rPr>
              <w:t>Deemed contribution related to repurchase of Series C convertible preferred stock</w:t>
            </w:r>
          </w:p>
        </w:tc>
        <w:tc>
          <w:tcPr>
            <w:tcW w:w="14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12,784</w:t>
            </w:r>
          </w:p>
        </w:tc>
      </w:tr>
      <w:tr>
        <w:trPr>
          <w:trHeight w:val="230"/>
        </w:trPr>
        <w:tc>
          <w:tcPr>
            <w:tcW w:w="7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Deemed dividend related to the issuance of Series E convertible preferred stock</w:t>
            </w: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(2,167,332)</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240" w:type="dxa"/>
            <w:vAlign w:val="bottom"/>
          </w:tcPr>
          <w:p>
            <w:pPr>
              <w:ind w:left="20"/>
              <w:spacing w:after="0"/>
              <w:rPr>
                <w:sz w:val="20"/>
                <w:szCs w:val="20"/>
                <w:color w:val="auto"/>
              </w:rPr>
            </w:pPr>
            <w:r>
              <w:rPr>
                <w:rFonts w:ascii="Arial" w:cs="Arial" w:eastAsia="Arial" w:hAnsi="Arial"/>
                <w:sz w:val="18"/>
                <w:szCs w:val="18"/>
                <w:b w:val="1"/>
                <w:bCs w:val="1"/>
                <w:color w:val="auto"/>
              </w:rPr>
              <w:t>Net loss attributable to common stockholders, basic</w:t>
            </w:r>
          </w:p>
        </w:tc>
        <w:tc>
          <w:tcPr>
            <w:tcW w:w="1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(1,304,460)</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(4,747,093)</w:t>
            </w:r>
          </w:p>
        </w:tc>
        <w:tc>
          <w:tcPr>
            <w:tcW w:w="8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(705,596)</w:t>
            </w:r>
          </w:p>
        </w:tc>
      </w:tr>
      <w:tr>
        <w:trPr>
          <w:trHeight w:val="20"/>
        </w:trPr>
        <w:tc>
          <w:tcPr>
            <w:tcW w:w="72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23"/>
        </w:trPr>
        <w:tc>
          <w:tcPr>
            <w:tcW w:w="7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Change in fair value of dilutive warrants</w:t>
            </w: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(1,254,218)</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240" w:type="dxa"/>
            <w:vAlign w:val="bottom"/>
          </w:tcPr>
          <w:p>
            <w:pPr>
              <w:ind w:left="20"/>
              <w:spacing w:after="0"/>
              <w:rPr>
                <w:sz w:val="20"/>
                <w:szCs w:val="20"/>
                <w:color w:val="auto"/>
              </w:rPr>
            </w:pPr>
            <w:r>
              <w:rPr>
                <w:rFonts w:ascii="Arial" w:cs="Arial" w:eastAsia="Arial" w:hAnsi="Arial"/>
                <w:sz w:val="18"/>
                <w:szCs w:val="18"/>
                <w:b w:val="1"/>
                <w:bCs w:val="1"/>
                <w:color w:val="auto"/>
              </w:rPr>
              <w:t>Net loss attributable to common stockholders, diluted</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(2,558,678)</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(4,747,093)</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(705,596)</w:t>
            </w:r>
          </w:p>
        </w:tc>
      </w:tr>
      <w:tr>
        <w:trPr>
          <w:trHeight w:val="20"/>
        </w:trPr>
        <w:tc>
          <w:tcPr>
            <w:tcW w:w="72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24"/>
        </w:trPr>
        <w:tc>
          <w:tcPr>
            <w:tcW w:w="7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175"/>
        </w:trPr>
        <w:tc>
          <w:tcPr>
            <w:tcW w:w="7240" w:type="dxa"/>
            <w:vAlign w:val="bottom"/>
          </w:tcPr>
          <w:p>
            <w:pPr>
              <w:ind w:left="20"/>
              <w:spacing w:after="0" w:line="176" w:lineRule="exact"/>
              <w:rPr>
                <w:sz w:val="20"/>
                <w:szCs w:val="20"/>
                <w:color w:val="auto"/>
              </w:rPr>
            </w:pPr>
            <w:r>
              <w:rPr>
                <w:rFonts w:ascii="Arial" w:cs="Arial" w:eastAsia="Arial" w:hAnsi="Arial"/>
                <w:sz w:val="18"/>
                <w:szCs w:val="18"/>
                <w:color w:val="auto"/>
                <w:w w:val="91"/>
              </w:rPr>
              <w:t>Weighted average shares outstanding used in computing net loss per share attributable to common</w:t>
            </w:r>
          </w:p>
        </w:tc>
        <w:tc>
          <w:tcPr>
            <w:tcW w:w="140" w:type="dxa"/>
            <w:vAlign w:val="bottom"/>
          </w:tcPr>
          <w:p>
            <w:pPr>
              <w:spacing w:after="0"/>
              <w:rPr>
                <w:sz w:val="15"/>
                <w:szCs w:val="15"/>
                <w:color w:val="auto"/>
              </w:rPr>
            </w:pPr>
          </w:p>
        </w:tc>
        <w:tc>
          <w:tcPr>
            <w:tcW w:w="1140" w:type="dxa"/>
            <w:vAlign w:val="bottom"/>
          </w:tcPr>
          <w:p>
            <w:pPr>
              <w:jc w:val="right"/>
              <w:spacing w:after="0" w:line="176" w:lineRule="exact"/>
              <w:rPr>
                <w:sz w:val="20"/>
                <w:szCs w:val="20"/>
                <w:color w:val="auto"/>
              </w:rPr>
            </w:pPr>
            <w:r>
              <w:rPr>
                <w:rFonts w:ascii="Arial" w:cs="Arial" w:eastAsia="Arial" w:hAnsi="Arial"/>
                <w:sz w:val="18"/>
                <w:szCs w:val="18"/>
                <w:color w:val="auto"/>
                <w:w w:val="90"/>
              </w:rPr>
              <w:t>1,678,346,079</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jc w:val="right"/>
              <w:spacing w:after="0" w:line="176" w:lineRule="exact"/>
              <w:rPr>
                <w:sz w:val="20"/>
                <w:szCs w:val="20"/>
                <w:color w:val="auto"/>
              </w:rPr>
            </w:pPr>
            <w:r>
              <w:rPr>
                <w:rFonts w:ascii="Arial" w:cs="Arial" w:eastAsia="Arial" w:hAnsi="Arial"/>
                <w:sz w:val="18"/>
                <w:szCs w:val="18"/>
                <w:color w:val="auto"/>
                <w:w w:val="97"/>
              </w:rPr>
              <w:t>740,393,759</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40" w:type="dxa"/>
            <w:vAlign w:val="bottom"/>
          </w:tcPr>
          <w:p>
            <w:pPr>
              <w:jc w:val="right"/>
              <w:spacing w:after="0" w:line="176" w:lineRule="exact"/>
              <w:rPr>
                <w:sz w:val="20"/>
                <w:szCs w:val="20"/>
                <w:color w:val="auto"/>
              </w:rPr>
            </w:pPr>
            <w:r>
              <w:rPr>
                <w:rFonts w:ascii="Arial" w:cs="Arial" w:eastAsia="Arial" w:hAnsi="Arial"/>
                <w:sz w:val="18"/>
                <w:szCs w:val="18"/>
                <w:color w:val="auto"/>
                <w:w w:val="93"/>
              </w:rPr>
              <w:t>24,825,944</w:t>
            </w:r>
          </w:p>
        </w:tc>
      </w:tr>
      <w:tr>
        <w:trPr>
          <w:trHeight w:val="237"/>
        </w:trPr>
        <w:tc>
          <w:tcPr>
            <w:tcW w:w="7240" w:type="dxa"/>
            <w:vAlign w:val="bottom"/>
          </w:tcPr>
          <w:p>
            <w:pPr>
              <w:ind w:left="20"/>
              <w:spacing w:after="0"/>
              <w:rPr>
                <w:sz w:val="20"/>
                <w:szCs w:val="20"/>
                <w:color w:val="auto"/>
              </w:rPr>
            </w:pPr>
            <w:r>
              <w:rPr>
                <w:rFonts w:ascii="Arial" w:cs="Arial" w:eastAsia="Arial" w:hAnsi="Arial"/>
                <w:sz w:val="18"/>
                <w:szCs w:val="18"/>
                <w:color w:val="auto"/>
              </w:rPr>
              <w:t>stockholders, basic</w:t>
            </w: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182"/>
        </w:trPr>
        <w:tc>
          <w:tcPr>
            <w:tcW w:w="7240" w:type="dxa"/>
            <w:vAlign w:val="bottom"/>
            <w:shd w:val="clear" w:color="auto" w:fill="CCEEFF"/>
          </w:tcPr>
          <w:p>
            <w:pPr>
              <w:ind w:left="20"/>
              <w:spacing w:after="0" w:line="182" w:lineRule="exact"/>
              <w:rPr>
                <w:sz w:val="20"/>
                <w:szCs w:val="20"/>
                <w:color w:val="auto"/>
              </w:rPr>
            </w:pPr>
            <w:r>
              <w:rPr>
                <w:rFonts w:ascii="Arial" w:cs="Arial" w:eastAsia="Arial" w:hAnsi="Arial"/>
                <w:sz w:val="18"/>
                <w:szCs w:val="18"/>
                <w:color w:val="auto"/>
                <w:w w:val="91"/>
              </w:rPr>
              <w:t>Weighted average shares outstanding used in computing net loss per share attributable to common</w:t>
            </w: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w w:val="90"/>
              </w:rPr>
              <w:t>1,693,258,608</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w w:val="97"/>
              </w:rPr>
              <w:t>740,393,759</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w w:val="93"/>
              </w:rPr>
              <w:t>24,825,944</w:t>
            </w:r>
          </w:p>
        </w:tc>
      </w:tr>
      <w:tr>
        <w:trPr>
          <w:trHeight w:val="243"/>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stockholders, diluted</w:t>
            </w:r>
          </w:p>
        </w:tc>
        <w:tc>
          <w:tcPr>
            <w:tcW w:w="1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spacing w:after="0"/>
              <w:rPr>
                <w:sz w:val="21"/>
                <w:szCs w:val="21"/>
                <w:color w:val="auto"/>
              </w:rPr>
            </w:pPr>
          </w:p>
        </w:tc>
      </w:tr>
      <w:tr>
        <w:trPr>
          <w:trHeight w:val="223"/>
        </w:trPr>
        <w:tc>
          <w:tcPr>
            <w:tcW w:w="7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loss per share attributable to common stockholders, basic</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(0.78)</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(6.41)</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(28.42)</w:t>
            </w:r>
          </w:p>
        </w:tc>
      </w:tr>
      <w:tr>
        <w:trPr>
          <w:trHeight w:val="248"/>
        </w:trPr>
        <w:tc>
          <w:tcPr>
            <w:tcW w:w="7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per share attributable to common stockholders, diluted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(6.41)</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(28.42)</w:t>
            </w:r>
          </w:p>
        </w:tc>
      </w:tr>
      <w:tr>
        <w:trPr>
          <w:trHeight w:val="20"/>
        </w:trPr>
        <w:tc>
          <w:tcPr>
            <w:tcW w:w="7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7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30"/>
        </w:trPr>
        <w:tc>
          <w:tcPr>
            <w:tcW w:w="7240" w:type="dxa"/>
            <w:vAlign w:val="bottom"/>
            <w:shd w:val="clear" w:color="auto" w:fill="CCEEFF"/>
          </w:tcPr>
          <w:p>
            <w:pPr>
              <w:ind w:left="60"/>
              <w:spacing w:after="0"/>
              <w:rPr>
                <w:sz w:val="20"/>
                <w:szCs w:val="20"/>
                <w:color w:val="auto"/>
              </w:rPr>
            </w:pPr>
            <w:r>
              <w:rPr>
                <w:rFonts w:ascii="Arial" w:cs="Arial" w:eastAsia="Arial" w:hAnsi="Arial"/>
                <w:sz w:val="18"/>
                <w:szCs w:val="18"/>
                <w:b w:val="1"/>
                <w:bCs w:val="1"/>
                <w:color w:val="auto"/>
              </w:rPr>
              <w:t>Other comprehensive loss</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9"/>
        </w:trPr>
        <w:tc>
          <w:tcPr>
            <w:tcW w:w="7240" w:type="dxa"/>
            <w:vAlign w:val="bottom"/>
          </w:tcPr>
          <w:p>
            <w:pPr>
              <w:ind w:left="140"/>
              <w:spacing w:after="0"/>
              <w:rPr>
                <w:sz w:val="20"/>
                <w:szCs w:val="20"/>
                <w:color w:val="auto"/>
              </w:rPr>
            </w:pPr>
            <w:r>
              <w:rPr>
                <w:rFonts w:ascii="Arial" w:cs="Arial" w:eastAsia="Arial" w:hAnsi="Arial"/>
                <w:sz w:val="18"/>
                <w:szCs w:val="18"/>
                <w:color w:val="auto"/>
              </w:rPr>
              <w:t>Net unrealized losses on investments, net of tax</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(11,572)</w:t>
            </w:r>
          </w:p>
        </w:tc>
        <w:tc>
          <w:tcPr>
            <w:tcW w:w="8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Comprehensive loss</w:t>
            </w:r>
          </w:p>
        </w:tc>
        <w:tc>
          <w:tcPr>
            <w:tcW w:w="14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(1,316,032)</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(2,579,761)</w:t>
            </w:r>
          </w:p>
        </w:tc>
        <w:tc>
          <w:tcPr>
            <w:tcW w:w="8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(719,380)</w:t>
            </w:r>
          </w:p>
        </w:tc>
      </w:tr>
      <w:tr>
        <w:trPr>
          <w:trHeight w:val="229"/>
        </w:trPr>
        <w:tc>
          <w:tcPr>
            <w:tcW w:w="7240" w:type="dxa"/>
            <w:vAlign w:val="bottom"/>
          </w:tcPr>
          <w:p>
            <w:pPr>
              <w:ind w:left="140"/>
              <w:spacing w:after="0"/>
              <w:rPr>
                <w:sz w:val="20"/>
                <w:szCs w:val="20"/>
                <w:color w:val="auto"/>
              </w:rPr>
            </w:pPr>
            <w:r>
              <w:rPr>
                <w:rFonts w:ascii="Arial" w:cs="Arial" w:eastAsia="Arial" w:hAnsi="Arial"/>
                <w:sz w:val="18"/>
                <w:szCs w:val="18"/>
                <w:color w:val="auto"/>
              </w:rPr>
              <w:t>Deemed contribution related to repurchase of Series B convertible preferred stock</w:t>
            </w:r>
          </w:p>
        </w:tc>
        <w:tc>
          <w:tcPr>
            <w:tcW w:w="14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29"/>
        </w:trPr>
        <w:tc>
          <w:tcPr>
            <w:tcW w:w="7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Deemed contribution related to repurchase of Series C convertible preferred stock</w:t>
            </w: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12,784</w:t>
            </w:r>
          </w:p>
        </w:tc>
      </w:tr>
      <w:tr>
        <w:trPr>
          <w:trHeight w:val="230"/>
        </w:trPr>
        <w:tc>
          <w:tcPr>
            <w:tcW w:w="7240" w:type="dxa"/>
            <w:vAlign w:val="bottom"/>
          </w:tcPr>
          <w:p>
            <w:pPr>
              <w:ind w:left="140"/>
              <w:spacing w:after="0"/>
              <w:rPr>
                <w:sz w:val="20"/>
                <w:szCs w:val="20"/>
                <w:color w:val="auto"/>
              </w:rPr>
            </w:pPr>
            <w:r>
              <w:rPr>
                <w:rFonts w:ascii="Arial" w:cs="Arial" w:eastAsia="Arial" w:hAnsi="Arial"/>
                <w:sz w:val="18"/>
                <w:szCs w:val="18"/>
                <w:color w:val="auto"/>
              </w:rPr>
              <w:t>Deemed dividend related to the issuance of Series E convertible preferred stock</w:t>
            </w:r>
          </w:p>
        </w:tc>
        <w:tc>
          <w:tcPr>
            <w:tcW w:w="14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(2,167,332)</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7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Comprehensive loss attributable to common stockholders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(1,316,032)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(4,747,093)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(705,596)</w:t>
            </w:r>
          </w:p>
        </w:tc>
      </w:tr>
      <w:tr>
        <w:trPr>
          <w:trHeight w:val="20"/>
        </w:trPr>
        <w:tc>
          <w:tcPr>
            <w:tcW w:w="7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240"/>
          </w:cols>
          <w:pgMar w:left="320" w:top="985" w:right="339" w:bottom="1440" w:gutter="0" w:footer="0" w:header="0"/>
        </w:sect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type w:val="continuous"/>
        </w:sectPr>
      </w:pPr>
    </w:p>
    <w:bookmarkStart w:id="91" w:name="page92"/>
    <w:bookmarkEnd w:id="91"/>
    <w:p>
      <w:pPr>
        <w:jc w:val="center"/>
        <w:ind w:right="-19"/>
        <w:spacing w:after="0"/>
        <w:rPr>
          <w:sz w:val="20"/>
          <w:szCs w:val="20"/>
          <w:color w:val="auto"/>
        </w:rPr>
      </w:pPr>
      <w:r>
        <w:rPr>
          <w:rFonts w:ascii="Arial" w:cs="Arial" w:eastAsia="Arial" w:hAnsi="Arial"/>
          <w:sz w:val="18"/>
          <w:szCs w:val="18"/>
          <w:b w:val="1"/>
          <w:bCs w:val="1"/>
          <w:color w:val="auto"/>
        </w:rPr>
        <w:t>LUCID GROUP,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CONVERTIBLE PREFERRED STOCK AND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STOCKHOLDERS’ EQUITY (DEFICIT)</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data)</w:t>
      </w:r>
    </w:p>
    <w:p>
      <w:pPr>
        <w:spacing w:after="0" w:line="22"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3280" w:type="dxa"/>
            <w:vAlign w:val="bottom"/>
          </w:tcPr>
          <w:p>
            <w:pPr>
              <w:spacing w:after="0"/>
              <w:rPr>
                <w:sz w:val="13"/>
                <w:szCs w:val="13"/>
                <w:color w:val="auto"/>
              </w:rPr>
            </w:pPr>
          </w:p>
        </w:tc>
        <w:tc>
          <w:tcPr>
            <w:tcW w:w="1900" w:type="dxa"/>
            <w:vAlign w:val="bottom"/>
            <w:tcBorders>
              <w:right w:val="single" w:sz="8" w:color="auto"/>
            </w:tcBorders>
            <w:gridSpan w:val="5"/>
          </w:tcPr>
          <w:p>
            <w:pPr>
              <w:jc w:val="center"/>
              <w:ind w:right="140"/>
              <w:spacing w:after="0"/>
              <w:rPr>
                <w:sz w:val="20"/>
                <w:szCs w:val="20"/>
                <w:color w:val="auto"/>
              </w:rPr>
            </w:pPr>
            <w:r>
              <w:rPr>
                <w:rFonts w:ascii="Arial" w:cs="Arial" w:eastAsia="Arial" w:hAnsi="Arial"/>
                <w:sz w:val="13"/>
                <w:szCs w:val="13"/>
                <w:b w:val="1"/>
                <w:bCs w:val="1"/>
                <w:color w:val="auto"/>
                <w:w w:val="89"/>
              </w:rPr>
              <w:t>Convertible</w:t>
            </w:r>
          </w:p>
        </w:tc>
        <w:tc>
          <w:tcPr>
            <w:tcW w:w="60" w:type="dxa"/>
            <w:vAlign w:val="bottom"/>
          </w:tcPr>
          <w:p>
            <w:pPr>
              <w:spacing w:after="0"/>
              <w:rPr>
                <w:sz w:val="13"/>
                <w:szCs w:val="13"/>
                <w:color w:val="auto"/>
              </w:rPr>
            </w:pPr>
          </w:p>
        </w:tc>
        <w:tc>
          <w:tcPr>
            <w:tcW w:w="1220" w:type="dxa"/>
            <w:vAlign w:val="bottom"/>
            <w:gridSpan w:val="3"/>
            <w:vMerge w:val="restart"/>
          </w:tcPr>
          <w:p>
            <w:pPr>
              <w:jc w:val="right"/>
              <w:spacing w:after="0"/>
              <w:rPr>
                <w:sz w:val="20"/>
                <w:szCs w:val="20"/>
                <w:color w:val="auto"/>
              </w:rPr>
            </w:pPr>
            <w:r>
              <w:rPr>
                <w:rFonts w:ascii="Arial" w:cs="Arial" w:eastAsia="Arial" w:hAnsi="Arial"/>
                <w:sz w:val="13"/>
                <w:szCs w:val="13"/>
                <w:b w:val="1"/>
                <w:bCs w:val="1"/>
                <w:color w:val="auto"/>
              </w:rPr>
              <w:t>Common Stock</w:t>
            </w: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vMerge w:val="restart"/>
          </w:tcPr>
          <w:p>
            <w:pPr>
              <w:jc w:val="center"/>
              <w:ind w:right="200"/>
              <w:spacing w:after="0"/>
              <w:rPr>
                <w:sz w:val="20"/>
                <w:szCs w:val="20"/>
                <w:color w:val="auto"/>
              </w:rPr>
            </w:pPr>
            <w:r>
              <w:rPr>
                <w:rFonts w:ascii="Arial" w:cs="Arial" w:eastAsia="Arial" w:hAnsi="Arial"/>
                <w:sz w:val="13"/>
                <w:szCs w:val="13"/>
                <w:b w:val="1"/>
                <w:bCs w:val="1"/>
                <w:color w:val="auto"/>
                <w:w w:val="88"/>
              </w:rPr>
              <w:t>Additional</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5"/>
              </w:rPr>
              <w:t>Accumulated</w:t>
            </w: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center"/>
              <w:ind w:right="49"/>
              <w:spacing w:after="0"/>
              <w:rPr>
                <w:sz w:val="20"/>
                <w:szCs w:val="20"/>
                <w:color w:val="auto"/>
              </w:rPr>
            </w:pPr>
            <w:r>
              <w:rPr>
                <w:rFonts w:ascii="Arial" w:cs="Arial" w:eastAsia="Arial" w:hAnsi="Arial"/>
                <w:sz w:val="13"/>
                <w:szCs w:val="13"/>
                <w:b w:val="1"/>
                <w:bCs w:val="1"/>
                <w:color w:val="auto"/>
                <w:w w:val="83"/>
              </w:rPr>
              <w:t>Total</w:t>
            </w:r>
          </w:p>
        </w:tc>
        <w:tc>
          <w:tcPr>
            <w:tcW w:w="0" w:type="dxa"/>
            <w:vAlign w:val="bottom"/>
          </w:tcPr>
          <w:p>
            <w:pPr>
              <w:spacing w:after="0"/>
              <w:rPr>
                <w:sz w:val="1"/>
                <w:szCs w:val="1"/>
                <w:color w:val="auto"/>
              </w:rPr>
            </w:pPr>
          </w:p>
        </w:tc>
      </w:tr>
      <w:tr>
        <w:trPr>
          <w:trHeight w:val="122"/>
        </w:trPr>
        <w:tc>
          <w:tcPr>
            <w:tcW w:w="3280" w:type="dxa"/>
            <w:vAlign w:val="bottom"/>
          </w:tcPr>
          <w:p>
            <w:pPr>
              <w:spacing w:after="0"/>
              <w:rPr>
                <w:sz w:val="10"/>
                <w:szCs w:val="10"/>
                <w:color w:val="auto"/>
              </w:rPr>
            </w:pPr>
          </w:p>
        </w:tc>
        <w:tc>
          <w:tcPr>
            <w:tcW w:w="1900" w:type="dxa"/>
            <w:vAlign w:val="bottom"/>
            <w:tcBorders>
              <w:right w:val="single" w:sz="8" w:color="auto"/>
            </w:tcBorders>
            <w:gridSpan w:val="5"/>
          </w:tcPr>
          <w:p>
            <w:pPr>
              <w:jc w:val="center"/>
              <w:ind w:right="100"/>
              <w:spacing w:after="0" w:line="122" w:lineRule="exact"/>
              <w:rPr>
                <w:sz w:val="20"/>
                <w:szCs w:val="20"/>
                <w:color w:val="auto"/>
              </w:rPr>
            </w:pPr>
            <w:r>
              <w:rPr>
                <w:rFonts w:ascii="Arial" w:cs="Arial" w:eastAsia="Arial" w:hAnsi="Arial"/>
                <w:sz w:val="13"/>
                <w:szCs w:val="13"/>
                <w:b w:val="1"/>
                <w:bCs w:val="1"/>
                <w:color w:val="auto"/>
                <w:w w:val="86"/>
              </w:rPr>
              <w:t>Preferred Stock</w:t>
            </w:r>
          </w:p>
        </w:tc>
        <w:tc>
          <w:tcPr>
            <w:tcW w:w="60" w:type="dxa"/>
            <w:vAlign w:val="bottom"/>
          </w:tcPr>
          <w:p>
            <w:pPr>
              <w:spacing w:after="0"/>
              <w:rPr>
                <w:sz w:val="10"/>
                <w:szCs w:val="10"/>
                <w:color w:val="auto"/>
              </w:rPr>
            </w:pPr>
          </w:p>
        </w:tc>
        <w:tc>
          <w:tcPr>
            <w:tcW w:w="1220" w:type="dxa"/>
            <w:vAlign w:val="bottom"/>
            <w:gridSpan w:val="3"/>
            <w:vMerge w:val="continue"/>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gridSpan w:val="2"/>
          </w:tcPr>
          <w:p>
            <w:pPr>
              <w:jc w:val="center"/>
              <w:ind w:right="160"/>
              <w:spacing w:after="0" w:line="122" w:lineRule="exact"/>
              <w:rPr>
                <w:sz w:val="20"/>
                <w:szCs w:val="20"/>
                <w:color w:val="auto"/>
              </w:rPr>
            </w:pPr>
            <w:r>
              <w:rPr>
                <w:rFonts w:ascii="Arial" w:cs="Arial" w:eastAsia="Arial" w:hAnsi="Arial"/>
                <w:sz w:val="13"/>
                <w:szCs w:val="13"/>
                <w:b w:val="1"/>
                <w:bCs w:val="1"/>
                <w:color w:val="auto"/>
                <w:w w:val="92"/>
              </w:rPr>
              <w:t>Other</w:t>
            </w: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tcPr>
          <w:p>
            <w:pPr>
              <w:jc w:val="center"/>
              <w:spacing w:after="0" w:line="122" w:lineRule="exact"/>
              <w:rPr>
                <w:sz w:val="20"/>
                <w:szCs w:val="20"/>
                <w:color w:val="auto"/>
              </w:rPr>
            </w:pPr>
            <w:r>
              <w:rPr>
                <w:rFonts w:ascii="Arial" w:cs="Arial" w:eastAsia="Arial" w:hAnsi="Arial"/>
                <w:sz w:val="13"/>
                <w:szCs w:val="13"/>
                <w:b w:val="1"/>
                <w:bCs w:val="1"/>
                <w:color w:val="auto"/>
                <w:w w:val="86"/>
              </w:rPr>
              <w:t>Stockholders’</w:t>
            </w:r>
          </w:p>
        </w:tc>
        <w:tc>
          <w:tcPr>
            <w:tcW w:w="0" w:type="dxa"/>
            <w:vAlign w:val="bottom"/>
          </w:tcPr>
          <w:p>
            <w:pPr>
              <w:spacing w:after="0"/>
              <w:rPr>
                <w:sz w:val="1"/>
                <w:szCs w:val="1"/>
                <w:color w:val="auto"/>
              </w:rPr>
            </w:pPr>
          </w:p>
        </w:tc>
      </w:tr>
      <w:tr>
        <w:trPr>
          <w:trHeight w:val="68"/>
        </w:trPr>
        <w:tc>
          <w:tcPr>
            <w:tcW w:w="3280" w:type="dxa"/>
            <w:vAlign w:val="bottom"/>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00" w:type="dxa"/>
            <w:vAlign w:val="bottom"/>
            <w:tcBorders>
              <w:right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gridSpan w:val="2"/>
            <w:vMerge w:val="restart"/>
          </w:tcPr>
          <w:p>
            <w:pPr>
              <w:jc w:val="center"/>
              <w:ind w:right="200"/>
              <w:spacing w:after="0" w:line="108" w:lineRule="exact"/>
              <w:rPr>
                <w:sz w:val="20"/>
                <w:szCs w:val="20"/>
                <w:color w:val="auto"/>
              </w:rPr>
            </w:pPr>
            <w:r>
              <w:rPr>
                <w:rFonts w:ascii="Arial" w:cs="Arial" w:eastAsia="Arial" w:hAnsi="Arial"/>
                <w:sz w:val="12"/>
                <w:szCs w:val="12"/>
                <w:b w:val="1"/>
                <w:bCs w:val="1"/>
                <w:color w:val="auto"/>
                <w:w w:val="99"/>
              </w:rPr>
              <w:t>Paid-In</w:t>
            </w:r>
          </w:p>
        </w:tc>
        <w:tc>
          <w:tcPr>
            <w:tcW w:w="720" w:type="dxa"/>
            <w:vAlign w:val="bottom"/>
            <w:gridSpan w:val="3"/>
            <w:vMerge w:val="restart"/>
          </w:tcPr>
          <w:p>
            <w:pPr>
              <w:ind w:left="60"/>
              <w:spacing w:after="0" w:line="108" w:lineRule="exact"/>
              <w:rPr>
                <w:sz w:val="20"/>
                <w:szCs w:val="20"/>
                <w:color w:val="auto"/>
              </w:rPr>
            </w:pPr>
            <w:r>
              <w:rPr>
                <w:rFonts w:ascii="Arial" w:cs="Arial" w:eastAsia="Arial" w:hAnsi="Arial"/>
                <w:sz w:val="12"/>
                <w:szCs w:val="12"/>
                <w:b w:val="1"/>
                <w:bCs w:val="1"/>
                <w:color w:val="auto"/>
              </w:rPr>
              <w:t>Treasury</w:t>
            </w:r>
          </w:p>
        </w:tc>
        <w:tc>
          <w:tcPr>
            <w:tcW w:w="960" w:type="dxa"/>
            <w:vAlign w:val="bottom"/>
            <w:gridSpan w:val="3"/>
            <w:vMerge w:val="restart"/>
          </w:tcPr>
          <w:p>
            <w:pPr>
              <w:jc w:val="center"/>
              <w:ind w:right="80"/>
              <w:spacing w:after="0" w:line="108" w:lineRule="exact"/>
              <w:rPr>
                <w:sz w:val="20"/>
                <w:szCs w:val="20"/>
                <w:color w:val="auto"/>
              </w:rPr>
            </w:pPr>
            <w:r>
              <w:rPr>
                <w:rFonts w:ascii="Arial" w:cs="Arial" w:eastAsia="Arial" w:hAnsi="Arial"/>
                <w:sz w:val="12"/>
                <w:szCs w:val="12"/>
                <w:b w:val="1"/>
                <w:bCs w:val="1"/>
                <w:color w:val="auto"/>
                <w:w w:val="93"/>
              </w:rPr>
              <w:t>Comprehensive</w:t>
            </w:r>
          </w:p>
        </w:tc>
        <w:tc>
          <w:tcPr>
            <w:tcW w:w="900" w:type="dxa"/>
            <w:vAlign w:val="bottom"/>
            <w:gridSpan w:val="3"/>
            <w:vMerge w:val="restart"/>
          </w:tcPr>
          <w:p>
            <w:pPr>
              <w:ind w:left="40"/>
              <w:spacing w:after="0" w:line="108" w:lineRule="exact"/>
              <w:rPr>
                <w:sz w:val="20"/>
                <w:szCs w:val="20"/>
                <w:color w:val="auto"/>
              </w:rPr>
            </w:pPr>
            <w:r>
              <w:rPr>
                <w:rFonts w:ascii="Arial" w:cs="Arial" w:eastAsia="Arial" w:hAnsi="Arial"/>
                <w:sz w:val="12"/>
                <w:szCs w:val="12"/>
                <w:b w:val="1"/>
                <w:bCs w:val="1"/>
                <w:color w:val="auto"/>
              </w:rPr>
              <w:t>Accumulated</w:t>
            </w:r>
          </w:p>
        </w:tc>
        <w:tc>
          <w:tcPr>
            <w:tcW w:w="100" w:type="dxa"/>
            <w:vAlign w:val="bottom"/>
          </w:tcPr>
          <w:p>
            <w:pPr>
              <w:spacing w:after="0"/>
              <w:rPr>
                <w:sz w:val="5"/>
                <w:szCs w:val="5"/>
                <w:color w:val="auto"/>
              </w:rPr>
            </w:pPr>
          </w:p>
        </w:tc>
        <w:tc>
          <w:tcPr>
            <w:tcW w:w="740" w:type="dxa"/>
            <w:vAlign w:val="bottom"/>
            <w:vMerge w:val="restart"/>
          </w:tcPr>
          <w:p>
            <w:pPr>
              <w:jc w:val="center"/>
              <w:ind w:right="69"/>
              <w:spacing w:after="0" w:line="108" w:lineRule="exact"/>
              <w:rPr>
                <w:sz w:val="20"/>
                <w:szCs w:val="20"/>
                <w:color w:val="auto"/>
              </w:rPr>
            </w:pPr>
            <w:r>
              <w:rPr>
                <w:rFonts w:ascii="Arial" w:cs="Arial" w:eastAsia="Arial" w:hAnsi="Arial"/>
                <w:sz w:val="12"/>
                <w:szCs w:val="12"/>
                <w:b w:val="1"/>
                <w:bCs w:val="1"/>
                <w:color w:val="auto"/>
                <w:w w:val="98"/>
              </w:rPr>
              <w:t>Equity</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gridSpan w:val="2"/>
            <w:vMerge w:val="continue"/>
          </w:tcPr>
          <w:p>
            <w:pPr>
              <w:spacing w:after="0" w:line="20" w:lineRule="exact"/>
              <w:rPr>
                <w:sz w:val="1"/>
                <w:szCs w:val="1"/>
                <w:color w:val="auto"/>
              </w:rPr>
            </w:pPr>
          </w:p>
        </w:tc>
        <w:tc>
          <w:tcPr>
            <w:tcW w:w="720" w:type="dxa"/>
            <w:vAlign w:val="bottom"/>
            <w:gridSpan w:val="3"/>
            <w:vMerge w:val="continue"/>
          </w:tcPr>
          <w:p>
            <w:pPr>
              <w:spacing w:after="0" w:line="20" w:lineRule="exact"/>
              <w:rPr>
                <w:sz w:val="1"/>
                <w:szCs w:val="1"/>
                <w:color w:val="auto"/>
              </w:rPr>
            </w:pPr>
          </w:p>
        </w:tc>
        <w:tc>
          <w:tcPr>
            <w:tcW w:w="960" w:type="dxa"/>
            <w:vAlign w:val="bottom"/>
            <w:gridSpan w:val="3"/>
            <w:vMerge w:val="continue"/>
          </w:tcPr>
          <w:p>
            <w:pPr>
              <w:spacing w:after="0" w:line="20" w:lineRule="exact"/>
              <w:rPr>
                <w:sz w:val="1"/>
                <w:szCs w:val="1"/>
                <w:color w:val="auto"/>
              </w:rPr>
            </w:pPr>
          </w:p>
        </w:tc>
        <w:tc>
          <w:tcPr>
            <w:tcW w:w="900" w:type="dxa"/>
            <w:vAlign w:val="bottom"/>
            <w:gridSpan w:val="3"/>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280" w:type="dxa"/>
            <w:vAlign w:val="bottom"/>
          </w:tcPr>
          <w:p>
            <w:pPr>
              <w:spacing w:after="0"/>
              <w:rPr>
                <w:sz w:val="16"/>
                <w:szCs w:val="16"/>
                <w:color w:val="auto"/>
              </w:rPr>
            </w:pPr>
          </w:p>
        </w:tc>
        <w:tc>
          <w:tcPr>
            <w:tcW w:w="1040" w:type="dxa"/>
            <w:vAlign w:val="bottom"/>
            <w:gridSpan w:val="2"/>
          </w:tcPr>
          <w:p>
            <w:pPr>
              <w:ind w:left="280"/>
              <w:spacing w:after="0"/>
              <w:rPr>
                <w:sz w:val="20"/>
                <w:szCs w:val="20"/>
                <w:color w:val="auto"/>
              </w:rPr>
            </w:pPr>
            <w:r>
              <w:rPr>
                <w:rFonts w:ascii="Arial" w:cs="Arial" w:eastAsia="Arial" w:hAnsi="Arial"/>
                <w:sz w:val="13"/>
                <w:szCs w:val="13"/>
                <w:b w:val="1"/>
                <w:bCs w:val="1"/>
                <w:color w:val="auto"/>
              </w:rPr>
              <w:t>Shares</w:t>
            </w:r>
            <w:r>
              <w:rPr>
                <w:rFonts w:ascii="Arial" w:cs="Arial" w:eastAsia="Arial" w:hAnsi="Arial"/>
                <w:sz w:val="16"/>
                <w:szCs w:val="16"/>
                <w:b w:val="1"/>
                <w:bCs w:val="1"/>
                <w:color w:val="auto"/>
                <w:vertAlign w:val="superscript"/>
              </w:rPr>
              <w:t>1</w:t>
            </w:r>
          </w:p>
        </w:tc>
        <w:tc>
          <w:tcPr>
            <w:tcW w:w="100" w:type="dxa"/>
            <w:vAlign w:val="bottom"/>
          </w:tcPr>
          <w:p>
            <w:pPr>
              <w:spacing w:after="0"/>
              <w:rPr>
                <w:sz w:val="16"/>
                <w:szCs w:val="16"/>
                <w:color w:val="auto"/>
              </w:rPr>
            </w:pPr>
          </w:p>
        </w:tc>
        <w:tc>
          <w:tcPr>
            <w:tcW w:w="760" w:type="dxa"/>
            <w:vAlign w:val="bottom"/>
            <w:tcBorders>
              <w:right w:val="single" w:sz="8" w:color="auto"/>
            </w:tcBorders>
            <w:gridSpan w:val="2"/>
          </w:tcPr>
          <w:p>
            <w:pPr>
              <w:ind w:left="60"/>
              <w:spacing w:after="0"/>
              <w:rPr>
                <w:sz w:val="20"/>
                <w:szCs w:val="20"/>
                <w:color w:val="auto"/>
              </w:rPr>
            </w:pPr>
            <w:r>
              <w:rPr>
                <w:rFonts w:ascii="Arial" w:cs="Arial" w:eastAsia="Arial" w:hAnsi="Arial"/>
                <w:sz w:val="13"/>
                <w:szCs w:val="13"/>
                <w:b w:val="1"/>
                <w:bCs w:val="1"/>
                <w:color w:val="auto"/>
              </w:rPr>
              <w:t>Amount</w:t>
            </w:r>
          </w:p>
        </w:tc>
        <w:tc>
          <w:tcPr>
            <w:tcW w:w="60" w:type="dxa"/>
            <w:vAlign w:val="bottom"/>
          </w:tcPr>
          <w:p>
            <w:pPr>
              <w:spacing w:after="0"/>
              <w:rPr>
                <w:sz w:val="16"/>
                <w:szCs w:val="16"/>
                <w:color w:val="auto"/>
              </w:rPr>
            </w:pPr>
          </w:p>
        </w:tc>
        <w:tc>
          <w:tcPr>
            <w:tcW w:w="1000" w:type="dxa"/>
            <w:vAlign w:val="bottom"/>
            <w:gridSpan w:val="2"/>
          </w:tcPr>
          <w:p>
            <w:pPr>
              <w:ind w:left="260"/>
              <w:spacing w:after="0"/>
              <w:rPr>
                <w:sz w:val="20"/>
                <w:szCs w:val="20"/>
                <w:color w:val="auto"/>
              </w:rPr>
            </w:pPr>
            <w:r>
              <w:rPr>
                <w:rFonts w:ascii="Arial" w:cs="Arial" w:eastAsia="Arial" w:hAnsi="Arial"/>
                <w:sz w:val="13"/>
                <w:szCs w:val="13"/>
                <w:b w:val="1"/>
                <w:bCs w:val="1"/>
                <w:color w:val="auto"/>
              </w:rPr>
              <w:t>Shares</w:t>
            </w:r>
            <w:r>
              <w:rPr>
                <w:rFonts w:ascii="Arial" w:cs="Arial" w:eastAsia="Arial" w:hAnsi="Arial"/>
                <w:sz w:val="16"/>
                <w:szCs w:val="16"/>
                <w:b w:val="1"/>
                <w:bCs w:val="1"/>
                <w:color w:val="auto"/>
                <w:vertAlign w:val="superscript"/>
              </w:rPr>
              <w:t>1</w:t>
            </w:r>
          </w:p>
        </w:tc>
        <w:tc>
          <w:tcPr>
            <w:tcW w:w="620" w:type="dxa"/>
            <w:vAlign w:val="bottom"/>
            <w:gridSpan w:val="3"/>
          </w:tcPr>
          <w:p>
            <w:pPr>
              <w:ind w:left="40"/>
              <w:spacing w:after="0"/>
              <w:rPr>
                <w:sz w:val="20"/>
                <w:szCs w:val="20"/>
                <w:color w:val="auto"/>
              </w:rPr>
            </w:pPr>
            <w:r>
              <w:rPr>
                <w:rFonts w:ascii="Arial" w:cs="Arial" w:eastAsia="Arial" w:hAnsi="Arial"/>
                <w:sz w:val="13"/>
                <w:szCs w:val="13"/>
                <w:b w:val="1"/>
                <w:bCs w:val="1"/>
                <w:color w:val="auto"/>
              </w:rPr>
              <w:t>Amount</w:t>
            </w:r>
          </w:p>
        </w:tc>
        <w:tc>
          <w:tcPr>
            <w:tcW w:w="100" w:type="dxa"/>
            <w:vAlign w:val="bottom"/>
          </w:tcPr>
          <w:p>
            <w:pPr>
              <w:spacing w:after="0"/>
              <w:rPr>
                <w:sz w:val="16"/>
                <w:szCs w:val="16"/>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2"/>
              </w:rPr>
              <w:t>Capital</w:t>
            </w:r>
          </w:p>
        </w:tc>
        <w:tc>
          <w:tcPr>
            <w:tcW w:w="100" w:type="dxa"/>
            <w:vAlign w:val="bottom"/>
          </w:tcPr>
          <w:p>
            <w:pPr>
              <w:spacing w:after="0"/>
              <w:rPr>
                <w:sz w:val="16"/>
                <w:szCs w:val="16"/>
                <w:color w:val="auto"/>
              </w:rPr>
            </w:pPr>
          </w:p>
        </w:tc>
        <w:tc>
          <w:tcPr>
            <w:tcW w:w="620" w:type="dxa"/>
            <w:vAlign w:val="bottom"/>
            <w:gridSpan w:val="2"/>
          </w:tcPr>
          <w:p>
            <w:pPr>
              <w:ind w:left="60"/>
              <w:spacing w:after="0"/>
              <w:rPr>
                <w:sz w:val="20"/>
                <w:szCs w:val="20"/>
                <w:color w:val="auto"/>
              </w:rPr>
            </w:pPr>
            <w:r>
              <w:rPr>
                <w:rFonts w:ascii="Arial" w:cs="Arial" w:eastAsia="Arial" w:hAnsi="Arial"/>
                <w:sz w:val="13"/>
                <w:szCs w:val="13"/>
                <w:b w:val="1"/>
                <w:bCs w:val="1"/>
                <w:color w:val="auto"/>
              </w:rPr>
              <w:t>Stock</w:t>
            </w:r>
          </w:p>
        </w:tc>
        <w:tc>
          <w:tcPr>
            <w:tcW w:w="80" w:type="dxa"/>
            <w:vAlign w:val="bottom"/>
          </w:tcPr>
          <w:p>
            <w:pPr>
              <w:spacing w:after="0"/>
              <w:rPr>
                <w:sz w:val="16"/>
                <w:szCs w:val="16"/>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5"/>
              </w:rPr>
              <w:t>Loss</w:t>
            </w:r>
          </w:p>
        </w:tc>
        <w:tc>
          <w:tcPr>
            <w:tcW w:w="100" w:type="dxa"/>
            <w:vAlign w:val="bottom"/>
          </w:tcPr>
          <w:p>
            <w:pPr>
              <w:spacing w:after="0"/>
              <w:rPr>
                <w:sz w:val="16"/>
                <w:szCs w:val="16"/>
                <w:color w:val="auto"/>
              </w:rPr>
            </w:pPr>
          </w:p>
        </w:tc>
        <w:tc>
          <w:tcPr>
            <w:tcW w:w="800" w:type="dxa"/>
            <w:vAlign w:val="bottom"/>
            <w:gridSpan w:val="2"/>
          </w:tcPr>
          <w:p>
            <w:pPr>
              <w:ind w:left="120"/>
              <w:spacing w:after="0"/>
              <w:rPr>
                <w:sz w:val="20"/>
                <w:szCs w:val="20"/>
                <w:color w:val="auto"/>
              </w:rPr>
            </w:pPr>
            <w:r>
              <w:rPr>
                <w:rFonts w:ascii="Arial" w:cs="Arial" w:eastAsia="Arial" w:hAnsi="Arial"/>
                <w:sz w:val="13"/>
                <w:szCs w:val="13"/>
                <w:b w:val="1"/>
                <w:bCs w:val="1"/>
                <w:color w:val="auto"/>
              </w:rPr>
              <w:t>Deficit</w:t>
            </w:r>
          </w:p>
        </w:tc>
        <w:tc>
          <w:tcPr>
            <w:tcW w:w="100" w:type="dxa"/>
            <w:vAlign w:val="bottom"/>
          </w:tcPr>
          <w:p>
            <w:pPr>
              <w:spacing w:after="0"/>
              <w:rPr>
                <w:sz w:val="16"/>
                <w:szCs w:val="16"/>
                <w:color w:val="auto"/>
              </w:rPr>
            </w:pPr>
          </w:p>
        </w:tc>
        <w:tc>
          <w:tcPr>
            <w:tcW w:w="740" w:type="dxa"/>
            <w:vAlign w:val="bottom"/>
          </w:tcPr>
          <w:p>
            <w:pPr>
              <w:jc w:val="center"/>
              <w:ind w:right="69"/>
              <w:spacing w:after="0"/>
              <w:rPr>
                <w:sz w:val="20"/>
                <w:szCs w:val="20"/>
                <w:color w:val="auto"/>
              </w:rPr>
            </w:pPr>
            <w:r>
              <w:rPr>
                <w:rFonts w:ascii="Arial" w:cs="Arial" w:eastAsia="Arial" w:hAnsi="Arial"/>
                <w:sz w:val="13"/>
                <w:szCs w:val="13"/>
                <w:b w:val="1"/>
                <w:bCs w:val="1"/>
                <w:color w:val="auto"/>
                <w:w w:val="90"/>
              </w:rPr>
              <w:t>(Deficit)</w:t>
            </w:r>
          </w:p>
        </w:tc>
        <w:tc>
          <w:tcPr>
            <w:tcW w:w="0" w:type="dxa"/>
            <w:vAlign w:val="bottom"/>
          </w:tcPr>
          <w:p>
            <w:pPr>
              <w:spacing w:after="0"/>
              <w:rPr>
                <w:sz w:val="1"/>
                <w:szCs w:val="1"/>
                <w:color w:val="auto"/>
              </w:rPr>
            </w:pPr>
          </w:p>
        </w:tc>
      </w:tr>
      <w:tr>
        <w:trPr>
          <w:trHeight w:val="196"/>
        </w:trPr>
        <w:tc>
          <w:tcPr>
            <w:tcW w:w="3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as of January 1, 2020</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502,582,534</w:t>
            </w:r>
          </w:p>
        </w:tc>
        <w:tc>
          <w:tcPr>
            <w:tcW w:w="8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w w:val="91"/>
              </w:rPr>
              <w:t>$ 1,074,010</w:t>
            </w:r>
          </w:p>
        </w:tc>
        <w:tc>
          <w:tcPr>
            <w:tcW w:w="100" w:type="dxa"/>
            <w:vAlign w:val="bottom"/>
            <w:tcBorders>
              <w:top w:val="single" w:sz="8" w:color="CCEEFF"/>
              <w:right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21,288,741</w:t>
            </w: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71"/>
              <w:spacing w:after="0"/>
              <w:rPr>
                <w:sz w:val="20"/>
                <w:szCs w:val="20"/>
                <w:color w:val="auto"/>
              </w:rPr>
            </w:pPr>
            <w:r>
              <w:rPr>
                <w:rFonts w:ascii="Arial" w:cs="Arial" w:eastAsia="Arial" w:hAnsi="Arial"/>
                <w:sz w:val="14"/>
                <w:szCs w:val="14"/>
                <w:b w:val="1"/>
                <w:bCs w:val="1"/>
                <w:color w:val="auto"/>
                <w:w w:val="76"/>
              </w:rPr>
              <w:t>$</w:t>
            </w:r>
          </w:p>
        </w:tc>
        <w:tc>
          <w:tcPr>
            <w:tcW w:w="3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2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16,431</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540" w:type="dxa"/>
            <w:vAlign w:val="bottom"/>
            <w:tcBorders>
              <w:top w:val="single" w:sz="8" w:color="auto"/>
            </w:tcBorders>
            <w:shd w:val="clear" w:color="auto" w:fill="CCEEFF"/>
          </w:tcPr>
          <w:p>
            <w:pPr>
              <w:ind w:left="320"/>
              <w:spacing w:after="0"/>
              <w:rPr>
                <w:sz w:val="20"/>
                <w:szCs w:val="20"/>
                <w:color w:val="auto"/>
              </w:rPr>
            </w:pPr>
            <w:r>
              <w:rPr>
                <w:rFonts w:ascii="Arial" w:cs="Arial" w:eastAsia="Arial" w:hAnsi="Arial"/>
                <w:sz w:val="14"/>
                <w:szCs w:val="14"/>
                <w:b w:val="1"/>
                <w:bCs w:val="1"/>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800" w:type="dxa"/>
            <w:vAlign w:val="bottom"/>
            <w:tcBorders>
              <w:top w:val="single" w:sz="8" w:color="auto"/>
            </w:tcBorders>
            <w:shd w:val="clear" w:color="auto" w:fill="CCEEFF"/>
          </w:tcPr>
          <w:p>
            <w:pPr>
              <w:ind w:left="600"/>
              <w:spacing w:after="0"/>
              <w:rPr>
                <w:sz w:val="20"/>
                <w:szCs w:val="20"/>
                <w:color w:val="auto"/>
              </w:rPr>
            </w:pPr>
            <w:r>
              <w:rPr>
                <w:rFonts w:ascii="Arial" w:cs="Arial" w:eastAsia="Arial" w:hAnsi="Arial"/>
                <w:sz w:val="14"/>
                <w:szCs w:val="14"/>
                <w:b w:val="1"/>
                <w:bCs w:val="1"/>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(637,513)</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(621,080)</w:t>
            </w:r>
          </w:p>
        </w:tc>
        <w:tc>
          <w:tcPr>
            <w:tcW w:w="0" w:type="dxa"/>
            <w:vAlign w:val="bottom"/>
          </w:tcPr>
          <w:p>
            <w:pPr>
              <w:spacing w:after="0"/>
              <w:rPr>
                <w:sz w:val="1"/>
                <w:szCs w:val="1"/>
                <w:color w:val="auto"/>
              </w:rPr>
            </w:pPr>
          </w:p>
        </w:tc>
      </w:tr>
      <w:tr>
        <w:trPr>
          <w:trHeight w:val="182"/>
        </w:trPr>
        <w:tc>
          <w:tcPr>
            <w:tcW w:w="3280" w:type="dxa"/>
            <w:vAlign w:val="bottom"/>
          </w:tcPr>
          <w:p>
            <w:pPr>
              <w:ind w:left="20"/>
              <w:spacing w:after="0"/>
              <w:rPr>
                <w:sz w:val="20"/>
                <w:szCs w:val="20"/>
                <w:color w:val="auto"/>
              </w:rPr>
            </w:pPr>
            <w:r>
              <w:rPr>
                <w:rFonts w:ascii="Arial" w:cs="Arial" w:eastAsia="Arial" w:hAnsi="Arial"/>
                <w:sz w:val="14"/>
                <w:szCs w:val="14"/>
                <w:color w:val="auto"/>
              </w:rPr>
              <w:t>Net loss</w:t>
            </w: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6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4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20" w:type="dxa"/>
            <w:vAlign w:val="bottom"/>
            <w:gridSpan w:val="2"/>
          </w:tcPr>
          <w:p>
            <w:pPr>
              <w:ind w:left="3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8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(719,380)</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(719,380)</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328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Extinguishment and reclassification of Series B</w:t>
            </w:r>
          </w:p>
        </w:tc>
        <w:tc>
          <w:tcPr>
            <w:tcW w:w="10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(4,000)</w:t>
            </w: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1"/>
                <w:szCs w:val="11"/>
                <w:color w:val="auto"/>
              </w:rPr>
            </w:pPr>
          </w:p>
        </w:tc>
        <w:tc>
          <w:tcPr>
            <w:tcW w:w="4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1,000</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gridSpan w:val="2"/>
            <w:vMerge w:val="restart"/>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880" w:type="dxa"/>
            <w:vAlign w:val="bottom"/>
            <w:gridSpan w:val="2"/>
            <w:vMerge w:val="restart"/>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183"/>
        </w:trPr>
        <w:tc>
          <w:tcPr>
            <w:tcW w:w="3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convertible preferred stock</w:t>
            </w:r>
          </w:p>
        </w:tc>
        <w:tc>
          <w:tcPr>
            <w:tcW w:w="1040" w:type="dxa"/>
            <w:vAlign w:val="bottom"/>
            <w:tcBorders>
              <w:bottom w:val="single" w:sz="8" w:color="CCEEFF"/>
            </w:tcBorders>
            <w:gridSpan w:val="2"/>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vMerge w:val="continue"/>
            <w:shd w:val="clear" w:color="auto" w:fill="CCEEFF"/>
          </w:tcPr>
          <w:p>
            <w:pPr>
              <w:spacing w:after="0"/>
              <w:rPr>
                <w:sz w:val="15"/>
                <w:szCs w:val="15"/>
                <w:color w:val="auto"/>
              </w:rPr>
            </w:pPr>
          </w:p>
        </w:tc>
        <w:tc>
          <w:tcPr>
            <w:tcW w:w="100" w:type="dxa"/>
            <w:vAlign w:val="bottom"/>
            <w:tcBorders>
              <w:bottom w:val="single" w:sz="8" w:color="CCEEFF"/>
              <w:right w:val="single" w:sz="8" w:color="auto"/>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gridSpan w:val="2"/>
            <w:vMerge w:val="continue"/>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gridSpan w:val="2"/>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gridSpan w:val="2"/>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gridSpan w:val="2"/>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2"/>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280" w:type="dxa"/>
            <w:vAlign w:val="bottom"/>
          </w:tcPr>
          <w:p>
            <w:pPr>
              <w:ind w:left="20"/>
              <w:spacing w:after="0"/>
              <w:rPr>
                <w:sz w:val="20"/>
                <w:szCs w:val="20"/>
                <w:color w:val="auto"/>
              </w:rPr>
            </w:pPr>
            <w:r>
              <w:rPr>
                <w:rFonts w:ascii="Arial" w:cs="Arial" w:eastAsia="Arial" w:hAnsi="Arial"/>
                <w:sz w:val="14"/>
                <w:szCs w:val="14"/>
                <w:color w:val="auto"/>
              </w:rPr>
              <w:t>Repurchase of Series C convertible preferred stock</w:t>
            </w:r>
          </w:p>
        </w:tc>
        <w:tc>
          <w:tcPr>
            <w:tcW w:w="960" w:type="dxa"/>
            <w:vAlign w:val="bottom"/>
          </w:tcPr>
          <w:p>
            <w:pPr>
              <w:jc w:val="right"/>
              <w:spacing w:after="0"/>
              <w:rPr>
                <w:sz w:val="20"/>
                <w:szCs w:val="20"/>
                <w:color w:val="auto"/>
              </w:rPr>
            </w:pPr>
            <w:r>
              <w:rPr>
                <w:rFonts w:ascii="Arial" w:cs="Arial" w:eastAsia="Arial" w:hAnsi="Arial"/>
                <w:sz w:val="14"/>
                <w:szCs w:val="14"/>
                <w:color w:val="auto"/>
              </w:rPr>
              <w:t>(11,507,389)</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(24,885)</w:t>
            </w: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4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20" w:type="dxa"/>
            <w:vAlign w:val="bottom"/>
          </w:tcPr>
          <w:p>
            <w:pPr>
              <w:jc w:val="right"/>
              <w:ind w:right="9"/>
              <w:spacing w:after="0"/>
              <w:rPr>
                <w:sz w:val="20"/>
                <w:szCs w:val="20"/>
                <w:color w:val="auto"/>
              </w:rPr>
            </w:pPr>
            <w:r>
              <w:rPr>
                <w:rFonts w:ascii="Arial" w:cs="Arial" w:eastAsia="Arial" w:hAnsi="Arial"/>
                <w:sz w:val="14"/>
                <w:szCs w:val="14"/>
                <w:color w:val="auto"/>
              </w:rPr>
              <w:t>12,784</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2"/>
          </w:tcPr>
          <w:p>
            <w:pPr>
              <w:ind w:left="3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8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0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40" w:type="dxa"/>
            <w:vAlign w:val="bottom"/>
          </w:tcPr>
          <w:p>
            <w:pPr>
              <w:jc w:val="right"/>
              <w:ind w:right="9"/>
              <w:spacing w:after="0"/>
              <w:rPr>
                <w:sz w:val="20"/>
                <w:szCs w:val="20"/>
                <w:color w:val="auto"/>
              </w:rPr>
            </w:pPr>
            <w:r>
              <w:rPr>
                <w:rFonts w:ascii="Arial" w:cs="Arial" w:eastAsia="Arial" w:hAnsi="Arial"/>
                <w:sz w:val="14"/>
                <w:szCs w:val="14"/>
                <w:color w:val="auto"/>
              </w:rPr>
              <w:t>12,784</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Issuance of Series D convertible preferred stock</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164,992,213</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400,000</w:t>
            </w:r>
          </w:p>
        </w:tc>
        <w:tc>
          <w:tcPr>
            <w:tcW w:w="100" w:type="dxa"/>
            <w:vAlign w:val="bottom"/>
            <w:tcBorders>
              <w:bottom w:val="single" w:sz="8" w:color="CCEEFF"/>
              <w:right w:val="single" w:sz="8" w:color="auto"/>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5"/>
        </w:trPr>
        <w:tc>
          <w:tcPr>
            <w:tcW w:w="3280" w:type="dxa"/>
            <w:vAlign w:val="bottom"/>
          </w:tcPr>
          <w:p>
            <w:pPr>
              <w:ind w:left="20"/>
              <w:spacing w:after="0" w:line="135" w:lineRule="exact"/>
              <w:rPr>
                <w:sz w:val="20"/>
                <w:szCs w:val="20"/>
                <w:color w:val="auto"/>
              </w:rPr>
            </w:pPr>
            <w:r>
              <w:rPr>
                <w:rFonts w:ascii="Arial" w:cs="Arial" w:eastAsia="Arial" w:hAnsi="Arial"/>
                <w:sz w:val="14"/>
                <w:szCs w:val="14"/>
                <w:color w:val="auto"/>
              </w:rPr>
              <w:t>Settlement of Series D contingent forward contract</w:t>
            </w:r>
          </w:p>
        </w:tc>
        <w:tc>
          <w:tcPr>
            <w:tcW w:w="10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39,563</w:t>
            </w: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0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1"/>
                <w:szCs w:val="11"/>
                <w:color w:val="auto"/>
              </w:rPr>
            </w:pPr>
          </w:p>
        </w:tc>
        <w:tc>
          <w:tcPr>
            <w:tcW w:w="4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620" w:type="dxa"/>
            <w:vAlign w:val="bottom"/>
            <w:gridSpan w:val="2"/>
            <w:vMerge w:val="restart"/>
          </w:tcPr>
          <w:p>
            <w:pPr>
              <w:ind w:left="3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880" w:type="dxa"/>
            <w:vAlign w:val="bottom"/>
            <w:gridSpan w:val="2"/>
            <w:vMerge w:val="restart"/>
          </w:tcPr>
          <w:p>
            <w:pPr>
              <w:ind w:left="6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800" w:type="dxa"/>
            <w:vAlign w:val="bottom"/>
            <w:gridSpan w:val="2"/>
            <w:vMerge w:val="restart"/>
          </w:tcPr>
          <w:p>
            <w:pPr>
              <w:ind w:left="5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740" w:type="dxa"/>
            <w:vAlign w:val="bottom"/>
            <w:vMerge w:val="restart"/>
          </w:tcPr>
          <w:p>
            <w:pPr>
              <w:jc w:val="right"/>
              <w:ind w:right="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3280" w:type="dxa"/>
            <w:vAlign w:val="bottom"/>
          </w:tcPr>
          <w:p>
            <w:pPr>
              <w:ind w:left="20"/>
              <w:spacing w:after="0"/>
              <w:rPr>
                <w:sz w:val="20"/>
                <w:szCs w:val="20"/>
                <w:color w:val="auto"/>
              </w:rPr>
            </w:pPr>
            <w:r>
              <w:rPr>
                <w:rFonts w:ascii="Arial" w:cs="Arial" w:eastAsia="Arial" w:hAnsi="Arial"/>
                <w:sz w:val="14"/>
                <w:szCs w:val="14"/>
                <w:color w:val="auto"/>
              </w:rPr>
              <w:t>liability</w:t>
            </w:r>
          </w:p>
        </w:tc>
        <w:tc>
          <w:tcPr>
            <w:tcW w:w="10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Issuance of Series E convertible preferred stock</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301,092,346</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898,932</w:t>
            </w:r>
          </w:p>
        </w:tc>
        <w:tc>
          <w:tcPr>
            <w:tcW w:w="100" w:type="dxa"/>
            <w:vAlign w:val="bottom"/>
            <w:tcBorders>
              <w:bottom w:val="single" w:sz="8" w:color="CCEEFF"/>
              <w:right w:val="single" w:sz="8" w:color="auto"/>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5"/>
        </w:trPr>
        <w:tc>
          <w:tcPr>
            <w:tcW w:w="3280" w:type="dxa"/>
            <w:vAlign w:val="bottom"/>
          </w:tcPr>
          <w:p>
            <w:pPr>
              <w:ind w:left="20"/>
              <w:spacing w:after="0" w:line="135" w:lineRule="exact"/>
              <w:rPr>
                <w:sz w:val="20"/>
                <w:szCs w:val="20"/>
                <w:color w:val="auto"/>
              </w:rPr>
            </w:pPr>
            <w:r>
              <w:rPr>
                <w:rFonts w:ascii="Arial" w:cs="Arial" w:eastAsia="Arial" w:hAnsi="Arial"/>
                <w:sz w:val="14"/>
                <w:szCs w:val="14"/>
                <w:color w:val="auto"/>
              </w:rPr>
              <w:t>Settlement of Series E contingent forward contract</w:t>
            </w:r>
          </w:p>
        </w:tc>
        <w:tc>
          <w:tcPr>
            <w:tcW w:w="10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110,456</w:t>
            </w: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0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1"/>
                <w:szCs w:val="11"/>
                <w:color w:val="auto"/>
              </w:rPr>
            </w:pPr>
          </w:p>
        </w:tc>
        <w:tc>
          <w:tcPr>
            <w:tcW w:w="4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620" w:type="dxa"/>
            <w:vAlign w:val="bottom"/>
            <w:gridSpan w:val="2"/>
            <w:vMerge w:val="restart"/>
          </w:tcPr>
          <w:p>
            <w:pPr>
              <w:ind w:left="3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880" w:type="dxa"/>
            <w:vAlign w:val="bottom"/>
            <w:gridSpan w:val="2"/>
            <w:vMerge w:val="restart"/>
          </w:tcPr>
          <w:p>
            <w:pPr>
              <w:ind w:left="6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800" w:type="dxa"/>
            <w:vAlign w:val="bottom"/>
            <w:gridSpan w:val="2"/>
            <w:vMerge w:val="restart"/>
          </w:tcPr>
          <w:p>
            <w:pPr>
              <w:ind w:left="5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740" w:type="dxa"/>
            <w:vAlign w:val="bottom"/>
            <w:vMerge w:val="restart"/>
          </w:tcPr>
          <w:p>
            <w:pPr>
              <w:jc w:val="right"/>
              <w:ind w:right="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3280" w:type="dxa"/>
            <w:vAlign w:val="bottom"/>
          </w:tcPr>
          <w:p>
            <w:pPr>
              <w:ind w:left="20"/>
              <w:spacing w:after="0"/>
              <w:rPr>
                <w:sz w:val="20"/>
                <w:szCs w:val="20"/>
                <w:color w:val="auto"/>
              </w:rPr>
            </w:pPr>
            <w:r>
              <w:rPr>
                <w:rFonts w:ascii="Arial" w:cs="Arial" w:eastAsia="Arial" w:hAnsi="Arial"/>
                <w:sz w:val="14"/>
                <w:szCs w:val="14"/>
                <w:color w:val="auto"/>
              </w:rPr>
              <w:t>liability</w:t>
            </w:r>
          </w:p>
        </w:tc>
        <w:tc>
          <w:tcPr>
            <w:tcW w:w="10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328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Issuance of common stock upon exercise of stock</w:t>
            </w:r>
          </w:p>
        </w:tc>
        <w:tc>
          <w:tcPr>
            <w:tcW w:w="10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76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1"/>
                <w:szCs w:val="11"/>
                <w:color w:val="auto"/>
              </w:rPr>
            </w:pPr>
          </w:p>
        </w:tc>
        <w:tc>
          <w:tcPr>
            <w:tcW w:w="92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7,502,961</w:t>
            </w: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3,284</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gridSpan w:val="2"/>
            <w:vMerge w:val="restart"/>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880" w:type="dxa"/>
            <w:vAlign w:val="bottom"/>
            <w:gridSpan w:val="2"/>
            <w:vMerge w:val="restart"/>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3,285</w:t>
            </w:r>
          </w:p>
        </w:tc>
        <w:tc>
          <w:tcPr>
            <w:tcW w:w="0" w:type="dxa"/>
            <w:vAlign w:val="bottom"/>
          </w:tcPr>
          <w:p>
            <w:pPr>
              <w:spacing w:after="0"/>
              <w:rPr>
                <w:sz w:val="1"/>
                <w:szCs w:val="1"/>
                <w:color w:val="auto"/>
              </w:rPr>
            </w:pPr>
          </w:p>
        </w:tc>
      </w:tr>
      <w:tr>
        <w:trPr>
          <w:trHeight w:val="183"/>
        </w:trPr>
        <w:tc>
          <w:tcPr>
            <w:tcW w:w="3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options</w:t>
            </w:r>
          </w:p>
        </w:tc>
        <w:tc>
          <w:tcPr>
            <w:tcW w:w="1040" w:type="dxa"/>
            <w:vAlign w:val="bottom"/>
            <w:tcBorders>
              <w:bottom w:val="single" w:sz="8" w:color="CCEEFF"/>
            </w:tcBorders>
            <w:gridSpan w:val="2"/>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right w:val="single" w:sz="8" w:color="auto"/>
            </w:tcBorders>
            <w:gridSpan w:val="2"/>
            <w:vMerge w:val="continue"/>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gridSpan w:val="2"/>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gridSpan w:val="2"/>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2"/>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280" w:type="dxa"/>
            <w:vAlign w:val="bottom"/>
          </w:tcPr>
          <w:p>
            <w:pPr>
              <w:ind w:left="20"/>
              <w:spacing w:after="0"/>
              <w:rPr>
                <w:sz w:val="20"/>
                <w:szCs w:val="20"/>
                <w:color w:val="auto"/>
              </w:rPr>
            </w:pPr>
            <w:r>
              <w:rPr>
                <w:rFonts w:ascii="Arial" w:cs="Arial" w:eastAsia="Arial" w:hAnsi="Arial"/>
                <w:sz w:val="14"/>
                <w:szCs w:val="14"/>
                <w:color w:val="auto"/>
              </w:rPr>
              <w:t>Stock-based compensation</w:t>
            </w: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6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4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20" w:type="dxa"/>
            <w:vAlign w:val="bottom"/>
          </w:tcPr>
          <w:p>
            <w:pPr>
              <w:jc w:val="right"/>
              <w:ind w:right="9"/>
              <w:spacing w:after="0"/>
              <w:rPr>
                <w:sz w:val="20"/>
                <w:szCs w:val="20"/>
                <w:color w:val="auto"/>
              </w:rPr>
            </w:pPr>
            <w:r>
              <w:rPr>
                <w:rFonts w:ascii="Arial" w:cs="Arial" w:eastAsia="Arial" w:hAnsi="Arial"/>
                <w:sz w:val="14"/>
                <w:szCs w:val="14"/>
                <w:color w:val="auto"/>
              </w:rPr>
              <w:t>4,614</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2"/>
          </w:tcPr>
          <w:p>
            <w:pPr>
              <w:ind w:left="3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8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0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40" w:type="dxa"/>
            <w:vAlign w:val="bottom"/>
          </w:tcPr>
          <w:p>
            <w:pPr>
              <w:jc w:val="right"/>
              <w:ind w:right="9"/>
              <w:spacing w:after="0"/>
              <w:rPr>
                <w:sz w:val="20"/>
                <w:szCs w:val="20"/>
                <w:color w:val="auto"/>
              </w:rPr>
            </w:pPr>
            <w:r>
              <w:rPr>
                <w:rFonts w:ascii="Arial" w:cs="Arial" w:eastAsia="Arial" w:hAnsi="Arial"/>
                <w:sz w:val="14"/>
                <w:szCs w:val="14"/>
                <w:color w:val="auto"/>
              </w:rPr>
              <w:t>4,614</w:t>
            </w:r>
          </w:p>
        </w:tc>
        <w:tc>
          <w:tcPr>
            <w:tcW w:w="0" w:type="dxa"/>
            <w:vAlign w:val="bottom"/>
          </w:tcPr>
          <w:p>
            <w:pPr>
              <w:spacing w:after="0"/>
              <w:rPr>
                <w:sz w:val="1"/>
                <w:szCs w:val="1"/>
                <w:color w:val="auto"/>
              </w:rPr>
            </w:pPr>
          </w:p>
        </w:tc>
      </w:tr>
      <w:tr>
        <w:trPr>
          <w:trHeight w:val="20"/>
        </w:trPr>
        <w:tc>
          <w:tcPr>
            <w:tcW w:w="328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right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32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 as of December 31, 2020</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957,159,704</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93"/>
              </w:rPr>
              <w:t>2,494,076</w:t>
            </w:r>
          </w:p>
        </w:tc>
        <w:tc>
          <w:tcPr>
            <w:tcW w:w="10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28,791,702</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3</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38,113</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ind w:left="320"/>
              <w:spacing w:after="0"/>
              <w:rPr>
                <w:sz w:val="20"/>
                <w:szCs w:val="20"/>
                <w:color w:val="auto"/>
              </w:rPr>
            </w:pPr>
            <w:r>
              <w:rPr>
                <w:rFonts w:ascii="Arial" w:cs="Arial" w:eastAsia="Arial" w:hAnsi="Arial"/>
                <w:sz w:val="14"/>
                <w:szCs w:val="14"/>
                <w:b w:val="1"/>
                <w:bCs w:val="1"/>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ind w:left="600"/>
              <w:spacing w:after="0"/>
              <w:rPr>
                <w:sz w:val="20"/>
                <w:szCs w:val="20"/>
                <w:color w:val="auto"/>
              </w:rPr>
            </w:pPr>
            <w:r>
              <w:rPr>
                <w:rFonts w:ascii="Arial" w:cs="Arial" w:eastAsia="Arial" w:hAnsi="Arial"/>
                <w:sz w:val="14"/>
                <w:szCs w:val="14"/>
                <w:b w:val="1"/>
                <w:bCs w:val="1"/>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92"/>
              </w:rPr>
              <w:t>(1,356,893)</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94"/>
              </w:rPr>
              <w:t>(1,318,777)</w:t>
            </w:r>
          </w:p>
        </w:tc>
        <w:tc>
          <w:tcPr>
            <w:tcW w:w="0" w:type="dxa"/>
            <w:vAlign w:val="bottom"/>
          </w:tcPr>
          <w:p>
            <w:pPr>
              <w:spacing w:after="0"/>
              <w:rPr>
                <w:sz w:val="1"/>
                <w:szCs w:val="1"/>
                <w:color w:val="auto"/>
              </w:rPr>
            </w:pPr>
          </w:p>
        </w:tc>
      </w:tr>
      <w:tr>
        <w:trPr>
          <w:trHeight w:val="182"/>
        </w:trPr>
        <w:tc>
          <w:tcPr>
            <w:tcW w:w="3280" w:type="dxa"/>
            <w:vAlign w:val="bottom"/>
          </w:tcPr>
          <w:p>
            <w:pPr>
              <w:ind w:left="20"/>
              <w:spacing w:after="0"/>
              <w:rPr>
                <w:sz w:val="20"/>
                <w:szCs w:val="20"/>
                <w:color w:val="auto"/>
              </w:rPr>
            </w:pPr>
            <w:r>
              <w:rPr>
                <w:rFonts w:ascii="Arial" w:cs="Arial" w:eastAsia="Arial" w:hAnsi="Arial"/>
                <w:sz w:val="14"/>
                <w:szCs w:val="14"/>
                <w:color w:val="auto"/>
              </w:rPr>
              <w:t>Net loss</w:t>
            </w: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6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4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20" w:type="dxa"/>
            <w:vAlign w:val="bottom"/>
            <w:gridSpan w:val="2"/>
          </w:tcPr>
          <w:p>
            <w:pPr>
              <w:ind w:left="3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8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w w:val="92"/>
              </w:rPr>
              <w:t>(2,579,761)</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w w:val="94"/>
              </w:rPr>
              <w:t>(2,579,761)</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Repurchase of Series B convertible preferred stock</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(3,525,365)</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5"/>
        </w:trPr>
        <w:tc>
          <w:tcPr>
            <w:tcW w:w="3280" w:type="dxa"/>
            <w:vAlign w:val="bottom"/>
          </w:tcPr>
          <w:p>
            <w:pPr>
              <w:ind w:left="20"/>
              <w:spacing w:after="0" w:line="135" w:lineRule="exact"/>
              <w:rPr>
                <w:sz w:val="20"/>
                <w:szCs w:val="20"/>
                <w:color w:val="auto"/>
              </w:rPr>
            </w:pPr>
            <w:r>
              <w:rPr>
                <w:rFonts w:ascii="Arial" w:cs="Arial" w:eastAsia="Arial" w:hAnsi="Arial"/>
                <w:sz w:val="14"/>
                <w:szCs w:val="14"/>
                <w:color w:val="auto"/>
                <w:w w:val="97"/>
              </w:rPr>
              <w:t>Issuance of Series D convertible preferred stock upon</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1,546,799</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12,936</w:t>
            </w: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0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1"/>
                <w:szCs w:val="11"/>
                <w:color w:val="auto"/>
              </w:rPr>
            </w:pPr>
          </w:p>
        </w:tc>
        <w:tc>
          <w:tcPr>
            <w:tcW w:w="4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620" w:type="dxa"/>
            <w:vAlign w:val="bottom"/>
            <w:gridSpan w:val="2"/>
            <w:vMerge w:val="restart"/>
          </w:tcPr>
          <w:p>
            <w:pPr>
              <w:ind w:left="3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880" w:type="dxa"/>
            <w:vAlign w:val="bottom"/>
            <w:gridSpan w:val="2"/>
            <w:vMerge w:val="restart"/>
          </w:tcPr>
          <w:p>
            <w:pPr>
              <w:ind w:left="6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800" w:type="dxa"/>
            <w:vAlign w:val="bottom"/>
            <w:gridSpan w:val="2"/>
            <w:vMerge w:val="restart"/>
          </w:tcPr>
          <w:p>
            <w:pPr>
              <w:ind w:left="5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740" w:type="dxa"/>
            <w:vAlign w:val="bottom"/>
            <w:vMerge w:val="restart"/>
          </w:tcPr>
          <w:p>
            <w:pPr>
              <w:jc w:val="right"/>
              <w:ind w:right="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3280" w:type="dxa"/>
            <w:vAlign w:val="bottom"/>
          </w:tcPr>
          <w:p>
            <w:pPr>
              <w:ind w:left="20"/>
              <w:spacing w:after="0"/>
              <w:rPr>
                <w:sz w:val="20"/>
                <w:szCs w:val="20"/>
                <w:color w:val="auto"/>
              </w:rPr>
            </w:pPr>
            <w:r>
              <w:rPr>
                <w:rFonts w:ascii="Arial" w:cs="Arial" w:eastAsia="Arial" w:hAnsi="Arial"/>
                <w:sz w:val="14"/>
                <w:szCs w:val="14"/>
                <w:color w:val="auto"/>
              </w:rPr>
              <w:t>exercise of warrants</w:t>
            </w:r>
          </w:p>
        </w:tc>
        <w:tc>
          <w:tcPr>
            <w:tcW w:w="9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Issuance of Series E convertible preferred stock</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200,728,229</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3"/>
              </w:rPr>
              <w:t>3,206,159</w:t>
            </w:r>
          </w:p>
        </w:tc>
        <w:tc>
          <w:tcPr>
            <w:tcW w:w="100" w:type="dxa"/>
            <w:vAlign w:val="bottom"/>
            <w:tcBorders>
              <w:bottom w:val="single" w:sz="8" w:color="CCEEFF"/>
              <w:right w:val="single" w:sz="8" w:color="auto"/>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(22,395)</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2"/>
              </w:rPr>
              <w:t>(2,129,218)</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4"/>
              </w:rPr>
              <w:t>(2,151,613)</w:t>
            </w:r>
          </w:p>
        </w:tc>
        <w:tc>
          <w:tcPr>
            <w:tcW w:w="0" w:type="dxa"/>
            <w:vAlign w:val="bottom"/>
          </w:tcPr>
          <w:p>
            <w:pPr>
              <w:spacing w:after="0"/>
              <w:rPr>
                <w:sz w:val="1"/>
                <w:szCs w:val="1"/>
                <w:color w:val="auto"/>
              </w:rPr>
            </w:pPr>
          </w:p>
        </w:tc>
      </w:tr>
      <w:tr>
        <w:trPr>
          <w:trHeight w:val="135"/>
        </w:trPr>
        <w:tc>
          <w:tcPr>
            <w:tcW w:w="3280" w:type="dxa"/>
            <w:vAlign w:val="bottom"/>
          </w:tcPr>
          <w:p>
            <w:pPr>
              <w:ind w:left="20"/>
              <w:spacing w:after="0" w:line="135" w:lineRule="exact"/>
              <w:rPr>
                <w:sz w:val="20"/>
                <w:szCs w:val="20"/>
                <w:color w:val="auto"/>
              </w:rPr>
            </w:pPr>
            <w:r>
              <w:rPr>
                <w:rFonts w:ascii="Arial" w:cs="Arial" w:eastAsia="Arial" w:hAnsi="Arial"/>
                <w:sz w:val="14"/>
                <w:szCs w:val="14"/>
                <w:color w:val="auto"/>
              </w:rPr>
              <w:t>Stock-based compensation related to Series E</w:t>
            </w:r>
          </w:p>
        </w:tc>
        <w:tc>
          <w:tcPr>
            <w:tcW w:w="10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123,614</w:t>
            </w: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0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1"/>
                <w:szCs w:val="11"/>
                <w:color w:val="auto"/>
              </w:rPr>
            </w:pPr>
          </w:p>
        </w:tc>
        <w:tc>
          <w:tcPr>
            <w:tcW w:w="4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620" w:type="dxa"/>
            <w:vAlign w:val="bottom"/>
            <w:gridSpan w:val="2"/>
            <w:vMerge w:val="restart"/>
          </w:tcPr>
          <w:p>
            <w:pPr>
              <w:ind w:left="3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880" w:type="dxa"/>
            <w:vAlign w:val="bottom"/>
            <w:gridSpan w:val="2"/>
            <w:vMerge w:val="restart"/>
          </w:tcPr>
          <w:p>
            <w:pPr>
              <w:ind w:left="6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800" w:type="dxa"/>
            <w:vAlign w:val="bottom"/>
            <w:gridSpan w:val="2"/>
            <w:vMerge w:val="restart"/>
          </w:tcPr>
          <w:p>
            <w:pPr>
              <w:ind w:left="5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740" w:type="dxa"/>
            <w:vAlign w:val="bottom"/>
            <w:vMerge w:val="restart"/>
          </w:tcPr>
          <w:p>
            <w:pPr>
              <w:jc w:val="right"/>
              <w:ind w:right="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3280" w:type="dxa"/>
            <w:vAlign w:val="bottom"/>
          </w:tcPr>
          <w:p>
            <w:pPr>
              <w:ind w:left="20"/>
              <w:spacing w:after="0"/>
              <w:rPr>
                <w:sz w:val="20"/>
                <w:szCs w:val="20"/>
                <w:color w:val="auto"/>
              </w:rPr>
            </w:pPr>
            <w:r>
              <w:rPr>
                <w:rFonts w:ascii="Arial" w:cs="Arial" w:eastAsia="Arial" w:hAnsi="Arial"/>
                <w:sz w:val="14"/>
                <w:szCs w:val="14"/>
                <w:color w:val="auto"/>
              </w:rPr>
              <w:t>convertible preferred stock</w:t>
            </w:r>
          </w:p>
        </w:tc>
        <w:tc>
          <w:tcPr>
            <w:tcW w:w="10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328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Conversion of convertible preferred stock into</w:t>
            </w:r>
          </w:p>
        </w:tc>
        <w:tc>
          <w:tcPr>
            <w:tcW w:w="96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w w:val="93"/>
              </w:rPr>
              <w:t>(1,155,909,367)</w:t>
            </w: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4"/>
                <w:szCs w:val="14"/>
                <w:color w:val="auto"/>
              </w:rPr>
              <w:t>(5,836,785)</w:t>
            </w: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20" w:type="dxa"/>
            <w:vAlign w:val="bottom"/>
            <w:shd w:val="clear" w:color="auto" w:fill="CCEEFF"/>
          </w:tcPr>
          <w:p>
            <w:pPr>
              <w:jc w:val="right"/>
              <w:ind w:right="9"/>
              <w:spacing w:after="0" w:line="135" w:lineRule="exact"/>
              <w:rPr>
                <w:sz w:val="20"/>
                <w:szCs w:val="20"/>
                <w:color w:val="auto"/>
              </w:rPr>
            </w:pPr>
            <w:r>
              <w:rPr>
                <w:rFonts w:ascii="Arial" w:cs="Arial" w:eastAsia="Arial" w:hAnsi="Arial"/>
                <w:sz w:val="14"/>
                <w:szCs w:val="14"/>
                <w:color w:val="auto"/>
                <w:w w:val="91"/>
              </w:rPr>
              <w:t>1,155,909,367</w:t>
            </w: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20" w:type="dxa"/>
            <w:vAlign w:val="bottom"/>
            <w:shd w:val="clear" w:color="auto" w:fill="CCEEFF"/>
          </w:tcPr>
          <w:p>
            <w:pPr>
              <w:jc w:val="right"/>
              <w:ind w:right="8"/>
              <w:spacing w:after="0" w:line="135" w:lineRule="exact"/>
              <w:rPr>
                <w:sz w:val="20"/>
                <w:szCs w:val="20"/>
                <w:color w:val="auto"/>
              </w:rPr>
            </w:pPr>
            <w:r>
              <w:rPr>
                <w:rFonts w:ascii="Arial" w:cs="Arial" w:eastAsia="Arial" w:hAnsi="Arial"/>
                <w:sz w:val="14"/>
                <w:szCs w:val="14"/>
                <w:color w:val="auto"/>
                <w:w w:val="94"/>
              </w:rPr>
              <w:t>116</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jc w:val="right"/>
              <w:ind w:right="9"/>
              <w:spacing w:after="0" w:line="135" w:lineRule="exact"/>
              <w:rPr>
                <w:sz w:val="20"/>
                <w:szCs w:val="20"/>
                <w:color w:val="auto"/>
              </w:rPr>
            </w:pPr>
            <w:r>
              <w:rPr>
                <w:rFonts w:ascii="Arial" w:cs="Arial" w:eastAsia="Arial" w:hAnsi="Arial"/>
                <w:sz w:val="14"/>
                <w:szCs w:val="14"/>
                <w:color w:val="auto"/>
                <w:w w:val="99"/>
              </w:rPr>
              <w:t>5,836,669</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gridSpan w:val="2"/>
            <w:shd w:val="clear" w:color="auto" w:fill="CCEEFF"/>
          </w:tcPr>
          <w:p>
            <w:pPr>
              <w:ind w:left="320"/>
              <w:spacing w:after="0" w:line="135"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880" w:type="dxa"/>
            <w:vAlign w:val="bottom"/>
            <w:gridSpan w:val="2"/>
            <w:shd w:val="clear" w:color="auto" w:fill="CCEEFF"/>
          </w:tcPr>
          <w:p>
            <w:pPr>
              <w:ind w:left="600"/>
              <w:spacing w:after="0" w:line="135"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800" w:type="dxa"/>
            <w:vAlign w:val="bottom"/>
            <w:gridSpan w:val="2"/>
            <w:shd w:val="clear" w:color="auto" w:fill="CCEEFF"/>
          </w:tcPr>
          <w:p>
            <w:pPr>
              <w:ind w:left="500"/>
              <w:spacing w:after="0" w:line="135"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jc w:val="right"/>
              <w:ind w:right="9"/>
              <w:spacing w:after="0" w:line="135" w:lineRule="exact"/>
              <w:rPr>
                <w:sz w:val="20"/>
                <w:szCs w:val="20"/>
                <w:color w:val="auto"/>
              </w:rPr>
            </w:pPr>
            <w:r>
              <w:rPr>
                <w:rFonts w:ascii="Arial" w:cs="Arial" w:eastAsia="Arial" w:hAnsi="Arial"/>
                <w:sz w:val="14"/>
                <w:szCs w:val="14"/>
                <w:color w:val="auto"/>
              </w:rPr>
              <w:t>5,836,785</w:t>
            </w:r>
          </w:p>
        </w:tc>
        <w:tc>
          <w:tcPr>
            <w:tcW w:w="0" w:type="dxa"/>
            <w:vAlign w:val="bottom"/>
          </w:tcPr>
          <w:p>
            <w:pPr>
              <w:spacing w:after="0"/>
              <w:rPr>
                <w:sz w:val="1"/>
                <w:szCs w:val="1"/>
                <w:color w:val="auto"/>
              </w:rPr>
            </w:pPr>
          </w:p>
        </w:tc>
      </w:tr>
      <w:tr>
        <w:trPr>
          <w:trHeight w:val="143"/>
        </w:trPr>
        <w:tc>
          <w:tcPr>
            <w:tcW w:w="3280" w:type="dxa"/>
            <w:vAlign w:val="bottom"/>
            <w:shd w:val="clear" w:color="auto" w:fill="CCEEFF"/>
          </w:tcPr>
          <w:p>
            <w:pPr>
              <w:ind w:left="20"/>
              <w:spacing w:after="0" w:line="143" w:lineRule="exact"/>
              <w:rPr>
                <w:sz w:val="20"/>
                <w:szCs w:val="20"/>
                <w:color w:val="auto"/>
              </w:rPr>
            </w:pPr>
            <w:r>
              <w:rPr>
                <w:rFonts w:ascii="Arial" w:cs="Arial" w:eastAsia="Arial" w:hAnsi="Arial"/>
                <w:sz w:val="14"/>
                <w:szCs w:val="14"/>
                <w:color w:val="auto"/>
              </w:rPr>
              <w:t>common stock in connection with the reverse</w:t>
            </w:r>
          </w:p>
        </w:tc>
        <w:tc>
          <w:tcPr>
            <w:tcW w:w="9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3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recapitalization</w:t>
            </w:r>
          </w:p>
        </w:tc>
        <w:tc>
          <w:tcPr>
            <w:tcW w:w="9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right w:val="single" w:sz="8" w:color="auto"/>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280" w:type="dxa"/>
            <w:vAlign w:val="bottom"/>
          </w:tcPr>
          <w:p>
            <w:pPr>
              <w:ind w:left="20"/>
              <w:spacing w:after="0" w:line="135" w:lineRule="exact"/>
              <w:rPr>
                <w:sz w:val="20"/>
                <w:szCs w:val="20"/>
                <w:color w:val="auto"/>
              </w:rPr>
            </w:pPr>
            <w:r>
              <w:rPr>
                <w:rFonts w:ascii="Arial" w:cs="Arial" w:eastAsia="Arial" w:hAnsi="Arial"/>
                <w:sz w:val="14"/>
                <w:szCs w:val="14"/>
                <w:color w:val="auto"/>
              </w:rPr>
              <w:t>Issuance of common stock and common stock</w:t>
            </w:r>
          </w:p>
        </w:tc>
        <w:tc>
          <w:tcPr>
            <w:tcW w:w="1040" w:type="dxa"/>
            <w:vAlign w:val="bottom"/>
            <w:gridSpan w:val="2"/>
          </w:tcPr>
          <w:p>
            <w:pPr>
              <w:jc w:val="right"/>
              <w:ind w:right="140"/>
              <w:spacing w:after="0" w:line="135"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760" w:type="dxa"/>
            <w:vAlign w:val="bottom"/>
            <w:tcBorders>
              <w:right w:val="single" w:sz="8" w:color="auto"/>
            </w:tcBorders>
            <w:gridSpan w:val="2"/>
          </w:tcPr>
          <w:p>
            <w:pPr>
              <w:jc w:val="right"/>
              <w:ind w:right="160"/>
              <w:spacing w:after="0" w:line="135"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920" w:type="dxa"/>
            <w:vAlign w:val="bottom"/>
          </w:tcPr>
          <w:p>
            <w:pPr>
              <w:jc w:val="right"/>
              <w:ind w:right="9"/>
              <w:spacing w:after="0" w:line="135" w:lineRule="exact"/>
              <w:rPr>
                <w:sz w:val="20"/>
                <w:szCs w:val="20"/>
                <w:color w:val="auto"/>
              </w:rPr>
            </w:pPr>
            <w:r>
              <w:rPr>
                <w:rFonts w:ascii="Arial" w:cs="Arial" w:eastAsia="Arial" w:hAnsi="Arial"/>
                <w:sz w:val="14"/>
                <w:szCs w:val="14"/>
                <w:color w:val="auto"/>
              </w:rPr>
              <w:t>425,395,023</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jc w:val="right"/>
              <w:ind w:right="8"/>
              <w:spacing w:after="0" w:line="135" w:lineRule="exact"/>
              <w:rPr>
                <w:sz w:val="20"/>
                <w:szCs w:val="20"/>
                <w:color w:val="auto"/>
              </w:rPr>
            </w:pPr>
            <w:r>
              <w:rPr>
                <w:rFonts w:ascii="Arial" w:cs="Arial" w:eastAsia="Arial" w:hAnsi="Arial"/>
                <w:sz w:val="14"/>
                <w:szCs w:val="14"/>
                <w:color w:val="auto"/>
              </w:rPr>
              <w:t>42</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right"/>
              <w:ind w:right="9"/>
              <w:spacing w:after="0" w:line="135" w:lineRule="exact"/>
              <w:rPr>
                <w:sz w:val="20"/>
                <w:szCs w:val="20"/>
                <w:color w:val="auto"/>
              </w:rPr>
            </w:pPr>
            <w:r>
              <w:rPr>
                <w:rFonts w:ascii="Arial" w:cs="Arial" w:eastAsia="Arial" w:hAnsi="Arial"/>
                <w:sz w:val="14"/>
                <w:szCs w:val="14"/>
                <w:color w:val="auto"/>
                <w:w w:val="99"/>
              </w:rPr>
              <w:t>3,590,914</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gridSpan w:val="2"/>
          </w:tcPr>
          <w:p>
            <w:pPr>
              <w:ind w:left="320"/>
              <w:spacing w:after="0" w:line="135"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880" w:type="dxa"/>
            <w:vAlign w:val="bottom"/>
            <w:gridSpan w:val="2"/>
          </w:tcPr>
          <w:p>
            <w:pPr>
              <w:ind w:left="600"/>
              <w:spacing w:after="0" w:line="135"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800" w:type="dxa"/>
            <w:vAlign w:val="bottom"/>
            <w:gridSpan w:val="2"/>
          </w:tcPr>
          <w:p>
            <w:pPr>
              <w:ind w:left="500"/>
              <w:spacing w:after="0" w:line="135"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740" w:type="dxa"/>
            <w:vAlign w:val="bottom"/>
          </w:tcPr>
          <w:p>
            <w:pPr>
              <w:jc w:val="right"/>
              <w:ind w:right="9"/>
              <w:spacing w:after="0" w:line="135" w:lineRule="exact"/>
              <w:rPr>
                <w:sz w:val="20"/>
                <w:szCs w:val="20"/>
                <w:color w:val="auto"/>
              </w:rPr>
            </w:pPr>
            <w:r>
              <w:rPr>
                <w:rFonts w:ascii="Arial" w:cs="Arial" w:eastAsia="Arial" w:hAnsi="Arial"/>
                <w:sz w:val="14"/>
                <w:szCs w:val="14"/>
                <w:color w:val="auto"/>
              </w:rPr>
              <w:t>3,590,956</w:t>
            </w:r>
          </w:p>
        </w:tc>
        <w:tc>
          <w:tcPr>
            <w:tcW w:w="0" w:type="dxa"/>
            <w:vAlign w:val="bottom"/>
          </w:tcPr>
          <w:p>
            <w:pPr>
              <w:spacing w:after="0"/>
              <w:rPr>
                <w:sz w:val="1"/>
                <w:szCs w:val="1"/>
                <w:color w:val="auto"/>
              </w:rPr>
            </w:pPr>
          </w:p>
        </w:tc>
      </w:tr>
      <w:tr>
        <w:trPr>
          <w:trHeight w:val="143"/>
        </w:trPr>
        <w:tc>
          <w:tcPr>
            <w:tcW w:w="3280" w:type="dxa"/>
            <w:vAlign w:val="bottom"/>
          </w:tcPr>
          <w:p>
            <w:pPr>
              <w:ind w:left="20"/>
              <w:spacing w:after="0" w:line="143" w:lineRule="exact"/>
              <w:rPr>
                <w:sz w:val="20"/>
                <w:szCs w:val="20"/>
                <w:color w:val="auto"/>
              </w:rPr>
            </w:pPr>
            <w:r>
              <w:rPr>
                <w:rFonts w:ascii="Arial" w:cs="Arial" w:eastAsia="Arial" w:hAnsi="Arial"/>
                <w:sz w:val="14"/>
                <w:szCs w:val="14"/>
                <w:color w:val="auto"/>
              </w:rPr>
              <w:t>warrants upon the reverse recapitalization, net of</w:t>
            </w: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280" w:type="dxa"/>
            <w:vAlign w:val="bottom"/>
          </w:tcPr>
          <w:p>
            <w:pPr>
              <w:ind w:left="20"/>
              <w:spacing w:after="0"/>
              <w:rPr>
                <w:sz w:val="20"/>
                <w:szCs w:val="20"/>
                <w:color w:val="auto"/>
              </w:rPr>
            </w:pPr>
            <w:r>
              <w:rPr>
                <w:rFonts w:ascii="Arial" w:cs="Arial" w:eastAsia="Arial" w:hAnsi="Arial"/>
                <w:sz w:val="14"/>
                <w:szCs w:val="14"/>
                <w:color w:val="auto"/>
              </w:rPr>
              <w:t>issuance costs</w:t>
            </w: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
        </w:trPr>
        <w:tc>
          <w:tcPr>
            <w:tcW w:w="3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328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Issuance and sale of common stock for tax</w:t>
            </w:r>
          </w:p>
        </w:tc>
        <w:tc>
          <w:tcPr>
            <w:tcW w:w="10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76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1"/>
                <w:szCs w:val="11"/>
                <w:color w:val="auto"/>
              </w:rPr>
            </w:pPr>
          </w:p>
        </w:tc>
        <w:tc>
          <w:tcPr>
            <w:tcW w:w="10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1"/>
                <w:szCs w:val="11"/>
                <w:color w:val="auto"/>
              </w:rPr>
            </w:pPr>
          </w:p>
        </w:tc>
        <w:tc>
          <w:tcPr>
            <w:tcW w:w="4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(22,063)</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gridSpan w:val="2"/>
            <w:vMerge w:val="restart"/>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880" w:type="dxa"/>
            <w:vAlign w:val="bottom"/>
            <w:gridSpan w:val="2"/>
            <w:vMerge w:val="restart"/>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(22,063)</w:t>
            </w:r>
          </w:p>
        </w:tc>
        <w:tc>
          <w:tcPr>
            <w:tcW w:w="0" w:type="dxa"/>
            <w:vAlign w:val="bottom"/>
          </w:tcPr>
          <w:p>
            <w:pPr>
              <w:spacing w:after="0"/>
              <w:rPr>
                <w:sz w:val="1"/>
                <w:szCs w:val="1"/>
                <w:color w:val="auto"/>
              </w:rPr>
            </w:pPr>
          </w:p>
        </w:tc>
      </w:tr>
      <w:tr>
        <w:trPr>
          <w:trHeight w:val="183"/>
        </w:trPr>
        <w:tc>
          <w:tcPr>
            <w:tcW w:w="3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withholdings of employee RSUs</w:t>
            </w:r>
          </w:p>
        </w:tc>
        <w:tc>
          <w:tcPr>
            <w:tcW w:w="1040" w:type="dxa"/>
            <w:vAlign w:val="bottom"/>
            <w:tcBorders>
              <w:bottom w:val="single" w:sz="8" w:color="CCEEFF"/>
            </w:tcBorders>
            <w:gridSpan w:val="2"/>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right w:val="single" w:sz="8" w:color="auto"/>
            </w:tcBorders>
            <w:gridSpan w:val="2"/>
            <w:vMerge w:val="continue"/>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gridSpan w:val="2"/>
            <w:vMerge w:val="continue"/>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gridSpan w:val="2"/>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gridSpan w:val="2"/>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gridSpan w:val="2"/>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2"/>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280" w:type="dxa"/>
            <w:vAlign w:val="bottom"/>
          </w:tcPr>
          <w:p>
            <w:pPr>
              <w:ind w:left="20"/>
              <w:spacing w:after="0"/>
              <w:rPr>
                <w:sz w:val="20"/>
                <w:szCs w:val="20"/>
                <w:color w:val="auto"/>
              </w:rPr>
            </w:pPr>
            <w:r>
              <w:rPr>
                <w:rFonts w:ascii="Arial" w:cs="Arial" w:eastAsia="Arial" w:hAnsi="Arial"/>
                <w:sz w:val="14"/>
                <w:szCs w:val="14"/>
                <w:color w:val="auto"/>
              </w:rPr>
              <w:t>Treasury stock repurchase</w:t>
            </w: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6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(857,825)</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540" w:type="dxa"/>
            <w:vAlign w:val="bottom"/>
          </w:tcPr>
          <w:p>
            <w:pPr>
              <w:spacing w:after="0"/>
              <w:rPr>
                <w:sz w:val="20"/>
                <w:szCs w:val="20"/>
                <w:color w:val="auto"/>
              </w:rPr>
            </w:pPr>
            <w:r>
              <w:rPr>
                <w:rFonts w:ascii="Arial" w:cs="Arial" w:eastAsia="Arial" w:hAnsi="Arial"/>
                <w:sz w:val="14"/>
                <w:szCs w:val="14"/>
                <w:color w:val="auto"/>
                <w:w w:val="99"/>
              </w:rPr>
              <w:t>(20,716)</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0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(20,716)</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328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w w:val="98"/>
              </w:rPr>
              <w:t>Issuance of common stock upon vesting of employee</w:t>
            </w:r>
          </w:p>
        </w:tc>
        <w:tc>
          <w:tcPr>
            <w:tcW w:w="10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76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1"/>
                <w:szCs w:val="11"/>
                <w:color w:val="auto"/>
              </w:rPr>
            </w:pPr>
          </w:p>
        </w:tc>
        <w:tc>
          <w:tcPr>
            <w:tcW w:w="92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601,176</w:t>
            </w: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620" w:type="dxa"/>
            <w:vAlign w:val="bottom"/>
            <w:gridSpan w:val="2"/>
            <w:vMerge w:val="restart"/>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880" w:type="dxa"/>
            <w:vAlign w:val="bottom"/>
            <w:gridSpan w:val="2"/>
            <w:vMerge w:val="restart"/>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3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RSUs</w:t>
            </w:r>
          </w:p>
        </w:tc>
        <w:tc>
          <w:tcPr>
            <w:tcW w:w="1040" w:type="dxa"/>
            <w:vAlign w:val="bottom"/>
            <w:tcBorders>
              <w:bottom w:val="single" w:sz="8" w:color="CCEEFF"/>
            </w:tcBorders>
            <w:gridSpan w:val="2"/>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right w:val="single" w:sz="8" w:color="auto"/>
            </w:tcBorders>
            <w:gridSpan w:val="2"/>
            <w:vMerge w:val="continue"/>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gridSpan w:val="2"/>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2"/>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gridSpan w:val="2"/>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gridSpan w:val="2"/>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2"/>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3280" w:type="dxa"/>
            <w:vAlign w:val="bottom"/>
          </w:tcPr>
          <w:p>
            <w:pPr>
              <w:ind w:left="20"/>
              <w:spacing w:after="0" w:line="135" w:lineRule="exact"/>
              <w:rPr>
                <w:sz w:val="20"/>
                <w:szCs w:val="20"/>
                <w:color w:val="auto"/>
              </w:rPr>
            </w:pPr>
            <w:r>
              <w:rPr>
                <w:rFonts w:ascii="Arial" w:cs="Arial" w:eastAsia="Arial" w:hAnsi="Arial"/>
                <w:sz w:val="14"/>
                <w:szCs w:val="14"/>
                <w:color w:val="auto"/>
                <w:w w:val="98"/>
              </w:rPr>
              <w:t>Issuance of common stock upon exercise of common</w:t>
            </w:r>
          </w:p>
        </w:tc>
        <w:tc>
          <w:tcPr>
            <w:tcW w:w="10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760" w:type="dxa"/>
            <w:vAlign w:val="bottom"/>
            <w:tcBorders>
              <w:right w:val="single" w:sz="8" w:color="auto"/>
            </w:tcBorders>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920" w:type="dxa"/>
            <w:vAlign w:val="bottom"/>
            <w:vMerge w:val="restart"/>
          </w:tcPr>
          <w:p>
            <w:pPr>
              <w:jc w:val="right"/>
              <w:ind w:right="9"/>
              <w:spacing w:after="0"/>
              <w:rPr>
                <w:sz w:val="20"/>
                <w:szCs w:val="20"/>
                <w:color w:val="auto"/>
              </w:rPr>
            </w:pPr>
            <w:r>
              <w:rPr>
                <w:rFonts w:ascii="Arial" w:cs="Arial" w:eastAsia="Arial" w:hAnsi="Arial"/>
                <w:sz w:val="14"/>
                <w:szCs w:val="14"/>
                <w:color w:val="auto"/>
              </w:rPr>
              <w:t>26,640,121</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vMerge w:val="restart"/>
          </w:tcPr>
          <w:p>
            <w:pPr>
              <w:jc w:val="right"/>
              <w:ind w:right="8"/>
              <w:spacing w:after="0"/>
              <w:rPr>
                <w:sz w:val="20"/>
                <w:szCs w:val="20"/>
                <w:color w:val="auto"/>
              </w:rPr>
            </w:pPr>
            <w:r>
              <w:rPr>
                <w:rFonts w:ascii="Arial" w:cs="Arial" w:eastAsia="Arial" w:hAnsi="Arial"/>
                <w:sz w:val="14"/>
                <w:szCs w:val="14"/>
                <w:color w:val="auto"/>
              </w:rPr>
              <w:t>3</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vMerge w:val="restart"/>
          </w:tcPr>
          <w:p>
            <w:pPr>
              <w:jc w:val="right"/>
              <w:ind w:right="9"/>
              <w:spacing w:after="0"/>
              <w:rPr>
                <w:sz w:val="20"/>
                <w:szCs w:val="20"/>
                <w:color w:val="auto"/>
              </w:rPr>
            </w:pPr>
            <w:r>
              <w:rPr>
                <w:rFonts w:ascii="Arial" w:cs="Arial" w:eastAsia="Arial" w:hAnsi="Arial"/>
                <w:sz w:val="14"/>
                <w:szCs w:val="14"/>
                <w:color w:val="auto"/>
              </w:rPr>
              <w:t>173,270</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gridSpan w:val="2"/>
            <w:vMerge w:val="restart"/>
          </w:tcPr>
          <w:p>
            <w:pPr>
              <w:ind w:left="3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880" w:type="dxa"/>
            <w:vAlign w:val="bottom"/>
            <w:gridSpan w:val="2"/>
            <w:vMerge w:val="restart"/>
          </w:tcPr>
          <w:p>
            <w:pPr>
              <w:ind w:left="6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800" w:type="dxa"/>
            <w:vAlign w:val="bottom"/>
            <w:gridSpan w:val="2"/>
            <w:vMerge w:val="restart"/>
          </w:tcPr>
          <w:p>
            <w:pPr>
              <w:ind w:left="5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740" w:type="dxa"/>
            <w:vAlign w:val="bottom"/>
            <w:vMerge w:val="restart"/>
          </w:tcPr>
          <w:p>
            <w:pPr>
              <w:jc w:val="right"/>
              <w:ind w:right="9"/>
              <w:spacing w:after="0"/>
              <w:rPr>
                <w:sz w:val="20"/>
                <w:szCs w:val="20"/>
                <w:color w:val="auto"/>
              </w:rPr>
            </w:pPr>
            <w:r>
              <w:rPr>
                <w:rFonts w:ascii="Arial" w:cs="Arial" w:eastAsia="Arial" w:hAnsi="Arial"/>
                <w:sz w:val="14"/>
                <w:szCs w:val="14"/>
                <w:color w:val="auto"/>
              </w:rPr>
              <w:t>173,273</w:t>
            </w:r>
          </w:p>
        </w:tc>
        <w:tc>
          <w:tcPr>
            <w:tcW w:w="0" w:type="dxa"/>
            <w:vAlign w:val="bottom"/>
          </w:tcPr>
          <w:p>
            <w:pPr>
              <w:spacing w:after="0"/>
              <w:rPr>
                <w:sz w:val="1"/>
                <w:szCs w:val="1"/>
                <w:color w:val="auto"/>
              </w:rPr>
            </w:pPr>
          </w:p>
        </w:tc>
      </w:tr>
      <w:tr>
        <w:trPr>
          <w:trHeight w:val="182"/>
        </w:trPr>
        <w:tc>
          <w:tcPr>
            <w:tcW w:w="3280" w:type="dxa"/>
            <w:vAlign w:val="bottom"/>
          </w:tcPr>
          <w:p>
            <w:pPr>
              <w:ind w:left="20"/>
              <w:spacing w:after="0"/>
              <w:rPr>
                <w:sz w:val="20"/>
                <w:szCs w:val="20"/>
                <w:color w:val="auto"/>
              </w:rPr>
            </w:pPr>
            <w:r>
              <w:rPr>
                <w:rFonts w:ascii="Arial" w:cs="Arial" w:eastAsia="Arial" w:hAnsi="Arial"/>
                <w:sz w:val="14"/>
                <w:szCs w:val="14"/>
                <w:color w:val="auto"/>
              </w:rPr>
              <w:t>stock warrants</w:t>
            </w:r>
          </w:p>
        </w:tc>
        <w:tc>
          <w:tcPr>
            <w:tcW w:w="10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Borders>
              <w:right w:val="single" w:sz="8" w:color="auto"/>
            </w:tcBorders>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Redemption of public warrants</w:t>
            </w:r>
          </w:p>
        </w:tc>
        <w:tc>
          <w:tcPr>
            <w:tcW w:w="1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35"/>
        </w:trPr>
        <w:tc>
          <w:tcPr>
            <w:tcW w:w="3280" w:type="dxa"/>
            <w:vAlign w:val="bottom"/>
          </w:tcPr>
          <w:p>
            <w:pPr>
              <w:ind w:left="20"/>
              <w:spacing w:after="0" w:line="135" w:lineRule="exact"/>
              <w:rPr>
                <w:sz w:val="20"/>
                <w:szCs w:val="20"/>
                <w:color w:val="auto"/>
              </w:rPr>
            </w:pPr>
            <w:r>
              <w:rPr>
                <w:rFonts w:ascii="Arial" w:cs="Arial" w:eastAsia="Arial" w:hAnsi="Arial"/>
                <w:sz w:val="14"/>
                <w:szCs w:val="14"/>
                <w:color w:val="auto"/>
              </w:rPr>
              <w:t>Issuance of common stock upon exercise of stock</w:t>
            </w:r>
          </w:p>
        </w:tc>
        <w:tc>
          <w:tcPr>
            <w:tcW w:w="10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760" w:type="dxa"/>
            <w:vAlign w:val="bottom"/>
            <w:tcBorders>
              <w:right w:val="single" w:sz="8" w:color="auto"/>
            </w:tcBorders>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920" w:type="dxa"/>
            <w:vAlign w:val="bottom"/>
            <w:vMerge w:val="restart"/>
          </w:tcPr>
          <w:p>
            <w:pPr>
              <w:jc w:val="right"/>
              <w:ind w:right="9"/>
              <w:spacing w:after="0"/>
              <w:rPr>
                <w:sz w:val="20"/>
                <w:szCs w:val="20"/>
                <w:color w:val="auto"/>
              </w:rPr>
            </w:pPr>
            <w:r>
              <w:rPr>
                <w:rFonts w:ascii="Arial" w:cs="Arial" w:eastAsia="Arial" w:hAnsi="Arial"/>
                <w:sz w:val="14"/>
                <w:szCs w:val="14"/>
                <w:color w:val="auto"/>
              </w:rPr>
              <w:t>11,076,026</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vMerge w:val="restart"/>
          </w:tcPr>
          <w:p>
            <w:pPr>
              <w:jc w:val="right"/>
              <w:ind w:right="8"/>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vMerge w:val="restart"/>
          </w:tcPr>
          <w:p>
            <w:pPr>
              <w:jc w:val="right"/>
              <w:ind w:right="9"/>
              <w:spacing w:after="0"/>
              <w:rPr>
                <w:sz w:val="20"/>
                <w:szCs w:val="20"/>
                <w:color w:val="auto"/>
              </w:rPr>
            </w:pPr>
            <w:r>
              <w:rPr>
                <w:rFonts w:ascii="Arial" w:cs="Arial" w:eastAsia="Arial" w:hAnsi="Arial"/>
                <w:sz w:val="14"/>
                <w:szCs w:val="14"/>
                <w:color w:val="auto"/>
              </w:rPr>
              <w:t>8,131</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gridSpan w:val="2"/>
            <w:vMerge w:val="restart"/>
          </w:tcPr>
          <w:p>
            <w:pPr>
              <w:ind w:left="3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880" w:type="dxa"/>
            <w:vAlign w:val="bottom"/>
            <w:gridSpan w:val="2"/>
            <w:vMerge w:val="restart"/>
          </w:tcPr>
          <w:p>
            <w:pPr>
              <w:ind w:left="6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800" w:type="dxa"/>
            <w:vAlign w:val="bottom"/>
            <w:gridSpan w:val="2"/>
            <w:vMerge w:val="restart"/>
          </w:tcPr>
          <w:p>
            <w:pPr>
              <w:ind w:left="5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740" w:type="dxa"/>
            <w:vAlign w:val="bottom"/>
            <w:vMerge w:val="restart"/>
          </w:tcPr>
          <w:p>
            <w:pPr>
              <w:jc w:val="right"/>
              <w:ind w:right="9"/>
              <w:spacing w:after="0"/>
              <w:rPr>
                <w:sz w:val="20"/>
                <w:szCs w:val="20"/>
                <w:color w:val="auto"/>
              </w:rPr>
            </w:pPr>
            <w:r>
              <w:rPr>
                <w:rFonts w:ascii="Arial" w:cs="Arial" w:eastAsia="Arial" w:hAnsi="Arial"/>
                <w:sz w:val="14"/>
                <w:szCs w:val="14"/>
                <w:color w:val="auto"/>
              </w:rPr>
              <w:t>8,132</w:t>
            </w:r>
          </w:p>
        </w:tc>
        <w:tc>
          <w:tcPr>
            <w:tcW w:w="0" w:type="dxa"/>
            <w:vAlign w:val="bottom"/>
          </w:tcPr>
          <w:p>
            <w:pPr>
              <w:spacing w:after="0"/>
              <w:rPr>
                <w:sz w:val="1"/>
                <w:szCs w:val="1"/>
                <w:color w:val="auto"/>
              </w:rPr>
            </w:pPr>
          </w:p>
        </w:tc>
      </w:tr>
      <w:tr>
        <w:trPr>
          <w:trHeight w:val="182"/>
        </w:trPr>
        <w:tc>
          <w:tcPr>
            <w:tcW w:w="3280" w:type="dxa"/>
            <w:vAlign w:val="bottom"/>
          </w:tcPr>
          <w:p>
            <w:pPr>
              <w:ind w:left="20"/>
              <w:spacing w:after="0"/>
              <w:rPr>
                <w:sz w:val="20"/>
                <w:szCs w:val="20"/>
                <w:color w:val="auto"/>
              </w:rPr>
            </w:pPr>
            <w:r>
              <w:rPr>
                <w:rFonts w:ascii="Arial" w:cs="Arial" w:eastAsia="Arial" w:hAnsi="Arial"/>
                <w:sz w:val="14"/>
                <w:szCs w:val="14"/>
                <w:color w:val="auto"/>
              </w:rPr>
              <w:t>options</w:t>
            </w:r>
          </w:p>
        </w:tc>
        <w:tc>
          <w:tcPr>
            <w:tcW w:w="10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Borders>
              <w:right w:val="single" w:sz="8" w:color="auto"/>
            </w:tcBorders>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Stock-based compensation</w:t>
            </w:r>
          </w:p>
        </w:tc>
        <w:tc>
          <w:tcPr>
            <w:tcW w:w="1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393,143</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393,143</w:t>
            </w:r>
          </w:p>
        </w:tc>
        <w:tc>
          <w:tcPr>
            <w:tcW w:w="0" w:type="dxa"/>
            <w:vAlign w:val="bottom"/>
          </w:tcPr>
          <w:p>
            <w:pPr>
              <w:spacing w:after="0"/>
              <w:rPr>
                <w:sz w:val="1"/>
                <w:szCs w:val="1"/>
                <w:color w:val="auto"/>
              </w:rPr>
            </w:pPr>
          </w:p>
        </w:tc>
      </w:tr>
      <w:tr>
        <w:trPr>
          <w:trHeight w:val="188"/>
        </w:trPr>
        <w:tc>
          <w:tcPr>
            <w:tcW w:w="3280" w:type="dxa"/>
            <w:vAlign w:val="bottom"/>
          </w:tcPr>
          <w:p>
            <w:pPr>
              <w:ind w:left="20"/>
              <w:spacing w:after="0"/>
              <w:rPr>
                <w:sz w:val="20"/>
                <w:szCs w:val="20"/>
                <w:color w:val="auto"/>
              </w:rPr>
            </w:pPr>
            <w:r>
              <w:rPr>
                <w:rFonts w:ascii="Arial" w:cs="Arial" w:eastAsia="Arial" w:hAnsi="Arial"/>
                <w:sz w:val="14"/>
                <w:szCs w:val="14"/>
                <w:b w:val="1"/>
                <w:bCs w:val="1"/>
                <w:color w:val="auto"/>
              </w:rPr>
              <w:t>Balance as of December 31, 2021</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92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b w:val="1"/>
                <w:bCs w:val="1"/>
                <w:color w:val="auto"/>
                <w:w w:val="91"/>
              </w:rPr>
              <w:t>1,647,555,590</w:t>
            </w:r>
          </w:p>
        </w:tc>
        <w:tc>
          <w:tcPr>
            <w:tcW w:w="8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b w:val="1"/>
                <w:bCs w:val="1"/>
                <w:color w:val="auto"/>
                <w:w w:val="94"/>
              </w:rPr>
              <w:t>165</w:t>
            </w: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b w:val="1"/>
                <w:bCs w:val="1"/>
                <w:color w:val="auto"/>
                <w:w w:val="99"/>
              </w:rPr>
              <w:t>9,995,778</w:t>
            </w: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20"/>
                <w:szCs w:val="20"/>
                <w:color w:val="auto"/>
              </w:rPr>
            </w:pPr>
            <w:r>
              <w:rPr>
                <w:rFonts w:ascii="Arial" w:cs="Arial" w:eastAsia="Arial" w:hAnsi="Arial"/>
                <w:sz w:val="14"/>
                <w:szCs w:val="14"/>
                <w:b w:val="1"/>
                <w:bCs w:val="1"/>
                <w:color w:val="auto"/>
                <w:w w:val="99"/>
              </w:rPr>
              <w:t>(20,716)</w:t>
            </w:r>
          </w:p>
        </w:tc>
        <w:tc>
          <w:tcPr>
            <w:tcW w:w="8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ind w:left="60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w w:val="92"/>
              </w:rPr>
              <w:t>(6,065,872)</w:t>
            </w: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3,909,355</w:t>
            </w:r>
          </w:p>
        </w:tc>
        <w:tc>
          <w:tcPr>
            <w:tcW w:w="0" w:type="dxa"/>
            <w:vAlign w:val="bottom"/>
          </w:tcPr>
          <w:p>
            <w:pPr>
              <w:spacing w:after="0"/>
              <w:rPr>
                <w:sz w:val="1"/>
                <w:szCs w:val="1"/>
                <w:color w:val="auto"/>
              </w:rPr>
            </w:pPr>
          </w:p>
        </w:tc>
      </w:tr>
      <w:tr>
        <w:trPr>
          <w:trHeight w:val="191"/>
        </w:trPr>
        <w:tc>
          <w:tcPr>
            <w:tcW w:w="3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1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2"/>
              </w:rPr>
              <w:t>(1,304,460)</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4"/>
              </w:rPr>
              <w:t>(1,304,460)</w:t>
            </w:r>
          </w:p>
        </w:tc>
        <w:tc>
          <w:tcPr>
            <w:tcW w:w="0" w:type="dxa"/>
            <w:vAlign w:val="bottom"/>
          </w:tcPr>
          <w:p>
            <w:pPr>
              <w:spacing w:after="0"/>
              <w:rPr>
                <w:sz w:val="1"/>
                <w:szCs w:val="1"/>
                <w:color w:val="auto"/>
              </w:rPr>
            </w:pPr>
          </w:p>
        </w:tc>
      </w:tr>
      <w:tr>
        <w:trPr>
          <w:trHeight w:val="182"/>
        </w:trPr>
        <w:tc>
          <w:tcPr>
            <w:tcW w:w="3280" w:type="dxa"/>
            <w:vAlign w:val="bottom"/>
          </w:tcPr>
          <w:p>
            <w:pPr>
              <w:ind w:left="20"/>
              <w:spacing w:after="0"/>
              <w:rPr>
                <w:sz w:val="20"/>
                <w:szCs w:val="20"/>
                <w:color w:val="auto"/>
              </w:rPr>
            </w:pPr>
            <w:r>
              <w:rPr>
                <w:rFonts w:ascii="Arial" w:cs="Arial" w:eastAsia="Arial" w:hAnsi="Arial"/>
                <w:sz w:val="14"/>
                <w:szCs w:val="14"/>
                <w:color w:val="auto"/>
              </w:rPr>
              <w:t>Net unrealized losses on investments, net of tax</w:t>
            </w: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6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4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20" w:type="dxa"/>
            <w:vAlign w:val="bottom"/>
            <w:gridSpan w:val="2"/>
          </w:tcPr>
          <w:p>
            <w:pPr>
              <w:ind w:left="3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00" w:type="dxa"/>
            <w:vAlign w:val="bottom"/>
          </w:tcPr>
          <w:p>
            <w:pPr>
              <w:ind w:left="280"/>
              <w:spacing w:after="0"/>
              <w:rPr>
                <w:sz w:val="20"/>
                <w:szCs w:val="20"/>
                <w:color w:val="auto"/>
              </w:rPr>
            </w:pPr>
            <w:r>
              <w:rPr>
                <w:rFonts w:ascii="Arial" w:cs="Arial" w:eastAsia="Arial" w:hAnsi="Arial"/>
                <w:sz w:val="14"/>
                <w:szCs w:val="14"/>
                <w:color w:val="auto"/>
                <w:w w:val="95"/>
              </w:rPr>
              <w:t>(11,572)</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(11,572)</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328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Issuance and sale of common stock for tax</w:t>
            </w:r>
          </w:p>
        </w:tc>
        <w:tc>
          <w:tcPr>
            <w:tcW w:w="10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76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1"/>
                <w:szCs w:val="11"/>
                <w:color w:val="auto"/>
              </w:rPr>
            </w:pPr>
          </w:p>
        </w:tc>
        <w:tc>
          <w:tcPr>
            <w:tcW w:w="10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1"/>
                <w:szCs w:val="11"/>
                <w:color w:val="auto"/>
              </w:rPr>
            </w:pPr>
          </w:p>
        </w:tc>
        <w:tc>
          <w:tcPr>
            <w:tcW w:w="4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(218,789)</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gridSpan w:val="2"/>
            <w:vMerge w:val="restart"/>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880" w:type="dxa"/>
            <w:vAlign w:val="bottom"/>
            <w:gridSpan w:val="2"/>
            <w:vMerge w:val="restart"/>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(218,789)</w:t>
            </w:r>
          </w:p>
        </w:tc>
        <w:tc>
          <w:tcPr>
            <w:tcW w:w="0" w:type="dxa"/>
            <w:vAlign w:val="bottom"/>
          </w:tcPr>
          <w:p>
            <w:pPr>
              <w:spacing w:after="0"/>
              <w:rPr>
                <w:sz w:val="1"/>
                <w:szCs w:val="1"/>
                <w:color w:val="auto"/>
              </w:rPr>
            </w:pPr>
          </w:p>
        </w:tc>
      </w:tr>
      <w:tr>
        <w:trPr>
          <w:trHeight w:val="183"/>
        </w:trPr>
        <w:tc>
          <w:tcPr>
            <w:tcW w:w="3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withholdings of employee RSUs</w:t>
            </w:r>
          </w:p>
        </w:tc>
        <w:tc>
          <w:tcPr>
            <w:tcW w:w="1040" w:type="dxa"/>
            <w:vAlign w:val="bottom"/>
            <w:tcBorders>
              <w:bottom w:val="single" w:sz="8" w:color="CCEEFF"/>
            </w:tcBorders>
            <w:gridSpan w:val="2"/>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right w:val="single" w:sz="8" w:color="auto"/>
            </w:tcBorders>
            <w:gridSpan w:val="2"/>
            <w:vMerge w:val="continue"/>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gridSpan w:val="2"/>
            <w:vMerge w:val="continue"/>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gridSpan w:val="2"/>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gridSpan w:val="2"/>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gridSpan w:val="2"/>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2"/>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3280" w:type="dxa"/>
            <w:vAlign w:val="bottom"/>
          </w:tcPr>
          <w:p>
            <w:pPr>
              <w:ind w:left="20"/>
              <w:spacing w:after="0" w:line="135" w:lineRule="exact"/>
              <w:rPr>
                <w:sz w:val="20"/>
                <w:szCs w:val="20"/>
                <w:color w:val="auto"/>
              </w:rPr>
            </w:pPr>
            <w:r>
              <w:rPr>
                <w:rFonts w:ascii="Arial" w:cs="Arial" w:eastAsia="Arial" w:hAnsi="Arial"/>
                <w:sz w:val="14"/>
                <w:szCs w:val="14"/>
                <w:color w:val="auto"/>
                <w:w w:val="98"/>
              </w:rPr>
              <w:t>Issuance of common stock upon vesting of employee</w:t>
            </w:r>
          </w:p>
        </w:tc>
        <w:tc>
          <w:tcPr>
            <w:tcW w:w="10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760" w:type="dxa"/>
            <w:vAlign w:val="bottom"/>
            <w:tcBorders>
              <w:right w:val="single" w:sz="8" w:color="auto"/>
            </w:tcBorders>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920" w:type="dxa"/>
            <w:vAlign w:val="bottom"/>
            <w:vMerge w:val="restart"/>
          </w:tcPr>
          <w:p>
            <w:pPr>
              <w:jc w:val="right"/>
              <w:ind w:right="9"/>
              <w:spacing w:after="0"/>
              <w:rPr>
                <w:sz w:val="20"/>
                <w:szCs w:val="20"/>
                <w:color w:val="auto"/>
              </w:rPr>
            </w:pPr>
            <w:r>
              <w:rPr>
                <w:rFonts w:ascii="Arial" w:cs="Arial" w:eastAsia="Arial" w:hAnsi="Arial"/>
                <w:sz w:val="14"/>
                <w:szCs w:val="14"/>
                <w:color w:val="auto"/>
              </w:rPr>
              <w:t>15,217,096</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vMerge w:val="restart"/>
          </w:tcPr>
          <w:p>
            <w:pPr>
              <w:jc w:val="right"/>
              <w:ind w:right="8"/>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gridSpan w:val="2"/>
            <w:vMerge w:val="restart"/>
          </w:tcPr>
          <w:p>
            <w:pPr>
              <w:ind w:left="3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880" w:type="dxa"/>
            <w:vAlign w:val="bottom"/>
            <w:gridSpan w:val="2"/>
            <w:vMerge w:val="restart"/>
          </w:tcPr>
          <w:p>
            <w:pPr>
              <w:ind w:left="6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800" w:type="dxa"/>
            <w:vAlign w:val="bottom"/>
            <w:gridSpan w:val="2"/>
            <w:vMerge w:val="restart"/>
          </w:tcPr>
          <w:p>
            <w:pPr>
              <w:ind w:left="5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740" w:type="dxa"/>
            <w:vAlign w:val="bottom"/>
            <w:vMerge w:val="restart"/>
          </w:tcPr>
          <w:p>
            <w:pPr>
              <w:jc w:val="right"/>
              <w:ind w:right="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3280" w:type="dxa"/>
            <w:vAlign w:val="bottom"/>
          </w:tcPr>
          <w:p>
            <w:pPr>
              <w:ind w:left="20"/>
              <w:spacing w:after="0"/>
              <w:rPr>
                <w:sz w:val="20"/>
                <w:szCs w:val="20"/>
                <w:color w:val="auto"/>
              </w:rPr>
            </w:pPr>
            <w:r>
              <w:rPr>
                <w:rFonts w:ascii="Arial" w:cs="Arial" w:eastAsia="Arial" w:hAnsi="Arial"/>
                <w:sz w:val="14"/>
                <w:szCs w:val="14"/>
                <w:color w:val="auto"/>
              </w:rPr>
              <w:t>RSUs</w:t>
            </w:r>
          </w:p>
        </w:tc>
        <w:tc>
          <w:tcPr>
            <w:tcW w:w="10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Borders>
              <w:right w:val="single" w:sz="8" w:color="auto"/>
            </w:tcBorders>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328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Issuance of common stock under employee stock</w:t>
            </w:r>
          </w:p>
        </w:tc>
        <w:tc>
          <w:tcPr>
            <w:tcW w:w="10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76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1"/>
                <w:szCs w:val="11"/>
                <w:color w:val="auto"/>
              </w:rPr>
            </w:pPr>
          </w:p>
        </w:tc>
        <w:tc>
          <w:tcPr>
            <w:tcW w:w="92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2,106,158</w:t>
            </w: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24,562</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gridSpan w:val="2"/>
            <w:vMerge w:val="restart"/>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880" w:type="dxa"/>
            <w:vAlign w:val="bottom"/>
            <w:gridSpan w:val="2"/>
            <w:vMerge w:val="restart"/>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24,562</w:t>
            </w:r>
          </w:p>
        </w:tc>
        <w:tc>
          <w:tcPr>
            <w:tcW w:w="0" w:type="dxa"/>
            <w:vAlign w:val="bottom"/>
          </w:tcPr>
          <w:p>
            <w:pPr>
              <w:spacing w:after="0"/>
              <w:rPr>
                <w:sz w:val="1"/>
                <w:szCs w:val="1"/>
                <w:color w:val="auto"/>
              </w:rPr>
            </w:pPr>
          </w:p>
        </w:tc>
      </w:tr>
      <w:tr>
        <w:trPr>
          <w:trHeight w:val="183"/>
        </w:trPr>
        <w:tc>
          <w:tcPr>
            <w:tcW w:w="3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purchase plan</w:t>
            </w:r>
          </w:p>
        </w:tc>
        <w:tc>
          <w:tcPr>
            <w:tcW w:w="1040" w:type="dxa"/>
            <w:vAlign w:val="bottom"/>
            <w:tcBorders>
              <w:bottom w:val="single" w:sz="8" w:color="CCEEFF"/>
            </w:tcBorders>
            <w:gridSpan w:val="2"/>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right w:val="single" w:sz="8" w:color="auto"/>
            </w:tcBorders>
            <w:gridSpan w:val="2"/>
            <w:vMerge w:val="continue"/>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gridSpan w:val="2"/>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gridSpan w:val="2"/>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gridSpan w:val="2"/>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2"/>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3280" w:type="dxa"/>
            <w:vAlign w:val="bottom"/>
          </w:tcPr>
          <w:p>
            <w:pPr>
              <w:ind w:left="20"/>
              <w:spacing w:after="0" w:line="135" w:lineRule="exact"/>
              <w:rPr>
                <w:sz w:val="20"/>
                <w:szCs w:val="20"/>
                <w:color w:val="auto"/>
              </w:rPr>
            </w:pPr>
            <w:r>
              <w:rPr>
                <w:rFonts w:ascii="Arial" w:cs="Arial" w:eastAsia="Arial" w:hAnsi="Arial"/>
                <w:sz w:val="14"/>
                <w:szCs w:val="14"/>
                <w:color w:val="auto"/>
              </w:rPr>
              <w:t>Issuance of common stock upon exercise of stock</w:t>
            </w:r>
          </w:p>
        </w:tc>
        <w:tc>
          <w:tcPr>
            <w:tcW w:w="10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760" w:type="dxa"/>
            <w:vAlign w:val="bottom"/>
            <w:tcBorders>
              <w:right w:val="single" w:sz="8" w:color="auto"/>
            </w:tcBorders>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920" w:type="dxa"/>
            <w:vAlign w:val="bottom"/>
            <w:vMerge w:val="restart"/>
          </w:tcPr>
          <w:p>
            <w:pPr>
              <w:jc w:val="right"/>
              <w:ind w:right="9"/>
              <w:spacing w:after="0"/>
              <w:rPr>
                <w:sz w:val="20"/>
                <w:szCs w:val="20"/>
                <w:color w:val="auto"/>
              </w:rPr>
            </w:pPr>
            <w:r>
              <w:rPr>
                <w:rFonts w:ascii="Arial" w:cs="Arial" w:eastAsia="Arial" w:hAnsi="Arial"/>
                <w:sz w:val="14"/>
                <w:szCs w:val="14"/>
                <w:color w:val="auto"/>
              </w:rPr>
              <w:t>22,519,879</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vMerge w:val="restart"/>
          </w:tcPr>
          <w:p>
            <w:pPr>
              <w:jc w:val="right"/>
              <w:ind w:right="8"/>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vMerge w:val="restart"/>
          </w:tcPr>
          <w:p>
            <w:pPr>
              <w:jc w:val="right"/>
              <w:ind w:right="9"/>
              <w:spacing w:after="0"/>
              <w:rPr>
                <w:sz w:val="20"/>
                <w:szCs w:val="20"/>
                <w:color w:val="auto"/>
              </w:rPr>
            </w:pPr>
            <w:r>
              <w:rPr>
                <w:rFonts w:ascii="Arial" w:cs="Arial" w:eastAsia="Arial" w:hAnsi="Arial"/>
                <w:sz w:val="14"/>
                <w:szCs w:val="14"/>
                <w:color w:val="auto"/>
              </w:rPr>
              <w:t>17,786</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gridSpan w:val="2"/>
            <w:vMerge w:val="restart"/>
          </w:tcPr>
          <w:p>
            <w:pPr>
              <w:ind w:left="3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880" w:type="dxa"/>
            <w:vAlign w:val="bottom"/>
            <w:gridSpan w:val="2"/>
            <w:vMerge w:val="restart"/>
          </w:tcPr>
          <w:p>
            <w:pPr>
              <w:ind w:left="6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800" w:type="dxa"/>
            <w:vAlign w:val="bottom"/>
            <w:gridSpan w:val="2"/>
            <w:vMerge w:val="restart"/>
          </w:tcPr>
          <w:p>
            <w:pPr>
              <w:ind w:left="5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740" w:type="dxa"/>
            <w:vAlign w:val="bottom"/>
            <w:vMerge w:val="restart"/>
          </w:tcPr>
          <w:p>
            <w:pPr>
              <w:jc w:val="right"/>
              <w:ind w:right="9"/>
              <w:spacing w:after="0"/>
              <w:rPr>
                <w:sz w:val="20"/>
                <w:szCs w:val="20"/>
                <w:color w:val="auto"/>
              </w:rPr>
            </w:pPr>
            <w:r>
              <w:rPr>
                <w:rFonts w:ascii="Arial" w:cs="Arial" w:eastAsia="Arial" w:hAnsi="Arial"/>
                <w:sz w:val="14"/>
                <w:szCs w:val="14"/>
                <w:color w:val="auto"/>
              </w:rPr>
              <w:t>17,788</w:t>
            </w:r>
          </w:p>
        </w:tc>
        <w:tc>
          <w:tcPr>
            <w:tcW w:w="0" w:type="dxa"/>
            <w:vAlign w:val="bottom"/>
          </w:tcPr>
          <w:p>
            <w:pPr>
              <w:spacing w:after="0"/>
              <w:rPr>
                <w:sz w:val="1"/>
                <w:szCs w:val="1"/>
                <w:color w:val="auto"/>
              </w:rPr>
            </w:pPr>
          </w:p>
        </w:tc>
      </w:tr>
      <w:tr>
        <w:trPr>
          <w:trHeight w:val="182"/>
        </w:trPr>
        <w:tc>
          <w:tcPr>
            <w:tcW w:w="3280" w:type="dxa"/>
            <w:vAlign w:val="bottom"/>
          </w:tcPr>
          <w:p>
            <w:pPr>
              <w:ind w:left="20"/>
              <w:spacing w:after="0"/>
              <w:rPr>
                <w:sz w:val="20"/>
                <w:szCs w:val="20"/>
                <w:color w:val="auto"/>
              </w:rPr>
            </w:pPr>
            <w:r>
              <w:rPr>
                <w:rFonts w:ascii="Arial" w:cs="Arial" w:eastAsia="Arial" w:hAnsi="Arial"/>
                <w:sz w:val="14"/>
                <w:szCs w:val="14"/>
                <w:color w:val="auto"/>
              </w:rPr>
              <w:t>options</w:t>
            </w:r>
          </w:p>
        </w:tc>
        <w:tc>
          <w:tcPr>
            <w:tcW w:w="10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Borders>
              <w:right w:val="single" w:sz="8" w:color="auto"/>
            </w:tcBorders>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328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Issuance of common stock under At-the-Market</w:t>
            </w:r>
          </w:p>
        </w:tc>
        <w:tc>
          <w:tcPr>
            <w:tcW w:w="10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76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1"/>
                <w:szCs w:val="11"/>
                <w:color w:val="auto"/>
              </w:rPr>
            </w:pPr>
          </w:p>
        </w:tc>
        <w:tc>
          <w:tcPr>
            <w:tcW w:w="92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56,203,334</w:t>
            </w: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6</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594,311</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gridSpan w:val="2"/>
            <w:vMerge w:val="restart"/>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880" w:type="dxa"/>
            <w:vAlign w:val="bottom"/>
            <w:gridSpan w:val="2"/>
            <w:vMerge w:val="restart"/>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594,317</w:t>
            </w:r>
          </w:p>
        </w:tc>
        <w:tc>
          <w:tcPr>
            <w:tcW w:w="0" w:type="dxa"/>
            <w:vAlign w:val="bottom"/>
          </w:tcPr>
          <w:p>
            <w:pPr>
              <w:spacing w:after="0"/>
              <w:rPr>
                <w:sz w:val="1"/>
                <w:szCs w:val="1"/>
                <w:color w:val="auto"/>
              </w:rPr>
            </w:pPr>
          </w:p>
        </w:tc>
      </w:tr>
      <w:tr>
        <w:trPr>
          <w:trHeight w:val="183"/>
        </w:trPr>
        <w:tc>
          <w:tcPr>
            <w:tcW w:w="3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Offering, net of issuance costs</w:t>
            </w:r>
          </w:p>
        </w:tc>
        <w:tc>
          <w:tcPr>
            <w:tcW w:w="1040" w:type="dxa"/>
            <w:vAlign w:val="bottom"/>
            <w:tcBorders>
              <w:bottom w:val="single" w:sz="8" w:color="CCEEFF"/>
            </w:tcBorders>
            <w:gridSpan w:val="2"/>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right w:val="single" w:sz="8" w:color="auto"/>
            </w:tcBorders>
            <w:gridSpan w:val="2"/>
            <w:vMerge w:val="continue"/>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gridSpan w:val="2"/>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gridSpan w:val="2"/>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2"/>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3280" w:type="dxa"/>
            <w:vAlign w:val="bottom"/>
          </w:tcPr>
          <w:p>
            <w:pPr>
              <w:ind w:left="20"/>
              <w:spacing w:after="0" w:line="135" w:lineRule="exact"/>
              <w:rPr>
                <w:sz w:val="20"/>
                <w:szCs w:val="20"/>
                <w:color w:val="auto"/>
              </w:rPr>
            </w:pPr>
            <w:r>
              <w:rPr>
                <w:rFonts w:ascii="Arial" w:cs="Arial" w:eastAsia="Arial" w:hAnsi="Arial"/>
                <w:sz w:val="14"/>
                <w:szCs w:val="14"/>
                <w:color w:val="auto"/>
              </w:rPr>
              <w:t>Issuance of common stock under Subscription</w:t>
            </w:r>
          </w:p>
        </w:tc>
        <w:tc>
          <w:tcPr>
            <w:tcW w:w="10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760" w:type="dxa"/>
            <w:vAlign w:val="bottom"/>
            <w:tcBorders>
              <w:right w:val="single" w:sz="8" w:color="auto"/>
            </w:tcBorders>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920" w:type="dxa"/>
            <w:vAlign w:val="bottom"/>
            <w:vMerge w:val="restart"/>
          </w:tcPr>
          <w:p>
            <w:pPr>
              <w:jc w:val="right"/>
              <w:ind w:right="9"/>
              <w:spacing w:after="0"/>
              <w:rPr>
                <w:sz w:val="20"/>
                <w:szCs w:val="20"/>
                <w:color w:val="auto"/>
              </w:rPr>
            </w:pPr>
            <w:r>
              <w:rPr>
                <w:rFonts w:ascii="Arial" w:cs="Arial" w:eastAsia="Arial" w:hAnsi="Arial"/>
                <w:sz w:val="14"/>
                <w:szCs w:val="14"/>
                <w:color w:val="auto"/>
              </w:rPr>
              <w:t>85,712,679</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vMerge w:val="restart"/>
          </w:tcPr>
          <w:p>
            <w:pPr>
              <w:jc w:val="right"/>
              <w:ind w:right="8"/>
              <w:spacing w:after="0"/>
              <w:rPr>
                <w:sz w:val="20"/>
                <w:szCs w:val="20"/>
                <w:color w:val="auto"/>
              </w:rPr>
            </w:pPr>
            <w:r>
              <w:rPr>
                <w:rFonts w:ascii="Arial" w:cs="Arial" w:eastAsia="Arial" w:hAnsi="Arial"/>
                <w:sz w:val="14"/>
                <w:szCs w:val="14"/>
                <w:color w:val="auto"/>
              </w:rPr>
              <w:t>9</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vMerge w:val="restart"/>
          </w:tcPr>
          <w:p>
            <w:pPr>
              <w:jc w:val="right"/>
              <w:ind w:right="9"/>
              <w:spacing w:after="0"/>
              <w:rPr>
                <w:sz w:val="20"/>
                <w:szCs w:val="20"/>
                <w:color w:val="auto"/>
              </w:rPr>
            </w:pPr>
            <w:r>
              <w:rPr>
                <w:rFonts w:ascii="Arial" w:cs="Arial" w:eastAsia="Arial" w:hAnsi="Arial"/>
                <w:sz w:val="14"/>
                <w:szCs w:val="14"/>
                <w:color w:val="auto"/>
              </w:rPr>
              <w:t>914,991</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gridSpan w:val="2"/>
            <w:vMerge w:val="restart"/>
          </w:tcPr>
          <w:p>
            <w:pPr>
              <w:ind w:left="3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880" w:type="dxa"/>
            <w:vAlign w:val="bottom"/>
            <w:gridSpan w:val="2"/>
            <w:vMerge w:val="restart"/>
          </w:tcPr>
          <w:p>
            <w:pPr>
              <w:ind w:left="6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800" w:type="dxa"/>
            <w:vAlign w:val="bottom"/>
            <w:gridSpan w:val="2"/>
            <w:vMerge w:val="restart"/>
          </w:tcPr>
          <w:p>
            <w:pPr>
              <w:ind w:left="5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740" w:type="dxa"/>
            <w:vAlign w:val="bottom"/>
            <w:vMerge w:val="restart"/>
          </w:tcPr>
          <w:p>
            <w:pPr>
              <w:jc w:val="right"/>
              <w:ind w:right="9"/>
              <w:spacing w:after="0"/>
              <w:rPr>
                <w:sz w:val="20"/>
                <w:szCs w:val="20"/>
                <w:color w:val="auto"/>
              </w:rPr>
            </w:pPr>
            <w:r>
              <w:rPr>
                <w:rFonts w:ascii="Arial" w:cs="Arial" w:eastAsia="Arial" w:hAnsi="Arial"/>
                <w:sz w:val="14"/>
                <w:szCs w:val="14"/>
                <w:color w:val="auto"/>
              </w:rPr>
              <w:t>915,000</w:t>
            </w:r>
          </w:p>
        </w:tc>
        <w:tc>
          <w:tcPr>
            <w:tcW w:w="0" w:type="dxa"/>
            <w:vAlign w:val="bottom"/>
          </w:tcPr>
          <w:p>
            <w:pPr>
              <w:spacing w:after="0"/>
              <w:rPr>
                <w:sz w:val="1"/>
                <w:szCs w:val="1"/>
                <w:color w:val="auto"/>
              </w:rPr>
            </w:pPr>
          </w:p>
        </w:tc>
      </w:tr>
      <w:tr>
        <w:trPr>
          <w:trHeight w:val="182"/>
        </w:trPr>
        <w:tc>
          <w:tcPr>
            <w:tcW w:w="3280" w:type="dxa"/>
            <w:vAlign w:val="bottom"/>
          </w:tcPr>
          <w:p>
            <w:pPr>
              <w:ind w:left="20"/>
              <w:spacing w:after="0"/>
              <w:rPr>
                <w:sz w:val="20"/>
                <w:szCs w:val="20"/>
                <w:color w:val="auto"/>
              </w:rPr>
            </w:pPr>
            <w:r>
              <w:rPr>
                <w:rFonts w:ascii="Arial" w:cs="Arial" w:eastAsia="Arial" w:hAnsi="Arial"/>
                <w:sz w:val="14"/>
                <w:szCs w:val="14"/>
                <w:color w:val="auto"/>
              </w:rPr>
              <w:t>Agreement</w:t>
            </w:r>
          </w:p>
        </w:tc>
        <w:tc>
          <w:tcPr>
            <w:tcW w:w="10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Borders>
              <w:right w:val="single" w:sz="8" w:color="auto"/>
            </w:tcBorders>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Stock-based compensation</w:t>
            </w:r>
          </w:p>
        </w:tc>
        <w:tc>
          <w:tcPr>
            <w:tcW w:w="1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423,500</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423,500</w:t>
            </w:r>
          </w:p>
        </w:tc>
        <w:tc>
          <w:tcPr>
            <w:tcW w:w="0" w:type="dxa"/>
            <w:vAlign w:val="bottom"/>
          </w:tcPr>
          <w:p>
            <w:pPr>
              <w:spacing w:after="0"/>
              <w:rPr>
                <w:sz w:val="1"/>
                <w:szCs w:val="1"/>
                <w:color w:val="auto"/>
              </w:rPr>
            </w:pPr>
          </w:p>
        </w:tc>
      </w:tr>
      <w:tr>
        <w:trPr>
          <w:trHeight w:val="236"/>
        </w:trPr>
        <w:tc>
          <w:tcPr>
            <w:tcW w:w="3280" w:type="dxa"/>
            <w:vAlign w:val="bottom"/>
          </w:tcPr>
          <w:p>
            <w:pPr>
              <w:ind w:left="20"/>
              <w:spacing w:after="0"/>
              <w:rPr>
                <w:sz w:val="20"/>
                <w:szCs w:val="20"/>
                <w:color w:val="auto"/>
              </w:rPr>
            </w:pPr>
            <w:r>
              <w:rPr>
                <w:rFonts w:ascii="Arial" w:cs="Arial" w:eastAsia="Arial" w:hAnsi="Arial"/>
                <w:sz w:val="14"/>
                <w:szCs w:val="14"/>
                <w:b w:val="1"/>
                <w:bCs w:val="1"/>
                <w:color w:val="auto"/>
              </w:rPr>
              <w:t>Balance as of December 31, 2022</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9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w w:val="91"/>
              </w:rPr>
              <w:t>1,829,314,736</w:t>
            </w:r>
          </w:p>
        </w:tc>
        <w:tc>
          <w:tcPr>
            <w:tcW w:w="8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w w:val="76"/>
              </w:rPr>
              <w:t>$</w:t>
            </w:r>
          </w:p>
        </w:tc>
        <w:tc>
          <w:tcPr>
            <w:tcW w:w="3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w w:val="94"/>
              </w:rPr>
              <w:t>183</w:t>
            </w: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7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w w:val="88"/>
              </w:rPr>
              <w:t>11,752,138</w:t>
            </w: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54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b w:val="1"/>
                <w:bCs w:val="1"/>
                <w:color w:val="auto"/>
                <w:w w:val="99"/>
              </w:rPr>
              <w:t>(20,716)</w:t>
            </w:r>
          </w:p>
        </w:tc>
        <w:tc>
          <w:tcPr>
            <w:tcW w:w="80" w:type="dxa"/>
            <w:vAlign w:val="bottom"/>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800" w:type="dxa"/>
            <w:vAlign w:val="bottom"/>
            <w:tcBorders>
              <w:top w:val="single" w:sz="8" w:color="auto"/>
              <w:bottom w:val="single" w:sz="8" w:color="auto"/>
            </w:tcBorders>
          </w:tcPr>
          <w:p>
            <w:pPr>
              <w:ind w:left="280"/>
              <w:spacing w:after="0"/>
              <w:rPr>
                <w:sz w:val="20"/>
                <w:szCs w:val="20"/>
                <w:color w:val="auto"/>
              </w:rPr>
            </w:pPr>
            <w:r>
              <w:rPr>
                <w:rFonts w:ascii="Arial" w:cs="Arial" w:eastAsia="Arial" w:hAnsi="Arial"/>
                <w:sz w:val="14"/>
                <w:szCs w:val="14"/>
                <w:b w:val="1"/>
                <w:bCs w:val="1"/>
                <w:color w:val="auto"/>
                <w:w w:val="95"/>
              </w:rPr>
              <w:t>(11,572)</w:t>
            </w: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92"/>
              </w:rPr>
              <w:t>(7,370,332)</w:t>
            </w: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74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4,349,701</w:t>
            </w:r>
          </w:p>
        </w:tc>
        <w:tc>
          <w:tcPr>
            <w:tcW w:w="0" w:type="dxa"/>
            <w:vAlign w:val="bottom"/>
          </w:tcPr>
          <w:p>
            <w:pPr>
              <w:spacing w:after="0"/>
              <w:rPr>
                <w:sz w:val="1"/>
                <w:szCs w:val="1"/>
                <w:color w:val="auto"/>
              </w:rPr>
            </w:pPr>
          </w:p>
        </w:tc>
      </w:tr>
    </w:tbl>
    <w:p>
      <w:pPr>
        <w:spacing w:after="0" w:line="47" w:lineRule="exact"/>
        <w:rPr>
          <w:sz w:val="20"/>
          <w:szCs w:val="20"/>
          <w:color w:val="auto"/>
        </w:rPr>
      </w:pPr>
    </w:p>
    <w:p>
      <w:pPr>
        <w:ind w:left="248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rPr>
          <w:sz w:val="20"/>
          <w:szCs w:val="20"/>
          <w:color w:val="auto"/>
        </w:rPr>
      </w:pPr>
      <w:r>
        <w:rPr>
          <w:rFonts w:ascii="Arial" w:cs="Arial" w:eastAsia="Arial" w:hAnsi="Arial"/>
          <w:sz w:val="9"/>
          <w:szCs w:val="9"/>
          <w:b w:val="1"/>
          <w:bCs w:val="1"/>
          <w:color w:val="auto"/>
        </w:rPr>
        <w:t>______________________________________________________________</w:t>
      </w:r>
    </w:p>
    <w:p>
      <w:pPr>
        <w:spacing w:after="0" w:line="40" w:lineRule="exact"/>
        <w:rPr>
          <w:sz w:val="20"/>
          <w:szCs w:val="20"/>
          <w:color w:val="auto"/>
        </w:rPr>
      </w:pPr>
    </w:p>
    <w:p>
      <w:pPr>
        <w:ind w:left="140" w:hanging="132"/>
        <w:spacing w:after="0"/>
        <w:tabs>
          <w:tab w:leader="none" w:pos="140" w:val="left"/>
        </w:tabs>
        <w:numPr>
          <w:ilvl w:val="0"/>
          <w:numId w:val="42"/>
        </w:numPr>
        <w:rPr>
          <w:rFonts w:ascii="Arial" w:cs="Arial" w:eastAsia="Arial" w:hAnsi="Arial"/>
          <w:sz w:val="16"/>
          <w:szCs w:val="16"/>
          <w:color w:val="auto"/>
          <w:vertAlign w:val="superscript"/>
        </w:rPr>
      </w:pPr>
      <w:r>
        <w:rPr>
          <w:rFonts w:ascii="Arial" w:cs="Arial" w:eastAsia="Arial" w:hAnsi="Arial"/>
          <w:sz w:val="12"/>
          <w:szCs w:val="12"/>
          <w:color w:val="auto"/>
        </w:rPr>
        <w:t>The number of shares of convertible preferred stock and common stock issued and outstanding prior to the Merger have been retroactively adjusted by the Exchange Ratio (as defined in Note 3</w:t>
      </w:r>
    </w:p>
    <w:p>
      <w:pPr>
        <w:jc w:val="center"/>
        <w:ind w:right="20"/>
        <w:spacing w:after="0" w:line="197" w:lineRule="auto"/>
        <w:rPr>
          <w:sz w:val="20"/>
          <w:szCs w:val="20"/>
          <w:color w:val="auto"/>
        </w:rPr>
      </w:pPr>
      <w:r>
        <w:rPr>
          <w:rFonts w:ascii="Arial" w:cs="Arial" w:eastAsia="Arial" w:hAnsi="Arial"/>
          <w:sz w:val="10"/>
          <w:szCs w:val="10"/>
          <w:color w:val="auto"/>
        </w:rPr>
        <w:t>“Reverse Recapitalization”) to give effect to the reverse recapitalization treatment of the Merger. See Note 1 “Description of Business” and Note 3 “Reverse Capitalization” for more information.</w:t>
      </w:r>
    </w:p>
    <w:p>
      <w:pPr>
        <w:jc w:val="center"/>
        <w:ind w:right="-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29" w:right="359" w:bottom="1440" w:gutter="0" w:footer="0" w:header="0"/>
        </w:sectPr>
      </w:pPr>
    </w:p>
    <w:bookmarkStart w:id="92" w:name="page93"/>
    <w:bookmarkEnd w:id="92"/>
    <w:p>
      <w:pPr>
        <w:jc w:val="center"/>
        <w:spacing w:after="0"/>
        <w:rPr>
          <w:sz w:val="20"/>
          <w:szCs w:val="20"/>
          <w:color w:val="auto"/>
        </w:rPr>
      </w:pPr>
      <w:r>
        <w:rPr>
          <w:rFonts w:ascii="Arial" w:cs="Arial" w:eastAsia="Arial" w:hAnsi="Arial"/>
          <w:sz w:val="18"/>
          <w:szCs w:val="18"/>
          <w:b w:val="1"/>
          <w:bCs w:val="1"/>
          <w:color w:val="auto"/>
        </w:rPr>
        <w:t>LUCID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0" w:type="dxa"/>
            <w:vAlign w:val="bottom"/>
            <w:gridSpan w:val="6"/>
          </w:tcPr>
          <w:p>
            <w:pPr>
              <w:jc w:val="right"/>
              <w:ind w:right="159"/>
              <w:spacing w:after="0"/>
              <w:rPr>
                <w:sz w:val="20"/>
                <w:szCs w:val="20"/>
                <w:color w:val="auto"/>
              </w:rPr>
            </w:pPr>
            <w:r>
              <w:rPr>
                <w:rFonts w:ascii="Arial" w:cs="Arial" w:eastAsia="Arial" w:hAnsi="Arial"/>
                <w:sz w:val="14"/>
                <w:szCs w:val="14"/>
                <w:b w:val="1"/>
                <w:bCs w:val="1"/>
                <w:color w:val="auto"/>
              </w:rPr>
              <w:t>Year Ended December 31,</w:t>
            </w:r>
          </w:p>
        </w:tc>
        <w:tc>
          <w:tcPr>
            <w:tcW w:w="1020" w:type="dxa"/>
            <w:vAlign w:val="bottom"/>
          </w:tcPr>
          <w:p>
            <w:pPr>
              <w:spacing w:after="0"/>
              <w:rPr>
                <w:sz w:val="16"/>
                <w:szCs w:val="16"/>
                <w:color w:val="auto"/>
              </w:rPr>
            </w:pPr>
          </w:p>
        </w:tc>
      </w:tr>
      <w:tr>
        <w:trPr>
          <w:trHeight w:val="26"/>
        </w:trPr>
        <w:tc>
          <w:tcPr>
            <w:tcW w:w="7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89"/>
        </w:trPr>
        <w:tc>
          <w:tcPr>
            <w:tcW w:w="7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2020</w:t>
            </w:r>
          </w:p>
        </w:tc>
      </w:tr>
      <w:tr>
        <w:trPr>
          <w:trHeight w:val="203"/>
        </w:trPr>
        <w:tc>
          <w:tcPr>
            <w:tcW w:w="71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13"/>
        </w:trPr>
        <w:tc>
          <w:tcPr>
            <w:tcW w:w="7100" w:type="dxa"/>
            <w:vAlign w:val="bottom"/>
          </w:tcPr>
          <w:p>
            <w:pPr>
              <w:ind w:left="20"/>
              <w:spacing w:after="0"/>
              <w:rPr>
                <w:sz w:val="20"/>
                <w:szCs w:val="20"/>
                <w:color w:val="auto"/>
              </w:rPr>
            </w:pPr>
            <w:r>
              <w:rPr>
                <w:rFonts w:ascii="Arial" w:cs="Arial" w:eastAsia="Arial" w:hAnsi="Arial"/>
                <w:sz w:val="16"/>
                <w:szCs w:val="16"/>
                <w:color w:val="auto"/>
              </w:rPr>
              <w:t>Net loss</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(1,304,460)</w:t>
            </w:r>
          </w:p>
        </w:tc>
        <w:tc>
          <w:tcPr>
            <w:tcW w:w="8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(2,579,761)</w:t>
            </w:r>
          </w:p>
        </w:tc>
        <w:tc>
          <w:tcPr>
            <w:tcW w:w="8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(719,380)</w:t>
            </w:r>
          </w:p>
        </w:tc>
      </w:tr>
      <w:tr>
        <w:trPr>
          <w:trHeight w:val="219"/>
        </w:trPr>
        <w:tc>
          <w:tcPr>
            <w:tcW w:w="7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to reconcile net loss to net cash used in operating activities: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13"/>
        </w:trPr>
        <w:tc>
          <w:tcPr>
            <w:tcW w:w="7100" w:type="dxa"/>
            <w:vAlign w:val="bottom"/>
          </w:tcPr>
          <w:p>
            <w:pPr>
              <w:ind w:left="180"/>
              <w:spacing w:after="0"/>
              <w:rPr>
                <w:sz w:val="20"/>
                <w:szCs w:val="20"/>
                <w:color w:val="auto"/>
              </w:rPr>
            </w:pPr>
            <w:r>
              <w:rPr>
                <w:rFonts w:ascii="Arial" w:cs="Arial" w:eastAsia="Arial" w:hAnsi="Arial"/>
                <w:sz w:val="16"/>
                <w:szCs w:val="16"/>
                <w:color w:val="auto"/>
              </w:rPr>
              <w:t>Depreciation and amortization</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186,583</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62,907</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10,217</w:t>
            </w:r>
          </w:p>
        </w:tc>
      </w:tr>
      <w:tr>
        <w:trPr>
          <w:trHeight w:val="219"/>
        </w:trPr>
        <w:tc>
          <w:tcPr>
            <w:tcW w:w="71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Amortization of insurance premium</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35,620</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18,474</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100" w:type="dxa"/>
            <w:vAlign w:val="bottom"/>
          </w:tcPr>
          <w:p>
            <w:pPr>
              <w:ind w:left="180"/>
              <w:spacing w:after="0"/>
              <w:rPr>
                <w:sz w:val="20"/>
                <w:szCs w:val="20"/>
                <w:color w:val="auto"/>
              </w:rPr>
            </w:pPr>
            <w:r>
              <w:rPr>
                <w:rFonts w:ascii="Arial" w:cs="Arial" w:eastAsia="Arial" w:hAnsi="Arial"/>
                <w:sz w:val="16"/>
                <w:szCs w:val="16"/>
                <w:color w:val="auto"/>
              </w:rPr>
              <w:t>Non-cash operating lease cost</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19,711</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12,563</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71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Stock-based compensation</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423,500</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516,757</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4,614</w:t>
            </w:r>
          </w:p>
        </w:tc>
      </w:tr>
      <w:tr>
        <w:trPr>
          <w:trHeight w:val="213"/>
        </w:trPr>
        <w:tc>
          <w:tcPr>
            <w:tcW w:w="7100" w:type="dxa"/>
            <w:vAlign w:val="bottom"/>
          </w:tcPr>
          <w:p>
            <w:pPr>
              <w:ind w:left="180"/>
              <w:spacing w:after="0"/>
              <w:rPr>
                <w:sz w:val="20"/>
                <w:szCs w:val="20"/>
                <w:color w:val="auto"/>
              </w:rPr>
            </w:pPr>
            <w:r>
              <w:rPr>
                <w:rFonts w:ascii="Arial" w:cs="Arial" w:eastAsia="Arial" w:hAnsi="Arial"/>
                <w:sz w:val="16"/>
                <w:szCs w:val="16"/>
                <w:color w:val="auto"/>
              </w:rPr>
              <w:t>Inventory and firm purchase commitments write-downs</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569,479</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48,884</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71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Change in fair value of contingent forward contract liability</w:t>
            </w:r>
          </w:p>
        </w:tc>
        <w:tc>
          <w:tcPr>
            <w:tcW w:w="3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454,546</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118,382</w:t>
            </w:r>
          </w:p>
        </w:tc>
      </w:tr>
      <w:tr>
        <w:trPr>
          <w:trHeight w:val="213"/>
        </w:trPr>
        <w:tc>
          <w:tcPr>
            <w:tcW w:w="7100" w:type="dxa"/>
            <w:vAlign w:val="bottom"/>
          </w:tcPr>
          <w:p>
            <w:pPr>
              <w:ind w:left="180"/>
              <w:spacing w:after="0"/>
              <w:rPr>
                <w:sz w:val="20"/>
                <w:szCs w:val="20"/>
                <w:color w:val="auto"/>
              </w:rPr>
            </w:pPr>
            <w:r>
              <w:rPr>
                <w:rFonts w:ascii="Arial" w:cs="Arial" w:eastAsia="Arial" w:hAnsi="Arial"/>
                <w:sz w:val="16"/>
                <w:szCs w:val="16"/>
                <w:color w:val="auto"/>
              </w:rPr>
              <w:t>Change in fair value of preferred stock warrant liability</w:t>
            </w:r>
          </w:p>
        </w:tc>
        <w:tc>
          <w:tcPr>
            <w:tcW w:w="3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6,976</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1,205</w:t>
            </w:r>
          </w:p>
        </w:tc>
      </w:tr>
      <w:tr>
        <w:trPr>
          <w:trHeight w:val="219"/>
        </w:trPr>
        <w:tc>
          <w:tcPr>
            <w:tcW w:w="71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Change in fair value of common stock warrant liability</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(1,254,218)</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582,760</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100" w:type="dxa"/>
            <w:vAlign w:val="bottom"/>
          </w:tcPr>
          <w:p>
            <w:pPr>
              <w:ind w:left="180"/>
              <w:spacing w:after="0"/>
              <w:rPr>
                <w:sz w:val="20"/>
                <w:szCs w:val="20"/>
                <w:color w:val="auto"/>
              </w:rPr>
            </w:pPr>
            <w:r>
              <w:rPr>
                <w:rFonts w:ascii="Arial" w:cs="Arial" w:eastAsia="Arial" w:hAnsi="Arial"/>
                <w:sz w:val="16"/>
                <w:szCs w:val="16"/>
                <w:color w:val="auto"/>
              </w:rPr>
              <w:t>Other non-cash items</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(10,342)</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289</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139</w:t>
            </w:r>
          </w:p>
        </w:tc>
      </w:tr>
      <w:tr>
        <w:trPr>
          <w:trHeight w:val="219"/>
        </w:trPr>
        <w:tc>
          <w:tcPr>
            <w:tcW w:w="7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Changes in operating assets and liabilities: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13"/>
        </w:trPr>
        <w:tc>
          <w:tcPr>
            <w:tcW w:w="7100" w:type="dxa"/>
            <w:vAlign w:val="bottom"/>
          </w:tcPr>
          <w:p>
            <w:pPr>
              <w:ind w:left="180"/>
              <w:spacing w:after="0"/>
              <w:rPr>
                <w:sz w:val="20"/>
                <w:szCs w:val="20"/>
                <w:color w:val="auto"/>
              </w:rPr>
            </w:pPr>
            <w:r>
              <w:rPr>
                <w:rFonts w:ascii="Arial" w:cs="Arial" w:eastAsia="Arial" w:hAnsi="Arial"/>
                <w:sz w:val="16"/>
                <w:szCs w:val="16"/>
                <w:color w:val="auto"/>
              </w:rPr>
              <w:t>Accounts receivable</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(16,498)</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(2,888)</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148</w:t>
            </w:r>
          </w:p>
        </w:tc>
      </w:tr>
      <w:tr>
        <w:trPr>
          <w:trHeight w:val="219"/>
        </w:trPr>
        <w:tc>
          <w:tcPr>
            <w:tcW w:w="71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Inventory</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(1,256,349)</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(175,091)</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(359)</w:t>
            </w:r>
          </w:p>
        </w:tc>
      </w:tr>
      <w:tr>
        <w:trPr>
          <w:trHeight w:val="213"/>
        </w:trPr>
        <w:tc>
          <w:tcPr>
            <w:tcW w:w="7100" w:type="dxa"/>
            <w:vAlign w:val="bottom"/>
          </w:tcPr>
          <w:p>
            <w:pPr>
              <w:ind w:left="180"/>
              <w:spacing w:after="0"/>
              <w:rPr>
                <w:sz w:val="20"/>
                <w:szCs w:val="20"/>
                <w:color w:val="auto"/>
              </w:rPr>
            </w:pPr>
            <w:r>
              <w:rPr>
                <w:rFonts w:ascii="Arial" w:cs="Arial" w:eastAsia="Arial" w:hAnsi="Arial"/>
                <w:sz w:val="16"/>
                <w:szCs w:val="16"/>
                <w:color w:val="auto"/>
              </w:rPr>
              <w:t>Prepaid expenses</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(28,822)</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(66,980)</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7,770</w:t>
            </w:r>
          </w:p>
        </w:tc>
      </w:tr>
      <w:tr>
        <w:trPr>
          <w:trHeight w:val="219"/>
        </w:trPr>
        <w:tc>
          <w:tcPr>
            <w:tcW w:w="71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 current assets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(43,591)</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(14,704)</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7,360</w:t>
            </w:r>
          </w:p>
        </w:tc>
      </w:tr>
      <w:tr>
        <w:trPr>
          <w:trHeight w:val="213"/>
        </w:trPr>
        <w:tc>
          <w:tcPr>
            <w:tcW w:w="7100" w:type="dxa"/>
            <w:vAlign w:val="bottom"/>
          </w:tcPr>
          <w:p>
            <w:pPr>
              <w:ind w:left="180"/>
              <w:spacing w:after="0"/>
              <w:rPr>
                <w:sz w:val="20"/>
                <w:szCs w:val="20"/>
                <w:color w:val="auto"/>
              </w:rPr>
            </w:pPr>
            <w:r>
              <w:rPr>
                <w:rFonts w:ascii="Arial" w:cs="Arial" w:eastAsia="Arial" w:hAnsi="Arial"/>
                <w:sz w:val="16"/>
                <w:szCs w:val="16"/>
                <w:color w:val="auto"/>
              </w:rPr>
              <w:t>Other noncurrent assets</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(43,230)</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5,889</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2,866</w:t>
            </w:r>
          </w:p>
        </w:tc>
      </w:tr>
      <w:tr>
        <w:trPr>
          <w:trHeight w:val="219"/>
        </w:trPr>
        <w:tc>
          <w:tcPr>
            <w:tcW w:w="71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Accounts payable</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180,469</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4,354</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(69,861)</w:t>
            </w:r>
          </w:p>
        </w:tc>
      </w:tr>
      <w:tr>
        <w:trPr>
          <w:trHeight w:val="213"/>
        </w:trPr>
        <w:tc>
          <w:tcPr>
            <w:tcW w:w="7100" w:type="dxa"/>
            <w:vAlign w:val="bottom"/>
          </w:tcPr>
          <w:p>
            <w:pPr>
              <w:ind w:left="180"/>
              <w:spacing w:after="0"/>
              <w:rPr>
                <w:sz w:val="20"/>
                <w:szCs w:val="20"/>
                <w:color w:val="auto"/>
              </w:rPr>
            </w:pPr>
            <w:r>
              <w:rPr>
                <w:rFonts w:ascii="Arial" w:cs="Arial" w:eastAsia="Arial" w:hAnsi="Arial"/>
                <w:sz w:val="16"/>
                <w:szCs w:val="16"/>
                <w:color w:val="auto"/>
              </w:rPr>
              <w:t>Accrued compensation</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30,958</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16,167</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13,249</w:t>
            </w:r>
          </w:p>
        </w:tc>
      </w:tr>
      <w:tr>
        <w:trPr>
          <w:trHeight w:val="219"/>
        </w:trPr>
        <w:tc>
          <w:tcPr>
            <w:tcW w:w="71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Operating lease liability</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(15,482)</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(10,019)</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100" w:type="dxa"/>
            <w:vAlign w:val="bottom"/>
          </w:tcPr>
          <w:p>
            <w:pPr>
              <w:ind w:left="180"/>
              <w:spacing w:after="0"/>
              <w:rPr>
                <w:sz w:val="20"/>
                <w:szCs w:val="20"/>
                <w:color w:val="auto"/>
              </w:rPr>
            </w:pPr>
            <w:r>
              <w:rPr>
                <w:rFonts w:ascii="Arial" w:cs="Arial" w:eastAsia="Arial" w:hAnsi="Arial"/>
                <w:sz w:val="16"/>
                <w:szCs w:val="16"/>
                <w:color w:val="auto"/>
              </w:rPr>
              <w:t>Other current liabilities</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269,386</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65,456</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53,454</w:t>
            </w:r>
          </w:p>
        </w:tc>
      </w:tr>
      <w:tr>
        <w:trPr>
          <w:trHeight w:val="219"/>
        </w:trPr>
        <w:tc>
          <w:tcPr>
            <w:tcW w:w="71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 long-term liabilities</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31,028</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(4,712)</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7100" w:type="dxa"/>
            <w:vAlign w:val="bottom"/>
            <w:tcBorders>
              <w:bottom w:val="single" w:sz="8" w:color="CCEEFF"/>
            </w:tcBorders>
          </w:tcPr>
          <w:p>
            <w:pPr>
              <w:ind w:left="520"/>
              <w:spacing w:after="0"/>
              <w:rPr>
                <w:sz w:val="20"/>
                <w:szCs w:val="20"/>
                <w:color w:val="auto"/>
              </w:rPr>
            </w:pPr>
            <w:r>
              <w:rPr>
                <w:rFonts w:ascii="Arial" w:cs="Arial" w:eastAsia="Arial" w:hAnsi="Arial"/>
                <w:sz w:val="16"/>
                <w:szCs w:val="16"/>
                <w:color w:val="auto"/>
              </w:rPr>
              <w:t>Net cash used in operating activities</w:t>
            </w: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(2,226,258)</w:t>
            </w:r>
          </w:p>
        </w:tc>
        <w:tc>
          <w:tcPr>
            <w:tcW w:w="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(1,058,133)</w:t>
            </w:r>
          </w:p>
        </w:tc>
        <w:tc>
          <w:tcPr>
            <w:tcW w:w="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(570,196)</w:t>
            </w:r>
          </w:p>
        </w:tc>
      </w:tr>
      <w:tr>
        <w:trPr>
          <w:trHeight w:val="199"/>
        </w:trPr>
        <w:tc>
          <w:tcPr>
            <w:tcW w:w="71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13"/>
        </w:trPr>
        <w:tc>
          <w:tcPr>
            <w:tcW w:w="7100" w:type="dxa"/>
            <w:vAlign w:val="bottom"/>
          </w:tcPr>
          <w:p>
            <w:pPr>
              <w:ind w:left="180"/>
              <w:spacing w:after="0"/>
              <w:rPr>
                <w:sz w:val="20"/>
                <w:szCs w:val="20"/>
                <w:color w:val="auto"/>
              </w:rPr>
            </w:pPr>
            <w:r>
              <w:rPr>
                <w:rFonts w:ascii="Arial" w:cs="Arial" w:eastAsia="Arial" w:hAnsi="Arial"/>
                <w:sz w:val="16"/>
                <w:szCs w:val="16"/>
                <w:color w:val="auto"/>
              </w:rPr>
              <w:t>Purchases of property, plant and equipment</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(1,074,852)</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(421,220)</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(459,582)</w:t>
            </w:r>
          </w:p>
        </w:tc>
      </w:tr>
      <w:tr>
        <w:trPr>
          <w:trHeight w:val="219"/>
        </w:trPr>
        <w:tc>
          <w:tcPr>
            <w:tcW w:w="71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Proceeds from sale of property, plant and equipment</w:t>
            </w:r>
          </w:p>
        </w:tc>
        <w:tc>
          <w:tcPr>
            <w:tcW w:w="3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100" w:type="dxa"/>
            <w:vAlign w:val="bottom"/>
          </w:tcPr>
          <w:p>
            <w:pPr>
              <w:ind w:left="180"/>
              <w:spacing w:after="0"/>
              <w:rPr>
                <w:sz w:val="20"/>
                <w:szCs w:val="20"/>
                <w:color w:val="auto"/>
              </w:rPr>
            </w:pPr>
            <w:r>
              <w:rPr>
                <w:rFonts w:ascii="Arial" w:cs="Arial" w:eastAsia="Arial" w:hAnsi="Arial"/>
                <w:sz w:val="16"/>
                <w:szCs w:val="16"/>
                <w:color w:val="auto"/>
              </w:rPr>
              <w:t>Proceeds from government grant</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97,267</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71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Purchases of investments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(3,854,129)</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100" w:type="dxa"/>
            <w:vAlign w:val="bottom"/>
          </w:tcPr>
          <w:p>
            <w:pPr>
              <w:ind w:left="180"/>
              <w:spacing w:after="0"/>
              <w:rPr>
                <w:sz w:val="20"/>
                <w:szCs w:val="20"/>
                <w:color w:val="auto"/>
              </w:rPr>
            </w:pPr>
            <w:r>
              <w:rPr>
                <w:rFonts w:ascii="Arial" w:cs="Arial" w:eastAsia="Arial" w:hAnsi="Arial"/>
                <w:sz w:val="16"/>
                <w:szCs w:val="16"/>
                <w:color w:val="auto"/>
              </w:rPr>
              <w:t>Proceeds from maturities of investments</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1,149,714</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71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Proceeds from sale of short term investments</w:t>
            </w:r>
          </w:p>
        </w:tc>
        <w:tc>
          <w:tcPr>
            <w:tcW w:w="3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505</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13"/>
        </w:trPr>
        <w:tc>
          <w:tcPr>
            <w:tcW w:w="7100" w:type="dxa"/>
            <w:vAlign w:val="bottom"/>
          </w:tcPr>
          <w:p>
            <w:pPr>
              <w:ind w:left="180"/>
              <w:spacing w:after="0"/>
              <w:rPr>
                <w:sz w:val="20"/>
                <w:szCs w:val="20"/>
                <w:color w:val="auto"/>
              </w:rPr>
            </w:pPr>
            <w:r>
              <w:rPr>
                <w:rFonts w:ascii="Arial" w:cs="Arial" w:eastAsia="Arial" w:hAnsi="Arial"/>
                <w:sz w:val="16"/>
                <w:szCs w:val="16"/>
                <w:color w:val="auto"/>
              </w:rPr>
              <w:t>Proceeds from insurance claims</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323</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100" w:type="dxa"/>
            <w:vAlign w:val="bottom"/>
            <w:tcBorders>
              <w:top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Net cash used in investing activities</w:t>
            </w: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(3,681,677)</w:t>
            </w: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(420,693)</w:t>
            </w: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(459,582)</w:t>
            </w:r>
          </w:p>
        </w:tc>
      </w:tr>
      <w:tr>
        <w:trPr>
          <w:trHeight w:val="193"/>
        </w:trPr>
        <w:tc>
          <w:tcPr>
            <w:tcW w:w="7100" w:type="dxa"/>
            <w:vAlign w:val="bottom"/>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19"/>
        </w:trPr>
        <w:tc>
          <w:tcPr>
            <w:tcW w:w="71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Proceed from issuance of convertible notes, net of issuance costs</w:t>
            </w:r>
          </w:p>
        </w:tc>
        <w:tc>
          <w:tcPr>
            <w:tcW w:w="3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2,002,437</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100" w:type="dxa"/>
            <w:vAlign w:val="bottom"/>
          </w:tcPr>
          <w:p>
            <w:pPr>
              <w:ind w:left="180"/>
              <w:spacing w:after="0"/>
              <w:rPr>
                <w:sz w:val="20"/>
                <w:szCs w:val="20"/>
                <w:color w:val="auto"/>
              </w:rPr>
            </w:pPr>
            <w:r>
              <w:rPr>
                <w:rFonts w:ascii="Arial" w:cs="Arial" w:eastAsia="Arial" w:hAnsi="Arial"/>
                <w:sz w:val="16"/>
                <w:szCs w:val="16"/>
                <w:color w:val="auto"/>
              </w:rPr>
              <w:t>Payment of transaction costs for the issuance of convertible notes</w:t>
            </w:r>
          </w:p>
        </w:tc>
        <w:tc>
          <w:tcPr>
            <w:tcW w:w="3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(15,883)</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71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Proceeds from issuance of common stock under At-the-Market Offering, net of issuance costs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594,317</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100" w:type="dxa"/>
            <w:vAlign w:val="bottom"/>
          </w:tcPr>
          <w:p>
            <w:pPr>
              <w:ind w:left="180"/>
              <w:spacing w:after="0"/>
              <w:rPr>
                <w:sz w:val="20"/>
                <w:szCs w:val="20"/>
                <w:color w:val="auto"/>
              </w:rPr>
            </w:pPr>
            <w:r>
              <w:rPr>
                <w:rFonts w:ascii="Arial" w:cs="Arial" w:eastAsia="Arial" w:hAnsi="Arial"/>
                <w:sz w:val="16"/>
                <w:szCs w:val="16"/>
                <w:color w:val="auto"/>
              </w:rPr>
              <w:t>Proceeds from issuance of common stock under Subscription Agreement</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915,000</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71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Proceeds from short-term insurance financing note</w:t>
            </w:r>
          </w:p>
        </w:tc>
        <w:tc>
          <w:tcPr>
            <w:tcW w:w="3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41,935</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100" w:type="dxa"/>
            <w:vAlign w:val="bottom"/>
          </w:tcPr>
          <w:p>
            <w:pPr>
              <w:ind w:left="180"/>
              <w:spacing w:after="0"/>
              <w:rPr>
                <w:sz w:val="20"/>
                <w:szCs w:val="20"/>
                <w:color w:val="auto"/>
              </w:rPr>
            </w:pPr>
            <w:r>
              <w:rPr>
                <w:rFonts w:ascii="Arial" w:cs="Arial" w:eastAsia="Arial" w:hAnsi="Arial"/>
                <w:sz w:val="16"/>
                <w:szCs w:val="16"/>
                <w:color w:val="auto"/>
              </w:rPr>
              <w:t>Payment for short-term insurance financing note</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(15,330)</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(27,887)</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71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Payment for capital lease liabilities</w:t>
            </w:r>
          </w:p>
        </w:tc>
        <w:tc>
          <w:tcPr>
            <w:tcW w:w="3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(364)</w:t>
            </w:r>
          </w:p>
        </w:tc>
      </w:tr>
      <w:tr>
        <w:trPr>
          <w:trHeight w:val="213"/>
        </w:trPr>
        <w:tc>
          <w:tcPr>
            <w:tcW w:w="7100" w:type="dxa"/>
            <w:vAlign w:val="bottom"/>
          </w:tcPr>
          <w:p>
            <w:pPr>
              <w:ind w:left="180"/>
              <w:spacing w:after="0"/>
              <w:rPr>
                <w:sz w:val="20"/>
                <w:szCs w:val="20"/>
                <w:color w:val="auto"/>
              </w:rPr>
            </w:pPr>
            <w:r>
              <w:rPr>
                <w:rFonts w:ascii="Arial" w:cs="Arial" w:eastAsia="Arial" w:hAnsi="Arial"/>
                <w:sz w:val="16"/>
                <w:szCs w:val="16"/>
                <w:color w:val="auto"/>
              </w:rPr>
              <w:t>Payment for finance lease liabilities</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(4,977)</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(3,088)</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71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Proceeds from borrowings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29,818</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100" w:type="dxa"/>
            <w:vAlign w:val="bottom"/>
          </w:tcPr>
          <w:p>
            <w:pPr>
              <w:ind w:left="180"/>
              <w:spacing w:after="0"/>
              <w:rPr>
                <w:sz w:val="20"/>
                <w:szCs w:val="20"/>
                <w:color w:val="auto"/>
              </w:rPr>
            </w:pPr>
            <w:r>
              <w:rPr>
                <w:rFonts w:ascii="Arial" w:cs="Arial" w:eastAsia="Arial" w:hAnsi="Arial"/>
                <w:sz w:val="16"/>
                <w:szCs w:val="16"/>
                <w:color w:val="auto"/>
              </w:rPr>
              <w:t>Repayments for borrowings</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(20,223)</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71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Proceeds from failed sale-leaseback transaction</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31,700</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100" w:type="dxa"/>
            <w:vAlign w:val="bottom"/>
          </w:tcPr>
          <w:p>
            <w:pPr>
              <w:ind w:left="180"/>
              <w:spacing w:after="0"/>
              <w:rPr>
                <w:sz w:val="20"/>
                <w:szCs w:val="20"/>
                <w:color w:val="auto"/>
              </w:rPr>
            </w:pPr>
            <w:r>
              <w:rPr>
                <w:rFonts w:ascii="Arial" w:cs="Arial" w:eastAsia="Arial" w:hAnsi="Arial"/>
                <w:sz w:val="16"/>
                <w:szCs w:val="16"/>
                <w:color w:val="auto"/>
              </w:rPr>
              <w:t>Repurchase of Series B convertible preferred stock</w:t>
            </w:r>
          </w:p>
        </w:tc>
        <w:tc>
          <w:tcPr>
            <w:tcW w:w="3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(3,000)</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71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Repurchase of Series C convertible preferred stock</w:t>
            </w:r>
          </w:p>
        </w:tc>
        <w:tc>
          <w:tcPr>
            <w:tcW w:w="3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(12,101)</w:t>
            </w:r>
          </w:p>
        </w:tc>
      </w:tr>
      <w:tr>
        <w:trPr>
          <w:trHeight w:val="213"/>
        </w:trPr>
        <w:tc>
          <w:tcPr>
            <w:tcW w:w="7100" w:type="dxa"/>
            <w:vAlign w:val="bottom"/>
          </w:tcPr>
          <w:p>
            <w:pPr>
              <w:ind w:left="180"/>
              <w:spacing w:after="0"/>
              <w:rPr>
                <w:sz w:val="20"/>
                <w:szCs w:val="20"/>
                <w:color w:val="auto"/>
              </w:rPr>
            </w:pPr>
            <w:r>
              <w:rPr>
                <w:rFonts w:ascii="Arial" w:cs="Arial" w:eastAsia="Arial" w:hAnsi="Arial"/>
                <w:sz w:val="16"/>
                <w:szCs w:val="16"/>
                <w:color w:val="auto"/>
              </w:rPr>
              <w:t>Proceeds from issuance of Series D convertible preferred stock</w:t>
            </w:r>
          </w:p>
        </w:tc>
        <w:tc>
          <w:tcPr>
            <w:tcW w:w="3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3,000</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400,000</w:t>
            </w:r>
          </w:p>
        </w:tc>
      </w:tr>
      <w:tr>
        <w:trPr>
          <w:trHeight w:val="219"/>
        </w:trPr>
        <w:tc>
          <w:tcPr>
            <w:tcW w:w="71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Proceeds from issuance of Series E convertible preferred stock</w:t>
            </w:r>
          </w:p>
        </w:tc>
        <w:tc>
          <w:tcPr>
            <w:tcW w:w="3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600,000</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899,725</w:t>
            </w:r>
          </w:p>
        </w:tc>
      </w:tr>
      <w:tr>
        <w:trPr>
          <w:trHeight w:val="213"/>
        </w:trPr>
        <w:tc>
          <w:tcPr>
            <w:tcW w:w="7100" w:type="dxa"/>
            <w:vAlign w:val="bottom"/>
          </w:tcPr>
          <w:p>
            <w:pPr>
              <w:ind w:left="180"/>
              <w:spacing w:after="0"/>
              <w:rPr>
                <w:sz w:val="20"/>
                <w:szCs w:val="20"/>
                <w:color w:val="auto"/>
              </w:rPr>
            </w:pPr>
            <w:r>
              <w:rPr>
                <w:rFonts w:ascii="Arial" w:cs="Arial" w:eastAsia="Arial" w:hAnsi="Arial"/>
                <w:sz w:val="16"/>
                <w:szCs w:val="16"/>
                <w:color w:val="auto"/>
              </w:rPr>
              <w:t>Proceeds from exercise of stock options</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17,788</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8,132</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3,285</w:t>
            </w:r>
          </w:p>
        </w:tc>
      </w:tr>
      <w:tr>
        <w:trPr>
          <w:trHeight w:val="219"/>
        </w:trPr>
        <w:tc>
          <w:tcPr>
            <w:tcW w:w="71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Proceeds from the exercise of public warrants</w:t>
            </w:r>
          </w:p>
        </w:tc>
        <w:tc>
          <w:tcPr>
            <w:tcW w:w="3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173,273</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100" w:type="dxa"/>
            <w:vAlign w:val="bottom"/>
          </w:tcPr>
          <w:p>
            <w:pPr>
              <w:ind w:left="180"/>
              <w:spacing w:after="0"/>
              <w:rPr>
                <w:sz w:val="20"/>
                <w:szCs w:val="20"/>
                <w:color w:val="auto"/>
              </w:rPr>
            </w:pPr>
            <w:r>
              <w:rPr>
                <w:rFonts w:ascii="Arial" w:cs="Arial" w:eastAsia="Arial" w:hAnsi="Arial"/>
                <w:sz w:val="16"/>
                <w:szCs w:val="16"/>
                <w:color w:val="auto"/>
              </w:rPr>
              <w:t>Proceeds from the reverse capitalization</w:t>
            </w:r>
          </w:p>
        </w:tc>
        <w:tc>
          <w:tcPr>
            <w:tcW w:w="3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4,439,153</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71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Payment of transaction costs related to the reverse recapitalization</w:t>
            </w:r>
          </w:p>
        </w:tc>
        <w:tc>
          <w:tcPr>
            <w:tcW w:w="3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(38,865)</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100" w:type="dxa"/>
            <w:vAlign w:val="bottom"/>
          </w:tcPr>
          <w:p>
            <w:pPr>
              <w:ind w:left="180"/>
              <w:spacing w:after="0"/>
              <w:rPr>
                <w:sz w:val="20"/>
                <w:szCs w:val="20"/>
                <w:color w:val="auto"/>
              </w:rPr>
            </w:pPr>
            <w:r>
              <w:rPr>
                <w:rFonts w:ascii="Arial" w:cs="Arial" w:eastAsia="Arial" w:hAnsi="Arial"/>
                <w:sz w:val="16"/>
                <w:szCs w:val="16"/>
                <w:color w:val="auto"/>
              </w:rPr>
              <w:t>Proceeds from employee stock purchase plan</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24,562</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71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Treasury stock repurchase</w:t>
            </w:r>
          </w:p>
        </w:tc>
        <w:tc>
          <w:tcPr>
            <w:tcW w:w="3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(20,716)</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100" w:type="dxa"/>
            <w:vAlign w:val="bottom"/>
          </w:tcPr>
          <w:p>
            <w:pPr>
              <w:ind w:left="180"/>
              <w:spacing w:after="0"/>
              <w:rPr>
                <w:sz w:val="20"/>
                <w:szCs w:val="20"/>
                <w:color w:val="auto"/>
              </w:rPr>
            </w:pPr>
            <w:r>
              <w:rPr>
                <w:rFonts w:ascii="Arial" w:cs="Arial" w:eastAsia="Arial" w:hAnsi="Arial"/>
                <w:sz w:val="16"/>
                <w:szCs w:val="16"/>
                <w:color w:val="auto"/>
              </w:rPr>
              <w:t>Stock repurchases from employees for tax withholdings</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(218,789)</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(22,063)</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71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Payment for credit facility issuance costs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(6,631)</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7100" w:type="dxa"/>
            <w:vAlign w:val="bottom"/>
            <w:tcBorders>
              <w:bottom w:val="single" w:sz="8" w:color="CCEEFF"/>
            </w:tcBorders>
          </w:tcPr>
          <w:p>
            <w:pPr>
              <w:ind w:left="520"/>
              <w:spacing w:after="0"/>
              <w:rPr>
                <w:sz w:val="20"/>
                <w:szCs w:val="20"/>
                <w:color w:val="auto"/>
              </w:rPr>
            </w:pPr>
            <w:r>
              <w:rPr>
                <w:rFonts w:ascii="Arial" w:cs="Arial" w:eastAsia="Arial" w:hAnsi="Arial"/>
                <w:sz w:val="16"/>
                <w:szCs w:val="16"/>
                <w:color w:val="auto"/>
              </w:rPr>
              <w:t>Net cash provided by financing activities</w:t>
            </w:r>
          </w:p>
        </w:tc>
        <w:tc>
          <w:tcPr>
            <w:tcW w:w="32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1,347,235</w:t>
            </w:r>
          </w:p>
        </w:tc>
        <w:tc>
          <w:tcPr>
            <w:tcW w:w="8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7,136,428</w:t>
            </w:r>
          </w:p>
        </w:tc>
        <w:tc>
          <w:tcPr>
            <w:tcW w:w="8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1,290,545</w:t>
            </w:r>
          </w:p>
        </w:tc>
      </w:tr>
      <w:tr>
        <w:trPr>
          <w:trHeight w:val="212"/>
        </w:trPr>
        <w:tc>
          <w:tcPr>
            <w:tcW w:w="7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(decrease) increase in cash, cash equivalents, and restricted cash</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(4,560,700)</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5,657,602</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260,767</w:t>
            </w:r>
          </w:p>
        </w:tc>
      </w:tr>
      <w:tr>
        <w:trPr>
          <w:trHeight w:val="213"/>
        </w:trPr>
        <w:tc>
          <w:tcPr>
            <w:tcW w:w="71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Beginning cash, cash equivalents, and restricted cash</w:t>
            </w: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6,298,020</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640,418</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379,651</w:t>
            </w:r>
          </w:p>
        </w:tc>
      </w:tr>
      <w:tr>
        <w:trPr>
          <w:trHeight w:val="238"/>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Ending cash, cash equivalents, and restricted cash</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1,737,320</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6,298,020</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640,418</w:t>
            </w: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34" w:lineRule="exact"/>
        <w:rPr>
          <w:sz w:val="20"/>
          <w:szCs w:val="20"/>
          <w:color w:val="auto"/>
        </w:rPr>
      </w:pPr>
    </w:p>
    <w:p>
      <w:pPr>
        <w:sectPr>
          <w:pgSz w:w="11900" w:h="16838" w:orient="portrait"/>
          <w:cols w:equalWidth="0" w:num="1">
            <w:col w:w="11240"/>
          </w:cols>
          <w:pgMar w:left="320" w:top="931" w:right="339" w:bottom="508" w:gutter="0" w:footer="0" w:header="0"/>
        </w:sectPr>
      </w:pPr>
    </w:p>
    <w:p>
      <w:pPr>
        <w:jc w:val="cente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508" w:gutter="0" w:footer="0" w:header="0"/>
          <w:type w:val="continuous"/>
        </w:sectPr>
      </w:pPr>
    </w:p>
    <w:bookmarkStart w:id="93" w:name="page94"/>
    <w:bookmarkEnd w:id="93"/>
    <w:p>
      <w:pPr>
        <w:jc w:val="center"/>
        <w:spacing w:after="0"/>
        <w:rPr>
          <w:sz w:val="20"/>
          <w:szCs w:val="20"/>
          <w:color w:val="auto"/>
        </w:rPr>
      </w:pPr>
      <w:r>
        <w:rPr>
          <w:rFonts w:ascii="Arial" w:cs="Arial" w:eastAsia="Arial" w:hAnsi="Arial"/>
          <w:sz w:val="18"/>
          <w:szCs w:val="18"/>
          <w:b w:val="1"/>
          <w:bCs w:val="1"/>
          <w:color w:val="auto"/>
        </w:rPr>
        <w:t>LUCID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40" w:type="dxa"/>
            <w:vAlign w:val="bottom"/>
            <w:gridSpan w:val="6"/>
          </w:tcPr>
          <w:p>
            <w:pPr>
              <w:jc w:val="right"/>
              <w:ind w:right="139"/>
              <w:spacing w:after="0"/>
              <w:rPr>
                <w:sz w:val="20"/>
                <w:szCs w:val="20"/>
                <w:color w:val="auto"/>
              </w:rPr>
            </w:pPr>
            <w:r>
              <w:rPr>
                <w:rFonts w:ascii="Arial" w:cs="Arial" w:eastAsia="Arial" w:hAnsi="Arial"/>
                <w:sz w:val="14"/>
                <w:szCs w:val="14"/>
                <w:b w:val="1"/>
                <w:bCs w:val="1"/>
                <w:color w:val="auto"/>
              </w:rPr>
              <w:t>Year Ended December 31,</w:t>
            </w:r>
          </w:p>
        </w:tc>
        <w:tc>
          <w:tcPr>
            <w:tcW w:w="1000" w:type="dxa"/>
            <w:vAlign w:val="bottom"/>
          </w:tcPr>
          <w:p>
            <w:pPr>
              <w:spacing w:after="0"/>
              <w:rPr>
                <w:sz w:val="16"/>
                <w:szCs w:val="16"/>
                <w:color w:val="auto"/>
              </w:rPr>
            </w:pPr>
          </w:p>
        </w:tc>
      </w:tr>
      <w:tr>
        <w:trPr>
          <w:trHeight w:val="26"/>
        </w:trPr>
        <w:tc>
          <w:tcPr>
            <w:tcW w:w="71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90"/>
        </w:trPr>
        <w:tc>
          <w:tcPr>
            <w:tcW w:w="71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2020</w:t>
            </w:r>
          </w:p>
        </w:tc>
      </w:tr>
      <w:tr>
        <w:trPr>
          <w:trHeight w:val="203"/>
        </w:trPr>
        <w:tc>
          <w:tcPr>
            <w:tcW w:w="71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Supplemental disclosure of cash flow information:</w:t>
            </w:r>
          </w:p>
        </w:tc>
        <w:tc>
          <w:tcPr>
            <w:tcW w:w="3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13"/>
        </w:trPr>
        <w:tc>
          <w:tcPr>
            <w:tcW w:w="7180" w:type="dxa"/>
            <w:vAlign w:val="bottom"/>
          </w:tcPr>
          <w:p>
            <w:pPr>
              <w:ind w:left="20"/>
              <w:spacing w:after="0"/>
              <w:rPr>
                <w:sz w:val="20"/>
                <w:szCs w:val="20"/>
                <w:color w:val="auto"/>
              </w:rPr>
            </w:pPr>
            <w:r>
              <w:rPr>
                <w:rFonts w:ascii="Arial" w:cs="Arial" w:eastAsia="Arial" w:hAnsi="Arial"/>
                <w:sz w:val="16"/>
                <w:szCs w:val="16"/>
                <w:color w:val="auto"/>
              </w:rPr>
              <w:t>Cash paid for interest, net of amounts capitalized</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23,199</w:t>
            </w:r>
          </w:p>
        </w:tc>
        <w:tc>
          <w:tcPr>
            <w:tcW w:w="8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627</w:t>
            </w:r>
          </w:p>
        </w:tc>
        <w:tc>
          <w:tcPr>
            <w:tcW w:w="8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51</w:t>
            </w:r>
          </w:p>
        </w:tc>
      </w:tr>
      <w:tr>
        <w:trPr>
          <w:trHeight w:val="219"/>
        </w:trPr>
        <w:tc>
          <w:tcPr>
            <w:tcW w:w="7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paid for taxes</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480</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180" w:type="dxa"/>
            <w:vAlign w:val="bottom"/>
          </w:tcPr>
          <w:p>
            <w:pPr>
              <w:ind w:left="20"/>
              <w:spacing w:after="0"/>
              <w:rPr>
                <w:sz w:val="20"/>
                <w:szCs w:val="20"/>
                <w:color w:val="auto"/>
              </w:rPr>
            </w:pPr>
            <w:r>
              <w:rPr>
                <w:rFonts w:ascii="Arial" w:cs="Arial" w:eastAsia="Arial" w:hAnsi="Arial"/>
                <w:sz w:val="16"/>
                <w:szCs w:val="16"/>
                <w:b w:val="1"/>
                <w:bCs w:val="1"/>
                <w:color w:val="auto"/>
              </w:rPr>
              <w:t>Supplemental disclosure of non-cash investing and financing activity:</w:t>
            </w: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9"/>
        </w:trPr>
        <w:tc>
          <w:tcPr>
            <w:tcW w:w="7180" w:type="dxa"/>
            <w:vAlign w:val="bottom"/>
            <w:shd w:val="clear" w:color="auto" w:fill="CCEEFF"/>
          </w:tcPr>
          <w:p>
            <w:pPr>
              <w:ind w:left="20"/>
              <w:spacing w:after="0"/>
              <w:rPr>
                <w:sz w:val="20"/>
                <w:szCs w:val="20"/>
                <w:color w:val="auto"/>
              </w:rPr>
            </w:pPr>
            <w:r>
              <w:rPr>
                <w:rFonts w:ascii="Arial" w:cs="Arial" w:eastAsia="Arial" w:hAnsi="Arial"/>
                <w:sz w:val="16"/>
                <w:szCs w:val="16"/>
                <w:color w:val="auto"/>
                <w:w w:val="91"/>
              </w:rPr>
              <w:t>Increases in purchases of property, plant and equipment included in Accounts payable and accrued expenses</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42,728</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101,057</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117,946</w:t>
            </w:r>
          </w:p>
        </w:tc>
      </w:tr>
      <w:tr>
        <w:trPr>
          <w:trHeight w:val="213"/>
        </w:trPr>
        <w:tc>
          <w:tcPr>
            <w:tcW w:w="7180" w:type="dxa"/>
            <w:vAlign w:val="bottom"/>
          </w:tcPr>
          <w:p>
            <w:pPr>
              <w:ind w:left="20"/>
              <w:spacing w:after="0"/>
              <w:rPr>
                <w:sz w:val="20"/>
                <w:szCs w:val="20"/>
                <w:color w:val="auto"/>
              </w:rPr>
            </w:pPr>
            <w:r>
              <w:rPr>
                <w:rFonts w:ascii="Arial" w:cs="Arial" w:eastAsia="Arial" w:hAnsi="Arial"/>
                <w:sz w:val="16"/>
                <w:szCs w:val="16"/>
                <w:color w:val="auto"/>
              </w:rPr>
              <w:t>Property, plant and equipment and Right-of-use assets obtained through leases</w:t>
            </w:r>
          </w:p>
        </w:tc>
        <w:tc>
          <w:tcPr>
            <w:tcW w:w="3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157,894</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93,771</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3,289</w:t>
            </w:r>
          </w:p>
        </w:tc>
      </w:tr>
      <w:tr>
        <w:trPr>
          <w:trHeight w:val="219"/>
        </w:trPr>
        <w:tc>
          <w:tcPr>
            <w:tcW w:w="7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Extinguishment of Series B convertible preferred stock included in Additional paid-in capital</w:t>
            </w:r>
          </w:p>
        </w:tc>
        <w:tc>
          <w:tcPr>
            <w:tcW w:w="3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r>
      <w:tr>
        <w:trPr>
          <w:trHeight w:val="213"/>
        </w:trPr>
        <w:tc>
          <w:tcPr>
            <w:tcW w:w="7180" w:type="dxa"/>
            <w:vAlign w:val="bottom"/>
          </w:tcPr>
          <w:p>
            <w:pPr>
              <w:ind w:left="20"/>
              <w:spacing w:after="0"/>
              <w:rPr>
                <w:sz w:val="20"/>
                <w:szCs w:val="20"/>
                <w:color w:val="auto"/>
              </w:rPr>
            </w:pPr>
            <w:r>
              <w:rPr>
                <w:rFonts w:ascii="Arial" w:cs="Arial" w:eastAsia="Arial" w:hAnsi="Arial"/>
                <w:sz w:val="16"/>
                <w:szCs w:val="16"/>
                <w:color w:val="auto"/>
              </w:rPr>
              <w:t>Extinguishment of Series B convertible preferred stock included in accrued liabilities</w:t>
            </w:r>
          </w:p>
        </w:tc>
        <w:tc>
          <w:tcPr>
            <w:tcW w:w="3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3,000</w:t>
            </w:r>
          </w:p>
        </w:tc>
      </w:tr>
      <w:tr>
        <w:trPr>
          <w:trHeight w:val="219"/>
        </w:trPr>
        <w:tc>
          <w:tcPr>
            <w:tcW w:w="7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Issuance of Series D convertible preferred stock upon settlement of contingent forward contracts</w:t>
            </w:r>
          </w:p>
        </w:tc>
        <w:tc>
          <w:tcPr>
            <w:tcW w:w="3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39,563</w:t>
            </w:r>
          </w:p>
        </w:tc>
      </w:tr>
      <w:tr>
        <w:trPr>
          <w:trHeight w:val="213"/>
        </w:trPr>
        <w:tc>
          <w:tcPr>
            <w:tcW w:w="7180" w:type="dxa"/>
            <w:vAlign w:val="bottom"/>
          </w:tcPr>
          <w:p>
            <w:pPr>
              <w:ind w:left="20"/>
              <w:spacing w:after="0"/>
              <w:rPr>
                <w:sz w:val="20"/>
                <w:szCs w:val="20"/>
                <w:color w:val="auto"/>
              </w:rPr>
            </w:pPr>
            <w:r>
              <w:rPr>
                <w:rFonts w:ascii="Arial" w:cs="Arial" w:eastAsia="Arial" w:hAnsi="Arial"/>
                <w:sz w:val="16"/>
                <w:szCs w:val="16"/>
                <w:color w:val="auto"/>
              </w:rPr>
              <w:t>Issuance of Series D convertible preferred stock upon exercise of preferred stock warrants</w:t>
            </w:r>
          </w:p>
        </w:tc>
        <w:tc>
          <w:tcPr>
            <w:tcW w:w="3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9,936</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7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Issuance of Series E convertible preferred stock contingent forward contracts</w:t>
            </w:r>
          </w:p>
        </w:tc>
        <w:tc>
          <w:tcPr>
            <w:tcW w:w="3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2,167,332</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793</w:t>
            </w:r>
          </w:p>
        </w:tc>
      </w:tr>
      <w:tr>
        <w:trPr>
          <w:trHeight w:val="213"/>
        </w:trPr>
        <w:tc>
          <w:tcPr>
            <w:tcW w:w="7180" w:type="dxa"/>
            <w:vAlign w:val="bottom"/>
          </w:tcPr>
          <w:p>
            <w:pPr>
              <w:ind w:left="20"/>
              <w:spacing w:after="0"/>
              <w:rPr>
                <w:sz w:val="20"/>
                <w:szCs w:val="20"/>
                <w:color w:val="auto"/>
              </w:rPr>
            </w:pPr>
            <w:r>
              <w:rPr>
                <w:rFonts w:ascii="Arial" w:cs="Arial" w:eastAsia="Arial" w:hAnsi="Arial"/>
                <w:sz w:val="16"/>
                <w:szCs w:val="16"/>
                <w:color w:val="auto"/>
              </w:rPr>
              <w:t>Settlement of Series E convertible preferred stock contingent forward contract</w:t>
            </w:r>
          </w:p>
        </w:tc>
        <w:tc>
          <w:tcPr>
            <w:tcW w:w="3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110,456</w:t>
            </w:r>
          </w:p>
        </w:tc>
      </w:tr>
      <w:tr>
        <w:trPr>
          <w:trHeight w:val="219"/>
        </w:trPr>
        <w:tc>
          <w:tcPr>
            <w:tcW w:w="7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Capital contribution upon forfeit of Series E awards</w:t>
            </w:r>
          </w:p>
        </w:tc>
        <w:tc>
          <w:tcPr>
            <w:tcW w:w="3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15,719</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180" w:type="dxa"/>
            <w:vAlign w:val="bottom"/>
          </w:tcPr>
          <w:p>
            <w:pPr>
              <w:ind w:left="20"/>
              <w:spacing w:after="0"/>
              <w:rPr>
                <w:sz w:val="20"/>
                <w:szCs w:val="20"/>
                <w:color w:val="auto"/>
              </w:rPr>
            </w:pPr>
            <w:r>
              <w:rPr>
                <w:rFonts w:ascii="Arial" w:cs="Arial" w:eastAsia="Arial" w:hAnsi="Arial"/>
                <w:sz w:val="16"/>
                <w:szCs w:val="16"/>
                <w:color w:val="auto"/>
              </w:rPr>
              <w:t>Issuance of Series E convertible preferred stock upon settlement of contingent forward contracts</w:t>
            </w:r>
          </w:p>
        </w:tc>
        <w:tc>
          <w:tcPr>
            <w:tcW w:w="3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2,621,877</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7180" w:type="dxa"/>
            <w:vAlign w:val="bottom"/>
            <w:shd w:val="clear" w:color="auto" w:fill="CCEEFF"/>
          </w:tcPr>
          <w:p>
            <w:pPr>
              <w:ind w:left="20"/>
              <w:spacing w:after="0"/>
              <w:rPr>
                <w:sz w:val="20"/>
                <w:szCs w:val="20"/>
                <w:color w:val="auto"/>
              </w:rPr>
            </w:pPr>
            <w:r>
              <w:rPr>
                <w:rFonts w:ascii="Arial" w:cs="Arial" w:eastAsia="Arial" w:hAnsi="Arial"/>
                <w:sz w:val="16"/>
                <w:szCs w:val="16"/>
                <w:color w:val="auto"/>
                <w:w w:val="93"/>
              </w:rPr>
              <w:t>Issuance of common stock upon conversion of preferred stock in connection with the reverse recapitalization</w:t>
            </w:r>
          </w:p>
        </w:tc>
        <w:tc>
          <w:tcPr>
            <w:tcW w:w="3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5,836,785</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bl>
    <w:p>
      <w:pPr>
        <w:spacing w:after="0" w:line="200" w:lineRule="exact"/>
        <w:rPr>
          <w:sz w:val="20"/>
          <w:szCs w:val="20"/>
          <w:color w:val="auto"/>
        </w:rPr>
      </w:pP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94" w:name="page95"/>
    <w:bookmarkEnd w:id="94"/>
    <w:p>
      <w:pPr>
        <w:jc w:val="center"/>
        <w:spacing w:after="0"/>
        <w:rPr>
          <w:sz w:val="20"/>
          <w:szCs w:val="20"/>
          <w:color w:val="auto"/>
        </w:rPr>
      </w:pPr>
      <w:r>
        <w:rPr>
          <w:rFonts w:ascii="Arial" w:cs="Arial" w:eastAsia="Arial" w:hAnsi="Arial"/>
          <w:sz w:val="18"/>
          <w:szCs w:val="18"/>
          <w:b w:val="1"/>
          <w:bCs w:val="1"/>
          <w:color w:val="auto"/>
        </w:rPr>
        <w:t>LUCID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 </w:t>
      </w:r>
      <w:r>
        <w:rPr>
          <w:rFonts w:ascii="Arial" w:cs="Arial" w:eastAsia="Arial" w:hAnsi="Arial"/>
          <w:sz w:val="18"/>
          <w:szCs w:val="18"/>
          <w:color w:val="auto"/>
        </w:rPr>
        <w:t>–</w:t>
      </w:r>
      <w:r>
        <w:rPr>
          <w:rFonts w:ascii="Arial" w:cs="Arial" w:eastAsia="Arial" w:hAnsi="Arial"/>
          <w:sz w:val="18"/>
          <w:szCs w:val="18"/>
          <w:b w:val="1"/>
          <w:bCs w:val="1"/>
          <w:color w:val="auto"/>
        </w:rPr>
        <w:t xml:space="preserve"> DESCRIPTION OF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Lucid Group, Inc. (“Lucid”) is a technology and automotive company focused on designing, developing, manufacturing, and selling the next generation of electric vehicles (“EV”), EV powertrains and battery systems.</w:t>
      </w:r>
    </w:p>
    <w:p>
      <w:pPr>
        <w:spacing w:after="0" w:line="17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Lucid was originally incorporated in Delaware on April 30, 2020 under the name Churchill Capital Corp IV (formerly known as Annetta Acquisition Corp) (“Churchill”) as a special purpose acquisition company with the purpose of effecting a merger with one or more operating businesses. On February 22, 2021, Churchill entered into a definitive merger agreement (the “Merger Agreement”) with Atieva, Inc. (“Legacy Lucid”) in which Legacy Lucid would become a wholly owned subsidiary of Churchill (the “Merger”). Upon the closing of the Merger on July 23, 2021 (the “Closing”), Churchill was immediately renamed to “Lucid Group, Inc.” The Merger between Churchill and Legacy Lucid was accounted for as a reverse recapitalization. See Note 3 “Reverse Recapitalization” for more information.</w:t>
      </w:r>
    </w:p>
    <w:p>
      <w:pPr>
        <w:spacing w:after="0" w:line="192" w:lineRule="exact"/>
        <w:rPr>
          <w:sz w:val="20"/>
          <w:szCs w:val="20"/>
          <w:color w:val="auto"/>
        </w:rPr>
      </w:pPr>
    </w:p>
    <w:p>
      <w:pPr>
        <w:ind w:right="500"/>
        <w:spacing w:after="0" w:line="342" w:lineRule="auto"/>
        <w:rPr>
          <w:sz w:val="20"/>
          <w:szCs w:val="20"/>
          <w:color w:val="auto"/>
        </w:rPr>
      </w:pPr>
      <w:r>
        <w:rPr>
          <w:rFonts w:ascii="Arial" w:cs="Arial" w:eastAsia="Arial" w:hAnsi="Arial"/>
          <w:sz w:val="16"/>
          <w:szCs w:val="16"/>
          <w:color w:val="auto"/>
        </w:rPr>
        <w:t>Throughout the notes to the consolidated financial statements, unless otherwise noted, the “Company,” “we,” “us” or “our” and similar terms refer to Legacy Lucid and its subsidiaries prior to the consummation of the Merger, and Lucid and its subsidiaries after the consummation of the Merger.</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w:t>
      </w:r>
    </w:p>
    <w:p>
      <w:pPr>
        <w:spacing w:after="0" w:line="22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Company devotes its efforts to business planning, research and development, recruiting of management and technical staff, acquiring operating assets, and raising capital.</w:t>
      </w:r>
    </w:p>
    <w:p>
      <w:pPr>
        <w:spacing w:after="0" w:line="170"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From inception through December 31, 2022, the Company has incurred operating losses and negative cash flows from operating activities. For the years ended December 31, 2022, 2021 and 2020, the Company has incurred net losses of $1.3 billion, $2.6 billion and $719.4 million, respectively. The Company has an accumulated deficit of $7.4 billion as of December 31, 2022.</w:t>
      </w:r>
    </w:p>
    <w:p>
      <w:pPr>
        <w:spacing w:after="0" w:line="184"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During the quarter ended June 30, 2021, the Company completed the first phase of the construction of its Advanced Manufacturing Plant 1 in Casa Grande, Arizona (“AMP-1”). The Company began commercial production of its first vehicle, Lucid Air, in September 2021 and delivered its first vehicles in late October 2021. The Company continues to expand AMP-1, construct its planned Advanced Manufacturing Plant 2 in Saudi Arabia (“AMP-2”), and build a network of retail sales and service locations. The Company has plans for continued development of additional vehicle model types for future release. The aforementioned activities will require considerable capital, above and beyond the expected cash inflows from the initial sales of Lucid Air. As such, the future operating plan involves considerable risk if secure funding sources are not identified and confirmed.</w:t>
      </w:r>
    </w:p>
    <w:p>
      <w:pPr>
        <w:spacing w:after="0" w:line="17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Company’s existing sources of liquidity include cash, cash equivalents, investments, credit facilities and equity offering. Historically, the Company funded operations primarily with issuances of convertible preferred stock and convertible notes. Upon the completion of the Merger, the Company received $4,400.3 million in cash proceeds, net of transaction costs. In December 2021, the Company issued an aggregate of $2,012.5 million principal amount of 1.25% convertible senior notes due in December 2026.</w:t>
      </w:r>
    </w:p>
    <w:p>
      <w:pPr>
        <w:spacing w:after="0" w:line="214"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During the year ended December 31, 2022, the Company entered into a loan agreement with the Saudi Industrial Development Fund (“SIDF”) with an aggregate principal amount of up to approximately $1.4 billion, revolving credit facilities with Gulf International Bank (“GIB”) in an aggregate principal amount of approximately $266.1 million and a new five-year senior secured asset-based revolving credit facility (“ABL Credit Facility”) with an initial aggregate principal commitment amount of up to $1.0 billion. See Note 6 “Debt” for more information.</w:t>
      </w:r>
    </w:p>
    <w:p>
      <w:pPr>
        <w:spacing w:after="0" w:line="198"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On November 8, 2022, the Company entered into an equity distribution agreement (the “Equity Distribution Agreement”) with BofA Securities, Inc., Barclays Capital Inc. and Citigroup Global Markets Inc., under which the Company could offer and sell shares of its common stock having an aggregate offering price up to $600.0 million (the “At-the-Market Offering”). On November 8, 2022, the Company also entered into a subscription agreement (the “Subscription Agreement”) with Ayar Third Investment Company, the controlling stockholder of the Company (“Ayar”), pursuant to which Ayar agreed to purchase from the Company, up to $915.0 million of shares of its common stock in one or more private placements through March 31, 2023. In December 2022, the Company completed its At-the-Market Offering program pursuant to the Equity Distribution Agreement for net proceeds of $594.3 million after deducting commissions and other issuance costs and also consummated a private placement of shares to Ayar pursuant to the Subscription Agreement for $915.0 million. No shares remain available for sale under the Equity Distribution Agreement. See Note 11 “Stockholders’ Equity” for more information.</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95" w:name="page96"/>
    <w:bookmarkEnd w:id="95"/>
    <w:p>
      <w:pPr>
        <w:spacing w:after="0"/>
        <w:rPr>
          <w:sz w:val="20"/>
          <w:szCs w:val="20"/>
          <w:color w:val="auto"/>
        </w:rPr>
      </w:pPr>
      <w:r>
        <w:rPr>
          <w:rFonts w:ascii="Arial" w:cs="Arial" w:eastAsia="Arial" w:hAnsi="Arial"/>
          <w:sz w:val="18"/>
          <w:szCs w:val="18"/>
          <w:b w:val="1"/>
          <w:bCs w:val="1"/>
          <w:color w:val="auto"/>
        </w:rPr>
        <w:t>Certain Significant Risks and Uncertainties</w:t>
      </w:r>
    </w:p>
    <w:p>
      <w:pPr>
        <w:spacing w:after="0" w:line="256"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Company’s current business activities consist of (i) generating sales from the deliveries and service of vehicles, (ii) research and development efforts to design, engineer and develop high-performance fully electric vehicles and advanced electric vehicle powertrain components, including battery pack systems, (iii) expanding production and manufacturing at existing manufacturing facilities in Casa Grande, Arizona, (iv) phase 2 of construction at AMP-1 in Casa Grande, Arizona, (v) the construction of AMP-2 in Saudi Arabia, and (vi) expansion of its retail studios and service centers capabilities throughout North America and across the globe. The Company is subject to the risks associated with such activities, including the need to further develop its technology, its marketing, and distribution channels; further develop its supply chain and manufacturing; and hire additional management and other key personnel. Successful completion of the Company’s development program and, ultimately, the attainment of profitable operations are dependent upon future events, including our ability to access potential markets, and secure long-term financing.</w:t>
      </w:r>
    </w:p>
    <w:p>
      <w:pPr>
        <w:spacing w:after="0" w:line="178"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The Company participates in a dynamic high-technology industry. Changes in any of the following areas could have a material adverse impact on the Company’s future financial position, results of operations, and/or cash flows: changes in the overall demand for its products and services; advances and trends in new technologies; competitive pressures; acceptance of the Company’s products and services; litigation or claims against the Company based on intellectual property (including patents), regulatory, or other factors; and the Company’s ability to attract and retain employees necessary to support its growth.</w:t>
      </w:r>
    </w:p>
    <w:p>
      <w:pPr>
        <w:spacing w:after="0" w:line="215"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A global economic recession or other downturn, whether due to inflation, ongoing conflict in Ukraine or other geopolitical events, COVID-19 or other public health crises, interest rate increases or other policy actions by major central banks, or other factors, may have an adverse impact on the Company’s business, prospects, financial condition and results of operations. Adverse economic conditions as well as uncertainty about the current and future global economic conditions may cause the Company’s customers to defer purchases or cancel their reservations and orders in response to higher interest rates, availability of consumer credit, decreased cash availability, fluctuations in foreign currency exchange rates, and weakened consumer confidence. Reduced demand for the Company’s products may result in significant decreases in product sales, which in turn would have a material adverse impact on the Company’s business, prospects, financial condition and results of operations. Because of the Company’s premium brand positioning and pricing, an economic downturn is likely to have a heightened adverse effect on the Company compared to many of its electric vehicle and traditional automotive industry competitors, to the extent that consumer demand for luxury goods is reduced in favor of lower-priced alternatives. In addition, any economic recession or other downturn could also cause logistical challenges and other operational risks if any of the Company’s suppliers, sub-suppliers or partners become insolvent or are otherwise unable to continue their operations, fulfill their obligations to the Company, or meet the Company’s future demand. In addition, the deterioration of conditions in global credit markets may limit the Company’s ability to obtain external financing to fund its operations and capital expenditures on terms favorable to the Company, if at all. See “Risk Factors” in Item 1A of Part I of this Annual Report on Form 10-K (the “Annual Report”) for more information regarding risks associated with a global economic recession, including under the caption “</w:t>
      </w:r>
      <w:r>
        <w:rPr>
          <w:rFonts w:ascii="Arial" w:cs="Arial" w:eastAsia="Arial" w:hAnsi="Arial"/>
          <w:sz w:val="16"/>
          <w:szCs w:val="16"/>
          <w:i w:val="1"/>
          <w:iCs w:val="1"/>
          <w:color w:val="231F20"/>
        </w:rPr>
        <w:t>A global economic recession or</w:t>
      </w:r>
      <w:r>
        <w:rPr>
          <w:rFonts w:ascii="Arial" w:cs="Arial" w:eastAsia="Arial" w:hAnsi="Arial"/>
          <w:sz w:val="16"/>
          <w:szCs w:val="16"/>
          <w:color w:val="auto"/>
        </w:rPr>
        <w:t xml:space="preserve"> </w:t>
      </w:r>
      <w:r>
        <w:rPr>
          <w:rFonts w:ascii="Arial" w:cs="Arial" w:eastAsia="Arial" w:hAnsi="Arial"/>
          <w:sz w:val="16"/>
          <w:szCs w:val="16"/>
          <w:i w:val="1"/>
          <w:iCs w:val="1"/>
          <w:color w:val="231F20"/>
        </w:rPr>
        <w:t>other downturn may have a material adverse impact on our business, prospects, results of operations and financial condition</w:t>
      </w:r>
      <w:r>
        <w:rPr>
          <w:rFonts w:ascii="Arial" w:cs="Arial" w:eastAsia="Arial" w:hAnsi="Arial"/>
          <w:sz w:val="16"/>
          <w:szCs w:val="16"/>
          <w:i w:val="1"/>
          <w:iCs w:val="1"/>
          <w:color w:val="000000"/>
        </w:rPr>
        <w:t>.</w:t>
      </w:r>
      <w:r>
        <w:rPr>
          <w:rFonts w:ascii="Arial" w:cs="Arial" w:eastAsia="Arial" w:hAnsi="Arial"/>
          <w:sz w:val="16"/>
          <w:szCs w:val="16"/>
          <w:color w:val="000000"/>
        </w:rPr>
        <w:t>”</w:t>
      </w:r>
    </w:p>
    <w:p>
      <w:pPr>
        <w:spacing w:after="0" w:line="16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COVID-19 pandemic has impacted the global economy and caused significant macroeconomic uncertainty. Infection rates vary across the jurisdictions in which the Company operates. The Company has taken proactive action and expects to continue to implement appropriate measures to protect the health and safety of its employees, customers, partners and suppliers, consistent with the latest and evolving governmental guidelines. The Company continues to monitor the evolving situation and guidance from international and domestic authorities, including federal, state and local public health authorities, and may take additional actions based on their recommendations and requirements or as the Company otherwise sees fit to protect the health and safety of its employees, customers, partners and suppliers.</w:t>
      </w:r>
    </w:p>
    <w:p>
      <w:pPr>
        <w:spacing w:after="0" w:line="192"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While certain of the Company and its suppliers’ operations have from time-to-time been temporarily affected by government-mandated restrictions, the Company was able to commence and continue deliveries of Lucid Air to customers and to proceed with the construction of AMP-1 and AMP-2. Broader impacts of the pandemic have included inflationary pressure as well as ongoing, industry-wide challenges in logistics and supply chains, such as increased supplier lead times and ongoing constraints of semiconductor supply. Because the Company relies on third party suppliers for the development, manufacture, and/or provision and development of many of the key components and materials used in its vehicles, as well as provisioning and servicing equipment in its manufacturing facilities, the Company has been affected by inflation and such industry-wide challenges in logistics and supply chains. While the Company continues to focus on mitigating risks to its operations and supply chain in the current industry environment, the Company expects that these industry-wide trends will continue to impact its cost structure as well as its ability and the ability of its suppliers to obtain parts, components and manufacturing equipment on a timely basis for the foreseeable future.</w:t>
      </w:r>
    </w:p>
    <w:p>
      <w:pPr>
        <w:spacing w:after="0" w:line="181"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In the current circumstances, any impact on the Company’s financial condition, results of operations or cash flows in the future continues to be difficult to estimate and predict, as it depends on future events that are highly uncertain and cannot be predicted with accuracy. See “Risk Factors” in Item 1A of Part I of this Annual Report for additional information regarding risks associated with the COVID-19 pandemic, including under the caption “</w:t>
      </w:r>
      <w:r>
        <w:rPr>
          <w:rFonts w:ascii="Arial" w:cs="Arial" w:eastAsia="Arial" w:hAnsi="Arial"/>
          <w:sz w:val="16"/>
          <w:szCs w:val="16"/>
          <w:i w:val="1"/>
          <w:iCs w:val="1"/>
          <w:color w:val="auto"/>
        </w:rPr>
        <w:t>The COVID-19</w:t>
      </w:r>
      <w:r>
        <w:rPr>
          <w:rFonts w:ascii="Arial" w:cs="Arial" w:eastAsia="Arial" w:hAnsi="Arial"/>
          <w:sz w:val="16"/>
          <w:szCs w:val="16"/>
          <w:color w:val="auto"/>
        </w:rPr>
        <w:t xml:space="preserve"> </w:t>
      </w:r>
      <w:r>
        <w:rPr>
          <w:rFonts w:ascii="Arial" w:cs="Arial" w:eastAsia="Arial" w:hAnsi="Arial"/>
          <w:sz w:val="16"/>
          <w:szCs w:val="16"/>
          <w:i w:val="1"/>
          <w:iCs w:val="1"/>
          <w:color w:val="auto"/>
        </w:rPr>
        <w:t>pandemic has adversely affected, and we cannot predict its ultimate impact on, our business, prospects, results of operations and financial condition.</w:t>
      </w:r>
      <w:r>
        <w:rPr>
          <w:rFonts w:ascii="Arial" w:cs="Arial" w:eastAsia="Arial" w:hAnsi="Arial"/>
          <w:sz w:val="16"/>
          <w:szCs w:val="16"/>
          <w:color w:val="auto"/>
        </w:rPr>
        <w:t>”</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96" w:name="page97"/>
    <w:bookmarkEnd w:id="96"/>
    <w:p>
      <w:pPr>
        <w:spacing w:after="0"/>
        <w:rPr>
          <w:sz w:val="20"/>
          <w:szCs w:val="20"/>
          <w:color w:val="auto"/>
        </w:rPr>
      </w:pPr>
      <w:r>
        <w:rPr>
          <w:rFonts w:ascii="Arial" w:cs="Arial" w:eastAsia="Arial" w:hAnsi="Arial"/>
          <w:sz w:val="18"/>
          <w:szCs w:val="18"/>
          <w:b w:val="1"/>
          <w:bCs w:val="1"/>
          <w:color w:val="auto"/>
        </w:rPr>
        <w:t xml:space="preserve">NOTE 2 </w:t>
      </w:r>
      <w:r>
        <w:rPr>
          <w:rFonts w:ascii="Arial" w:cs="Arial" w:eastAsia="Arial" w:hAnsi="Arial"/>
          <w:sz w:val="18"/>
          <w:szCs w:val="18"/>
          <w:color w:val="auto"/>
        </w:rPr>
        <w:t>–</w:t>
      </w:r>
      <w:r>
        <w:rPr>
          <w:rFonts w:ascii="Arial" w:cs="Arial" w:eastAsia="Arial" w:hAnsi="Arial"/>
          <w:sz w:val="18"/>
          <w:szCs w:val="18"/>
          <w:b w:val="1"/>
          <w:bCs w:val="1"/>
          <w:color w:val="auto"/>
        </w:rPr>
        <w:t xml:space="preserve"> 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 and Principles of Consolidation</w:t>
      </w:r>
    </w:p>
    <w:p>
      <w:pPr>
        <w:spacing w:after="0" w:line="229" w:lineRule="exact"/>
        <w:rPr>
          <w:sz w:val="20"/>
          <w:szCs w:val="20"/>
          <w:color w:val="auto"/>
        </w:rPr>
      </w:pPr>
    </w:p>
    <w:p>
      <w:pPr>
        <w:ind w:right="260"/>
        <w:spacing w:after="0" w:line="301" w:lineRule="auto"/>
        <w:rPr>
          <w:sz w:val="20"/>
          <w:szCs w:val="20"/>
          <w:color w:val="auto"/>
        </w:rPr>
      </w:pPr>
      <w:r>
        <w:rPr>
          <w:rFonts w:ascii="Arial" w:cs="Arial" w:eastAsia="Arial" w:hAnsi="Arial"/>
          <w:sz w:val="16"/>
          <w:szCs w:val="16"/>
          <w:color w:val="auto"/>
        </w:rPr>
        <w:t>The accompanying consolidated financial statements included herein have been prepared in accordance with generally accepted accounting principles in the United States of America (“U.S. GAAP”). The consolidated financial statements include the accounts of the Company and its wholly owned subsidiaries. All significant intercompany balances and transactions have been eliminated in consolidation. Certain prior-period amounts have been reclassified in the accompanying consolidated financial statements and notes thereto in order to conform to the current period presentation.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Reporting</w:t>
      </w:r>
    </w:p>
    <w:p>
      <w:pPr>
        <w:spacing w:after="0" w:line="22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Operating segments are defined as components of an entity for which separate financial information is available and that is regularly reviewed by the Chief Operating Decision Maker (“CODM”) in deciding how to allocate resources to an individual segment and in assessing performance. The Company’s CODM is its Chief Executive Officer. The Company has determined that it operates in one operating and reporting segment and one reportable segment, as the CODM reviews financial information presented on a consolidated basis for purposes of making operating decisions, allocating resources, and evaluating financial performance.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29"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The preparation of financial statements in conformity with U.S. GAAP requires management to make estimates and assumptions that affect the amounts reported in the financial statements and accompanying notes. Actual results could differ from those estimates. Significant estimates, assumptions and judgments made by management include, among others, inventory valuation, warranty reserve, the useful lives of property, plant and equipment, fair value of common stock warrants, fair value of contingent forward contracts liability, estimates of residual value guarantee (“RVG”) liability and deferred revenue related to over-the-air (“OTA”) software updates, fair value of common stock prior to the Merger and other assumptions used to measure stock-based compensation expense, and estimated incremental borrowing rates for assessing operating and financing leases. These estimates and assumptions are based on management’s best estimates and judgment. Management evaluates its estimates and assumptions on an ongoing basis using historical experience and other factors, including the current economic environment, which management believes to be reasonable under the circumstances. The Company adjusts such estimates and assumptions when facts and circumstances dictate. Changes in those estimates resulting from continuing changes in the economic environment will be reflected in the financial statements in future periods.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Cash Equivalents and Restricted Cash</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Company considers all highly liquid investments with an original maturity at the date of purchase of three months or less to be cash equivalents.</w:t>
      </w:r>
    </w:p>
    <w:p>
      <w:pPr>
        <w:spacing w:after="0" w:line="23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Restricted cash in Other current assets and Other noncurrent assets is primarily related to letters of credit issued to the landlords for certain of the Company’s leased facilities.</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provides a reconciliation of cash, cash equivalents, and restricted cash to amounts shown in the statements of cash flows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w:t>
            </w: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5"/>
        </w:trPr>
        <w:tc>
          <w:tcPr>
            <w:tcW w:w="72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90"/>
        </w:trPr>
        <w:tc>
          <w:tcPr>
            <w:tcW w:w="72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2020</w:t>
            </w:r>
          </w:p>
        </w:tc>
      </w:tr>
      <w:tr>
        <w:trPr>
          <w:trHeight w:val="229"/>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1,735,765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6,262,905</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614,412</w:t>
            </w:r>
          </w:p>
        </w:tc>
      </w:tr>
      <w:tr>
        <w:trPr>
          <w:trHeight w:val="230"/>
        </w:trPr>
        <w:tc>
          <w:tcPr>
            <w:tcW w:w="7240" w:type="dxa"/>
            <w:vAlign w:val="bottom"/>
          </w:tcPr>
          <w:p>
            <w:pPr>
              <w:ind w:left="20"/>
              <w:spacing w:after="0"/>
              <w:rPr>
                <w:sz w:val="20"/>
                <w:szCs w:val="20"/>
                <w:color w:val="auto"/>
              </w:rPr>
            </w:pPr>
            <w:r>
              <w:rPr>
                <w:rFonts w:ascii="Arial" w:cs="Arial" w:eastAsia="Arial" w:hAnsi="Arial"/>
                <w:sz w:val="18"/>
                <w:szCs w:val="18"/>
                <w:color w:val="auto"/>
              </w:rPr>
              <w:t>Restricted cash included in Other current assets</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1,555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10,740</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11,278</w:t>
            </w:r>
          </w:p>
        </w:tc>
      </w:tr>
      <w:tr>
        <w:trPr>
          <w:trHeight w:val="230"/>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cash included in Other noncurrent assets</w:t>
            </w: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24,375</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14,728</w:t>
            </w:r>
          </w:p>
        </w:tc>
      </w:tr>
      <w:tr>
        <w:trPr>
          <w:trHeight w:val="223"/>
        </w:trPr>
        <w:tc>
          <w:tcPr>
            <w:tcW w:w="7240" w:type="dxa"/>
            <w:vAlign w:val="bottom"/>
          </w:tcPr>
          <w:p>
            <w:pPr>
              <w:ind w:left="20"/>
              <w:spacing w:after="0"/>
              <w:rPr>
                <w:sz w:val="20"/>
                <w:szCs w:val="20"/>
                <w:color w:val="auto"/>
              </w:rPr>
            </w:pPr>
            <w:r>
              <w:rPr>
                <w:rFonts w:ascii="Arial" w:cs="Arial" w:eastAsia="Arial" w:hAnsi="Arial"/>
                <w:sz w:val="18"/>
                <w:szCs w:val="18"/>
                <w:color w:val="auto"/>
              </w:rPr>
              <w:t>Total cash, cash equivalents, and restricted cash</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1,737,320</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6,298,020</w:t>
            </w:r>
          </w:p>
        </w:tc>
        <w:tc>
          <w:tcPr>
            <w:tcW w:w="8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640,418</w:t>
            </w:r>
          </w:p>
        </w:tc>
      </w:tr>
      <w:tr>
        <w:trPr>
          <w:trHeight w:val="20"/>
        </w:trPr>
        <w:tc>
          <w:tcPr>
            <w:tcW w:w="7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w:t>
      </w:r>
    </w:p>
    <w:p>
      <w:pPr>
        <w:spacing w:after="0" w:line="229"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The Company’s investments in marketable debt securities have been classified and accounted for as available-for-sale and they are stated at fair value. The Company classifies its investments as either short-term or long-term based on each instrument’s underlying contractual maturity date. Unrealized gains and losses on our investments of available-for-sale securities are recorded in Accumulated other comprehensive loss which is included within stockholders’ equity. Interest, as well as amortization and accretion of purchase premiums and discounts on our investments of available-for-sale securities are included in Interest income. The cost of securities sold is determined using the specific identification method. Realized gains and losses on the sale of available-for-sale securities are recorded in Other income (expense), net.</w:t>
      </w:r>
    </w:p>
    <w:p>
      <w:pPr>
        <w:sectPr>
          <w:pgSz w:w="11900" w:h="16838" w:orient="portrait"/>
          <w:cols w:equalWidth="0" w:num="1">
            <w:col w:w="11240"/>
          </w:cols>
          <w:pgMar w:left="320" w:top="985" w:right="339" w:bottom="1440" w:gutter="0" w:footer="0" w:header="0"/>
        </w:sect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type w:val="continuous"/>
        </w:sectPr>
      </w:pPr>
    </w:p>
    <w:bookmarkStart w:id="97" w:name="page98"/>
    <w:bookmarkEnd w:id="97"/>
    <w:p>
      <w:pPr>
        <w:spacing w:after="0"/>
        <w:rPr>
          <w:sz w:val="20"/>
          <w:szCs w:val="20"/>
          <w:color w:val="auto"/>
        </w:rPr>
      </w:pPr>
      <w:r>
        <w:rPr>
          <w:rFonts w:ascii="Arial" w:cs="Arial" w:eastAsia="Arial" w:hAnsi="Arial"/>
          <w:sz w:val="18"/>
          <w:szCs w:val="18"/>
          <w:b w:val="1"/>
          <w:bCs w:val="1"/>
          <w:color w:val="auto"/>
        </w:rPr>
        <w:t>Accounts Receivable, Net</w:t>
      </w:r>
    </w:p>
    <w:p>
      <w:pPr>
        <w:spacing w:after="0" w:line="229" w:lineRule="exact"/>
        <w:rPr>
          <w:sz w:val="20"/>
          <w:szCs w:val="20"/>
          <w:color w:val="auto"/>
        </w:rPr>
      </w:pPr>
    </w:p>
    <w:p>
      <w:pPr>
        <w:jc w:val="both"/>
        <w:ind w:right="200"/>
        <w:spacing w:after="0" w:line="311" w:lineRule="auto"/>
        <w:rPr>
          <w:sz w:val="20"/>
          <w:szCs w:val="20"/>
          <w:color w:val="auto"/>
        </w:rPr>
      </w:pPr>
      <w:r>
        <w:rPr>
          <w:rFonts w:ascii="Arial" w:cs="Arial" w:eastAsia="Arial" w:hAnsi="Arial"/>
          <w:sz w:val="16"/>
          <w:szCs w:val="16"/>
          <w:color w:val="auto"/>
        </w:rPr>
        <w:t>Accounts receivable consist of receivables from our customers and from financial institutions offering financing products to our customers for the sale of vehicles, sales of powertrain kits and services. The Company provides an allowance against accounts receivable for any potential uncollectible amounts. The Company recorded an immaterial allowance for uncollectible amounts as of December 31, 2022. No allowance was recorded at December 31, 2021.</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Credit Risk</w:t>
      </w:r>
    </w:p>
    <w:p>
      <w:pPr>
        <w:spacing w:after="0" w:line="229"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Financial instruments that potentially subject the Company to concentration of credit risk consist of cash, cash equivalents, and investments. The Company places its cash primarily with domestic financial institutions that are federally insured within statutory limits, but at times its deposits may exceed federally insured limits.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Supply Risk</w:t>
      </w:r>
    </w:p>
    <w:p>
      <w:pPr>
        <w:spacing w:after="0" w:line="229" w:lineRule="exact"/>
        <w:rPr>
          <w:sz w:val="20"/>
          <w:szCs w:val="20"/>
          <w:color w:val="auto"/>
        </w:rPr>
      </w:pPr>
    </w:p>
    <w:p>
      <w:pPr>
        <w:jc w:val="both"/>
        <w:ind w:right="380"/>
        <w:spacing w:after="0" w:line="311" w:lineRule="auto"/>
        <w:rPr>
          <w:sz w:val="20"/>
          <w:szCs w:val="20"/>
          <w:color w:val="auto"/>
        </w:rPr>
      </w:pPr>
      <w:r>
        <w:rPr>
          <w:rFonts w:ascii="Arial" w:cs="Arial" w:eastAsia="Arial" w:hAnsi="Arial"/>
          <w:sz w:val="16"/>
          <w:szCs w:val="16"/>
          <w:color w:val="auto"/>
        </w:rPr>
        <w:t>The Company is dependent on its suppliers, the majority of which are single-source suppliers, and the inability of these suppliers to deliver necessary components of its products according to the schedule and at prices, quality levels and volumes acceptable to the Company, or its inability to efficiently manage these components, could have a material adverse effect on the Company’s results of operations and financial condition.</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Inventory</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Inventories are stated at the lower of cost or net realizable value. Cost is computed using standard cost for vehicles, which approximates actual cost on a first-in, first-out basis. The Company records inventory write-downs for excess or obsolete inventories based upon assumptions about current and future demand forecasts. If inventory on-hand is in excess of future demand forecast, the excess amounts are written-off.</w:t>
      </w:r>
    </w:p>
    <w:p>
      <w:pPr>
        <w:spacing w:after="0" w:line="165"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Inventory is also reviewed to determine whether its carrying value exceeds the net amount realizable upon the ultimate sale of the inventory. This requires an assessment to determine the selling price of the vehicles less the estimated cost to convert the inventory on-hand into a finished product. Once inventory is written down, a new, lower cost basis for that inventory is established and subsequent changes in facts and circumstances do not result in the restoration or increase in that newly established cost basis.</w:t>
      </w:r>
    </w:p>
    <w:p>
      <w:pPr>
        <w:spacing w:after="0" w:line="187"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In the event there are changes in our estimates of future selling prices or production costs, the Company may be required to record additional and potentially material write-downs.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Plant, and Equipment, Net</w:t>
      </w:r>
    </w:p>
    <w:p>
      <w:pPr>
        <w:spacing w:after="0" w:line="229"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Property, plant, and equipment are stated at cost, less accumulated depreciation. Depreciation is recorded using the straight-line method over the estimated useful lives of the related assets. We capitalize qualified costs incurred during the application development stage of internal use software. Costs incurred during the preliminary project stage and post-implementation stage are expensed.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Company generally uses the following estimated useful lives for each asset category:</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60" w:type="dxa"/>
            <w:vAlign w:val="bottom"/>
            <w:gridSpan w:val="2"/>
          </w:tcPr>
          <w:p>
            <w:pPr>
              <w:ind w:left="20"/>
              <w:spacing w:after="0"/>
              <w:rPr>
                <w:sz w:val="20"/>
                <w:szCs w:val="20"/>
                <w:color w:val="auto"/>
              </w:rPr>
            </w:pPr>
            <w:r>
              <w:rPr>
                <w:rFonts w:ascii="Arial" w:cs="Arial" w:eastAsia="Arial" w:hAnsi="Arial"/>
                <w:sz w:val="18"/>
                <w:szCs w:val="18"/>
                <w:b w:val="1"/>
                <w:bCs w:val="1"/>
                <w:color w:val="auto"/>
              </w:rPr>
              <w:t>Asset Category</w:t>
            </w:r>
          </w:p>
        </w:tc>
        <w:tc>
          <w:tcPr>
            <w:tcW w:w="5380" w:type="dxa"/>
            <w:vAlign w:val="bottom"/>
          </w:tcPr>
          <w:p>
            <w:pPr>
              <w:jc w:val="center"/>
              <w:spacing w:after="0"/>
              <w:rPr>
                <w:sz w:val="20"/>
                <w:szCs w:val="20"/>
                <w:color w:val="auto"/>
              </w:rPr>
            </w:pPr>
            <w:r>
              <w:rPr>
                <w:rFonts w:ascii="Arial" w:cs="Arial" w:eastAsia="Arial" w:hAnsi="Arial"/>
                <w:sz w:val="18"/>
                <w:szCs w:val="18"/>
                <w:b w:val="1"/>
                <w:bCs w:val="1"/>
                <w:color w:val="auto"/>
                <w:w w:val="91"/>
              </w:rPr>
              <w:t>Life (years)</w:t>
            </w:r>
          </w:p>
        </w:tc>
      </w:tr>
      <w:tr>
        <w:trPr>
          <w:trHeight w:val="223"/>
        </w:trPr>
        <w:tc>
          <w:tcPr>
            <w:tcW w:w="57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Machinery, Tooling &amp; Vehicles</w:t>
            </w:r>
          </w:p>
        </w:tc>
        <w:tc>
          <w:tcPr>
            <w:tcW w:w="80" w:type="dxa"/>
            <w:vAlign w:val="bottom"/>
            <w:tcBorders>
              <w:top w:val="single" w:sz="8" w:color="CCEEFF"/>
            </w:tcBorders>
            <w:shd w:val="clear" w:color="auto" w:fill="CCEEFF"/>
          </w:tcPr>
          <w:p>
            <w:pPr>
              <w:spacing w:after="0"/>
              <w:rPr>
                <w:sz w:val="19"/>
                <w:szCs w:val="19"/>
                <w:color w:val="auto"/>
              </w:rPr>
            </w:pPr>
          </w:p>
        </w:tc>
        <w:tc>
          <w:tcPr>
            <w:tcW w:w="53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4"/>
              </w:rPr>
              <w:t>3 - 7</w:t>
            </w:r>
          </w:p>
        </w:tc>
      </w:tr>
      <w:tr>
        <w:trPr>
          <w:trHeight w:val="229"/>
        </w:trPr>
        <w:tc>
          <w:tcPr>
            <w:tcW w:w="5860" w:type="dxa"/>
            <w:vAlign w:val="bottom"/>
            <w:gridSpan w:val="2"/>
          </w:tcPr>
          <w:p>
            <w:pPr>
              <w:ind w:left="20"/>
              <w:spacing w:after="0"/>
              <w:rPr>
                <w:sz w:val="20"/>
                <w:szCs w:val="20"/>
                <w:color w:val="auto"/>
              </w:rPr>
            </w:pPr>
            <w:r>
              <w:rPr>
                <w:rFonts w:ascii="Arial" w:cs="Arial" w:eastAsia="Arial" w:hAnsi="Arial"/>
                <w:sz w:val="18"/>
                <w:szCs w:val="18"/>
                <w:color w:val="auto"/>
              </w:rPr>
              <w:t>Computer equipment and software</w:t>
            </w:r>
          </w:p>
        </w:tc>
        <w:tc>
          <w:tcPr>
            <w:tcW w:w="5380" w:type="dxa"/>
            <w:vAlign w:val="bottom"/>
          </w:tcPr>
          <w:p>
            <w:pPr>
              <w:jc w:val="center"/>
              <w:spacing w:after="0"/>
              <w:rPr>
                <w:sz w:val="20"/>
                <w:szCs w:val="20"/>
                <w:color w:val="auto"/>
              </w:rPr>
            </w:pPr>
            <w:r>
              <w:rPr>
                <w:rFonts w:ascii="Arial" w:cs="Arial" w:eastAsia="Arial" w:hAnsi="Arial"/>
                <w:sz w:val="18"/>
                <w:szCs w:val="18"/>
                <w:color w:val="auto"/>
                <w:w w:val="99"/>
              </w:rPr>
              <w:t>3</w:t>
            </w:r>
          </w:p>
        </w:tc>
      </w:tr>
      <w:tr>
        <w:trPr>
          <w:trHeight w:val="230"/>
        </w:trPr>
        <w:tc>
          <w:tcPr>
            <w:tcW w:w="5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Furniture and fixtures</w:t>
            </w:r>
          </w:p>
        </w:tc>
        <w:tc>
          <w:tcPr>
            <w:tcW w:w="5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5</w:t>
            </w:r>
          </w:p>
        </w:tc>
      </w:tr>
      <w:tr>
        <w:trPr>
          <w:trHeight w:val="230"/>
        </w:trPr>
        <w:tc>
          <w:tcPr>
            <w:tcW w:w="5860" w:type="dxa"/>
            <w:vAlign w:val="bottom"/>
            <w:gridSpan w:val="2"/>
          </w:tcPr>
          <w:p>
            <w:pPr>
              <w:ind w:left="20"/>
              <w:spacing w:after="0"/>
              <w:rPr>
                <w:sz w:val="20"/>
                <w:szCs w:val="20"/>
                <w:color w:val="auto"/>
              </w:rPr>
            </w:pPr>
            <w:r>
              <w:rPr>
                <w:rFonts w:ascii="Arial" w:cs="Arial" w:eastAsia="Arial" w:hAnsi="Arial"/>
                <w:sz w:val="18"/>
                <w:szCs w:val="18"/>
                <w:color w:val="auto"/>
              </w:rPr>
              <w:t>Finance leases</w:t>
            </w:r>
          </w:p>
        </w:tc>
        <w:tc>
          <w:tcPr>
            <w:tcW w:w="5380" w:type="dxa"/>
            <w:vAlign w:val="bottom"/>
          </w:tcPr>
          <w:p>
            <w:pPr>
              <w:jc w:val="center"/>
              <w:spacing w:after="0"/>
              <w:rPr>
                <w:sz w:val="20"/>
                <w:szCs w:val="20"/>
                <w:color w:val="auto"/>
              </w:rPr>
            </w:pPr>
            <w:r>
              <w:rPr>
                <w:rFonts w:ascii="Arial" w:cs="Arial" w:eastAsia="Arial" w:hAnsi="Arial"/>
                <w:sz w:val="18"/>
                <w:szCs w:val="18"/>
                <w:color w:val="auto"/>
                <w:w w:val="89"/>
              </w:rPr>
              <w:t>Shorter of the lease term or the estimated useful lives of the assets</w:t>
            </w:r>
          </w:p>
        </w:tc>
      </w:tr>
      <w:tr>
        <w:trPr>
          <w:trHeight w:val="230"/>
        </w:trPr>
        <w:tc>
          <w:tcPr>
            <w:tcW w:w="5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Building and Improvements</w:t>
            </w:r>
          </w:p>
        </w:tc>
        <w:tc>
          <w:tcPr>
            <w:tcW w:w="5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40</w:t>
            </w:r>
          </w:p>
        </w:tc>
      </w:tr>
      <w:tr>
        <w:trPr>
          <w:trHeight w:val="230"/>
        </w:trPr>
        <w:tc>
          <w:tcPr>
            <w:tcW w:w="5860" w:type="dxa"/>
            <w:vAlign w:val="bottom"/>
            <w:gridSpan w:val="2"/>
          </w:tcPr>
          <w:p>
            <w:pPr>
              <w:ind w:left="20"/>
              <w:spacing w:after="0"/>
              <w:rPr>
                <w:sz w:val="20"/>
                <w:szCs w:val="20"/>
                <w:color w:val="auto"/>
              </w:rPr>
            </w:pPr>
            <w:r>
              <w:rPr>
                <w:rFonts w:ascii="Arial" w:cs="Arial" w:eastAsia="Arial" w:hAnsi="Arial"/>
                <w:sz w:val="18"/>
                <w:szCs w:val="18"/>
                <w:color w:val="auto"/>
              </w:rPr>
              <w:t>Leasehold improvements</w:t>
            </w:r>
          </w:p>
        </w:tc>
        <w:tc>
          <w:tcPr>
            <w:tcW w:w="5380" w:type="dxa"/>
            <w:vAlign w:val="bottom"/>
          </w:tcPr>
          <w:p>
            <w:pPr>
              <w:jc w:val="center"/>
              <w:spacing w:after="0"/>
              <w:rPr>
                <w:sz w:val="20"/>
                <w:szCs w:val="20"/>
                <w:color w:val="auto"/>
              </w:rPr>
            </w:pPr>
            <w:r>
              <w:rPr>
                <w:rFonts w:ascii="Arial" w:cs="Arial" w:eastAsia="Arial" w:hAnsi="Arial"/>
                <w:sz w:val="18"/>
                <w:szCs w:val="18"/>
                <w:color w:val="auto"/>
                <w:w w:val="89"/>
              </w:rPr>
              <w:t>Shorter of the lease term or the estimated useful lives of the assets</w:t>
            </w:r>
          </w:p>
        </w:tc>
      </w:tr>
    </w:tbl>
    <w:p>
      <w:pPr>
        <w:spacing w:after="0" w:line="29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Expenditures for repair and maintenance costs are expensed as incurred, and expenditures for major renewals and improvements that increase functionality of the asset are capitalized and depreciated ratably over the identified useful life. Upon disposition or retirement of property and equipment, the related cost and accumulated depreciation and amortization are removed, and any gain or loss is reflected in operations. The disposition loss on fixed assets recorded for the years ended December 31, 2022, 2021 and 2020 was immaterial.</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98" w:name="page99"/>
    <w:bookmarkEnd w:id="98"/>
    <w:p>
      <w:pPr>
        <w:spacing w:after="0"/>
        <w:rPr>
          <w:sz w:val="20"/>
          <w:szCs w:val="20"/>
          <w:color w:val="auto"/>
        </w:rPr>
      </w:pPr>
      <w:r>
        <w:rPr>
          <w:rFonts w:ascii="Arial" w:cs="Arial" w:eastAsia="Arial" w:hAnsi="Arial"/>
          <w:sz w:val="18"/>
          <w:szCs w:val="18"/>
          <w:b w:val="1"/>
          <w:bCs w:val="1"/>
          <w:color w:val="auto"/>
        </w:rPr>
        <w:t>Impairment of Long-Lived Assets</w:t>
      </w:r>
    </w:p>
    <w:p>
      <w:pPr>
        <w:spacing w:after="0" w:line="229"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Long-lived assets, including property, plant and equipment and right-of-use (“ROU”) assets are reviewed for impairment whenever events or changes in circumstances indicate that the carrying amount of an asset may not be recoverable. If circumstances require a long-lived asset or asset group be tested for potential impairment, the Company first compares undiscounted cash flows expected to be generated by that asset or asset group to its carrying amount. If the carrying amount of the long-lived asset or asset group is not recoverable on an undiscounted cash flow basis, an impairment is recognized to the extent the carrying amount of the underlying asset exceeds its fair value. Impairment loss recognized was immaterial for the year ended December 31, 2022, and no impairment loss was recognized for the years ended December 31, 2021 and 2020.</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w:t>
      </w:r>
    </w:p>
    <w:p>
      <w:pPr>
        <w:spacing w:after="0" w:line="22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Company determines the functional currency of our foreign subsidiaries based on the primary currency in which they operate. The Company translates all assets and liabilities of foreign subsidiaries to U.S. dollars at the current exchange rate as of each balance sheet date. Revenue and expenses are translated at the average exchange rate prevailing during the period. Any resulting translation adjustments are included in Accumulated other comprehensive loss. The assets and liabilities of foreign subsidiaries whose local currency is not their functional currency are remeasured from their local currency to their functional currency and then translated to U.S. Dollars.</w:t>
      </w:r>
    </w:p>
    <w:p>
      <w:pPr>
        <w:spacing w:after="0" w:line="215"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Foreign currency transaction gains and losses are a result of the effect of exchange rate changes on transactions denominated in currencies other than the functional currency. Gains and losses arising from foreign currency transactions and the effects of remeasurements are recorded within Other income (expense), net within the Company’s Consolidated Statements of Operations and Comprehensive Loss. Foreign currency transaction gains and losses were not material for the years ended December 31, 2022, 2021 and 2020.</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from Contracts with Customers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follows a five-step process in which the Company identifies the contract, identifies the related performance obligations, determines the transaction price, allocates the transaction price to the identified performance obligations, and recognizes revenue when (or as) the performance obligations are satisfied.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Vehicle Sales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Vehicle Sales without Residual Value Guarantee</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Vehicle sales revenue is generated from the sale of electric vehicles to customers. There are two performance obligations identified in vehicle sale arrangements. These are the vehicle including an onboard advanced driver assistance system (“ADAS”), and the right to unspecified OTA software updates to be provided as and when available over the term of the basic vehicle warranty, which is generally 4 years. Shipping and handling provided by Company is considered a fulfillment activity.</w:t>
      </w:r>
    </w:p>
    <w:p>
      <w:pPr>
        <w:spacing w:after="0" w:line="187"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Payment is typically received at or prior to the transfer of control of the vehicle to the customer. Generally, control transfers to the customer at the time of delivery when the customer takes physical possession of the vehicle, which may be at a Lucid studio or other destination chosen by the customer. The Company’s vehicle contracts do not contain a significant financing component. The Company has elected to exclude sales taxes from the measurement of the transaction price. The Company estimates the standalone selling price of all performance obligations by considering costs used to develop and deliver the good or service, third-party pricing of similar goods or services and other information that may be available. The transaction price is allocated among the performance obligations in proportion to the standalone selling price of the Company’s performance obligations.</w:t>
      </w:r>
    </w:p>
    <w:p>
      <w:pPr>
        <w:spacing w:after="0" w:line="164"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The Company recognizes revenue related to the vehicle when the customer obtains control of the vehicle which occurs at a point in time either upon completion of delivery to the agreed upon delivery location or upon pick up of the vehicle by the customer. As the unspecified OTA software updates are provided when-and-if they become available, revenue related to OTA software updates is recognized ratably over the basic vehicle warranty term, commencing when control of the vehicle is transferred to the customer.</w:t>
      </w:r>
    </w:p>
    <w:p>
      <w:pPr>
        <w:spacing w:after="0" w:line="214"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At the time of revenue recognition, we reduce the transaction price and record a sales return reserve against revenue for estimated variable consideration related to future product returns. Such return rate estimates are based on historical experience and were immaterial for the years ended December 31, 2022 and 2021.</w:t>
      </w:r>
    </w:p>
    <w:p>
      <w:pPr>
        <w:spacing w:after="0" w:line="184" w:lineRule="exact"/>
        <w:rPr>
          <w:sz w:val="20"/>
          <w:szCs w:val="20"/>
          <w:color w:val="auto"/>
        </w:rPr>
      </w:pPr>
    </w:p>
    <w:p>
      <w:pPr>
        <w:ind w:right="40"/>
        <w:spacing w:after="0" w:line="311" w:lineRule="auto"/>
        <w:rPr>
          <w:sz w:val="20"/>
          <w:szCs w:val="20"/>
          <w:color w:val="auto"/>
        </w:rPr>
      </w:pPr>
      <w:r>
        <w:rPr>
          <w:rFonts w:ascii="Arial" w:cs="Arial" w:eastAsia="Arial" w:hAnsi="Arial"/>
          <w:sz w:val="16"/>
          <w:szCs w:val="16"/>
          <w:color w:val="auto"/>
        </w:rPr>
        <w:t>The Company provides a manufacturer’s warranty on all vehicles sold. The warranty covers the rectification of reported defects via repair, replacement, or adjustment of faulty parts or components. The warranty does not cover any item where failure is due to normal wear and tear. This assurance-type warranty does not create a performance obligation separate from the vehicle. The estimated cost of the assurance-type warranty is accrued at the time of vehicle sale.</w:t>
      </w:r>
    </w:p>
    <w:p>
      <w:pPr>
        <w:sectPr>
          <w:pgSz w:w="11900" w:h="16838" w:orient="portrait"/>
          <w:cols w:equalWidth="0" w:num="1">
            <w:col w:w="11240"/>
          </w:cols>
          <w:pgMar w:left="320" w:top="985" w:right="339" w:bottom="1440" w:gutter="0" w:footer="0" w:header="0"/>
        </w:sectPr>
      </w:pP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type w:val="continuous"/>
        </w:sectPr>
      </w:pPr>
    </w:p>
    <w:bookmarkStart w:id="99" w:name="page100"/>
    <w:bookmarkEnd w:id="99"/>
    <w:p>
      <w:pPr>
        <w:spacing w:after="0"/>
        <w:rPr>
          <w:sz w:val="20"/>
          <w:szCs w:val="20"/>
          <w:color w:val="auto"/>
        </w:rPr>
      </w:pPr>
      <w:r>
        <w:rPr>
          <w:rFonts w:ascii="Arial" w:cs="Arial" w:eastAsia="Arial" w:hAnsi="Arial"/>
          <w:sz w:val="18"/>
          <w:szCs w:val="18"/>
          <w:i w:val="1"/>
          <w:iCs w:val="1"/>
          <w:color w:val="auto"/>
        </w:rPr>
        <w:t>Vehicle Sales with Residual Value Guarantee</w:t>
      </w:r>
    </w:p>
    <w:p>
      <w:pPr>
        <w:spacing w:after="0" w:line="22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Company provides an RVG to its commercial banking partner in connection with its vehicle leasing program. Under the vehicle leasing program, the Company generally receives full payment for the vehicle sales price at the time of delivery or shortly after delivery, does not bear casualty and credit risks during the lease term, and is contractually obligated (or entitled) to share a portion of the shortfall (or excess) between the resale value realized by the commercial banking partner and a predetermined resale value. During the year ended December 31, 2022, vehicle sales with RVG totaled $31.1 million. At the lease inception, the Company is required to deposit cash collateral equal to a contractual percentage of the residual value of the leased vehicles with the commercial banking partner. The cash collateral is held in a restricted bank account owned by the commercial banking partner until it is used, as applicable, in settlement of the RVG at the end of the lease term. Cash collateral is recorded in Other noncurrent assets, subject to asset impairment review at each reporting period.</w:t>
      </w:r>
    </w:p>
    <w:p>
      <w:pPr>
        <w:spacing w:after="0" w:line="219"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 xml:space="preserve">The Company accounts for the vehicle leasing program in accordance with ASC 842, </w:t>
      </w:r>
      <w:r>
        <w:rPr>
          <w:rFonts w:ascii="Arial" w:cs="Arial" w:eastAsia="Arial" w:hAnsi="Arial"/>
          <w:sz w:val="16"/>
          <w:szCs w:val="16"/>
          <w:i w:val="1"/>
          <w:iCs w:val="1"/>
          <w:color w:val="auto"/>
        </w:rPr>
        <w:t>Leases,</w:t>
      </w:r>
      <w:r>
        <w:rPr>
          <w:rFonts w:ascii="Arial" w:cs="Arial" w:eastAsia="Arial" w:hAnsi="Arial"/>
          <w:sz w:val="16"/>
          <w:szCs w:val="16"/>
          <w:color w:val="auto"/>
        </w:rPr>
        <w:t xml:space="preserve"> ASC 460, </w:t>
      </w:r>
      <w:r>
        <w:rPr>
          <w:rFonts w:ascii="Arial" w:cs="Arial" w:eastAsia="Arial" w:hAnsi="Arial"/>
          <w:sz w:val="16"/>
          <w:szCs w:val="16"/>
          <w:i w:val="1"/>
          <w:iCs w:val="1"/>
          <w:color w:val="auto"/>
        </w:rPr>
        <w:t>Guarantees</w:t>
      </w:r>
      <w:r>
        <w:rPr>
          <w:rFonts w:ascii="Arial" w:cs="Arial" w:eastAsia="Arial" w:hAnsi="Arial"/>
          <w:sz w:val="16"/>
          <w:szCs w:val="16"/>
          <w:color w:val="auto"/>
        </w:rPr>
        <w:t xml:space="preserve"> and ASC 606, </w:t>
      </w:r>
      <w:r>
        <w:rPr>
          <w:rFonts w:ascii="Arial" w:cs="Arial" w:eastAsia="Arial" w:hAnsi="Arial"/>
          <w:sz w:val="16"/>
          <w:szCs w:val="16"/>
          <w:i w:val="1"/>
          <w:iCs w:val="1"/>
          <w:color w:val="auto"/>
        </w:rPr>
        <w:t>Revenue from Contracts</w:t>
      </w:r>
      <w:r>
        <w:rPr>
          <w:rFonts w:ascii="Arial" w:cs="Arial" w:eastAsia="Arial" w:hAnsi="Arial"/>
          <w:sz w:val="16"/>
          <w:szCs w:val="16"/>
          <w:color w:val="auto"/>
        </w:rPr>
        <w:t xml:space="preserve"> </w:t>
      </w:r>
      <w:r>
        <w:rPr>
          <w:rFonts w:ascii="Arial" w:cs="Arial" w:eastAsia="Arial" w:hAnsi="Arial"/>
          <w:sz w:val="16"/>
          <w:szCs w:val="16"/>
          <w:i w:val="1"/>
          <w:iCs w:val="1"/>
          <w:color w:val="auto"/>
        </w:rPr>
        <w:t>with Customers</w:t>
      </w:r>
      <w:r>
        <w:rPr>
          <w:rFonts w:ascii="Arial" w:cs="Arial" w:eastAsia="Arial" w:hAnsi="Arial"/>
          <w:sz w:val="16"/>
          <w:szCs w:val="16"/>
          <w:color w:val="auto"/>
        </w:rPr>
        <w:t>. The Company is the lessor at inception of a lease and immediately transfers the lease as well as the underlying vehicle to its commercial</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banking partner, with the transaction being accounted for as a sale under ASC 606. The Company recognizes revenue when control transfers upon delivery when the consumer-lessee takes physical possession of the vehicle, and bifurcates the RVG at fair value and accounts for it as a guarantee liability. The remaining amount of the transaction price is allocated among the performance obligations, including the vehicle, the right to unspecified </w:t>
      </w:r>
      <w:r>
        <w:rPr>
          <w:rFonts w:ascii="Arial" w:cs="Arial" w:eastAsia="Arial" w:hAnsi="Arial"/>
          <w:sz w:val="16"/>
          <w:szCs w:val="16"/>
          <w:color w:val="333333"/>
        </w:rPr>
        <w:t>OTA</w:t>
      </w:r>
      <w:r>
        <w:rPr>
          <w:rFonts w:ascii="Arial" w:cs="Arial" w:eastAsia="Arial" w:hAnsi="Arial"/>
          <w:sz w:val="16"/>
          <w:szCs w:val="16"/>
          <w:color w:val="auto"/>
        </w:rPr>
        <w:t xml:space="preserve"> software updates and remarketing activities, in proportion to the standalone selling price of the Company’s performance obligations.</w:t>
      </w:r>
    </w:p>
    <w:p>
      <w:pPr>
        <w:spacing w:after="0" w:line="191" w:lineRule="exact"/>
        <w:rPr>
          <w:sz w:val="20"/>
          <w:szCs w:val="20"/>
          <w:color w:val="auto"/>
        </w:rPr>
      </w:pPr>
    </w:p>
    <w:p>
      <w:pPr>
        <w:ind w:right="160"/>
        <w:spacing w:after="0" w:line="275" w:lineRule="auto"/>
        <w:rPr>
          <w:sz w:val="20"/>
          <w:szCs w:val="20"/>
          <w:color w:val="auto"/>
        </w:rPr>
      </w:pPr>
      <w:r>
        <w:rPr>
          <w:rFonts w:ascii="Arial" w:cs="Arial" w:eastAsia="Arial" w:hAnsi="Arial"/>
          <w:sz w:val="17"/>
          <w:szCs w:val="17"/>
          <w:color w:val="auto"/>
        </w:rPr>
        <w:t>The guarantee liability represents the estimated amount the Company expects to pay at the end of the lease term. The Company is released from residual risk upon either expiration or settlement of the RVG. The Company evaluates variables such as third-party residual value publications, risk of future price deterioration due to changes in market conditions and reconditioning costs to determine the estimated residual value guarantee liability. As of December 31, 2022, the RVG liability was not material. As we accumulate more data related to the resale value of our vehicles or as market conditions change, there could be material changes to the estimated guarantee liabilities.</w:t>
      </w:r>
    </w:p>
    <w:p>
      <w:pPr>
        <w:spacing w:after="0" w:line="203"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Deferred revenue related to OTA and remarketing activities for vehicle sales were $15.4 million as of December 31, 2022 and was immaterial as of December 31, 2021.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225"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Other consists of revenue from non-warranty after-sales vehicle services, sales of battery pack system, powertrain kits and retail merchandise. Battery pack system and powertrain kits revenue consists of the sales of battery pack systems or powertrain kits, supplies and related services for vehicles. The sale of battery pack systems or powertrain kits along with related supplies is a single performance obligation recognized at the point in time when control is transferred to the customer. Shipping and handling provided by the Company is considered a fulfillment activity. While customers generally have the right to return defective or non-conforming products, past experience has demonstrated that product returns have been immaterial. Customer remedies may include either a cash refund or an exchange of the returned product. As a result, the right of return and related refund liability for non-conforming or defective goods is estimated and recorded as a reduction in revenue, if necessary. Payment for the products sold are made upon invoice or in accordance with payment terms customary to the business. The Company’s battery pack system or powertrain kits contracts do not contain a significant financing component. The Company has elected to exclude sales taxes from the measurement of the transaction price.</w:t>
      </w:r>
    </w:p>
    <w:p>
      <w:pPr>
        <w:spacing w:after="0" w:line="16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Control transfers to the customer when the product is delivered to the customer as the customer can then direct the product’s use and obtain substantially all of the remaining benefits from the asset at that point in time.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Revenue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Vehicle Sales</w:t>
      </w:r>
    </w:p>
    <w:p>
      <w:pPr>
        <w:spacing w:after="0" w:line="225" w:lineRule="exact"/>
        <w:rPr>
          <w:sz w:val="20"/>
          <w:szCs w:val="20"/>
          <w:color w:val="auto"/>
        </w:rPr>
      </w:pPr>
    </w:p>
    <w:p>
      <w:pPr>
        <w:ind w:right="100"/>
        <w:spacing w:after="0" w:line="311" w:lineRule="auto"/>
        <w:rPr>
          <w:sz w:val="20"/>
          <w:szCs w:val="20"/>
          <w:color w:val="auto"/>
        </w:rPr>
      </w:pPr>
      <w:r>
        <w:rPr>
          <w:rFonts w:ascii="Arial" w:cs="Arial" w:eastAsia="Arial" w:hAnsi="Arial"/>
          <w:sz w:val="16"/>
          <w:szCs w:val="16"/>
          <w:color w:val="auto"/>
        </w:rPr>
        <w:t>Cost of vehicle sales includes direct parts, materials, shipping and handling costs, allocable overhead costs such as depreciation of manufacturing related equipment and facilities, information technology costs, personnel costs, including wages and stock-based compensation, estimated warranty costs, charges to reduce inventories to their net realizable value, charges for any excess or obsolete inventories, and losses from firm purchase commitments.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Cost of other revenue includes direct parts, material and labor costs, manufacturing overhead, including amortized tooling costs, shipping and logistic costs.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Cost of other revenue also includes costs associated with providing non-warranty after-sales services and costs for retail merchandise.</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b w:val="1"/>
          <w:bCs w:val="1"/>
          <w:color w:val="auto"/>
        </w:rPr>
        <w:t>Warranties</w:t>
      </w:r>
    </w:p>
    <w:p>
      <w:pPr>
        <w:spacing w:after="0" w:line="229"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The Company provides a manufacturer’s warranty on all vehicles it sells and accrues a warranty reserve for warranty coverage, as applicable. These estimates are based on actual claims incurred to date and an estimate of the nature, frequency, and costs of future claims. The Company accrues a warranty reserve for all products sold which includes the Company’s best estimates of the projected costs to repair or replace items under warranties and recalls when identified. Changes to the Company’s historical or projected warranty experience may cause material changes to the warranty reserve in the future. The portion of the warranty reserve for costs expected to be incurred within the next 12 months is included within Other current liabilities, while the remaining balance is included within Other long-term liabilities in the consolidated balance sheets. The warranty expense is recorded as a component of Cost of revenue in the consolidated statements of operations and comprehensive loss.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Company utilizes the liability method to account for income taxes, under which deferred tax assets and liabilities arise from the temporary differences between the tax basis of an asset or liability and its reported amount in the consolidated financial statements, as well as from net operating loss and tax credit carryforwards. Deferred tax amounts are determined by using the tax rates expected to be in effect when the taxes will actually be paid, or refunds received, as provided for under currently enacted tax law.</w:t>
      </w:r>
    </w:p>
    <w:p>
      <w:pPr>
        <w:spacing w:after="0" w:line="187"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The Company recognizes deferred tax assets to the extent that these assets are more likely than not to be realized. In making such a determination, all available positive and negative evidence are considered, including future reversals of existing taxable temporary differences, projected future taxable income, tax-planning strategies, and results of recent operations. If it is determined that deferred tax assets would be realized in the future in excess of their net recorded amount, an adjustment would be made to the deferred tax asset valuation allowance, which would reduce the provision for income taxes.</w:t>
      </w:r>
    </w:p>
    <w:p>
      <w:pPr>
        <w:spacing w:after="0" w:line="15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records uncertain tax positions on the basis of a two-step process which includes (1) determining whether it is more likely than not that the tax positions will be sustained on the basis of the technical merits of the position, and (2) for those tax positions that meet the more-likely-than-not recognition threshold, the Company recognizes the amount of tax benefit that is more than 50 percent likely to be realized upon ultimate settlement with the related tax authority.</w:t>
      </w:r>
    </w:p>
    <w:p>
      <w:pPr>
        <w:spacing w:after="0" w:line="187"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The Company’s policy is to recognize interest related to unrecognized tax benefits in Other income (expense), net and to recognize penalties in general and administrative expenses in the consolidated statements of operations and comprehensive loss. Accrued interest and penalties are included within Other current liabilities in the consolidated balance sheets.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229"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The Company issues stock-based compensation awards to employees, officers, directors, and non-employees in the form of stock options, restricted stock units (“RSUs”) and employee stock purchase plan (the “ESPP”). The Company measures and recognizes compensation expense for stock-based awards based on the awards’ fair value on the date of grant. The Company accounts for forfeitures of stock-based awards when they occur. The fair value of RSUs granted prior to the Closing of the Merger that vest based on service and performance conditions and RSUs granted after Closing of the Merger that vest only based on service conditions, is measured using the fair value of the Company’s common stock on the date of the grant. The fair value of RSUs that vest based on service and market conditions is measured using a Monte Carlo simulation model on the date of grant. The fair value of stock options that vest based on service condition is measured using the Black-Scholes option pricing model on the date of grant. The Monte Carlo simulation model and the Black-Scholes option pricing model requires the input of highly subjective assumptions, including the fair value of the Company’s common stock, the expected term of the award, the expected volatility of the Company’s common stock, risk-free interest rates, and the expected dividend yield of the Company’s common stock. The assumptions used to determine the fair value of the awards represent management’s best estimates. These estimates involve inherent uncertainties and the application of management’s judgment.</w:t>
      </w:r>
    </w:p>
    <w:p>
      <w:pPr>
        <w:spacing w:after="0" w:line="182"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 xml:space="preserve">The fair value of awards that vest </w:t>
      </w:r>
      <w:r>
        <w:rPr>
          <w:rFonts w:ascii="Arial" w:cs="Arial" w:eastAsia="Arial" w:hAnsi="Arial"/>
          <w:sz w:val="18"/>
          <w:szCs w:val="18"/>
          <w:color w:val="231F20"/>
        </w:rPr>
        <w:t>based on only continuous service are recognized on a straight-line basis over the requisite service period.</w:t>
      </w:r>
      <w:r>
        <w:rPr>
          <w:rFonts w:ascii="Arial" w:cs="Arial" w:eastAsia="Arial" w:hAnsi="Arial"/>
          <w:sz w:val="18"/>
          <w:szCs w:val="18"/>
          <w:color w:val="auto"/>
        </w:rPr>
        <w:t xml:space="preserve"> The fair value of awards that vest based on performance or market conditions is recognized over the requisite service period using the accelerated attribution method. Stock-based compensation expense is only recognized for awards with performance conditions once the performance condition becomes probable of being achieved. </w:t>
      </w:r>
      <w:r>
        <w:rPr>
          <w:rFonts w:ascii="Arial" w:cs="Arial" w:eastAsia="Arial" w:hAnsi="Arial"/>
          <w:sz w:val="18"/>
          <w:szCs w:val="18"/>
          <w:color w:val="231F20"/>
        </w:rPr>
        <w:t>The performance-based vesting condition was satisfied upon the Closing</w:t>
      </w:r>
      <w:r>
        <w:rPr>
          <w:rFonts w:ascii="Arial" w:cs="Arial" w:eastAsia="Arial" w:hAnsi="Arial"/>
          <w:sz w:val="18"/>
          <w:szCs w:val="18"/>
          <w:color w:val="auto"/>
        </w:rPr>
        <w:t xml:space="preserve"> of the Merger</w:t>
      </w:r>
      <w:r>
        <w:rPr>
          <w:rFonts w:ascii="Arial" w:cs="Arial" w:eastAsia="Arial" w:hAnsi="Arial"/>
          <w:sz w:val="18"/>
          <w:szCs w:val="18"/>
          <w:color w:val="231F20"/>
        </w:rPr>
        <w:t>. The market-based</w:t>
      </w:r>
      <w:r>
        <w:rPr>
          <w:rFonts w:ascii="Arial" w:cs="Arial" w:eastAsia="Arial" w:hAnsi="Arial"/>
          <w:sz w:val="18"/>
          <w:szCs w:val="18"/>
          <w:color w:val="auto"/>
        </w:rPr>
        <w:t xml:space="preserve"> RSUs will vest only if the Company achieves certain market capitalization targets.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Comprehensive Loss</w:t>
      </w:r>
    </w:p>
    <w:p>
      <w:pPr>
        <w:spacing w:after="0" w:line="229"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color w:val="auto"/>
        </w:rPr>
        <w:t>Comprehensive loss is composed of two components: net loss and other comprehensive income (loss). Other comprehensive income (loss) refers to net unrealized gains or losses on investments that are recorded as an element of stockholders’ equity and are excluded from the determination of net loss.</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Research and development expenses consist primarily of materials, supplies, personnel-related expenses, contractor fees, engineering design and testing expenses, and allocated facilities cost. Substantially all of the Company’s research and development expenses are related to developing new products, related technologies, and services and improving existing products and services. Research and development expenses have been expensed as incurred and included in the consolidated statements of operations and comprehensive loss.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w:t>
      </w:r>
    </w:p>
    <w:p>
      <w:pPr>
        <w:spacing w:after="0" w:line="229"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Selling, general and administrative expense consist of personnel-related expenses for employees involved in general corporate, selling and marketing functions, including executive management and administration, legal, human resources, facilities and real estate, accounting, finance, tax, and information technology.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Advertising</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Advertising is expensed as incurred and is included in sales and marketing expenses in the consolidated statements of operations and comprehensive loss.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These costs were not material for the years ended December 31, 2022, 2021 and 2020, respectively.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January 1, 2021, the Company adopted ASU 2016-02, Leases, and all related guidance (“ASC 842”) and recorded a ROU asset and a corresponding lease liability in our consolidated balance sheets for all eligible leases with terms longer than 12 months or less if the lease contains a purchase option or renewal term that the Company is reasonably certain to exercise.</w:t>
      </w:r>
    </w:p>
    <w:p>
      <w:pPr>
        <w:spacing w:after="0" w:line="184"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The Company has lease agreements with lease and non-lease components and has elected not to utilize the practical expedient to account for lease and non-lease components together, rather the Company is accounting for the lease and non-lease components separately on the consolidated financial statements.</w:t>
      </w:r>
    </w:p>
    <w:p>
      <w:pPr>
        <w:spacing w:after="0" w:line="12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Operating lease assets are included within operating lease ROU assets. Finance lease assets are included within Property, plant and equipment, net. The corresponding operating lease liabilities are included within Other current liabilities and Other long-term liabilities; the finance lease liabilities are included within Finance lease liabilities, current portion and Finance lease liabilities, net of current portion on the Company’s consolidated balance sheets as of December 31, 2022 and 2021.</w:t>
      </w:r>
    </w:p>
    <w:p>
      <w:pPr>
        <w:spacing w:after="0" w:line="187"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All other lease assets and lease liabilities are recognized based on the present value of lease payments over the lease term at the later of ASC 842 adoption date or lease commencement date. The Company estimates the Company’s incremental borrowing rate based on the information available at adoption date or lease commencement date in determining the present value of lease payments.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 and Contingencies</w:t>
      </w:r>
    </w:p>
    <w:p>
      <w:pPr>
        <w:spacing w:after="0" w:line="229"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Liabilities for loss contingencies arising from claims, assessments, litigation, fines, and penalties and other sources are recorded when it is probable that a liability has been incurred and the amount within a range of loss can be reasonably estimated. When no amount within the range is a better estimate than any other amount, the Company accrues for the minimum amount within the range. Legal costs incurred in connection with loss contingencies are expensed as incurred.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 Per Share</w:t>
      </w:r>
    </w:p>
    <w:p>
      <w:pPr>
        <w:spacing w:after="0" w:line="22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Basic and diluted net loss per share attributable to common stockholders is computed in conformity with the two-class method required for participating securities. The Company considers all series of its convertible preferred stock to be participating securities as the holders of such shares have the right to receive nonforfeitable dividends on a pari passu basis in the event that a dividend is paid on common stock. Under the two-class method, the net loss attributable to common stockholders is not allocated to the convertible preferred stock as the preferred stockholders do not have a contractual obligation to share in the Company’s losses.</w:t>
      </w:r>
    </w:p>
    <w:p>
      <w:pPr>
        <w:spacing w:after="0" w:line="18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Basic net loss per share is computed by dividing net loss attributable to common stockholders by the weighted-average number of shares of common stock outstanding during the period. Diluted net loss per share is computed by giving effect to all potentially dilutive common share equivalents to the extent they are dilutive. Potentially dilutive shares of Private Placement Warrants under treasury stock method are included in the computation of diluted net loss per share when their effect is dilutive. For purposes of this calculation, convertible preferred stock, convertible preferred stock warrants, Private Placement Warrants, stock options outstanding, RSUs outstanding, shares issued under ESPP and if-converted common shares from convertible note are considered to be common stock equivalents.</w:t>
      </w:r>
    </w:p>
    <w:p>
      <w:pPr>
        <w:sectPr>
          <w:pgSz w:w="11900" w:h="16838" w:orient="portrait"/>
          <w:cols w:equalWidth="0" w:num="1">
            <w:col w:w="11240"/>
          </w:cols>
          <w:pgMar w:left="320" w:top="985" w:right="339" w:bottom="1440" w:gutter="0" w:footer="0" w:header="0"/>
        </w:sect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type w:val="continuous"/>
        </w:sectPr>
      </w:pPr>
    </w:p>
    <w:bookmarkStart w:id="102" w:name="page103"/>
    <w:bookmarkEnd w:id="102"/>
    <w:p>
      <w:pPr>
        <w:spacing w:after="0"/>
        <w:rPr>
          <w:sz w:val="20"/>
          <w:szCs w:val="20"/>
          <w:color w:val="auto"/>
        </w:rPr>
      </w:pPr>
      <w:r>
        <w:rPr>
          <w:rFonts w:ascii="Arial" w:cs="Arial" w:eastAsia="Arial" w:hAnsi="Arial"/>
          <w:sz w:val="18"/>
          <w:szCs w:val="18"/>
          <w:b w:val="1"/>
          <w:bCs w:val="1"/>
          <w:color w:val="auto"/>
        </w:rPr>
        <w:t>Common Stock Warrants</w:t>
      </w:r>
    </w:p>
    <w:p>
      <w:pPr>
        <w:spacing w:after="0" w:line="229"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The Company accounts for warrants for shares of the Company’s common stock that are not indexed to its own stock as liabilities at fair value on the balance sheet. Liability-classified common stock warrants are subject to remeasurement to fair value as of any respective exercise date and as of each subsequent balance sheet date with changes in fair value recorded in the Company’s statement of operations and comprehensive loss. For issued or modified common stock warrants outstanding that meet all of the criteria for equity classification, the common stock warrants are recorded as a component of Additional paid-in capital and are not remeasured to fair value in subsequent reporting periods.</w:t>
      </w:r>
    </w:p>
    <w:p>
      <w:pPr>
        <w:spacing w:after="0" w:line="176" w:lineRule="exact"/>
        <w:rPr>
          <w:sz w:val="20"/>
          <w:szCs w:val="20"/>
          <w:color w:val="auto"/>
        </w:rPr>
      </w:pPr>
    </w:p>
    <w:p>
      <w:pPr>
        <w:ind w:right="160"/>
        <w:spacing w:after="0" w:line="301" w:lineRule="auto"/>
        <w:rPr>
          <w:sz w:val="20"/>
          <w:szCs w:val="20"/>
          <w:color w:val="auto"/>
        </w:rPr>
      </w:pPr>
      <w:r>
        <w:rPr>
          <w:rFonts w:ascii="Arial" w:cs="Arial" w:eastAsia="Arial" w:hAnsi="Arial"/>
          <w:sz w:val="16"/>
          <w:szCs w:val="16"/>
          <w:color w:val="auto"/>
        </w:rPr>
        <w:t>The Company’s publicly traded common stock warrants (the “Public Warrants”) are equity-classified instruments because they are deemed indexed to the Company’s own common stock and do not contain any provision that could require net cash settlement unless the holders of the underlying shares would also receive the same form of consideration as the holders of Public Warrants. The Company’s privately placed common stock warrants (the “Private Placement Warrants”) are liability-classified instruments because they are not deemed indexed to the Company’s own common stock.</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Grants</w:t>
      </w:r>
    </w:p>
    <w:p>
      <w:pPr>
        <w:spacing w:after="0" w:line="229"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Government grants are recognized when the grants are received, and all the conditions specified in the grant have been met. Grants related to fixed assets are recorded as a deduction in calculating the carrying amount of the related assets and are recognized in profit or loss over the life of a depreciable asset through reduced depreciation expense. Grants received in advance of the acquisition or construction of assets are recorded initially in deferred liability and then as a deduction in calculating the carrying amount of the related fixed assets upon acquisition or construction of the assets. Grant receipts are classified as investing cash inflows on a gross basis on the consolidated statements of cash flows.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229"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In November 2021, the Financial Accounting Standards Board (“FASB”) issued ASU No. 2021-10, Government Assistance (Topic 832): Disclosures by Business Entities about Government Assistance, which requires annual disclosures about transactions with a government that are accounted for by applying a grant or contribution accounting model by analogy. The disclosure requirements include information about the nature of the transactions and the related accounting policy, the line items on the balance sheet and income statement that are affected by the transactions, the amount applicable to each financial statement line and significant terms and conditions of the transactions. The guidance is effective for annual periods beginning after December 15, 2021 and can be applied either prospectively or retrospectively. The Company adopted ASU 2021-10 prospectively on January 1, 2022. The adoption of this guidance did not have a material impact to the consolidated financial statements and related disclosures.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 Not Yet Adopted</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November 2021, FASB issued ASU No. 2021-08, Business Combinations (Topic 805): Accounting for Contract Assets and Contract Liabilities from Contracts with Customers, which requires that an entity (acquirer) recognize and measure contract assets and contract liabilities acquired in a business combination on the acquisition date in accordance with Topic 606, as if the acquirer had originated the contracts. This guidance is effective for annual periods beginning after December 15, 2022, including interim periods within those fiscal years, and should be applied prospectively. The Company does not expect this guidance to have a material impact to the consolidated financial statements.</w:t>
      </w:r>
    </w:p>
    <w:p>
      <w:pPr>
        <w:spacing w:after="0" w:line="17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has considered all other recently issued accounting pronouncements and does not believe the adoption of such pronouncements will have a material impact on its financial statements or notes thereto.</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3 </w:t>
      </w:r>
      <w:r>
        <w:rPr>
          <w:rFonts w:ascii="Arial" w:cs="Arial" w:eastAsia="Arial" w:hAnsi="Arial"/>
          <w:sz w:val="18"/>
          <w:szCs w:val="18"/>
          <w:color w:val="auto"/>
        </w:rPr>
        <w:t>–</w:t>
      </w:r>
      <w:r>
        <w:rPr>
          <w:rFonts w:ascii="Arial" w:cs="Arial" w:eastAsia="Arial" w:hAnsi="Arial"/>
          <w:sz w:val="18"/>
          <w:szCs w:val="18"/>
          <w:b w:val="1"/>
          <w:bCs w:val="1"/>
          <w:color w:val="auto"/>
        </w:rPr>
        <w:t xml:space="preserve"> REVERSE RECAPITALIZATION</w:t>
      </w:r>
    </w:p>
    <w:p>
      <w:pPr>
        <w:spacing w:after="0" w:line="229"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On July 23, 2021, upon the consummation of the Merger, all holders of 451,295,965 issued and outstanding Legacy Lucid common stock received shares of Lucid common stock at a deemed value of $10.00 per share after giving effect to the exchange ratio of 2.644 (the “Exchange Ratio”) resulting in 1,193,226,511 shares of Lucid common stock issued and outstanding as of the Closing and all holders of 42,182,931 issued and outstanding Legacy Lucid equity awards received Lucid equity awards covering 111,531,080 shares of Lucid common stock at a deemed value of $10.00 per share after giving effect to the Exchange Ratio, based on the following events contemplated by the Merger Agreement:</w:t>
      </w:r>
    </w:p>
    <w:p>
      <w:pPr>
        <w:spacing w:after="0" w:line="68" w:lineRule="exact"/>
        <w:rPr>
          <w:sz w:val="20"/>
          <w:szCs w:val="20"/>
          <w:color w:val="auto"/>
        </w:rPr>
      </w:pPr>
    </w:p>
    <w:p>
      <w:pPr>
        <w:ind w:left="660" w:right="180" w:hanging="328"/>
        <w:spacing w:after="0" w:line="263" w:lineRule="auto"/>
        <w:tabs>
          <w:tab w:leader="none" w:pos="655"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cancellation and conversion of all 437,182,072 issued and outstanding shares of Legacy Lucid preferred stock into 437,182,072 shares of Legacy Lucid common stock at the conversion rate as calculated pursuant to Legacy Lucid’s memorandum and articles of association at the date and time that the Merger became effective;</w:t>
      </w:r>
    </w:p>
    <w:p>
      <w:pPr>
        <w:spacing w:after="0" w:line="75" w:lineRule="exact"/>
        <w:rPr>
          <w:rFonts w:ascii="Arial" w:cs="Arial" w:eastAsia="Arial" w:hAnsi="Arial"/>
          <w:sz w:val="18"/>
          <w:szCs w:val="18"/>
          <w:color w:val="auto"/>
        </w:rPr>
      </w:pPr>
    </w:p>
    <w:p>
      <w:pPr>
        <w:ind w:left="660" w:right="240" w:hanging="328"/>
        <w:spacing w:after="0" w:line="263" w:lineRule="auto"/>
        <w:tabs>
          <w:tab w:leader="none" w:pos="655"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surrender and exchange of all 451,295,965 issued and outstanding shares of Legacy Lucid common stock (including Legacy Lucid common stock resulting from the conversion of the Legacy Lucid preferred stock) into 1,193,226,511 shares of Lucid common stock as adjusted by the Exchange Ratio;</w:t>
      </w:r>
    </w:p>
    <w:p>
      <w:pPr>
        <w:sectPr>
          <w:pgSz w:w="11900" w:h="16838" w:orient="portrait"/>
          <w:cols w:equalWidth="0" w:num="1">
            <w:col w:w="11240"/>
          </w:cols>
          <w:pgMar w:left="320" w:top="985" w:right="339" w:bottom="1440" w:gutter="0" w:footer="0" w:header="0"/>
        </w:sect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type w:val="continuous"/>
        </w:sectPr>
      </w:pPr>
    </w:p>
    <w:bookmarkStart w:id="103" w:name="page104"/>
    <w:bookmarkEnd w:id="103"/>
    <w:p>
      <w:pPr>
        <w:ind w:left="660" w:right="240" w:hanging="328"/>
        <w:spacing w:after="0" w:line="263" w:lineRule="auto"/>
        <w:tabs>
          <w:tab w:leader="none" w:pos="655"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cancellation and exchange of all 25,764,610 granted and outstanding vested and unvested Legacy Lucid Options, which became 68,121,210 Lucid Options exercisable for shares of Lucid common stock with the same terms and vesting conditions except for the number of shares exercisable and the exercise price, each of which was adjusted by the Exchange Ratio; and</w:t>
      </w:r>
    </w:p>
    <w:p>
      <w:pPr>
        <w:spacing w:after="0" w:line="75" w:lineRule="exact"/>
        <w:rPr>
          <w:rFonts w:ascii="Arial" w:cs="Arial" w:eastAsia="Arial" w:hAnsi="Arial"/>
          <w:sz w:val="18"/>
          <w:szCs w:val="18"/>
          <w:color w:val="auto"/>
        </w:rPr>
      </w:pPr>
    </w:p>
    <w:p>
      <w:pPr>
        <w:ind w:left="660" w:right="200" w:hanging="328"/>
        <w:spacing w:after="0" w:line="263" w:lineRule="auto"/>
        <w:tabs>
          <w:tab w:leader="none" w:pos="655"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cancellation and exchange of all 16,418,321 granted and outstanding vested and unvested Legacy Lucid RSUs, which became 43,409,870 Lucid RSUs for shares of Lucid common stock with the same terms and vesting conditions except for the number of shares, which was adjusted by the Exchange Ratio.</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other related events that occurred in connection with the Closing are summarized below:</w:t>
      </w:r>
    </w:p>
    <w:p>
      <w:pPr>
        <w:spacing w:after="0" w:line="117" w:lineRule="exact"/>
        <w:rPr>
          <w:sz w:val="20"/>
          <w:szCs w:val="20"/>
          <w:color w:val="auto"/>
        </w:rPr>
      </w:pPr>
    </w:p>
    <w:p>
      <w:pPr>
        <w:ind w:left="660" w:right="140" w:hanging="328"/>
        <w:spacing w:after="0" w:line="259" w:lineRule="auto"/>
        <w:tabs>
          <w:tab w:leader="none" w:pos="655" w:val="left"/>
        </w:tabs>
        <w:numPr>
          <w:ilvl w:val="0"/>
          <w:numId w:val="45"/>
        </w:numPr>
        <w:rPr>
          <w:rFonts w:ascii="Arial" w:cs="Arial" w:eastAsia="Arial" w:hAnsi="Arial"/>
          <w:sz w:val="18"/>
          <w:szCs w:val="18"/>
          <w:color w:val="auto"/>
        </w:rPr>
      </w:pPr>
      <w:r>
        <w:rPr>
          <w:rFonts w:ascii="Arial" w:cs="Arial" w:eastAsia="Arial" w:hAnsi="Arial"/>
          <w:sz w:val="18"/>
          <w:szCs w:val="18"/>
          <w:color w:val="auto"/>
        </w:rPr>
        <w:t>Churchill entered into separate private placement subscription agreements (the “PIPE Investment”) contemporaneously with the execution of the Merger Agreement pursuant to which Churchill agreed to sell and issue an aggregate of 166,666,667 shares of common stock at a purchase price of $15.00 per share for an aggregate purchase price of $2,500.0 million. The PIPE Investment closed simultaneously with the Closing of the Merger;</w:t>
      </w:r>
    </w:p>
    <w:p>
      <w:pPr>
        <w:spacing w:after="0" w:line="78" w:lineRule="exact"/>
        <w:rPr>
          <w:rFonts w:ascii="Arial" w:cs="Arial" w:eastAsia="Arial" w:hAnsi="Arial"/>
          <w:sz w:val="18"/>
          <w:szCs w:val="18"/>
          <w:color w:val="auto"/>
        </w:rPr>
      </w:pPr>
    </w:p>
    <w:p>
      <w:pPr>
        <w:jc w:val="both"/>
        <w:ind w:left="660" w:right="180" w:hanging="328"/>
        <w:spacing w:after="0" w:line="263" w:lineRule="auto"/>
        <w:tabs>
          <w:tab w:leader="none" w:pos="655" w:val="left"/>
        </w:tabs>
        <w:numPr>
          <w:ilvl w:val="0"/>
          <w:numId w:val="45"/>
        </w:numPr>
        <w:rPr>
          <w:rFonts w:ascii="Arial" w:cs="Arial" w:eastAsia="Arial" w:hAnsi="Arial"/>
          <w:sz w:val="18"/>
          <w:szCs w:val="18"/>
          <w:color w:val="auto"/>
        </w:rPr>
      </w:pPr>
      <w:r>
        <w:rPr>
          <w:rFonts w:ascii="Arial" w:cs="Arial" w:eastAsia="Arial" w:hAnsi="Arial"/>
          <w:sz w:val="18"/>
          <w:szCs w:val="18"/>
          <w:color w:val="auto"/>
        </w:rPr>
        <w:t>Churchill Sponsor IV LLC (the “Churchill Sponsor”) exercised its right to convert the outstanding and unpaid amount of $1.5 million under the working capital loan provided by the Churchill Sponsor to Churchill into an additional 1,500,000 Private Placement Warrants at a price of $1.00 per warrant in satisfaction of such loan;</w:t>
      </w:r>
    </w:p>
    <w:p>
      <w:pPr>
        <w:spacing w:after="0" w:line="75" w:lineRule="exact"/>
        <w:rPr>
          <w:rFonts w:ascii="Arial" w:cs="Arial" w:eastAsia="Arial" w:hAnsi="Arial"/>
          <w:sz w:val="18"/>
          <w:szCs w:val="18"/>
          <w:color w:val="auto"/>
        </w:rPr>
      </w:pPr>
    </w:p>
    <w:p>
      <w:pPr>
        <w:ind w:left="660" w:right="20" w:hanging="328"/>
        <w:spacing w:after="0" w:line="272" w:lineRule="auto"/>
        <w:tabs>
          <w:tab w:leader="none" w:pos="655" w:val="left"/>
        </w:tabs>
        <w:numPr>
          <w:ilvl w:val="0"/>
          <w:numId w:val="45"/>
        </w:numPr>
        <w:rPr>
          <w:rFonts w:ascii="Arial" w:cs="Arial" w:eastAsia="Arial" w:hAnsi="Arial"/>
          <w:sz w:val="17"/>
          <w:szCs w:val="17"/>
          <w:color w:val="auto"/>
        </w:rPr>
      </w:pPr>
      <w:r>
        <w:rPr>
          <w:rFonts w:ascii="Arial" w:cs="Arial" w:eastAsia="Arial" w:hAnsi="Arial"/>
          <w:sz w:val="17"/>
          <w:szCs w:val="17"/>
          <w:color w:val="auto"/>
        </w:rPr>
        <w:t>Churchill and the Churchill Sponsor entered into a letter agreement (the “Sponsor Agreement”), pursuant to which the Churchill Sponsor agreed that 17,250,000 shares of Churchill’s issued and outstanding common stock beneficially held by the Churchill Sponsor (the “Sponsor Earnback Shares”) and 14,783,333 Private Placement Warrants beneficially held by the Churchill Sponsor (the “Sponsor Earnback Warrants”) to purchase shares of the Churchill’s common stock shall become subject to transfer restrictions and contingent forfeiture provisions upon the Closing of the Merger until Lucid’s stock price exceeded certain predetermined levels in the post-Merger period. Any such shares and warrants not released from these transfer restrictions during the earnback period, which expires on the fifth anniversary of the Closing, will be forfeited back to Lucid for no consideration. See Note 12 “Earnback Shares and Warrants” for more information; and</w:t>
      </w:r>
    </w:p>
    <w:p>
      <w:pPr>
        <w:spacing w:after="0" w:line="69" w:lineRule="exact"/>
        <w:rPr>
          <w:rFonts w:ascii="Arial" w:cs="Arial" w:eastAsia="Arial" w:hAnsi="Arial"/>
          <w:sz w:val="17"/>
          <w:szCs w:val="17"/>
          <w:color w:val="auto"/>
        </w:rPr>
      </w:pPr>
    </w:p>
    <w:p>
      <w:pPr>
        <w:ind w:left="660" w:right="300" w:hanging="328"/>
        <w:spacing w:after="0" w:line="277" w:lineRule="auto"/>
        <w:tabs>
          <w:tab w:leader="none" w:pos="655" w:val="left"/>
        </w:tabs>
        <w:numPr>
          <w:ilvl w:val="0"/>
          <w:numId w:val="45"/>
        </w:numPr>
        <w:rPr>
          <w:rFonts w:ascii="Arial" w:cs="Arial" w:eastAsia="Arial" w:hAnsi="Arial"/>
          <w:sz w:val="18"/>
          <w:szCs w:val="18"/>
          <w:color w:val="auto"/>
        </w:rPr>
      </w:pPr>
      <w:r>
        <w:rPr>
          <w:rFonts w:ascii="Arial" w:cs="Arial" w:eastAsia="Arial" w:hAnsi="Arial"/>
          <w:sz w:val="18"/>
          <w:szCs w:val="18"/>
          <w:color w:val="auto"/>
        </w:rPr>
        <w:t>Churchill redeemed 21,644 public shares of Churchill’s Class A common stock at approximately $10.00 per share for an aggregate payment of $0.2 million.</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After giving effect to the Merger and the redemption of Churchill shares as described above, the number of shares of common stock issued and outstanding immediately following the consummation of the Merger was as follows:</w:t>
      </w:r>
    </w:p>
    <w:p>
      <w:pPr>
        <w:sectPr>
          <w:pgSz w:w="11900" w:h="16838" w:orient="portrait"/>
          <w:cols w:equalWidth="0" w:num="1">
            <w:col w:w="11220"/>
          </w:cols>
          <w:pgMar w:left="320" w:top="881" w:right="359" w:bottom="1440" w:gutter="0" w:footer="0" w:header="0"/>
        </w:sectPr>
      </w:pPr>
    </w:p>
    <w:p>
      <w:pPr>
        <w:spacing w:after="0" w:line="200" w:lineRule="exact"/>
        <w:rPr>
          <w:sz w:val="20"/>
          <w:szCs w:val="20"/>
          <w:color w:val="auto"/>
        </w:rPr>
      </w:pPr>
    </w:p>
    <w:p>
      <w:pPr>
        <w:spacing w:after="0" w:line="227"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Churchill public shares, prior to redemptions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132320" cy="15430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Less redemption of Churchill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5430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Churchill public shares, net of redemptions</w:t>
      </w:r>
    </w:p>
    <w:p>
      <w:pPr>
        <w:ind w:left="20"/>
        <w:spacing w:after="0" w:line="232" w:lineRule="auto"/>
        <w:rPr>
          <w:sz w:val="20"/>
          <w:szCs w:val="20"/>
          <w:color w:val="auto"/>
        </w:rPr>
      </w:pPr>
      <w:r>
        <w:rPr>
          <w:rFonts w:ascii="Arial" w:cs="Arial" w:eastAsia="Arial" w:hAnsi="Arial"/>
          <w:sz w:val="18"/>
          <w:szCs w:val="18"/>
          <w:color w:val="auto"/>
        </w:rPr>
        <w:t>Churchill Sponsor shares</w:t>
      </w:r>
      <w:r>
        <w:rPr>
          <w:rFonts w:ascii="Arial" w:cs="Arial" w:eastAsia="Arial" w:hAnsi="Arial"/>
          <w:sz w:val="23"/>
          <w:szCs w:val="23"/>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32320" cy="1460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ind w:left="20"/>
        <w:spacing w:after="0" w:line="231" w:lineRule="auto"/>
        <w:rPr>
          <w:sz w:val="20"/>
          <w:szCs w:val="20"/>
          <w:color w:val="auto"/>
        </w:rPr>
      </w:pPr>
      <w:r>
        <w:rPr>
          <w:rFonts w:ascii="Arial" w:cs="Arial" w:eastAsia="Arial" w:hAnsi="Arial"/>
          <w:sz w:val="18"/>
          <w:szCs w:val="18"/>
          <w:color w:val="auto"/>
        </w:rPr>
        <w:t>PIPE shares</w:t>
      </w:r>
      <w:r>
        <w:rPr>
          <w:rFonts w:ascii="Arial" w:cs="Arial" w:eastAsia="Arial" w:hAnsi="Arial"/>
          <w:sz w:val="23"/>
          <w:szCs w:val="23"/>
          <w:color w:val="auto"/>
          <w:vertAlign w:val="superscript"/>
        </w:rPr>
        <w:t>(2)</w:t>
      </w:r>
    </w:p>
    <w:p>
      <w:pPr>
        <w:spacing w:after="0" w:line="1" w:lineRule="exact"/>
        <w:rPr>
          <w:sz w:val="20"/>
          <w:szCs w:val="20"/>
          <w:color w:val="auto"/>
        </w:rPr>
      </w:pPr>
    </w:p>
    <w:p>
      <w:pPr>
        <w:ind w:left="20" w:right="3260"/>
        <w:spacing w:after="0" w:line="274" w:lineRule="auto"/>
        <w:rPr>
          <w:sz w:val="20"/>
          <w:szCs w:val="20"/>
          <w:color w:val="auto"/>
        </w:rPr>
      </w:pPr>
      <w:r>
        <w:rPr>
          <w:rFonts w:ascii="Arial" w:cs="Arial" w:eastAsia="Arial" w:hAnsi="Arial"/>
          <w:sz w:val="18"/>
          <w:szCs w:val="18"/>
          <w:color w:val="auto"/>
        </w:rPr>
        <w:t>Total shares of Churchill common stock outstanding immediately prior to the Merger Legacy Lucid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1460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Total shares of Lucid common stock outstanding immediately after the Merger</w:t>
      </w:r>
      <w:r>
        <w:rPr>
          <w:rFonts w:ascii="Arial" w:cs="Arial" w:eastAsia="Arial" w:hAnsi="Arial"/>
          <w:sz w:val="23"/>
          <w:szCs w:val="23"/>
          <w:color w:val="auto"/>
          <w:vertAlign w:val="superscript"/>
        </w:rPr>
        <w:t>(3)(4)</w:t>
      </w:r>
    </w:p>
    <w:p>
      <w:pPr>
        <w:spacing w:after="0" w:line="180" w:lineRule="exact"/>
        <w:rPr>
          <w:sz w:val="20"/>
          <w:szCs w:val="20"/>
          <w:color w:val="auto"/>
        </w:rPr>
      </w:pPr>
    </w:p>
    <w:p>
      <w:pPr>
        <w:ind w:left="160" w:hanging="152"/>
        <w:spacing w:after="0"/>
        <w:tabs>
          <w:tab w:leader="none" w:pos="160" w:val="left"/>
        </w:tabs>
        <w:numPr>
          <w:ilvl w:val="0"/>
          <w:numId w:val="46"/>
        </w:numPr>
        <w:rPr>
          <w:rFonts w:ascii="Arial" w:cs="Arial" w:eastAsia="Arial" w:hAnsi="Arial"/>
          <w:sz w:val="16"/>
          <w:szCs w:val="16"/>
          <w:color w:val="auto"/>
          <w:vertAlign w:val="superscript"/>
        </w:rPr>
      </w:pPr>
      <w:r>
        <w:rPr>
          <w:rFonts w:ascii="Arial" w:cs="Arial" w:eastAsia="Arial" w:hAnsi="Arial"/>
          <w:sz w:val="12"/>
          <w:szCs w:val="12"/>
          <w:color w:val="auto"/>
        </w:rPr>
        <w:t>The 51,750,000 shares beneficially owned by the Churchill Sponsor as of the Closing of the Merger includes the 17,250,000 Sponsor Earnback Shares.</w:t>
      </w:r>
    </w:p>
    <w:p>
      <w:pPr>
        <w:spacing w:after="0" w:line="87" w:lineRule="exact"/>
        <w:rPr>
          <w:rFonts w:ascii="Arial" w:cs="Arial" w:eastAsia="Arial" w:hAnsi="Arial"/>
          <w:sz w:val="16"/>
          <w:szCs w:val="16"/>
          <w:color w:val="auto"/>
          <w:vertAlign w:val="superscript"/>
        </w:rPr>
      </w:pPr>
    </w:p>
    <w:p>
      <w:pPr>
        <w:ind w:left="140" w:hanging="132"/>
        <w:spacing w:after="0"/>
        <w:tabs>
          <w:tab w:leader="none" w:pos="140" w:val="left"/>
        </w:tabs>
        <w:numPr>
          <w:ilvl w:val="0"/>
          <w:numId w:val="46"/>
        </w:numPr>
        <w:rPr>
          <w:rFonts w:ascii="Arial" w:cs="Arial" w:eastAsia="Arial" w:hAnsi="Arial"/>
          <w:sz w:val="9"/>
          <w:szCs w:val="9"/>
          <w:color w:val="auto"/>
        </w:rPr>
      </w:pPr>
      <w:r>
        <w:rPr>
          <w:rFonts w:ascii="Arial" w:cs="Arial" w:eastAsia="Arial" w:hAnsi="Arial"/>
          <w:sz w:val="14"/>
          <w:szCs w:val="14"/>
          <w:color w:val="auto"/>
        </w:rPr>
        <w:t>Reflects the sale and issuance of 166,666,667 shares of common stock to the PIPE Investors at $15.00 per share.</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Shares</w:t>
      </w:r>
    </w:p>
    <w:p>
      <w:pPr>
        <w:spacing w:after="0" w:line="6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207,000,000</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(21,644)</w:t>
      </w:r>
    </w:p>
    <w:p>
      <w:pPr>
        <w:spacing w:after="0" w:line="35"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206,978,356</w:t>
      </w:r>
    </w:p>
    <w:p>
      <w:pPr>
        <w:spacing w:after="0" w:line="2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51,750,000</w:t>
      </w:r>
    </w:p>
    <w:p>
      <w:pPr>
        <w:spacing w:after="0" w:line="2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166,666,667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-295275</wp:posOffset>
            </wp:positionH>
            <wp:positionV relativeFrom="paragraph">
              <wp:posOffset>14605</wp:posOffset>
            </wp:positionV>
            <wp:extent cx="99441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994410" cy="8890"/>
                    </a:xfrm>
                    <a:prstGeom prst="rect">
                      <a:avLst/>
                    </a:prstGeom>
                    <a:noFill/>
                  </pic:spPr>
                </pic:pic>
              </a:graphicData>
            </a:graphic>
          </wp:anchor>
        </w:drawing>
      </w:r>
    </w:p>
    <w:p>
      <w:pPr>
        <w:spacing w:after="0" w:line="15" w:lineRule="exact"/>
        <w:rPr>
          <w:sz w:val="20"/>
          <w:szCs w:val="20"/>
          <w:color w:val="auto"/>
        </w:rPr>
      </w:pPr>
    </w:p>
    <w:p>
      <w:pPr>
        <w:ind w:left="120"/>
        <w:spacing w:after="0"/>
        <w:rPr>
          <w:sz w:val="20"/>
          <w:szCs w:val="20"/>
          <w:color w:val="auto"/>
        </w:rPr>
      </w:pPr>
      <w:r>
        <w:rPr>
          <w:rFonts w:ascii="Arial" w:cs="Arial" w:eastAsia="Arial" w:hAnsi="Arial"/>
          <w:sz w:val="17"/>
          <w:szCs w:val="17"/>
          <w:color w:val="auto"/>
        </w:rPr>
        <w:t>425,395,023</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1,193,226,511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-295275</wp:posOffset>
            </wp:positionH>
            <wp:positionV relativeFrom="paragraph">
              <wp:posOffset>29210</wp:posOffset>
            </wp:positionV>
            <wp:extent cx="99441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994410" cy="8890"/>
                    </a:xfrm>
                    <a:prstGeom prst="rect">
                      <a:avLst/>
                    </a:prstGeom>
                    <a:noFill/>
                  </pic:spPr>
                </pic:pic>
              </a:graphicData>
            </a:graphic>
          </wp:anchor>
        </w:drawing>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1,618,621,534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-295275</wp:posOffset>
            </wp:positionH>
            <wp:positionV relativeFrom="paragraph">
              <wp:posOffset>29210</wp:posOffset>
            </wp:positionV>
            <wp:extent cx="99441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994410" cy="8890"/>
                    </a:xfrm>
                    <a:prstGeom prst="rect">
                      <a:avLst/>
                    </a:prstGeom>
                    <a:noFill/>
                  </pic:spPr>
                </pic:pic>
              </a:graphicData>
            </a:graphic>
          </wp:anchor>
        </w:drawing>
        <w:drawing>
          <wp:anchor simplePos="0" relativeHeight="251657728" behindDoc="1" locked="0" layoutInCell="0" allowOverlap="1">
            <wp:simplePos x="0" y="0"/>
            <wp:positionH relativeFrom="column">
              <wp:posOffset>-295275</wp:posOffset>
            </wp:positionH>
            <wp:positionV relativeFrom="paragraph">
              <wp:posOffset>55245</wp:posOffset>
            </wp:positionV>
            <wp:extent cx="99441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994410" cy="8890"/>
                    </a:xfrm>
                    <a:prstGeom prst="rect">
                      <a:avLst/>
                    </a:prstGeom>
                    <a:noFill/>
                  </pic:spPr>
                </pic:pic>
              </a:graphicData>
            </a:graphic>
          </wp:anchor>
        </w:drawing>
      </w:r>
    </w:p>
    <w:p>
      <w:pPr>
        <w:spacing w:after="0" w:line="838" w:lineRule="exact"/>
        <w:rPr>
          <w:sz w:val="20"/>
          <w:szCs w:val="20"/>
          <w:color w:val="auto"/>
        </w:rPr>
      </w:pPr>
    </w:p>
    <w:p>
      <w:pPr>
        <w:sectPr>
          <w:pgSz w:w="11900" w:h="16838" w:orient="portrait"/>
          <w:cols w:equalWidth="0" w:num="2">
            <w:col w:w="9420" w:space="720"/>
            <w:col w:w="1080"/>
          </w:cols>
          <w:pgMar w:left="320" w:top="881" w:right="359" w:bottom="1440" w:gutter="0" w:footer="0" w:header="0"/>
          <w:type w:val="continuous"/>
        </w:sectPr>
      </w:pPr>
    </w:p>
    <w:p>
      <w:pPr>
        <w:ind w:left="160" w:hanging="152"/>
        <w:spacing w:after="0"/>
        <w:tabs>
          <w:tab w:leader="none" w:pos="160" w:val="left"/>
        </w:tabs>
        <w:numPr>
          <w:ilvl w:val="0"/>
          <w:numId w:val="47"/>
        </w:numPr>
        <w:rPr>
          <w:rFonts w:ascii="Arial" w:cs="Arial" w:eastAsia="Arial" w:hAnsi="Arial"/>
          <w:sz w:val="9"/>
          <w:szCs w:val="9"/>
          <w:color w:val="auto"/>
        </w:rPr>
      </w:pPr>
      <w:r>
        <w:rPr>
          <w:rFonts w:ascii="Arial" w:cs="Arial" w:eastAsia="Arial" w:hAnsi="Arial"/>
          <w:sz w:val="13"/>
          <w:szCs w:val="13"/>
          <w:color w:val="auto"/>
        </w:rPr>
        <w:t>Excludes 111,531,080 shares of common stock as of the Closing of the Merger to be reserved for potential future issuance upon the exercise of Lucid Options or settlement of Lucid RSUs.</w:t>
      </w:r>
    </w:p>
    <w:p>
      <w:pPr>
        <w:spacing w:after="0" w:line="134" w:lineRule="exact"/>
        <w:rPr>
          <w:rFonts w:ascii="Arial" w:cs="Arial" w:eastAsia="Arial" w:hAnsi="Arial"/>
          <w:sz w:val="9"/>
          <w:szCs w:val="9"/>
          <w:color w:val="auto"/>
        </w:rPr>
      </w:pPr>
    </w:p>
    <w:p>
      <w:pPr>
        <w:ind w:right="80" w:firstLine="8"/>
        <w:spacing w:after="0" w:line="302" w:lineRule="auto"/>
        <w:tabs>
          <w:tab w:leader="none" w:pos="145" w:val="left"/>
        </w:tabs>
        <w:numPr>
          <w:ilvl w:val="0"/>
          <w:numId w:val="47"/>
        </w:numPr>
        <w:rPr>
          <w:rFonts w:ascii="Arial" w:cs="Arial" w:eastAsia="Arial" w:hAnsi="Arial"/>
          <w:sz w:val="16"/>
          <w:szCs w:val="16"/>
          <w:color w:val="auto"/>
          <w:vertAlign w:val="superscript"/>
        </w:rPr>
      </w:pPr>
      <w:r>
        <w:rPr>
          <w:rFonts w:ascii="Arial" w:cs="Arial" w:eastAsia="Arial" w:hAnsi="Arial"/>
          <w:sz w:val="12"/>
          <w:szCs w:val="12"/>
          <w:color w:val="auto"/>
        </w:rPr>
        <w:t>Excludes the 85,750,000 warrants issued and outstanding as of the Closing of the Merger, which includes the 41,400,000 Public Warrants and the 44,350,000 Private Placement Warrants. The 44,350,000 Private Placement Warrants beneficially owned by the Churchill Sponsor as of the consummation of the Merger includes the 14,783,333 Sponsor Earnback Warrants.</w:t>
      </w:r>
    </w:p>
    <w:p>
      <w:pPr>
        <w:spacing w:after="0" w:line="166"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The Merger has been accounted for as a reverse recapitalization under U.S. GAAP. Under this method of accounting, Churchill has been treated as the acquired company for financial reporting purposes. The reverse recapitalization accounting treatment was primarily determined based on the stockholders of Legacy Lucid having a relative majority of the voting power of Lucid and having the ability to nominate the majority of the members of the Lucid board of directors, senior management of Legacy Lucid comprise the senior management of Lucid, and the strategy and operations of Legacy Lucid prior to the Merger comprise the only ongoing strategy and operations of Lucid. Accordingly, for accounting purposes, the financial statements of Lucid represent a continuation of the financial statements of Legacy Lucid with the Merger being treated as the equivalent of Legacy Lucid issuing shares for the net assets of Churchill, accompanied by a recapitalization. The net assets of Churchill were recognized as of the Closing at historical cost, with no goodwill or other intangible assets recorded. Operations prior to the Merger are presented as those of Legacy Lucid and the accumulated deficit of Legacy Lucid has been carried forward after Closing.</w:t>
      </w:r>
    </w:p>
    <w:p>
      <w:pPr>
        <w:sectPr>
          <w:pgSz w:w="11900" w:h="16838" w:orient="portrait"/>
          <w:cols w:equalWidth="0" w:num="1">
            <w:col w:w="11220"/>
          </w:cols>
          <w:pgMar w:left="320" w:top="881" w:right="359" w:bottom="1440" w:gutter="0" w:footer="0" w:header="0"/>
          <w:type w:val="continuous"/>
        </w:sect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1" w:right="359" w:bottom="1440" w:gutter="0" w:footer="0" w:header="0"/>
          <w:type w:val="continuous"/>
        </w:sectPr>
      </w:pPr>
    </w:p>
    <w:bookmarkStart w:id="104" w:name="page105"/>
    <w:bookmarkEnd w:id="104"/>
    <w:p>
      <w:pPr>
        <w:ind w:right="160"/>
        <w:spacing w:after="0" w:line="277" w:lineRule="auto"/>
        <w:rPr>
          <w:sz w:val="20"/>
          <w:szCs w:val="20"/>
          <w:color w:val="auto"/>
        </w:rPr>
      </w:pPr>
      <w:r>
        <w:rPr>
          <w:rFonts w:ascii="Arial" w:cs="Arial" w:eastAsia="Arial" w:hAnsi="Arial"/>
          <w:sz w:val="18"/>
          <w:szCs w:val="18"/>
          <w:color w:val="auto"/>
        </w:rPr>
        <w:t>All periods prior to the Merger have been retrospectively adjusted using the Exchange Ratio for the equivalent number of shares outstanding immediately after the Closing to effect the reverse recapitalization.</w:t>
      </w:r>
    </w:p>
    <w:p>
      <w:pPr>
        <w:spacing w:after="0" w:line="170"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In connection with the Closing of the Merger, the Company raised $4,439.2 million of gross proceeds, including the contribution of $2,070.1 million of cash held in Churchill’s trust account from its initial public offering along with $2,500.0 million of cash raised by Churchill in connection with the PIPE Investment and $0.4 million of cash held in the Churchill operating cash account. The gross proceeds were net of $0.2 million paid to redeem 21,644 shares of Churchill Class A common stock held by public stockholders and $131.4 million in costs incurred by Churchill prior to the Closing. The Company additionally incurred $38.9 million of transaction costs, consisting of banking, legal, and other professional fees, of which $36.2 million was recorded as a reduction to additional paid-in capital of proceeds and the remaining $2.7 million was expensed in July 2021. The total net cash proceeds to the Company were $4,400.3 million.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BALANCE SHEETS COMPONENTS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Inventory as of December 31, 2022 and 2021 was as follows (in thousands):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4"/>
                <w:szCs w:val="14"/>
                <w:color w:val="auto"/>
              </w:rPr>
            </w:pPr>
          </w:p>
        </w:tc>
        <w:tc>
          <w:tcPr>
            <w:tcW w:w="1120" w:type="dxa"/>
            <w:vAlign w:val="bottom"/>
          </w:tcPr>
          <w:p>
            <w:pPr>
              <w:jc w:val="right"/>
              <w:ind w:right="136"/>
              <w:spacing w:after="0"/>
              <w:rPr>
                <w:sz w:val="20"/>
                <w:szCs w:val="20"/>
                <w:color w:val="auto"/>
              </w:rPr>
            </w:pPr>
            <w:r>
              <w:rPr>
                <w:rFonts w:ascii="Arial" w:cs="Arial" w:eastAsia="Arial" w:hAnsi="Arial"/>
                <w:sz w:val="14"/>
                <w:szCs w:val="14"/>
                <w:b w:val="1"/>
                <w:bCs w:val="1"/>
                <w:color w:val="auto"/>
                <w:w w:val="96"/>
              </w:rPr>
              <w:t>December 31,</w:t>
            </w:r>
          </w:p>
        </w:tc>
      </w:tr>
      <w:tr>
        <w:trPr>
          <w:trHeight w:val="192"/>
        </w:trPr>
        <w:tc>
          <w:tcPr>
            <w:tcW w:w="86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2021</w:t>
            </w:r>
          </w:p>
        </w:tc>
      </w:tr>
      <w:tr>
        <w:trPr>
          <w:trHeight w:val="229"/>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464,731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87,646</w:t>
            </w:r>
          </w:p>
        </w:tc>
      </w:tr>
      <w:tr>
        <w:trPr>
          <w:trHeight w:val="229"/>
        </w:trPr>
        <w:tc>
          <w:tcPr>
            <w:tcW w:w="8600" w:type="dxa"/>
            <w:vAlign w:val="bottom"/>
          </w:tcPr>
          <w:p>
            <w:pPr>
              <w:ind w:left="20"/>
              <w:spacing w:after="0"/>
              <w:rPr>
                <w:sz w:val="20"/>
                <w:szCs w:val="20"/>
                <w:color w:val="auto"/>
              </w:rPr>
            </w:pPr>
            <w:r>
              <w:rPr>
                <w:rFonts w:ascii="Arial" w:cs="Arial" w:eastAsia="Arial" w:hAnsi="Arial"/>
                <w:sz w:val="18"/>
                <w:szCs w:val="18"/>
                <w:color w:val="auto"/>
              </w:rPr>
              <w:t>Work in progress</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34,311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30,641</w:t>
            </w:r>
          </w:p>
        </w:tc>
      </w:tr>
      <w:tr>
        <w:trPr>
          <w:trHeight w:val="230"/>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335,359</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8,963</w:t>
            </w:r>
          </w:p>
        </w:tc>
      </w:tr>
      <w:tr>
        <w:trPr>
          <w:trHeight w:val="223"/>
        </w:trPr>
        <w:tc>
          <w:tcPr>
            <w:tcW w:w="8600" w:type="dxa"/>
            <w:vAlign w:val="bottom"/>
          </w:tcPr>
          <w:p>
            <w:pPr>
              <w:ind w:left="20"/>
              <w:spacing w:after="0"/>
              <w:rPr>
                <w:sz w:val="20"/>
                <w:szCs w:val="20"/>
                <w:color w:val="auto"/>
              </w:rPr>
            </w:pPr>
            <w:r>
              <w:rPr>
                <w:rFonts w:ascii="Arial" w:cs="Arial" w:eastAsia="Arial" w:hAnsi="Arial"/>
                <w:sz w:val="18"/>
                <w:szCs w:val="18"/>
                <w:color w:val="auto"/>
              </w:rPr>
              <w:t>Total Inventory</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834,401</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127,250</w:t>
            </w:r>
          </w:p>
        </w:tc>
      </w:tr>
      <w:tr>
        <w:trPr>
          <w:trHeight w:val="21"/>
        </w:trPr>
        <w:tc>
          <w:tcPr>
            <w:tcW w:w="8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ind w:right="100"/>
        <w:spacing w:after="0" w:line="301" w:lineRule="auto"/>
        <w:rPr>
          <w:sz w:val="20"/>
          <w:szCs w:val="20"/>
          <w:color w:val="auto"/>
        </w:rPr>
      </w:pPr>
      <w:r>
        <w:rPr>
          <w:rFonts w:ascii="Arial" w:cs="Arial" w:eastAsia="Arial" w:hAnsi="Arial"/>
          <w:sz w:val="16"/>
          <w:szCs w:val="16"/>
          <w:color w:val="auto"/>
        </w:rPr>
        <w:t>Inventory as of December 31, 2022 and 2021 was comprised of raw materials, work in progress related to the production of vehicles for sale and finished goods inventory including new vehicles available for sale and vehicles in transit to fulfill customer orders. During the years ended December 31, 2022 and 2021, we recorded write-downs of $569.5 million and $48.9 million, respectively, to reduce our inventories to their net realizable values, for any excess or obsolete inventories, and losses from firm purchase commitments. No write-down was recorded for the year ended December 31, 2020.</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plant and equipment, net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Property, plant and equipment, net as of December 31, 2022 and 2021 were as follows (in thousands):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0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4"/>
                <w:szCs w:val="14"/>
                <w:color w:val="auto"/>
              </w:rPr>
            </w:pPr>
          </w:p>
        </w:tc>
        <w:tc>
          <w:tcPr>
            <w:tcW w:w="1120" w:type="dxa"/>
            <w:vAlign w:val="bottom"/>
          </w:tcPr>
          <w:p>
            <w:pPr>
              <w:jc w:val="right"/>
              <w:ind w:right="133"/>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96"/>
        </w:trPr>
        <w:tc>
          <w:tcPr>
            <w:tcW w:w="4500" w:type="dxa"/>
            <w:vAlign w:val="bottom"/>
            <w:tcBorders>
              <w:bottom w:val="single" w:sz="8" w:color="CCEEFF"/>
            </w:tcBorders>
          </w:tcPr>
          <w:p>
            <w:pPr>
              <w:spacing w:after="0"/>
              <w:rPr>
                <w:sz w:val="17"/>
                <w:szCs w:val="17"/>
                <w:color w:val="auto"/>
              </w:rPr>
            </w:pPr>
          </w:p>
        </w:tc>
        <w:tc>
          <w:tcPr>
            <w:tcW w:w="4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30"/>
        </w:trPr>
        <w:tc>
          <w:tcPr>
            <w:tcW w:w="4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 and land improvements</w:t>
            </w:r>
          </w:p>
        </w:tc>
        <w:tc>
          <w:tcPr>
            <w:tcW w:w="4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64,677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w:t>
            </w:r>
          </w:p>
        </w:tc>
        <w:tc>
          <w:tcPr>
            <w:tcW w:w="0" w:type="dxa"/>
            <w:vAlign w:val="bottom"/>
          </w:tcPr>
          <w:p>
            <w:pPr>
              <w:spacing w:after="0"/>
              <w:rPr>
                <w:sz w:val="1"/>
                <w:szCs w:val="1"/>
                <w:color w:val="auto"/>
              </w:rPr>
            </w:pPr>
          </w:p>
        </w:tc>
      </w:tr>
      <w:tr>
        <w:trPr>
          <w:trHeight w:val="229"/>
        </w:trPr>
        <w:tc>
          <w:tcPr>
            <w:tcW w:w="4500" w:type="dxa"/>
            <w:vAlign w:val="bottom"/>
          </w:tcPr>
          <w:p>
            <w:pPr>
              <w:ind w:left="20"/>
              <w:spacing w:after="0"/>
              <w:rPr>
                <w:sz w:val="20"/>
                <w:szCs w:val="20"/>
                <w:color w:val="auto"/>
              </w:rPr>
            </w:pPr>
            <w:r>
              <w:rPr>
                <w:rFonts w:ascii="Arial" w:cs="Arial" w:eastAsia="Arial" w:hAnsi="Arial"/>
                <w:sz w:val="18"/>
                <w:szCs w:val="18"/>
                <w:color w:val="auto"/>
              </w:rPr>
              <w:t>Building and improvements</w:t>
            </w:r>
          </w:p>
        </w:tc>
        <w:tc>
          <w:tcPr>
            <w:tcW w:w="4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197,406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195,952</w:t>
            </w:r>
          </w:p>
        </w:tc>
        <w:tc>
          <w:tcPr>
            <w:tcW w:w="0" w:type="dxa"/>
            <w:vAlign w:val="bottom"/>
          </w:tcPr>
          <w:p>
            <w:pPr>
              <w:spacing w:after="0"/>
              <w:rPr>
                <w:sz w:val="1"/>
                <w:szCs w:val="1"/>
                <w:color w:val="auto"/>
              </w:rPr>
            </w:pPr>
          </w:p>
        </w:tc>
      </w:tr>
      <w:tr>
        <w:trPr>
          <w:trHeight w:val="230"/>
        </w:trPr>
        <w:tc>
          <w:tcPr>
            <w:tcW w:w="4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Machinery, Tooling and Vehicles</w:t>
            </w:r>
          </w:p>
        </w:tc>
        <w:tc>
          <w:tcPr>
            <w:tcW w:w="4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743,006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601,791</w:t>
            </w:r>
          </w:p>
        </w:tc>
        <w:tc>
          <w:tcPr>
            <w:tcW w:w="0" w:type="dxa"/>
            <w:vAlign w:val="bottom"/>
          </w:tcPr>
          <w:p>
            <w:pPr>
              <w:spacing w:after="0"/>
              <w:rPr>
                <w:sz w:val="1"/>
                <w:szCs w:val="1"/>
                <w:color w:val="auto"/>
              </w:rPr>
            </w:pPr>
          </w:p>
        </w:tc>
      </w:tr>
      <w:tr>
        <w:trPr>
          <w:trHeight w:val="230"/>
        </w:trPr>
        <w:tc>
          <w:tcPr>
            <w:tcW w:w="4500" w:type="dxa"/>
            <w:vAlign w:val="bottom"/>
          </w:tcPr>
          <w:p>
            <w:pPr>
              <w:ind w:left="20"/>
              <w:spacing w:after="0"/>
              <w:rPr>
                <w:sz w:val="20"/>
                <w:szCs w:val="20"/>
                <w:color w:val="auto"/>
              </w:rPr>
            </w:pPr>
            <w:r>
              <w:rPr>
                <w:rFonts w:ascii="Arial" w:cs="Arial" w:eastAsia="Arial" w:hAnsi="Arial"/>
                <w:sz w:val="18"/>
                <w:szCs w:val="18"/>
                <w:color w:val="auto"/>
              </w:rPr>
              <w:t>Computer equipment and software</w:t>
            </w:r>
          </w:p>
        </w:tc>
        <w:tc>
          <w:tcPr>
            <w:tcW w:w="4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48,899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27,968</w:t>
            </w:r>
          </w:p>
        </w:tc>
        <w:tc>
          <w:tcPr>
            <w:tcW w:w="0" w:type="dxa"/>
            <w:vAlign w:val="bottom"/>
          </w:tcPr>
          <w:p>
            <w:pPr>
              <w:spacing w:after="0"/>
              <w:rPr>
                <w:sz w:val="1"/>
                <w:szCs w:val="1"/>
                <w:color w:val="auto"/>
              </w:rPr>
            </w:pPr>
          </w:p>
        </w:tc>
      </w:tr>
      <w:tr>
        <w:trPr>
          <w:trHeight w:val="230"/>
        </w:trPr>
        <w:tc>
          <w:tcPr>
            <w:tcW w:w="4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4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182,904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135,533</w:t>
            </w:r>
          </w:p>
        </w:tc>
        <w:tc>
          <w:tcPr>
            <w:tcW w:w="0" w:type="dxa"/>
            <w:vAlign w:val="bottom"/>
          </w:tcPr>
          <w:p>
            <w:pPr>
              <w:spacing w:after="0"/>
              <w:rPr>
                <w:sz w:val="1"/>
                <w:szCs w:val="1"/>
                <w:color w:val="auto"/>
              </w:rPr>
            </w:pPr>
          </w:p>
        </w:tc>
      </w:tr>
      <w:tr>
        <w:trPr>
          <w:trHeight w:val="229"/>
        </w:trPr>
        <w:tc>
          <w:tcPr>
            <w:tcW w:w="4500" w:type="dxa"/>
            <w:vAlign w:val="bottom"/>
          </w:tcPr>
          <w:p>
            <w:pPr>
              <w:ind w:left="20"/>
              <w:spacing w:after="0"/>
              <w:rPr>
                <w:sz w:val="20"/>
                <w:szCs w:val="20"/>
                <w:color w:val="auto"/>
              </w:rPr>
            </w:pPr>
            <w:r>
              <w:rPr>
                <w:rFonts w:ascii="Arial" w:cs="Arial" w:eastAsia="Arial" w:hAnsi="Arial"/>
                <w:sz w:val="18"/>
                <w:szCs w:val="18"/>
                <w:color w:val="auto"/>
              </w:rPr>
              <w:t>Furniture and fixtures</w:t>
            </w:r>
          </w:p>
        </w:tc>
        <w:tc>
          <w:tcPr>
            <w:tcW w:w="4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27,803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15,352</w:t>
            </w:r>
          </w:p>
        </w:tc>
        <w:tc>
          <w:tcPr>
            <w:tcW w:w="0" w:type="dxa"/>
            <w:vAlign w:val="bottom"/>
          </w:tcPr>
          <w:p>
            <w:pPr>
              <w:spacing w:after="0"/>
              <w:rPr>
                <w:sz w:val="1"/>
                <w:szCs w:val="1"/>
                <w:color w:val="auto"/>
              </w:rPr>
            </w:pPr>
          </w:p>
        </w:tc>
      </w:tr>
      <w:tr>
        <w:trPr>
          <w:trHeight w:val="230"/>
        </w:trPr>
        <w:tc>
          <w:tcPr>
            <w:tcW w:w="4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Finance leases</w:t>
            </w:r>
          </w:p>
        </w:tc>
        <w:tc>
          <w:tcPr>
            <w:tcW w:w="4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97,992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13,601</w:t>
            </w:r>
          </w:p>
        </w:tc>
        <w:tc>
          <w:tcPr>
            <w:tcW w:w="0" w:type="dxa"/>
            <w:vAlign w:val="bottom"/>
          </w:tcPr>
          <w:p>
            <w:pPr>
              <w:spacing w:after="0"/>
              <w:rPr>
                <w:sz w:val="1"/>
                <w:szCs w:val="1"/>
                <w:color w:val="auto"/>
              </w:rPr>
            </w:pPr>
          </w:p>
        </w:tc>
      </w:tr>
      <w:tr>
        <w:trPr>
          <w:trHeight w:val="230"/>
        </w:trPr>
        <w:tc>
          <w:tcPr>
            <w:tcW w:w="4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Construction in progress</w:t>
            </w:r>
          </w:p>
        </w:tc>
        <w:tc>
          <w:tcPr>
            <w:tcW w:w="4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1,077,179</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276,919</w:t>
            </w:r>
          </w:p>
        </w:tc>
        <w:tc>
          <w:tcPr>
            <w:tcW w:w="0" w:type="dxa"/>
            <w:vAlign w:val="bottom"/>
          </w:tcPr>
          <w:p>
            <w:pPr>
              <w:spacing w:after="0"/>
              <w:rPr>
                <w:sz w:val="1"/>
                <w:szCs w:val="1"/>
                <w:color w:val="auto"/>
              </w:rPr>
            </w:pPr>
          </w:p>
        </w:tc>
      </w:tr>
      <w:tr>
        <w:trPr>
          <w:trHeight w:val="223"/>
        </w:trPr>
        <w:tc>
          <w:tcPr>
            <w:tcW w:w="45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Total Property, plant and equipment</w:t>
            </w:r>
          </w:p>
        </w:tc>
        <w:tc>
          <w:tcPr>
            <w:tcW w:w="4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2,439,866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1,268,166</w:t>
            </w:r>
          </w:p>
        </w:tc>
        <w:tc>
          <w:tcPr>
            <w:tcW w:w="0" w:type="dxa"/>
            <w:vAlign w:val="bottom"/>
          </w:tcPr>
          <w:p>
            <w:pPr>
              <w:spacing w:after="0"/>
              <w:rPr>
                <w:sz w:val="1"/>
                <w:szCs w:val="1"/>
                <w:color w:val="auto"/>
              </w:rPr>
            </w:pPr>
          </w:p>
        </w:tc>
      </w:tr>
      <w:tr>
        <w:trPr>
          <w:trHeight w:val="230"/>
        </w:trPr>
        <w:tc>
          <w:tcPr>
            <w:tcW w:w="4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4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(273,090)</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(86,013)</w:t>
            </w:r>
          </w:p>
        </w:tc>
        <w:tc>
          <w:tcPr>
            <w:tcW w:w="0" w:type="dxa"/>
            <w:vAlign w:val="bottom"/>
          </w:tcPr>
          <w:p>
            <w:pPr>
              <w:spacing w:after="0"/>
              <w:rPr>
                <w:sz w:val="1"/>
                <w:szCs w:val="1"/>
                <w:color w:val="auto"/>
              </w:rPr>
            </w:pPr>
          </w:p>
        </w:tc>
      </w:tr>
      <w:tr>
        <w:trPr>
          <w:trHeight w:val="248"/>
        </w:trPr>
        <w:tc>
          <w:tcPr>
            <w:tcW w:w="4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plant and equipment, net</w:t>
            </w:r>
          </w:p>
        </w:tc>
        <w:tc>
          <w:tcPr>
            <w:tcW w:w="4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2,166,776</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1,182,153</w:t>
            </w:r>
          </w:p>
        </w:tc>
        <w:tc>
          <w:tcPr>
            <w:tcW w:w="0" w:type="dxa"/>
            <w:vAlign w:val="bottom"/>
          </w:tcPr>
          <w:p>
            <w:pPr>
              <w:spacing w:after="0"/>
              <w:rPr>
                <w:sz w:val="1"/>
                <w:szCs w:val="1"/>
                <w:color w:val="auto"/>
              </w:rPr>
            </w:pPr>
          </w:p>
        </w:tc>
      </w:tr>
      <w:tr>
        <w:trPr>
          <w:trHeight w:val="20"/>
        </w:trPr>
        <w:tc>
          <w:tcPr>
            <w:tcW w:w="4500" w:type="dxa"/>
            <w:vAlign w:val="bottom"/>
            <w:tcBorders>
              <w:top w:val="single" w:sz="8" w:color="CCEEFF"/>
            </w:tcBorders>
          </w:tcPr>
          <w:p>
            <w:pPr>
              <w:spacing w:after="0" w:line="20" w:lineRule="exact"/>
              <w:rPr>
                <w:sz w:val="1"/>
                <w:szCs w:val="1"/>
                <w:color w:val="auto"/>
              </w:rPr>
            </w:pPr>
          </w:p>
        </w:tc>
        <w:tc>
          <w:tcPr>
            <w:tcW w:w="4100" w:type="dxa"/>
            <w:vAlign w:val="bottom"/>
            <w:tcBorders>
              <w:top w:val="single" w:sz="8" w:color="CCEEFF"/>
              <w:bottom w:val="single" w:sz="8" w:color="CCEEFF"/>
            </w:tcBorders>
            <w:vMerge w:val="restart"/>
          </w:tcPr>
          <w:p>
            <w:pPr>
              <w:jc w:val="right"/>
              <w:ind w:right="2750"/>
              <w:spacing w:after="0"/>
              <w:rPr>
                <w:sz w:val="20"/>
                <w:szCs w:val="20"/>
                <w:color w:val="auto"/>
              </w:rPr>
            </w:pPr>
            <w:r>
              <w:rPr>
                <w:rFonts w:ascii="Arial" w:cs="Arial" w:eastAsia="Arial" w:hAnsi="Arial"/>
                <w:sz w:val="18"/>
                <w:szCs w:val="18"/>
                <w:color w:val="auto"/>
              </w:rPr>
              <w:t>104</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4500" w:type="dxa"/>
            <w:vAlign w:val="bottom"/>
          </w:tcPr>
          <w:p>
            <w:pPr>
              <w:spacing w:after="0"/>
              <w:rPr>
                <w:sz w:val="24"/>
                <w:szCs w:val="24"/>
                <w:color w:val="auto"/>
              </w:rPr>
            </w:pPr>
          </w:p>
        </w:tc>
        <w:tc>
          <w:tcPr>
            <w:tcW w:w="41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4500" w:type="dxa"/>
            <w:vAlign w:val="bottom"/>
            <w:tcBorders>
              <w:bottom w:val="single" w:sz="8" w:color="9A9A9A"/>
            </w:tcBorders>
          </w:tcPr>
          <w:p>
            <w:pPr>
              <w:spacing w:after="0"/>
              <w:rPr>
                <w:sz w:val="11"/>
                <w:szCs w:val="11"/>
                <w:color w:val="auto"/>
              </w:rPr>
            </w:pPr>
          </w:p>
        </w:tc>
        <w:tc>
          <w:tcPr>
            <w:tcW w:w="4100" w:type="dxa"/>
            <w:vAlign w:val="bottom"/>
            <w:tcBorders>
              <w:bottom w:val="single" w:sz="8" w:color="9A9A9A"/>
            </w:tcBorders>
          </w:tcPr>
          <w:p>
            <w:pPr>
              <w:spacing w:after="0"/>
              <w:rPr>
                <w:sz w:val="11"/>
                <w:szCs w:val="11"/>
                <w:color w:val="auto"/>
              </w:rPr>
            </w:pPr>
          </w:p>
        </w:tc>
        <w:tc>
          <w:tcPr>
            <w:tcW w:w="160" w:type="dxa"/>
            <w:vAlign w:val="bottom"/>
            <w:tcBorders>
              <w:bottom w:val="single" w:sz="8" w:color="9A9A9A"/>
            </w:tcBorders>
          </w:tcPr>
          <w:p>
            <w:pPr>
              <w:spacing w:after="0"/>
              <w:rPr>
                <w:sz w:val="11"/>
                <w:szCs w:val="11"/>
                <w:color w:val="auto"/>
              </w:rPr>
            </w:pPr>
          </w:p>
        </w:tc>
        <w:tc>
          <w:tcPr>
            <w:tcW w:w="112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160" w:type="dxa"/>
            <w:vAlign w:val="bottom"/>
            <w:tcBorders>
              <w:bottom w:val="single" w:sz="8" w:color="9A9A9A"/>
            </w:tcBorders>
          </w:tcPr>
          <w:p>
            <w:pPr>
              <w:spacing w:after="0"/>
              <w:rPr>
                <w:sz w:val="11"/>
                <w:szCs w:val="11"/>
                <w:color w:val="auto"/>
              </w:rPr>
            </w:pPr>
          </w:p>
        </w:tc>
        <w:tc>
          <w:tcPr>
            <w:tcW w:w="112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105" w:name="page106"/>
    <w:bookmarkEnd w:id="105"/>
    <w:p>
      <w:pPr>
        <w:ind w:right="100"/>
        <w:spacing w:after="0" w:line="279" w:lineRule="auto"/>
        <w:rPr>
          <w:sz w:val="20"/>
          <w:szCs w:val="20"/>
          <w:color w:val="auto"/>
        </w:rPr>
      </w:pPr>
      <w:r>
        <w:rPr>
          <w:rFonts w:ascii="Arial" w:cs="Arial" w:eastAsia="Arial" w:hAnsi="Arial"/>
          <w:sz w:val="17"/>
          <w:szCs w:val="17"/>
          <w:color w:val="auto"/>
        </w:rPr>
        <w:t>Construction in progress represents the costs incurred in connection with the construction of buildings or new additions to the Company’s plant facilities including tooling, which is with outside vendors. Costs classified as construction in progress include all costs of obtaining the asset and bringing it to the location in the condition necessary for its intended use. No depreciation is provided for construction in progress until such time as the assets are completed and are ready for its intended use. Construction in progress consisted of the following (in thousands):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4"/>
                <w:szCs w:val="14"/>
                <w:color w:val="auto"/>
              </w:rPr>
            </w:pPr>
          </w:p>
        </w:tc>
        <w:tc>
          <w:tcPr>
            <w:tcW w:w="1120" w:type="dxa"/>
            <w:vAlign w:val="bottom"/>
          </w:tcPr>
          <w:p>
            <w:pPr>
              <w:jc w:val="right"/>
              <w:ind w:right="136"/>
              <w:spacing w:after="0"/>
              <w:rPr>
                <w:sz w:val="20"/>
                <w:szCs w:val="20"/>
                <w:color w:val="auto"/>
              </w:rPr>
            </w:pPr>
            <w:r>
              <w:rPr>
                <w:rFonts w:ascii="Arial" w:cs="Arial" w:eastAsia="Arial" w:hAnsi="Arial"/>
                <w:sz w:val="14"/>
                <w:szCs w:val="14"/>
                <w:b w:val="1"/>
                <w:bCs w:val="1"/>
                <w:color w:val="auto"/>
                <w:w w:val="96"/>
              </w:rPr>
              <w:t>December 31,</w:t>
            </w:r>
          </w:p>
        </w:tc>
      </w:tr>
      <w:tr>
        <w:trPr>
          <w:trHeight w:val="192"/>
        </w:trPr>
        <w:tc>
          <w:tcPr>
            <w:tcW w:w="86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2021</w:t>
            </w:r>
          </w:p>
        </w:tc>
      </w:tr>
      <w:tr>
        <w:trPr>
          <w:trHeight w:val="229"/>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Machinery and tooling</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515,662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132,943</w:t>
            </w:r>
          </w:p>
        </w:tc>
      </w:tr>
      <w:tr>
        <w:trPr>
          <w:trHeight w:val="229"/>
        </w:trPr>
        <w:tc>
          <w:tcPr>
            <w:tcW w:w="8600" w:type="dxa"/>
            <w:vAlign w:val="bottom"/>
          </w:tcPr>
          <w:p>
            <w:pPr>
              <w:ind w:left="20"/>
              <w:spacing w:after="0" w:line="230" w:lineRule="exact"/>
              <w:rPr>
                <w:sz w:val="20"/>
                <w:szCs w:val="20"/>
                <w:color w:val="auto"/>
              </w:rPr>
            </w:pPr>
            <w:r>
              <w:rPr>
                <w:rFonts w:ascii="Arial" w:cs="Arial" w:eastAsia="Arial" w:hAnsi="Arial"/>
                <w:sz w:val="18"/>
                <w:szCs w:val="18"/>
                <w:color w:val="auto"/>
              </w:rPr>
              <w:t>Construction of AMP-1 and AMP-2</w:t>
            </w:r>
            <w:r>
              <w:rPr>
                <w:rFonts w:ascii="Arial" w:cs="Arial" w:eastAsia="Arial" w:hAnsi="Arial"/>
                <w:sz w:val="23"/>
                <w:szCs w:val="23"/>
                <w:color w:val="auto"/>
                <w:vertAlign w:val="superscript"/>
              </w:rPr>
              <w:t>(1)</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526,720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112,970</w:t>
            </w:r>
          </w:p>
        </w:tc>
      </w:tr>
      <w:tr>
        <w:trPr>
          <w:trHeight w:val="230"/>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34,797</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31,006</w:t>
            </w:r>
          </w:p>
        </w:tc>
      </w:tr>
      <w:tr>
        <w:trPr>
          <w:trHeight w:val="223"/>
        </w:trPr>
        <w:tc>
          <w:tcPr>
            <w:tcW w:w="8600" w:type="dxa"/>
            <w:vAlign w:val="bottom"/>
          </w:tcPr>
          <w:p>
            <w:pPr>
              <w:ind w:left="20"/>
              <w:spacing w:after="0"/>
              <w:rPr>
                <w:sz w:val="20"/>
                <w:szCs w:val="20"/>
                <w:color w:val="auto"/>
              </w:rPr>
            </w:pPr>
            <w:r>
              <w:rPr>
                <w:rFonts w:ascii="Arial" w:cs="Arial" w:eastAsia="Arial" w:hAnsi="Arial"/>
                <w:sz w:val="18"/>
                <w:szCs w:val="18"/>
                <w:color w:val="auto"/>
              </w:rPr>
              <w:t>Total construction in progress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1,077,179</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276,919</w:t>
            </w:r>
          </w:p>
        </w:tc>
      </w:tr>
      <w:tr>
        <w:trPr>
          <w:trHeight w:val="21"/>
        </w:trPr>
        <w:tc>
          <w:tcPr>
            <w:tcW w:w="8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20" w:firstLine="8"/>
        <w:spacing w:after="0" w:line="325" w:lineRule="auto"/>
        <w:tabs>
          <w:tab w:leader="none" w:pos="132" w:val="left"/>
        </w:tabs>
        <w:numPr>
          <w:ilvl w:val="0"/>
          <w:numId w:val="48"/>
        </w:numPr>
        <w:rPr>
          <w:rFonts w:ascii="Arial" w:cs="Arial" w:eastAsia="Arial" w:hAnsi="Arial"/>
          <w:sz w:val="15"/>
          <w:szCs w:val="15"/>
          <w:color w:val="auto"/>
          <w:vertAlign w:val="superscript"/>
        </w:rPr>
      </w:pPr>
      <w:r>
        <w:rPr>
          <w:rFonts w:ascii="Arial" w:cs="Arial" w:eastAsia="Arial" w:hAnsi="Arial"/>
          <w:sz w:val="11"/>
          <w:szCs w:val="11"/>
          <w:color w:val="auto"/>
        </w:rPr>
        <w:t>As of December 31, 2022, $33.3 million of capital expenditure support received from Ministry of Investment of Saudi Arabia (“MISA”) was recorded as a deduction to the AMP-2 construction in progress balance. See Note 2 “Summary of Significant Accounting Policies” and Note 19 “Related Party Transactions” for more information.</w:t>
      </w:r>
    </w:p>
    <w:p>
      <w:pPr>
        <w:spacing w:after="0" w:line="15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Depreciation and amortization expense was $186.6 million, $62.9 million and $10.2 million for the years ended December 31, 2022, 2021 and 2020, respectively. The amount of interest capitalized on construction in progress related to significant capital asset construction was $2.7 million for the year ended December 31, 2022. No interest was capitalized for the years ended December 31, 2021 and 2020.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current liabilities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Other current liabilities as of December 31, 2022 and 2021 were as follows (in thousands):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4"/>
                <w:szCs w:val="14"/>
                <w:color w:val="auto"/>
              </w:rPr>
            </w:pPr>
          </w:p>
        </w:tc>
        <w:tc>
          <w:tcPr>
            <w:tcW w:w="1120" w:type="dxa"/>
            <w:vAlign w:val="bottom"/>
          </w:tcPr>
          <w:p>
            <w:pPr>
              <w:jc w:val="right"/>
              <w:ind w:right="133"/>
              <w:spacing w:after="0"/>
              <w:rPr>
                <w:sz w:val="20"/>
                <w:szCs w:val="20"/>
                <w:color w:val="auto"/>
              </w:rPr>
            </w:pPr>
            <w:r>
              <w:rPr>
                <w:rFonts w:ascii="Arial" w:cs="Arial" w:eastAsia="Arial" w:hAnsi="Arial"/>
                <w:sz w:val="14"/>
                <w:szCs w:val="14"/>
                <w:b w:val="1"/>
                <w:bCs w:val="1"/>
                <w:color w:val="auto"/>
                <w:w w:val="96"/>
              </w:rPr>
              <w:t>December 31,</w:t>
            </w:r>
          </w:p>
        </w:tc>
      </w:tr>
      <w:tr>
        <w:trPr>
          <w:trHeight w:val="192"/>
        </w:trPr>
        <w:tc>
          <w:tcPr>
            <w:tcW w:w="85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2021</w:t>
            </w:r>
          </w:p>
        </w:tc>
      </w:tr>
      <w:tr>
        <w:trPr>
          <w:trHeight w:val="229"/>
        </w:trPr>
        <w:tc>
          <w:tcPr>
            <w:tcW w:w="8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Engineering, design, and testing accrual</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28,686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33,950</w:t>
            </w:r>
          </w:p>
        </w:tc>
      </w:tr>
      <w:tr>
        <w:trPr>
          <w:trHeight w:val="230"/>
        </w:trPr>
        <w:tc>
          <w:tcPr>
            <w:tcW w:w="8580" w:type="dxa"/>
            <w:vAlign w:val="bottom"/>
          </w:tcPr>
          <w:p>
            <w:pPr>
              <w:ind w:left="20"/>
              <w:spacing w:after="0"/>
              <w:rPr>
                <w:sz w:val="20"/>
                <w:szCs w:val="20"/>
                <w:color w:val="auto"/>
              </w:rPr>
            </w:pPr>
            <w:r>
              <w:rPr>
                <w:rFonts w:ascii="Arial" w:cs="Arial" w:eastAsia="Arial" w:hAnsi="Arial"/>
                <w:sz w:val="18"/>
                <w:szCs w:val="18"/>
                <w:color w:val="auto"/>
              </w:rPr>
              <w:t>Construction in progress</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167,462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92,590</w:t>
            </w:r>
          </w:p>
        </w:tc>
      </w:tr>
      <w:tr>
        <w:trPr>
          <w:trHeight w:val="230"/>
        </w:trPr>
        <w:tc>
          <w:tcPr>
            <w:tcW w:w="85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Accrued purchases </w:t>
            </w:r>
            <w:r>
              <w:rPr>
                <w:rFonts w:ascii="Arial" w:cs="Arial" w:eastAsia="Arial" w:hAnsi="Arial"/>
                <w:sz w:val="23"/>
                <w:szCs w:val="23"/>
                <w:color w:val="auto"/>
                <w:vertAlign w:val="superscript"/>
              </w:rPr>
              <w:t>(1)</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157,162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12,225</w:t>
            </w:r>
          </w:p>
        </w:tc>
      </w:tr>
      <w:tr>
        <w:trPr>
          <w:trHeight w:val="230"/>
        </w:trPr>
        <w:tc>
          <w:tcPr>
            <w:tcW w:w="8580" w:type="dxa"/>
            <w:vAlign w:val="bottom"/>
          </w:tcPr>
          <w:p>
            <w:pPr>
              <w:ind w:left="20"/>
              <w:spacing w:after="0"/>
              <w:rPr>
                <w:sz w:val="20"/>
                <w:szCs w:val="20"/>
                <w:color w:val="auto"/>
              </w:rPr>
            </w:pPr>
            <w:r>
              <w:rPr>
                <w:rFonts w:ascii="Arial" w:cs="Arial" w:eastAsia="Arial" w:hAnsi="Arial"/>
                <w:sz w:val="18"/>
                <w:szCs w:val="18"/>
                <w:color w:val="auto"/>
              </w:rPr>
              <w:t>Retail leasehold improvements accrual</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9,099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15,796</w:t>
            </w:r>
          </w:p>
        </w:tc>
      </w:tr>
      <w:tr>
        <w:trPr>
          <w:trHeight w:val="229"/>
        </w:trPr>
        <w:tc>
          <w:tcPr>
            <w:tcW w:w="8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professional services accrual</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34,951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13,944</w:t>
            </w:r>
          </w:p>
        </w:tc>
      </w:tr>
      <w:tr>
        <w:trPr>
          <w:trHeight w:val="230"/>
        </w:trPr>
        <w:tc>
          <w:tcPr>
            <w:tcW w:w="8580" w:type="dxa"/>
            <w:vAlign w:val="bottom"/>
          </w:tcPr>
          <w:p>
            <w:pPr>
              <w:ind w:left="20"/>
              <w:spacing w:after="0"/>
              <w:rPr>
                <w:sz w:val="20"/>
                <w:szCs w:val="20"/>
                <w:color w:val="auto"/>
              </w:rPr>
            </w:pPr>
            <w:r>
              <w:rPr>
                <w:rFonts w:ascii="Arial" w:cs="Arial" w:eastAsia="Arial" w:hAnsi="Arial"/>
                <w:sz w:val="18"/>
                <w:szCs w:val="18"/>
                <w:color w:val="auto"/>
              </w:rPr>
              <w:t>Tooling liability</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21,714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23,966</w:t>
            </w:r>
          </w:p>
        </w:tc>
      </w:tr>
      <w:tr>
        <w:trPr>
          <w:trHeight w:val="230"/>
        </w:trPr>
        <w:tc>
          <w:tcPr>
            <w:tcW w:w="8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Short-term borrowings</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580" w:type="dxa"/>
            <w:vAlign w:val="bottom"/>
          </w:tcPr>
          <w:p>
            <w:pPr>
              <w:ind w:left="20"/>
              <w:spacing w:after="0"/>
              <w:rPr>
                <w:sz w:val="20"/>
                <w:szCs w:val="20"/>
                <w:color w:val="auto"/>
              </w:rPr>
            </w:pPr>
            <w:r>
              <w:rPr>
                <w:rFonts w:ascii="Arial" w:cs="Arial" w:eastAsia="Arial" w:hAnsi="Arial"/>
                <w:sz w:val="18"/>
                <w:szCs w:val="18"/>
                <w:color w:val="auto"/>
              </w:rPr>
              <w:t>Operating lease liabilities, current portion</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11,269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11,056</w:t>
            </w:r>
          </w:p>
        </w:tc>
      </w:tr>
      <w:tr>
        <w:trPr>
          <w:trHeight w:val="229"/>
        </w:trPr>
        <w:tc>
          <w:tcPr>
            <w:tcW w:w="8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current liabilities</w:t>
            </w: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194,629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114,685</w:t>
            </w:r>
          </w:p>
        </w:tc>
      </w:tr>
      <w:tr>
        <w:trPr>
          <w:trHeight w:val="223"/>
        </w:trPr>
        <w:tc>
          <w:tcPr>
            <w:tcW w:w="8580" w:type="dxa"/>
            <w:vAlign w:val="bottom"/>
          </w:tcPr>
          <w:p>
            <w:pPr>
              <w:ind w:left="20"/>
              <w:spacing w:after="0"/>
              <w:rPr>
                <w:sz w:val="20"/>
                <w:szCs w:val="20"/>
                <w:color w:val="auto"/>
              </w:rPr>
            </w:pPr>
            <w:r>
              <w:rPr>
                <w:rFonts w:ascii="Arial" w:cs="Arial" w:eastAsia="Arial" w:hAnsi="Arial"/>
                <w:sz w:val="18"/>
                <w:szCs w:val="18"/>
                <w:color w:val="auto"/>
              </w:rPr>
              <w:t>Total Other current liabilities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634,567</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318,212</w:t>
            </w:r>
          </w:p>
        </w:tc>
      </w:tr>
      <w:tr>
        <w:trPr>
          <w:trHeight w:val="20"/>
        </w:trPr>
        <w:tc>
          <w:tcPr>
            <w:tcW w:w="8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ind w:left="140" w:hanging="132"/>
        <w:spacing w:after="0"/>
        <w:tabs>
          <w:tab w:leader="none" w:pos="140" w:val="left"/>
        </w:tabs>
        <w:numPr>
          <w:ilvl w:val="0"/>
          <w:numId w:val="49"/>
        </w:numPr>
        <w:rPr>
          <w:rFonts w:ascii="Arial" w:cs="Arial" w:eastAsia="Arial" w:hAnsi="Arial"/>
          <w:sz w:val="16"/>
          <w:szCs w:val="16"/>
          <w:color w:val="auto"/>
          <w:vertAlign w:val="superscript"/>
        </w:rPr>
      </w:pPr>
      <w:r>
        <w:rPr>
          <w:rFonts w:ascii="Arial" w:cs="Arial" w:eastAsia="Arial" w:hAnsi="Arial"/>
          <w:sz w:val="12"/>
          <w:szCs w:val="12"/>
          <w:color w:val="auto"/>
        </w:rPr>
        <w:t>Accrued purchases primarily represent inventory purchases and related transportation charges that had not been invoiced.</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long-term liabilities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Other long-term liabilities as of December 31, 2022 and 2021 were as follows (in thousands):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4"/>
                <w:szCs w:val="14"/>
                <w:color w:val="auto"/>
              </w:rPr>
            </w:pPr>
          </w:p>
        </w:tc>
        <w:tc>
          <w:tcPr>
            <w:tcW w:w="1120" w:type="dxa"/>
            <w:vAlign w:val="bottom"/>
          </w:tcPr>
          <w:p>
            <w:pPr>
              <w:jc w:val="right"/>
              <w:ind w:right="137"/>
              <w:spacing w:after="0"/>
              <w:rPr>
                <w:sz w:val="20"/>
                <w:szCs w:val="20"/>
                <w:color w:val="auto"/>
              </w:rPr>
            </w:pPr>
            <w:r>
              <w:rPr>
                <w:rFonts w:ascii="Arial" w:cs="Arial" w:eastAsia="Arial" w:hAnsi="Arial"/>
                <w:sz w:val="14"/>
                <w:szCs w:val="14"/>
                <w:b w:val="1"/>
                <w:bCs w:val="1"/>
                <w:color w:val="auto"/>
                <w:w w:val="96"/>
              </w:rPr>
              <w:t>December 31,</w:t>
            </w:r>
          </w:p>
        </w:tc>
      </w:tr>
      <w:tr>
        <w:trPr>
          <w:trHeight w:val="196"/>
        </w:trPr>
        <w:tc>
          <w:tcPr>
            <w:tcW w:w="86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2021</w:t>
            </w:r>
          </w:p>
        </w:tc>
      </w:tr>
      <w:tr>
        <w:trPr>
          <w:trHeight w:val="230"/>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liabilities, net of current portion</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243,843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185,323</w:t>
            </w:r>
          </w:p>
        </w:tc>
      </w:tr>
      <w:tr>
        <w:trPr>
          <w:trHeight w:val="230"/>
        </w:trPr>
        <w:tc>
          <w:tcPr>
            <w:tcW w:w="860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Other long-term liabilities</w:t>
            </w:r>
            <w:r>
              <w:rPr>
                <w:rFonts w:ascii="Arial" w:cs="Arial" w:eastAsia="Arial" w:hAnsi="Arial"/>
                <w:sz w:val="23"/>
                <w:szCs w:val="23"/>
                <w:color w:val="auto"/>
                <w:vertAlign w:val="superscript"/>
              </w:rPr>
              <w:t>(1)</w:t>
            </w: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134,369</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3,252</w:t>
            </w:r>
          </w:p>
        </w:tc>
      </w:tr>
      <w:tr>
        <w:trPr>
          <w:trHeight w:val="248"/>
        </w:trPr>
        <w:tc>
          <w:tcPr>
            <w:tcW w:w="8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Other long-term liabilities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378,212</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188,575</w:t>
            </w:r>
          </w:p>
        </w:tc>
      </w:tr>
      <w:tr>
        <w:trPr>
          <w:trHeight w:val="20"/>
        </w:trPr>
        <w:tc>
          <w:tcPr>
            <w:tcW w:w="86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78" w:lineRule="exact"/>
        <w:rPr>
          <w:sz w:val="20"/>
          <w:szCs w:val="20"/>
          <w:color w:val="auto"/>
        </w:rPr>
      </w:pPr>
    </w:p>
    <w:p>
      <w:pPr>
        <w:ind w:right="400" w:firstLine="8"/>
        <w:spacing w:after="0" w:line="293" w:lineRule="auto"/>
        <w:tabs>
          <w:tab w:leader="none" w:pos="132" w:val="left"/>
        </w:tabs>
        <w:numPr>
          <w:ilvl w:val="0"/>
          <w:numId w:val="50"/>
        </w:numPr>
        <w:rPr>
          <w:rFonts w:ascii="Arial" w:cs="Arial" w:eastAsia="Arial" w:hAnsi="Arial"/>
          <w:sz w:val="9"/>
          <w:szCs w:val="9"/>
          <w:color w:val="auto"/>
        </w:rPr>
      </w:pPr>
      <w:r>
        <w:rPr>
          <w:rFonts w:ascii="Arial" w:cs="Arial" w:eastAsia="Arial" w:hAnsi="Arial"/>
          <w:sz w:val="14"/>
          <w:szCs w:val="14"/>
          <w:color w:val="auto"/>
        </w:rPr>
        <w:t>As of December 31, 2022, $64.0 million of capital expenditure support received from MISA was recorded as deferred liability within other long-term liabilities. See Note 2 “Summary of Significant Accounting Policies” and Note 19 “Related Party Transactions” for more information.</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106" w:name="page107"/>
    <w:bookmarkEnd w:id="106"/>
    <w:p>
      <w:pPr>
        <w:spacing w:after="0"/>
        <w:rPr>
          <w:sz w:val="20"/>
          <w:szCs w:val="20"/>
          <w:color w:val="auto"/>
        </w:rPr>
      </w:pPr>
      <w:r>
        <w:rPr>
          <w:rFonts w:ascii="Arial" w:cs="Arial" w:eastAsia="Arial" w:hAnsi="Arial"/>
          <w:sz w:val="18"/>
          <w:szCs w:val="18"/>
          <w:b w:val="1"/>
          <w:bCs w:val="1"/>
          <w:i w:val="1"/>
          <w:iCs w:val="1"/>
          <w:color w:val="auto"/>
        </w:rPr>
        <w:t>Accrued warranty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Accrued warranty activities consisted of the following (in thousands):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jc w:val="right"/>
              <w:ind w:right="396"/>
              <w:spacing w:after="0"/>
              <w:rPr>
                <w:sz w:val="20"/>
                <w:szCs w:val="20"/>
                <w:color w:val="auto"/>
              </w:rPr>
            </w:pPr>
            <w:r>
              <w:rPr>
                <w:rFonts w:ascii="Arial" w:cs="Arial" w:eastAsia="Arial" w:hAnsi="Arial"/>
                <w:sz w:val="14"/>
                <w:szCs w:val="14"/>
                <w:b w:val="1"/>
                <w:bCs w:val="1"/>
                <w:color w:val="auto"/>
              </w:rPr>
              <w:t>Year Ended</w:t>
            </w:r>
          </w:p>
        </w:tc>
      </w:tr>
      <w:tr>
        <w:trPr>
          <w:trHeight w:val="203"/>
        </w:trPr>
        <w:tc>
          <w:tcPr>
            <w:tcW w:w="9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tcPr>
          <w:p>
            <w:pPr>
              <w:jc w:val="right"/>
              <w:ind w:right="176"/>
              <w:spacing w:after="0"/>
              <w:rPr>
                <w:sz w:val="20"/>
                <w:szCs w:val="20"/>
                <w:color w:val="auto"/>
              </w:rPr>
            </w:pPr>
            <w:r>
              <w:rPr>
                <w:rFonts w:ascii="Arial" w:cs="Arial" w:eastAsia="Arial" w:hAnsi="Arial"/>
                <w:sz w:val="14"/>
                <w:szCs w:val="14"/>
                <w:b w:val="1"/>
                <w:bCs w:val="1"/>
                <w:color w:val="auto"/>
                <w:w w:val="98"/>
              </w:rPr>
              <w:t>December 31, 2022</w:t>
            </w:r>
          </w:p>
        </w:tc>
      </w:tr>
      <w:tr>
        <w:trPr>
          <w:trHeight w:val="26"/>
        </w:trPr>
        <w:tc>
          <w:tcPr>
            <w:tcW w:w="95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23"/>
        </w:trPr>
        <w:tc>
          <w:tcPr>
            <w:tcW w:w="95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Accrued warranty - beginning of period</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1,282</w:t>
            </w:r>
          </w:p>
        </w:tc>
      </w:tr>
      <w:tr>
        <w:trPr>
          <w:trHeight w:val="229"/>
        </w:trPr>
        <w:tc>
          <w:tcPr>
            <w:tcW w:w="9540" w:type="dxa"/>
            <w:vAlign w:val="bottom"/>
          </w:tcPr>
          <w:p>
            <w:pPr>
              <w:ind w:left="20"/>
              <w:spacing w:after="0"/>
              <w:rPr>
                <w:sz w:val="20"/>
                <w:szCs w:val="20"/>
                <w:color w:val="auto"/>
              </w:rPr>
            </w:pPr>
            <w:r>
              <w:rPr>
                <w:rFonts w:ascii="Arial" w:cs="Arial" w:eastAsia="Arial" w:hAnsi="Arial"/>
                <w:sz w:val="18"/>
                <w:szCs w:val="18"/>
                <w:color w:val="auto"/>
              </w:rPr>
              <w:t>Warranty costs incurred</w:t>
            </w: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(11,557)</w:t>
            </w:r>
          </w:p>
        </w:tc>
      </w:tr>
      <w:tr>
        <w:trPr>
          <w:trHeight w:val="229"/>
        </w:trPr>
        <w:tc>
          <w:tcPr>
            <w:tcW w:w="95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Provision for warranty</w:t>
            </w:r>
            <w:r>
              <w:rPr>
                <w:rFonts w:ascii="Arial" w:cs="Arial" w:eastAsia="Arial" w:hAnsi="Arial"/>
                <w:sz w:val="23"/>
                <w:szCs w:val="23"/>
                <w:color w:val="auto"/>
                <w:vertAlign w:val="superscript"/>
              </w:rPr>
              <w:t>(1)</w:t>
            </w:r>
          </w:p>
        </w:tc>
        <w:tc>
          <w:tcPr>
            <w:tcW w:w="1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33,224</w:t>
            </w:r>
          </w:p>
        </w:tc>
      </w:tr>
      <w:tr>
        <w:trPr>
          <w:trHeight w:val="223"/>
        </w:trPr>
        <w:tc>
          <w:tcPr>
            <w:tcW w:w="9540" w:type="dxa"/>
            <w:vAlign w:val="bottom"/>
          </w:tcPr>
          <w:p>
            <w:pPr>
              <w:ind w:left="20"/>
              <w:spacing w:after="0" w:line="223" w:lineRule="exact"/>
              <w:rPr>
                <w:sz w:val="20"/>
                <w:szCs w:val="20"/>
                <w:color w:val="auto"/>
              </w:rPr>
            </w:pPr>
            <w:r>
              <w:rPr>
                <w:rFonts w:ascii="Arial" w:cs="Arial" w:eastAsia="Arial" w:hAnsi="Arial"/>
                <w:sz w:val="18"/>
                <w:szCs w:val="18"/>
                <w:b w:val="1"/>
                <w:bCs w:val="1"/>
                <w:color w:val="auto"/>
              </w:rPr>
              <w:t>Accrued warranty - end of period</w:t>
            </w:r>
            <w:r>
              <w:rPr>
                <w:rFonts w:ascii="Arial" w:cs="Arial" w:eastAsia="Arial" w:hAnsi="Arial"/>
                <w:sz w:val="23"/>
                <w:szCs w:val="23"/>
                <w:b w:val="1"/>
                <w:bCs w:val="1"/>
                <w:color w:val="auto"/>
                <w:vertAlign w:val="superscript"/>
              </w:rPr>
              <w:t>(2)</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22,949</w:t>
            </w:r>
          </w:p>
        </w:tc>
      </w:tr>
      <w:tr>
        <w:trPr>
          <w:trHeight w:val="21"/>
        </w:trPr>
        <w:tc>
          <w:tcPr>
            <w:tcW w:w="95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82" w:lineRule="exact"/>
        <w:rPr>
          <w:sz w:val="20"/>
          <w:szCs w:val="20"/>
          <w:color w:val="auto"/>
        </w:rPr>
      </w:pPr>
    </w:p>
    <w:p>
      <w:pPr>
        <w:ind w:left="140" w:hanging="132"/>
        <w:spacing w:after="0"/>
        <w:tabs>
          <w:tab w:leader="none" w:pos="140" w:val="left"/>
        </w:tabs>
        <w:numPr>
          <w:ilvl w:val="0"/>
          <w:numId w:val="51"/>
        </w:numPr>
        <w:rPr>
          <w:rFonts w:ascii="Arial" w:cs="Arial" w:eastAsia="Arial" w:hAnsi="Arial"/>
          <w:sz w:val="16"/>
          <w:szCs w:val="16"/>
          <w:color w:val="auto"/>
          <w:vertAlign w:val="superscript"/>
        </w:rPr>
      </w:pPr>
      <w:r>
        <w:rPr>
          <w:rFonts w:ascii="Arial" w:cs="Arial" w:eastAsia="Arial" w:hAnsi="Arial"/>
          <w:sz w:val="12"/>
          <w:szCs w:val="12"/>
          <w:color w:val="auto"/>
        </w:rPr>
        <w:t>Accrued warranty balance as of December 31, 2022 included estimated costs related to the recalls identified.</w:t>
      </w:r>
    </w:p>
    <w:p>
      <w:pPr>
        <w:ind w:left="140" w:hanging="132"/>
        <w:spacing w:after="0"/>
        <w:tabs>
          <w:tab w:leader="none" w:pos="140" w:val="left"/>
        </w:tabs>
        <w:numPr>
          <w:ilvl w:val="0"/>
          <w:numId w:val="51"/>
        </w:numPr>
        <w:rPr>
          <w:rFonts w:ascii="Arial" w:cs="Arial" w:eastAsia="Arial" w:hAnsi="Arial"/>
          <w:sz w:val="9"/>
          <w:szCs w:val="9"/>
          <w:color w:val="auto"/>
        </w:rPr>
      </w:pPr>
      <w:r>
        <w:rPr>
          <w:rFonts w:ascii="Arial" w:cs="Arial" w:eastAsia="Arial" w:hAnsi="Arial"/>
          <w:sz w:val="13"/>
          <w:szCs w:val="13"/>
          <w:color w:val="auto"/>
        </w:rPr>
        <w:t>Accrued warranty balance of $10.4 million and $12.5 million were recorded within Other current liabilities and Other long-term liabilities, respectively, on our consolidated balance sheet.as of</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December 31, 2022.</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FAIR VALUE MEASUREMENTS AND FINANCIAL INSTRUMENTS</w:t>
      </w:r>
    </w:p>
    <w:p>
      <w:pPr>
        <w:spacing w:after="0" w:line="229"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accounting standard for fair value measurements provides a framework for measuring fair value and requires expanded disclosures regarding fair value measurements. Fair value is defined as the price that would be received for an asset or the “exit price” that would be paid to transfer a liability in the principal or most advantageous market in an orderly transaction between independent market participants on the measurement date. The Company measures financial assets and liabilities at fair value at each reporting period using a fair value hierarchy, which requires the Company to maximize the use of observable inputs and minimize the use of unobservable inputs when measuring fair value. A financial instrument classification within the fair value hierarchy is based upon the lowest level of input that is significant to the fair value measurement. This hierarchy prioritizes the inputs into three broad levels as follows:</w:t>
      </w:r>
    </w:p>
    <w:p>
      <w:pPr>
        <w:spacing w:after="0" w:line="195" w:lineRule="exact"/>
        <w:rPr>
          <w:sz w:val="20"/>
          <w:szCs w:val="20"/>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b w:val="1"/>
          <w:bCs w:val="1"/>
          <w:i w:val="1"/>
          <w:iCs w:val="1"/>
          <w:color w:val="auto"/>
        </w:rPr>
        <w:t>Level 1</w:t>
      </w:r>
      <w:r>
        <w:rPr>
          <w:rFonts w:ascii="Arial" w:cs="Arial" w:eastAsia="Arial" w:hAnsi="Arial"/>
          <w:sz w:val="18"/>
          <w:szCs w:val="18"/>
          <w:color w:val="auto"/>
        </w:rPr>
        <w:t>—Quoted prices (unadjusted) in active markets for identical assets or liabilities.</w:t>
      </w:r>
    </w:p>
    <w:p>
      <w:pPr>
        <w:spacing w:after="0" w:line="225" w:lineRule="exact"/>
        <w:rPr>
          <w:rFonts w:ascii="Arial" w:cs="Arial" w:eastAsia="Arial" w:hAnsi="Arial"/>
          <w:sz w:val="18"/>
          <w:szCs w:val="18"/>
          <w:color w:val="auto"/>
        </w:rPr>
      </w:pPr>
    </w:p>
    <w:p>
      <w:pPr>
        <w:ind w:left="660" w:right="220" w:hanging="328"/>
        <w:spacing w:after="0" w:line="263" w:lineRule="auto"/>
        <w:tabs>
          <w:tab w:leader="none" w:pos="655" w:val="left"/>
        </w:tabs>
        <w:numPr>
          <w:ilvl w:val="0"/>
          <w:numId w:val="52"/>
        </w:numPr>
        <w:rPr>
          <w:rFonts w:ascii="Arial" w:cs="Arial" w:eastAsia="Arial" w:hAnsi="Arial"/>
          <w:sz w:val="18"/>
          <w:szCs w:val="18"/>
          <w:color w:val="auto"/>
        </w:rPr>
      </w:pPr>
      <w:r>
        <w:rPr>
          <w:rFonts w:ascii="Arial" w:cs="Arial" w:eastAsia="Arial" w:hAnsi="Arial"/>
          <w:sz w:val="18"/>
          <w:szCs w:val="18"/>
          <w:b w:val="1"/>
          <w:bCs w:val="1"/>
          <w:i w:val="1"/>
          <w:iCs w:val="1"/>
          <w:color w:val="auto"/>
        </w:rPr>
        <w:t>Level 2</w:t>
      </w:r>
      <w:r>
        <w:rPr>
          <w:rFonts w:ascii="Arial" w:cs="Arial" w:eastAsia="Arial" w:hAnsi="Arial"/>
          <w:sz w:val="18"/>
          <w:szCs w:val="18"/>
          <w:color w:val="auto"/>
        </w:rPr>
        <w:t>—Observable inputs other than quoted prices in active markets for identical assets and liabilities, quoted prices for identical or similar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assets or liabilities in inactive markets, or other inputs that are observable or can be corroborated by observable market data for substantially the full term of the assets or liabilities.</w:t>
      </w:r>
    </w:p>
    <w:p>
      <w:pPr>
        <w:spacing w:after="0" w:line="183" w:lineRule="exact"/>
        <w:rPr>
          <w:rFonts w:ascii="Arial" w:cs="Arial" w:eastAsia="Arial" w:hAnsi="Arial"/>
          <w:sz w:val="18"/>
          <w:szCs w:val="18"/>
          <w:color w:val="auto"/>
        </w:rPr>
      </w:pPr>
    </w:p>
    <w:p>
      <w:pPr>
        <w:jc w:val="both"/>
        <w:ind w:left="660" w:hanging="328"/>
        <w:spacing w:after="0" w:line="311" w:lineRule="auto"/>
        <w:tabs>
          <w:tab w:leader="none" w:pos="655" w:val="left"/>
        </w:tabs>
        <w:numPr>
          <w:ilvl w:val="0"/>
          <w:numId w:val="52"/>
        </w:numPr>
        <w:rPr>
          <w:rFonts w:ascii="Arial" w:cs="Arial" w:eastAsia="Arial" w:hAnsi="Arial"/>
          <w:sz w:val="16"/>
          <w:szCs w:val="16"/>
          <w:color w:val="auto"/>
        </w:rPr>
      </w:pPr>
      <w:r>
        <w:rPr>
          <w:rFonts w:ascii="Arial" w:cs="Arial" w:eastAsia="Arial" w:hAnsi="Arial"/>
          <w:sz w:val="16"/>
          <w:szCs w:val="16"/>
          <w:b w:val="1"/>
          <w:bCs w:val="1"/>
          <w:i w:val="1"/>
          <w:iCs w:val="1"/>
          <w:color w:val="auto"/>
        </w:rPr>
        <w:t>Level 3</w:t>
      </w:r>
      <w:r>
        <w:rPr>
          <w:rFonts w:ascii="Arial" w:cs="Arial" w:eastAsia="Arial" w:hAnsi="Arial"/>
          <w:sz w:val="16"/>
          <w:szCs w:val="16"/>
          <w:color w:val="auto"/>
        </w:rPr>
        <w:t>—Inputs that are generally unobservable and typically reflect management’s estimates of assumptions that market participants would use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pricing the asset or liability. Factors used to develop the estimated fair value are unobservable inputs that are not supported by market activity. The sensitivity of the fair value measurement to changes in unobservable inputs may result in a significantly higher or lower measurement.</w:t>
      </w:r>
    </w:p>
    <w:p>
      <w:pPr>
        <w:spacing w:after="0" w:line="14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Cash, cash equivalents and investments are reported at their respective fair values on the Company's consolidated balance sheets. The Company's Short-term and Long-term investments are classified as available-for-sale securities.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107" w:name="page108"/>
    <w:bookmarkEnd w:id="107"/>
    <w:p>
      <w:pPr>
        <w:ind w:right="20"/>
        <w:spacing w:after="0" w:line="277" w:lineRule="auto"/>
        <w:rPr>
          <w:sz w:val="20"/>
          <w:szCs w:val="20"/>
          <w:color w:val="auto"/>
        </w:rPr>
      </w:pPr>
      <w:r>
        <w:rPr>
          <w:rFonts w:ascii="Arial" w:cs="Arial" w:eastAsia="Arial" w:hAnsi="Arial"/>
          <w:sz w:val="18"/>
          <w:szCs w:val="18"/>
          <w:color w:val="auto"/>
        </w:rPr>
        <w:t>The following table sets forth the Company’s financial assets subject to fair value measurements on a recurring basis by level within the fair value hierarchy as of December 31, 2022 and 2021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180" w:type="dxa"/>
            <w:vAlign w:val="bottom"/>
            <w:gridSpan w:val="6"/>
          </w:tcPr>
          <w:p>
            <w:pPr>
              <w:jc w:val="center"/>
              <w:ind w:right="20"/>
              <w:spacing w:after="0"/>
              <w:rPr>
                <w:sz w:val="20"/>
                <w:szCs w:val="20"/>
                <w:color w:val="auto"/>
              </w:rPr>
            </w:pPr>
            <w:r>
              <w:rPr>
                <w:rFonts w:ascii="Arial" w:cs="Arial" w:eastAsia="Arial" w:hAnsi="Arial"/>
                <w:sz w:val="14"/>
                <w:szCs w:val="14"/>
                <w:b w:val="1"/>
                <w:bCs w:val="1"/>
                <w:color w:val="auto"/>
                <w:w w:val="91"/>
              </w:rPr>
              <w:t>December 31, 2022</w:t>
            </w: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8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3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3"/>
          </w:tcPr>
          <w:p>
            <w:pPr>
              <w:jc w:val="center"/>
              <w:ind w:right="60"/>
              <w:spacing w:after="0"/>
              <w:rPr>
                <w:sz w:val="20"/>
                <w:szCs w:val="20"/>
                <w:color w:val="auto"/>
              </w:rPr>
            </w:pPr>
            <w:r>
              <w:rPr>
                <w:rFonts w:ascii="Arial" w:cs="Arial" w:eastAsia="Arial" w:hAnsi="Arial"/>
                <w:sz w:val="14"/>
                <w:szCs w:val="14"/>
                <w:b w:val="1"/>
                <w:bCs w:val="1"/>
                <w:color w:val="auto"/>
                <w:w w:val="93"/>
              </w:rPr>
              <w:t>Reported As:</w:t>
            </w: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3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gridSpan w:val="2"/>
          </w:tcPr>
          <w:p>
            <w:pPr>
              <w:jc w:val="center"/>
              <w:ind w:right="200"/>
              <w:spacing w:after="0" w:line="126" w:lineRule="exact"/>
              <w:rPr>
                <w:sz w:val="20"/>
                <w:szCs w:val="20"/>
                <w:color w:val="auto"/>
              </w:rPr>
            </w:pPr>
            <w:r>
              <w:rPr>
                <w:rFonts w:ascii="Arial" w:cs="Arial" w:eastAsia="Arial" w:hAnsi="Arial"/>
                <w:sz w:val="14"/>
                <w:szCs w:val="14"/>
                <w:b w:val="1"/>
                <w:bCs w:val="1"/>
                <w:color w:val="auto"/>
                <w:w w:val="88"/>
              </w:rPr>
              <w:t>Gross</w:t>
            </w:r>
          </w:p>
        </w:tc>
        <w:tc>
          <w:tcPr>
            <w:tcW w:w="140" w:type="dxa"/>
            <w:vAlign w:val="bottom"/>
          </w:tcPr>
          <w:p>
            <w:pPr>
              <w:spacing w:after="0"/>
              <w:rPr>
                <w:sz w:val="10"/>
                <w:szCs w:val="10"/>
                <w:color w:val="auto"/>
              </w:rPr>
            </w:pPr>
          </w:p>
        </w:tc>
        <w:tc>
          <w:tcPr>
            <w:tcW w:w="840" w:type="dxa"/>
            <w:vAlign w:val="bottom"/>
          </w:tcPr>
          <w:p>
            <w:pPr>
              <w:jc w:val="center"/>
              <w:ind w:right="34"/>
              <w:spacing w:after="0" w:line="126" w:lineRule="exact"/>
              <w:rPr>
                <w:sz w:val="20"/>
                <w:szCs w:val="20"/>
                <w:color w:val="auto"/>
              </w:rPr>
            </w:pPr>
            <w:r>
              <w:rPr>
                <w:rFonts w:ascii="Arial" w:cs="Arial" w:eastAsia="Arial" w:hAnsi="Arial"/>
                <w:sz w:val="14"/>
                <w:szCs w:val="14"/>
                <w:b w:val="1"/>
                <w:bCs w:val="1"/>
                <w:color w:val="auto"/>
                <w:w w:val="88"/>
              </w:rPr>
              <w:t>Gross</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Estimated Fair</w:t>
            </w:r>
          </w:p>
        </w:tc>
        <w:tc>
          <w:tcPr>
            <w:tcW w:w="104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89"/>
              </w:rPr>
              <w:t>Cash and cash</w:t>
            </w:r>
          </w:p>
        </w:tc>
        <w:tc>
          <w:tcPr>
            <w:tcW w:w="120" w:type="dxa"/>
            <w:vAlign w:val="bottom"/>
          </w:tcPr>
          <w:p>
            <w:pPr>
              <w:spacing w:after="0"/>
              <w:rPr>
                <w:sz w:val="10"/>
                <w:szCs w:val="10"/>
                <w:color w:val="auto"/>
              </w:rPr>
            </w:pPr>
          </w:p>
        </w:tc>
        <w:tc>
          <w:tcPr>
            <w:tcW w:w="96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5"/>
              </w:rPr>
              <w:t>Short-Term</w:t>
            </w:r>
          </w:p>
        </w:tc>
        <w:tc>
          <w:tcPr>
            <w:tcW w:w="100" w:type="dxa"/>
            <w:vAlign w:val="bottom"/>
          </w:tcPr>
          <w:p>
            <w:pPr>
              <w:spacing w:after="0"/>
              <w:rPr>
                <w:sz w:val="10"/>
                <w:szCs w:val="10"/>
                <w:color w:val="auto"/>
              </w:rPr>
            </w:pPr>
          </w:p>
        </w:tc>
        <w:tc>
          <w:tcPr>
            <w:tcW w:w="880" w:type="dxa"/>
            <w:vAlign w:val="bottom"/>
            <w:vMerge w:val="restart"/>
          </w:tcPr>
          <w:p>
            <w:pPr>
              <w:jc w:val="right"/>
              <w:ind w:right="53"/>
              <w:spacing w:after="0"/>
              <w:rPr>
                <w:sz w:val="20"/>
                <w:szCs w:val="20"/>
                <w:color w:val="auto"/>
              </w:rPr>
            </w:pPr>
            <w:r>
              <w:rPr>
                <w:rFonts w:ascii="Arial" w:cs="Arial" w:eastAsia="Arial" w:hAnsi="Arial"/>
                <w:sz w:val="14"/>
                <w:szCs w:val="14"/>
                <w:b w:val="1"/>
                <w:bCs w:val="1"/>
                <w:color w:val="auto"/>
                <w:w w:val="98"/>
              </w:rPr>
              <w:t>Long-Term</w:t>
            </w:r>
          </w:p>
        </w:tc>
        <w:tc>
          <w:tcPr>
            <w:tcW w:w="0" w:type="dxa"/>
            <w:vAlign w:val="bottom"/>
          </w:tcPr>
          <w:p>
            <w:pPr>
              <w:spacing w:after="0"/>
              <w:rPr>
                <w:sz w:val="1"/>
                <w:szCs w:val="1"/>
                <w:color w:val="auto"/>
              </w:rPr>
            </w:pPr>
          </w:p>
        </w:tc>
      </w:tr>
      <w:tr>
        <w:trPr>
          <w:trHeight w:val="144"/>
        </w:trPr>
        <w:tc>
          <w:tcPr>
            <w:tcW w:w="3860" w:type="dxa"/>
            <w:vAlign w:val="bottom"/>
          </w:tcPr>
          <w:p>
            <w:pPr>
              <w:spacing w:after="0"/>
              <w:rPr>
                <w:sz w:val="12"/>
                <w:szCs w:val="12"/>
                <w:color w:val="auto"/>
              </w:rPr>
            </w:pPr>
          </w:p>
        </w:tc>
        <w:tc>
          <w:tcPr>
            <w:tcW w:w="10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Amortized cost</w:t>
            </w:r>
          </w:p>
        </w:tc>
        <w:tc>
          <w:tcPr>
            <w:tcW w:w="140" w:type="dxa"/>
            <w:vAlign w:val="bottom"/>
          </w:tcPr>
          <w:p>
            <w:pPr>
              <w:spacing w:after="0"/>
              <w:rPr>
                <w:sz w:val="12"/>
                <w:szCs w:val="12"/>
                <w:color w:val="auto"/>
              </w:rPr>
            </w:pPr>
          </w:p>
        </w:tc>
        <w:tc>
          <w:tcPr>
            <w:tcW w:w="920" w:type="dxa"/>
            <w:vAlign w:val="bottom"/>
            <w:gridSpan w:val="2"/>
          </w:tcPr>
          <w:p>
            <w:pPr>
              <w:jc w:val="center"/>
              <w:ind w:right="220"/>
              <w:spacing w:after="0" w:line="144" w:lineRule="exact"/>
              <w:rPr>
                <w:sz w:val="20"/>
                <w:szCs w:val="20"/>
                <w:color w:val="auto"/>
              </w:rPr>
            </w:pPr>
            <w:r>
              <w:rPr>
                <w:rFonts w:ascii="Arial" w:cs="Arial" w:eastAsia="Arial" w:hAnsi="Arial"/>
                <w:sz w:val="14"/>
                <w:szCs w:val="14"/>
                <w:b w:val="1"/>
                <w:bCs w:val="1"/>
                <w:color w:val="auto"/>
                <w:w w:val="93"/>
              </w:rPr>
              <w:t>Unrealized</w:t>
            </w:r>
          </w:p>
        </w:tc>
        <w:tc>
          <w:tcPr>
            <w:tcW w:w="140" w:type="dxa"/>
            <w:vAlign w:val="bottom"/>
          </w:tcPr>
          <w:p>
            <w:pPr>
              <w:spacing w:after="0"/>
              <w:rPr>
                <w:sz w:val="12"/>
                <w:szCs w:val="12"/>
                <w:color w:val="auto"/>
              </w:rPr>
            </w:pPr>
          </w:p>
        </w:tc>
        <w:tc>
          <w:tcPr>
            <w:tcW w:w="840" w:type="dxa"/>
            <w:vAlign w:val="bottom"/>
          </w:tcPr>
          <w:p>
            <w:pPr>
              <w:jc w:val="center"/>
              <w:ind w:right="34"/>
              <w:spacing w:after="0" w:line="144" w:lineRule="exact"/>
              <w:rPr>
                <w:sz w:val="20"/>
                <w:szCs w:val="20"/>
                <w:color w:val="auto"/>
              </w:rPr>
            </w:pPr>
            <w:r>
              <w:rPr>
                <w:rFonts w:ascii="Arial" w:cs="Arial" w:eastAsia="Arial" w:hAnsi="Arial"/>
                <w:sz w:val="14"/>
                <w:szCs w:val="14"/>
                <w:b w:val="1"/>
                <w:bCs w:val="1"/>
                <w:color w:val="auto"/>
                <w:w w:val="95"/>
              </w:rPr>
              <w:t>Unrealized</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4"/>
            <w:vMerge w:val="continue"/>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7"/>
        </w:trPr>
        <w:tc>
          <w:tcPr>
            <w:tcW w:w="3860" w:type="dxa"/>
            <w:vAlign w:val="bottom"/>
          </w:tcPr>
          <w:p>
            <w:pPr>
              <w:spacing w:after="0"/>
              <w:rPr>
                <w:sz w:val="17"/>
                <w:szCs w:val="17"/>
                <w:color w:val="auto"/>
              </w:rPr>
            </w:pPr>
          </w:p>
        </w:tc>
        <w:tc>
          <w:tcPr>
            <w:tcW w:w="1060" w:type="dxa"/>
            <w:vAlign w:val="bottom"/>
            <w:gridSpan w:val="3"/>
            <w:vMerge w:val="continue"/>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Gains</w:t>
            </w:r>
          </w:p>
        </w:tc>
        <w:tc>
          <w:tcPr>
            <w:tcW w:w="140" w:type="dxa"/>
            <w:vAlign w:val="bottom"/>
          </w:tcPr>
          <w:p>
            <w:pPr>
              <w:spacing w:after="0"/>
              <w:rPr>
                <w:sz w:val="17"/>
                <w:szCs w:val="17"/>
                <w:color w:val="auto"/>
              </w:rPr>
            </w:pPr>
          </w:p>
        </w:tc>
        <w:tc>
          <w:tcPr>
            <w:tcW w:w="840" w:type="dxa"/>
            <w:vAlign w:val="bottom"/>
          </w:tcPr>
          <w:p>
            <w:pPr>
              <w:jc w:val="center"/>
              <w:ind w:right="34"/>
              <w:spacing w:after="0"/>
              <w:rPr>
                <w:sz w:val="20"/>
                <w:szCs w:val="20"/>
                <w:color w:val="auto"/>
              </w:rPr>
            </w:pPr>
            <w:r>
              <w:rPr>
                <w:rFonts w:ascii="Arial" w:cs="Arial" w:eastAsia="Arial" w:hAnsi="Arial"/>
                <w:sz w:val="14"/>
                <w:szCs w:val="14"/>
                <w:b w:val="1"/>
                <w:bCs w:val="1"/>
                <w:color w:val="auto"/>
                <w:w w:val="82"/>
              </w:rPr>
              <w:t>Losses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Pr>
          <w:p>
            <w:pPr>
              <w:spacing w:after="0"/>
              <w:rPr>
                <w:sz w:val="17"/>
                <w:szCs w:val="17"/>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equivalents</w:t>
            </w:r>
          </w:p>
        </w:tc>
        <w:tc>
          <w:tcPr>
            <w:tcW w:w="120" w:type="dxa"/>
            <w:vAlign w:val="bottom"/>
          </w:tcPr>
          <w:p>
            <w:pPr>
              <w:spacing w:after="0"/>
              <w:rPr>
                <w:sz w:val="17"/>
                <w:szCs w:val="17"/>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Investments</w:t>
            </w:r>
          </w:p>
        </w:tc>
        <w:tc>
          <w:tcPr>
            <w:tcW w:w="100" w:type="dxa"/>
            <w:vAlign w:val="bottom"/>
          </w:tcPr>
          <w:p>
            <w:pPr>
              <w:spacing w:after="0"/>
              <w:rPr>
                <w:sz w:val="17"/>
                <w:szCs w:val="17"/>
                <w:color w:val="auto"/>
              </w:rPr>
            </w:pPr>
          </w:p>
        </w:tc>
        <w:tc>
          <w:tcPr>
            <w:tcW w:w="880" w:type="dxa"/>
            <w:vAlign w:val="bottom"/>
          </w:tcPr>
          <w:p>
            <w:pPr>
              <w:jc w:val="right"/>
              <w:ind w:right="33"/>
              <w:spacing w:after="0"/>
              <w:rPr>
                <w:sz w:val="20"/>
                <w:szCs w:val="20"/>
                <w:color w:val="auto"/>
              </w:rPr>
            </w:pPr>
            <w:r>
              <w:rPr>
                <w:rFonts w:ascii="Arial" w:cs="Arial" w:eastAsia="Arial" w:hAnsi="Arial"/>
                <w:sz w:val="14"/>
                <w:szCs w:val="14"/>
                <w:b w:val="1"/>
                <w:bCs w:val="1"/>
                <w:color w:val="auto"/>
                <w:w w:val="90"/>
              </w:rPr>
              <w:t>Investments</w:t>
            </w:r>
          </w:p>
        </w:tc>
        <w:tc>
          <w:tcPr>
            <w:tcW w:w="0" w:type="dxa"/>
            <w:vAlign w:val="bottom"/>
          </w:tcPr>
          <w:p>
            <w:pPr>
              <w:spacing w:after="0"/>
              <w:rPr>
                <w:sz w:val="1"/>
                <w:szCs w:val="1"/>
                <w:color w:val="auto"/>
              </w:rPr>
            </w:pPr>
          </w:p>
        </w:tc>
      </w:tr>
      <w:tr>
        <w:trPr>
          <w:trHeight w:val="229"/>
        </w:trPr>
        <w:tc>
          <w:tcPr>
            <w:tcW w:w="3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321,667</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321,667</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321,667</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860" w:type="dxa"/>
            <w:vAlign w:val="bottom"/>
          </w:tcPr>
          <w:p>
            <w:pPr>
              <w:ind w:left="20"/>
              <w:spacing w:after="0"/>
              <w:rPr>
                <w:sz w:val="20"/>
                <w:szCs w:val="20"/>
                <w:color w:val="auto"/>
              </w:rPr>
            </w:pPr>
            <w:r>
              <w:rPr>
                <w:rFonts w:ascii="Arial" w:cs="Arial" w:eastAsia="Arial" w:hAnsi="Arial"/>
                <w:sz w:val="18"/>
                <w:szCs w:val="18"/>
                <w:color w:val="auto"/>
              </w:rPr>
              <w:t>Level 1:</w:t>
            </w: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Money market funds</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1,377,540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1,377,540</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1,377,540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860" w:type="dxa"/>
            <w:vAlign w:val="bottom"/>
          </w:tcPr>
          <w:p>
            <w:pPr>
              <w:ind w:left="240"/>
              <w:spacing w:after="0"/>
              <w:rPr>
                <w:sz w:val="20"/>
                <w:szCs w:val="20"/>
                <w:color w:val="auto"/>
              </w:rPr>
            </w:pPr>
            <w:r>
              <w:rPr>
                <w:rFonts w:ascii="Arial" w:cs="Arial" w:eastAsia="Arial" w:hAnsi="Arial"/>
                <w:sz w:val="18"/>
                <w:szCs w:val="18"/>
                <w:color w:val="auto"/>
              </w:rPr>
              <w:t>U.S. Treasury securities</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2"/>
              </w:rPr>
              <w:t>1,861,449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(9,431)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2"/>
              </w:rPr>
              <w:t>1,852,169</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7"/>
              </w:rPr>
              <w:t>1,570,591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281,578</w:t>
            </w:r>
          </w:p>
        </w:tc>
        <w:tc>
          <w:tcPr>
            <w:tcW w:w="0" w:type="dxa"/>
            <w:vAlign w:val="bottom"/>
          </w:tcPr>
          <w:p>
            <w:pPr>
              <w:spacing w:after="0"/>
              <w:rPr>
                <w:sz w:val="1"/>
                <w:szCs w:val="1"/>
                <w:color w:val="auto"/>
              </w:rPr>
            </w:pPr>
          </w:p>
        </w:tc>
      </w:tr>
      <w:tr>
        <w:trPr>
          <w:trHeight w:val="223"/>
        </w:trPr>
        <w:tc>
          <w:tcPr>
            <w:tcW w:w="3860" w:type="dxa"/>
            <w:vAlign w:val="bottom"/>
            <w:tcBorders>
              <w:top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Subtotal</w:t>
            </w:r>
          </w:p>
        </w:tc>
        <w:tc>
          <w:tcPr>
            <w:tcW w:w="14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3,238,989</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(9,431)</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3,229,709</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1,377,540</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1,570,591</w:t>
            </w:r>
          </w:p>
        </w:tc>
        <w:tc>
          <w:tcPr>
            <w:tcW w:w="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281,578</w:t>
            </w:r>
          </w:p>
        </w:tc>
        <w:tc>
          <w:tcPr>
            <w:tcW w:w="0" w:type="dxa"/>
            <w:vAlign w:val="bottom"/>
          </w:tcPr>
          <w:p>
            <w:pPr>
              <w:spacing w:after="0"/>
              <w:rPr>
                <w:sz w:val="1"/>
                <w:szCs w:val="1"/>
                <w:color w:val="auto"/>
              </w:rPr>
            </w:pPr>
          </w:p>
        </w:tc>
      </w:tr>
      <w:tr>
        <w:trPr>
          <w:trHeight w:val="229"/>
        </w:trPr>
        <w:tc>
          <w:tcPr>
            <w:tcW w:w="3860" w:type="dxa"/>
            <w:vAlign w:val="bottom"/>
          </w:tcPr>
          <w:p>
            <w:pPr>
              <w:ind w:left="20"/>
              <w:spacing w:after="0"/>
              <w:rPr>
                <w:sz w:val="20"/>
                <w:szCs w:val="20"/>
                <w:color w:val="auto"/>
              </w:rPr>
            </w:pPr>
            <w:r>
              <w:rPr>
                <w:rFonts w:ascii="Arial" w:cs="Arial" w:eastAsia="Arial" w:hAnsi="Arial"/>
                <w:sz w:val="18"/>
                <w:szCs w:val="18"/>
                <w:color w:val="auto"/>
              </w:rPr>
              <w:t>Level 2:</w:t>
            </w: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U.S. government agency securities</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43,477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43,505</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43,505</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860" w:type="dxa"/>
            <w:vAlign w:val="bottom"/>
          </w:tcPr>
          <w:p>
            <w:pPr>
              <w:ind w:left="240"/>
              <w:spacing w:after="0"/>
              <w:rPr>
                <w:sz w:val="20"/>
                <w:szCs w:val="20"/>
                <w:color w:val="auto"/>
              </w:rPr>
            </w:pPr>
            <w:r>
              <w:rPr>
                <w:rFonts w:ascii="Arial" w:cs="Arial" w:eastAsia="Arial" w:hAnsi="Arial"/>
                <w:sz w:val="18"/>
                <w:szCs w:val="18"/>
                <w:color w:val="auto"/>
              </w:rPr>
              <w:t>Certificates of deposit</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174,037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173,972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173,972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Commercial paper</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238,224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238,165</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19,761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218,404</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8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Corporate debt securities</w:t>
            </w: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438,148</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(2,404)</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435,952</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16,797</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170,759</w:t>
            </w: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248,396</w:t>
            </w:r>
          </w:p>
        </w:tc>
        <w:tc>
          <w:tcPr>
            <w:tcW w:w="0" w:type="dxa"/>
            <w:vAlign w:val="bottom"/>
          </w:tcPr>
          <w:p>
            <w:pPr>
              <w:spacing w:after="0"/>
              <w:rPr>
                <w:sz w:val="1"/>
                <w:szCs w:val="1"/>
                <w:color w:val="auto"/>
              </w:rPr>
            </w:pPr>
          </w:p>
        </w:tc>
      </w:tr>
      <w:tr>
        <w:trPr>
          <w:trHeight w:val="223"/>
        </w:trPr>
        <w:tc>
          <w:tcPr>
            <w:tcW w:w="38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Subtotal</w:t>
            </w:r>
          </w:p>
        </w:tc>
        <w:tc>
          <w:tcPr>
            <w:tcW w:w="1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893,886</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(2,676)</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891,594</w:t>
            </w: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36,558</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606,640</w:t>
            </w:r>
          </w:p>
        </w:tc>
        <w:tc>
          <w:tcPr>
            <w:tcW w:w="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248,396</w:t>
            </w:r>
          </w:p>
        </w:tc>
        <w:tc>
          <w:tcPr>
            <w:tcW w:w="0" w:type="dxa"/>
            <w:vAlign w:val="bottom"/>
          </w:tcPr>
          <w:p>
            <w:pPr>
              <w:spacing w:after="0"/>
              <w:rPr>
                <w:sz w:val="1"/>
                <w:szCs w:val="1"/>
                <w:color w:val="auto"/>
              </w:rPr>
            </w:pPr>
          </w:p>
        </w:tc>
      </w:tr>
      <w:tr>
        <w:trPr>
          <w:trHeight w:val="223"/>
        </w:trPr>
        <w:tc>
          <w:tcPr>
            <w:tcW w:w="3860" w:type="dxa"/>
            <w:vAlign w:val="bottom"/>
          </w:tcPr>
          <w:p>
            <w:pPr>
              <w:ind w:left="20"/>
              <w:spacing w:after="0"/>
              <w:rPr>
                <w:sz w:val="20"/>
                <w:szCs w:val="20"/>
                <w:color w:val="auto"/>
              </w:rPr>
            </w:pPr>
            <w:r>
              <w:rPr>
                <w:rFonts w:ascii="Arial" w:cs="Arial" w:eastAsia="Arial" w:hAnsi="Arial"/>
                <w:sz w:val="18"/>
                <w:szCs w:val="18"/>
                <w:color w:val="auto"/>
              </w:rPr>
              <w:t>Total assets measured at fair value</w:t>
            </w: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4,454,542</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535</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(12,107)</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4,442,970</w:t>
            </w:r>
          </w:p>
        </w:tc>
        <w:tc>
          <w:tcPr>
            <w:tcW w:w="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1,735,765</w:t>
            </w: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2,177,231</w:t>
            </w:r>
          </w:p>
        </w:tc>
        <w:tc>
          <w:tcPr>
            <w:tcW w:w="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529,974</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98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20"/>
        <w:spacing w:after="0"/>
        <w:rPr>
          <w:sz w:val="20"/>
          <w:szCs w:val="20"/>
          <w:color w:val="auto"/>
        </w:rPr>
      </w:pPr>
      <w:r>
        <w:rPr>
          <w:rFonts w:ascii="Arial" w:cs="Arial" w:eastAsia="Arial" w:hAnsi="Arial"/>
          <w:sz w:val="18"/>
          <w:szCs w:val="18"/>
          <w:color w:val="auto"/>
        </w:rPr>
        <w:t>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132320" cy="15430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Level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Money market funds</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15"/>
          <w:szCs w:val="15"/>
          <w:color w:val="auto"/>
        </w:rPr>
        <w:t>Total assets measured at fair value</w:t>
      </w:r>
    </w:p>
    <w:p>
      <w:pPr>
        <w:spacing w:after="0" w:line="20" w:lineRule="exact"/>
        <w:rPr>
          <w:sz w:val="20"/>
          <w:szCs w:val="20"/>
          <w:color w:val="auto"/>
        </w:rPr>
      </w:pPr>
      <w:r>
        <w:rPr>
          <w:sz w:val="20"/>
          <w:szCs w:val="20"/>
          <w:color w:val="auto"/>
        </w:rPr>
        <w:br w:type="column"/>
      </w:r>
    </w:p>
    <w:p>
      <w:pPr>
        <w:spacing w:after="0" w:line="108" w:lineRule="exact"/>
        <w:rPr>
          <w:sz w:val="20"/>
          <w:szCs w:val="20"/>
          <w:color w:val="auto"/>
        </w:rPr>
      </w:pPr>
    </w:p>
    <w:p>
      <w:pPr>
        <w:jc w:val="center"/>
        <w:ind w:right="33"/>
        <w:spacing w:after="0"/>
        <w:rPr>
          <w:sz w:val="20"/>
          <w:szCs w:val="20"/>
          <w:color w:val="auto"/>
        </w:rPr>
      </w:pPr>
      <w:r>
        <w:rPr>
          <w:rFonts w:ascii="Arial" w:cs="Arial" w:eastAsia="Arial" w:hAnsi="Arial"/>
          <w:sz w:val="14"/>
          <w:szCs w:val="14"/>
          <w:b w:val="1"/>
          <w:bCs w:val="1"/>
          <w:color w:val="auto"/>
        </w:rPr>
        <w:t>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32385</wp:posOffset>
            </wp:positionV>
            <wp:extent cx="128587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85875" cy="8255"/>
                    </a:xfrm>
                    <a:prstGeom prst="rect">
                      <a:avLst/>
                    </a:prstGeom>
                    <a:noFill/>
                  </pic:spPr>
                </pic:pic>
              </a:graphicData>
            </a:graphic>
          </wp:anchor>
        </w:drawing>
      </w:r>
    </w:p>
    <w:p>
      <w:pPr>
        <w:spacing w:after="0" w:line="35" w:lineRule="exact"/>
        <w:rPr>
          <w:sz w:val="20"/>
          <w:szCs w:val="20"/>
          <w:color w:val="auto"/>
        </w:rPr>
      </w:pPr>
    </w:p>
    <w:p>
      <w:pPr>
        <w:jc w:val="center"/>
        <w:ind w:right="33"/>
        <w:spacing w:after="0"/>
        <w:rPr>
          <w:sz w:val="20"/>
          <w:szCs w:val="20"/>
          <w:color w:val="auto"/>
        </w:rPr>
      </w:pPr>
      <w:r>
        <w:rPr>
          <w:rFonts w:ascii="Arial" w:cs="Arial" w:eastAsia="Arial" w:hAnsi="Arial"/>
          <w:sz w:val="14"/>
          <w:szCs w:val="14"/>
          <w:b w:val="1"/>
          <w:bCs w:val="1"/>
          <w:color w:val="auto"/>
        </w:rPr>
        <w:t>Reported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32385</wp:posOffset>
            </wp:positionV>
            <wp:extent cx="128587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85875" cy="8255"/>
                    </a:xfrm>
                    <a:prstGeom prst="rect">
                      <a:avLst/>
                    </a:prstGeom>
                    <a:noFill/>
                  </pic:spPr>
                </pic:pic>
              </a:graphicData>
            </a:graphic>
          </wp:anchor>
        </w:drawing>
      </w:r>
    </w:p>
    <w:p>
      <w:pPr>
        <w:spacing w:after="0" w:line="35" w:lineRule="exact"/>
        <w:rPr>
          <w:sz w:val="20"/>
          <w:szCs w:val="20"/>
          <w:color w:val="auto"/>
        </w:rPr>
      </w:pPr>
    </w:p>
    <w:p>
      <w:pPr>
        <w:ind w:left="187"/>
        <w:spacing w:after="0"/>
        <w:rPr>
          <w:sz w:val="20"/>
          <w:szCs w:val="20"/>
          <w:color w:val="auto"/>
        </w:rPr>
      </w:pPr>
      <w:r>
        <w:rPr>
          <w:rFonts w:ascii="Arial" w:cs="Arial" w:eastAsia="Arial" w:hAnsi="Arial"/>
          <w:sz w:val="13"/>
          <w:szCs w:val="13"/>
          <w:b w:val="1"/>
          <w:bCs w:val="1"/>
          <w:color w:val="auto"/>
        </w:rPr>
        <w:t>Cash and cash equivalents</w:t>
      </w:r>
    </w:p>
    <w:p>
      <w:pPr>
        <w:spacing w:after="0" w:line="75" w:lineRule="exact"/>
        <w:rPr>
          <w:sz w:val="20"/>
          <w:szCs w:val="20"/>
          <w:color w:val="auto"/>
        </w:rPr>
      </w:pPr>
    </w:p>
    <w:p>
      <w:pPr>
        <w:ind w:left="7"/>
        <w:spacing w:after="0"/>
        <w:tabs>
          <w:tab w:leader="none" w:pos="1327"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160,888</w:t>
      </w:r>
    </w:p>
    <w:p>
      <w:pPr>
        <w:spacing w:after="0" w:line="275" w:lineRule="exact"/>
        <w:rPr>
          <w:sz w:val="20"/>
          <w:szCs w:val="20"/>
          <w:color w:val="auto"/>
        </w:rPr>
      </w:pPr>
    </w:p>
    <w:p>
      <w:pPr>
        <w:ind w:left="1207"/>
        <w:spacing w:after="0"/>
        <w:rPr>
          <w:sz w:val="20"/>
          <w:szCs w:val="20"/>
          <w:color w:val="auto"/>
        </w:rPr>
      </w:pPr>
      <w:r>
        <w:rPr>
          <w:rFonts w:ascii="Arial" w:cs="Arial" w:eastAsia="Arial" w:hAnsi="Arial"/>
          <w:sz w:val="16"/>
          <w:szCs w:val="16"/>
          <w:color w:val="auto"/>
        </w:rPr>
        <w:t>6,102,017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29210</wp:posOffset>
            </wp:positionV>
            <wp:extent cx="128587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85875" cy="8890"/>
                    </a:xfrm>
                    <a:prstGeom prst="rect">
                      <a:avLst/>
                    </a:prstGeom>
                    <a:noFill/>
                  </pic:spPr>
                </pic:pic>
              </a:graphicData>
            </a:graphic>
          </wp:anchor>
        </w:drawing>
      </w:r>
    </w:p>
    <w:p>
      <w:pPr>
        <w:spacing w:after="0" w:line="39" w:lineRule="exact"/>
        <w:rPr>
          <w:sz w:val="20"/>
          <w:szCs w:val="20"/>
          <w:color w:val="auto"/>
        </w:rPr>
      </w:pPr>
    </w:p>
    <w:p>
      <w:pPr>
        <w:ind w:left="1207" w:hanging="1207"/>
        <w:spacing w:after="0"/>
        <w:tabs>
          <w:tab w:leader="none" w:pos="1207" w:val="left"/>
        </w:tabs>
        <w:numPr>
          <w:ilvl w:val="0"/>
          <w:numId w:val="53"/>
        </w:numPr>
        <w:rPr>
          <w:rFonts w:ascii="Arial" w:cs="Arial" w:eastAsia="Arial" w:hAnsi="Arial"/>
          <w:sz w:val="16"/>
          <w:szCs w:val="16"/>
          <w:color w:val="auto"/>
        </w:rPr>
      </w:pPr>
      <w:r>
        <w:rPr>
          <w:rFonts w:ascii="Arial" w:cs="Arial" w:eastAsia="Arial" w:hAnsi="Arial"/>
          <w:sz w:val="16"/>
          <w:szCs w:val="16"/>
          <w:color w:val="auto"/>
        </w:rPr>
        <w:t>6,262,905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29210</wp:posOffset>
            </wp:positionV>
            <wp:extent cx="128587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85875"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55245</wp:posOffset>
            </wp:positionV>
            <wp:extent cx="128587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85875" cy="8255"/>
                    </a:xfrm>
                    <a:prstGeom prst="rect">
                      <a:avLst/>
                    </a:prstGeom>
                    <a:noFill/>
                  </pic:spPr>
                </pic:pic>
              </a:graphicData>
            </a:graphic>
          </wp:anchor>
        </w:drawing>
      </w:r>
    </w:p>
    <w:p>
      <w:pPr>
        <w:spacing w:after="0" w:line="215" w:lineRule="exact"/>
        <w:rPr>
          <w:sz w:val="20"/>
          <w:szCs w:val="20"/>
          <w:color w:val="auto"/>
        </w:rPr>
      </w:pPr>
    </w:p>
    <w:p>
      <w:pPr>
        <w:sectPr>
          <w:pgSz w:w="11900" w:h="16838" w:orient="portrait"/>
          <w:cols w:equalWidth="0" w:num="2">
            <w:col w:w="8513" w:space="720"/>
            <w:col w:w="2007"/>
          </w:cols>
          <w:pgMar w:left="320" w:top="989" w:right="339" w:bottom="1440" w:gutter="0" w:footer="0" w:header="0"/>
          <w:type w:val="continuous"/>
        </w:sectPr>
      </w:pPr>
    </w:p>
    <w:p>
      <w:pPr>
        <w:spacing w:after="0" w:line="19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year ended December 31, 2022, there were immaterial realized gains or losses on the sale of available-for-sale securities. Accrued interest receivable excluded from both the fair value and amortized cost basis of the available-for-sale securities was $7.5 million as of December 31, 2022, and is recorded in Other current assets on our consolidated balance sheets. As of December 31, 2022, no allowance for credit losses was recorded related to an impairment of available-for-sale securities.</w:t>
      </w: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type w:val="continuous"/>
        </w:sectPr>
      </w:pPr>
    </w:p>
    <w:bookmarkStart w:id="108" w:name="page109"/>
    <w:bookmarkEnd w:id="108"/>
    <w:p>
      <w:pPr>
        <w:spacing w:after="0"/>
        <w:rPr>
          <w:sz w:val="20"/>
          <w:szCs w:val="20"/>
          <w:color w:val="auto"/>
        </w:rPr>
      </w:pPr>
      <w:r>
        <w:rPr>
          <w:rFonts w:ascii="Arial" w:cs="Arial" w:eastAsia="Arial" w:hAnsi="Arial"/>
          <w:sz w:val="18"/>
          <w:szCs w:val="18"/>
          <w:color w:val="auto"/>
        </w:rPr>
        <w:t>The following table summarizes our available-for-sale securities by contractual maturity:</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900" w:type="dxa"/>
            <w:vAlign w:val="bottom"/>
            <w:gridSpan w:val="4"/>
          </w:tcPr>
          <w:p>
            <w:pPr>
              <w:jc w:val="right"/>
              <w:ind w:right="355"/>
              <w:spacing w:after="0"/>
              <w:rPr>
                <w:sz w:val="20"/>
                <w:szCs w:val="20"/>
                <w:color w:val="auto"/>
              </w:rPr>
            </w:pPr>
            <w:r>
              <w:rPr>
                <w:rFonts w:ascii="Arial" w:cs="Arial" w:eastAsia="Arial" w:hAnsi="Arial"/>
                <w:sz w:val="14"/>
                <w:szCs w:val="14"/>
                <w:b w:val="1"/>
                <w:bCs w:val="1"/>
                <w:color w:val="auto"/>
              </w:rPr>
              <w:t>December 31, 2022</w:t>
            </w:r>
          </w:p>
        </w:tc>
        <w:tc>
          <w:tcPr>
            <w:tcW w:w="0" w:type="dxa"/>
            <w:vAlign w:val="bottom"/>
          </w:tcPr>
          <w:p>
            <w:pPr>
              <w:spacing w:after="0"/>
              <w:rPr>
                <w:sz w:val="1"/>
                <w:szCs w:val="1"/>
                <w:color w:val="auto"/>
              </w:rPr>
            </w:pPr>
          </w:p>
        </w:tc>
      </w:tr>
      <w:tr>
        <w:trPr>
          <w:trHeight w:val="26"/>
        </w:trPr>
        <w:tc>
          <w:tcPr>
            <w:tcW w:w="91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9180" w:type="dxa"/>
            <w:vAlign w:val="bottom"/>
          </w:tcPr>
          <w:p>
            <w:pPr>
              <w:spacing w:after="0"/>
              <w:rPr>
                <w:sz w:val="11"/>
                <w:szCs w:val="11"/>
                <w:color w:val="auto"/>
              </w:rPr>
            </w:pPr>
          </w:p>
        </w:tc>
        <w:tc>
          <w:tcPr>
            <w:tcW w:w="10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Amortized cost</w:t>
            </w:r>
          </w:p>
        </w:tc>
        <w:tc>
          <w:tcPr>
            <w:tcW w:w="980" w:type="dxa"/>
            <w:vAlign w:val="bottom"/>
            <w:gridSpan w:val="2"/>
          </w:tcPr>
          <w:p>
            <w:pPr>
              <w:ind w:left="20"/>
              <w:spacing w:after="0" w:line="133" w:lineRule="exact"/>
              <w:rPr>
                <w:sz w:val="20"/>
                <w:szCs w:val="20"/>
                <w:color w:val="auto"/>
              </w:rPr>
            </w:pPr>
            <w:r>
              <w:rPr>
                <w:rFonts w:ascii="Arial" w:cs="Arial" w:eastAsia="Arial" w:hAnsi="Arial"/>
                <w:sz w:val="14"/>
                <w:szCs w:val="14"/>
                <w:b w:val="1"/>
                <w:bCs w:val="1"/>
                <w:color w:val="auto"/>
                <w:w w:val="97"/>
              </w:rPr>
              <w:t>Estimated Fair</w:t>
            </w:r>
          </w:p>
        </w:tc>
        <w:tc>
          <w:tcPr>
            <w:tcW w:w="0" w:type="dxa"/>
            <w:vAlign w:val="bottom"/>
          </w:tcPr>
          <w:p>
            <w:pPr>
              <w:spacing w:after="0"/>
              <w:rPr>
                <w:sz w:val="1"/>
                <w:szCs w:val="1"/>
                <w:color w:val="auto"/>
              </w:rPr>
            </w:pPr>
          </w:p>
        </w:tc>
      </w:tr>
      <w:tr>
        <w:trPr>
          <w:trHeight w:val="192"/>
        </w:trPr>
        <w:tc>
          <w:tcPr>
            <w:tcW w:w="9180" w:type="dxa"/>
            <w:vAlign w:val="bottom"/>
          </w:tcPr>
          <w:p>
            <w:pPr>
              <w:spacing w:after="0"/>
              <w:rPr>
                <w:sz w:val="16"/>
                <w:szCs w:val="16"/>
                <w:color w:val="auto"/>
              </w:rPr>
            </w:pPr>
          </w:p>
        </w:tc>
        <w:tc>
          <w:tcPr>
            <w:tcW w:w="108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ind w:right="235"/>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29"/>
        </w:trPr>
        <w:tc>
          <w:tcPr>
            <w:tcW w:w="9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Within one year</w:t>
            </w:r>
          </w:p>
        </w:tc>
        <w:tc>
          <w:tcPr>
            <w:tcW w:w="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2,181,532</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2,177,231</w:t>
            </w:r>
          </w:p>
        </w:tc>
        <w:tc>
          <w:tcPr>
            <w:tcW w:w="0" w:type="dxa"/>
            <w:vAlign w:val="bottom"/>
          </w:tcPr>
          <w:p>
            <w:pPr>
              <w:spacing w:after="0"/>
              <w:rPr>
                <w:sz w:val="1"/>
                <w:szCs w:val="1"/>
                <w:color w:val="auto"/>
              </w:rPr>
            </w:pPr>
          </w:p>
        </w:tc>
      </w:tr>
      <w:tr>
        <w:trPr>
          <w:trHeight w:val="229"/>
        </w:trPr>
        <w:tc>
          <w:tcPr>
            <w:tcW w:w="9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After one year through three years</w:t>
            </w: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537,243</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529,974</w:t>
            </w:r>
          </w:p>
        </w:tc>
        <w:tc>
          <w:tcPr>
            <w:tcW w:w="0" w:type="dxa"/>
            <w:vAlign w:val="bottom"/>
          </w:tcPr>
          <w:p>
            <w:pPr>
              <w:spacing w:after="0"/>
              <w:rPr>
                <w:sz w:val="1"/>
                <w:szCs w:val="1"/>
                <w:color w:val="auto"/>
              </w:rPr>
            </w:pPr>
          </w:p>
        </w:tc>
      </w:tr>
      <w:tr>
        <w:trPr>
          <w:trHeight w:val="248"/>
        </w:trPr>
        <w:tc>
          <w:tcPr>
            <w:tcW w:w="91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2,718,775</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2,707,205</w:t>
            </w:r>
          </w:p>
        </w:tc>
        <w:tc>
          <w:tcPr>
            <w:tcW w:w="0" w:type="dxa"/>
            <w:vAlign w:val="bottom"/>
          </w:tcPr>
          <w:p>
            <w:pPr>
              <w:spacing w:after="0"/>
              <w:rPr>
                <w:sz w:val="1"/>
                <w:szCs w:val="1"/>
                <w:color w:val="auto"/>
              </w:rPr>
            </w:pPr>
          </w:p>
        </w:tc>
      </w:tr>
      <w:tr>
        <w:trPr>
          <w:trHeight w:val="20"/>
        </w:trPr>
        <w:tc>
          <w:tcPr>
            <w:tcW w:w="9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Level 3 liabilities consist of convertible preferred stock warrant liability, contingent forward contract liability and common stock warrant liability, of which the fair value was measured upon issuance and is remeasured at each reporting date. Level 3 liabilities also consist of residual value guarantee liabilities, of which the fair value measurement is nonrecurring and measured upon delivery of vehicles. The valuation methodology and underlying assumptions are discussed further in Note 2 “Summary of Significant Accounting Policies”, Note 7 “Contingent Forward Contracts,” Note 8 “Convertible Preferred Stock Warrant Liability” and Note 9 “Common Stock Warrant Liability”. Significant increases (decreases) in the unobservable inputs used in determining the fair value would result in a significantly higher (lower) fair value measurement. The following table presents a reconciliation of the contingent forward contract liability, convertible preferred stock warrant liability and common stock warrant liability measured and recorded at fair value on a recurring basis (in thousands):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20" w:type="dxa"/>
            <w:vAlign w:val="bottom"/>
            <w:gridSpan w:val="5"/>
          </w:tcPr>
          <w:p>
            <w:pPr>
              <w:ind w:left="620"/>
              <w:spacing w:after="0"/>
              <w:rPr>
                <w:sz w:val="20"/>
                <w:szCs w:val="20"/>
                <w:color w:val="auto"/>
              </w:rPr>
            </w:pPr>
            <w:r>
              <w:rPr>
                <w:rFonts w:ascii="Arial" w:cs="Arial" w:eastAsia="Arial" w:hAnsi="Arial"/>
                <w:sz w:val="14"/>
                <w:szCs w:val="14"/>
                <w:b w:val="1"/>
                <w:bCs w:val="1"/>
                <w:color w:val="auto"/>
              </w:rPr>
              <w:t>Year Ended December 31,</w:t>
            </w: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0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0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96"/>
              </w:rPr>
              <w:t>2022</w:t>
            </w: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w w:val="96"/>
              </w:rPr>
              <w:t>2021</w:t>
            </w: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5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1"/>
              </w:rPr>
              <w:t>Common Stock</w:t>
            </w:r>
          </w:p>
        </w:tc>
        <w:tc>
          <w:tcPr>
            <w:tcW w:w="120" w:type="dxa"/>
            <w:vAlign w:val="bottom"/>
          </w:tcPr>
          <w:p>
            <w:pPr>
              <w:spacing w:after="0"/>
              <w:rPr>
                <w:sz w:val="11"/>
                <w:szCs w:val="11"/>
                <w:color w:val="auto"/>
              </w:rPr>
            </w:pPr>
          </w:p>
        </w:tc>
        <w:tc>
          <w:tcPr>
            <w:tcW w:w="144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4"/>
              </w:rPr>
              <w:t>Contingent Forward</w:t>
            </w:r>
          </w:p>
        </w:tc>
        <w:tc>
          <w:tcPr>
            <w:tcW w:w="160" w:type="dxa"/>
            <w:vAlign w:val="bottom"/>
          </w:tcPr>
          <w:p>
            <w:pPr>
              <w:spacing w:after="0"/>
              <w:rPr>
                <w:sz w:val="11"/>
                <w:szCs w:val="11"/>
                <w:color w:val="auto"/>
              </w:rPr>
            </w:pPr>
          </w:p>
        </w:tc>
        <w:tc>
          <w:tcPr>
            <w:tcW w:w="142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6"/>
              </w:rPr>
              <w:t>Convertible</w:t>
            </w:r>
          </w:p>
        </w:tc>
        <w:tc>
          <w:tcPr>
            <w:tcW w:w="140" w:type="dxa"/>
            <w:vAlign w:val="bottom"/>
          </w:tcPr>
          <w:p>
            <w:pPr>
              <w:spacing w:after="0"/>
              <w:rPr>
                <w:sz w:val="11"/>
                <w:szCs w:val="11"/>
                <w:color w:val="auto"/>
              </w:rPr>
            </w:pPr>
          </w:p>
        </w:tc>
        <w:tc>
          <w:tcPr>
            <w:tcW w:w="1340" w:type="dxa"/>
            <w:vAlign w:val="bottom"/>
            <w:vMerge w:val="restart"/>
          </w:tcPr>
          <w:p>
            <w:pPr>
              <w:jc w:val="right"/>
              <w:ind w:right="175"/>
              <w:spacing w:after="0"/>
              <w:rPr>
                <w:sz w:val="20"/>
                <w:szCs w:val="20"/>
                <w:color w:val="auto"/>
              </w:rPr>
            </w:pPr>
            <w:r>
              <w:rPr>
                <w:rFonts w:ascii="Arial" w:cs="Arial" w:eastAsia="Arial" w:hAnsi="Arial"/>
                <w:sz w:val="14"/>
                <w:szCs w:val="14"/>
                <w:b w:val="1"/>
                <w:bCs w:val="1"/>
                <w:color w:val="auto"/>
              </w:rPr>
              <w:t>Common Stock</w:t>
            </w:r>
          </w:p>
        </w:tc>
        <w:tc>
          <w:tcPr>
            <w:tcW w:w="0" w:type="dxa"/>
            <w:vAlign w:val="bottom"/>
          </w:tcPr>
          <w:p>
            <w:pPr>
              <w:spacing w:after="0"/>
              <w:rPr>
                <w:sz w:val="1"/>
                <w:szCs w:val="1"/>
                <w:color w:val="auto"/>
              </w:rPr>
            </w:pPr>
          </w:p>
        </w:tc>
      </w:tr>
      <w:tr>
        <w:trPr>
          <w:trHeight w:val="148"/>
        </w:trPr>
        <w:tc>
          <w:tcPr>
            <w:tcW w:w="5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Preferred Stock</w:t>
            </w:r>
          </w:p>
        </w:tc>
        <w:tc>
          <w:tcPr>
            <w:tcW w:w="14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Warrant Liability</w:t>
            </w:r>
          </w:p>
        </w:tc>
        <w:tc>
          <w:tcPr>
            <w:tcW w:w="120" w:type="dxa"/>
            <w:vAlign w:val="bottom"/>
          </w:tcPr>
          <w:p>
            <w:pPr>
              <w:spacing w:after="0"/>
              <w:rPr>
                <w:sz w:val="17"/>
                <w:szCs w:val="17"/>
                <w:color w:val="auto"/>
              </w:rPr>
            </w:pPr>
          </w:p>
        </w:tc>
        <w:tc>
          <w:tcPr>
            <w:tcW w:w="14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7"/>
              </w:rPr>
              <w:t>Contract Liability</w:t>
            </w:r>
          </w:p>
        </w:tc>
        <w:tc>
          <w:tcPr>
            <w:tcW w:w="160" w:type="dxa"/>
            <w:vAlign w:val="bottom"/>
          </w:tcPr>
          <w:p>
            <w:pPr>
              <w:spacing w:after="0"/>
              <w:rPr>
                <w:sz w:val="17"/>
                <w:szCs w:val="17"/>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Warrant Liability</w:t>
            </w:r>
          </w:p>
        </w:tc>
        <w:tc>
          <w:tcPr>
            <w:tcW w:w="140" w:type="dxa"/>
            <w:vAlign w:val="bottom"/>
          </w:tcPr>
          <w:p>
            <w:pPr>
              <w:spacing w:after="0"/>
              <w:rPr>
                <w:sz w:val="17"/>
                <w:szCs w:val="17"/>
                <w:color w:val="auto"/>
              </w:rPr>
            </w:pPr>
          </w:p>
        </w:tc>
        <w:tc>
          <w:tcPr>
            <w:tcW w:w="1340" w:type="dxa"/>
            <w:vAlign w:val="bottom"/>
          </w:tcPr>
          <w:p>
            <w:pPr>
              <w:jc w:val="right"/>
              <w:ind w:right="115"/>
              <w:spacing w:after="0"/>
              <w:rPr>
                <w:sz w:val="20"/>
                <w:szCs w:val="20"/>
                <w:color w:val="auto"/>
              </w:rPr>
            </w:pPr>
            <w:r>
              <w:rPr>
                <w:rFonts w:ascii="Arial" w:cs="Arial" w:eastAsia="Arial" w:hAnsi="Arial"/>
                <w:sz w:val="14"/>
                <w:szCs w:val="14"/>
                <w:b w:val="1"/>
                <w:bCs w:val="1"/>
                <w:color w:val="auto"/>
              </w:rPr>
              <w:t>Warrant Liability</w:t>
            </w:r>
          </w:p>
        </w:tc>
        <w:tc>
          <w:tcPr>
            <w:tcW w:w="0" w:type="dxa"/>
            <w:vAlign w:val="bottom"/>
          </w:tcPr>
          <w:p>
            <w:pPr>
              <w:spacing w:after="0"/>
              <w:rPr>
                <w:sz w:val="1"/>
                <w:szCs w:val="1"/>
                <w:color w:val="auto"/>
              </w:rPr>
            </w:pPr>
          </w:p>
        </w:tc>
      </w:tr>
      <w:tr>
        <w:trPr>
          <w:trHeight w:val="229"/>
        </w:trPr>
        <w:tc>
          <w:tcPr>
            <w:tcW w:w="5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Fair value-beginning of period</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1,394,808</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2,960</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080" w:type="dxa"/>
            <w:vAlign w:val="bottom"/>
          </w:tcPr>
          <w:p>
            <w:pPr>
              <w:ind w:left="180"/>
              <w:spacing w:after="0"/>
              <w:rPr>
                <w:sz w:val="20"/>
                <w:szCs w:val="20"/>
                <w:color w:val="auto"/>
              </w:rPr>
            </w:pPr>
            <w:r>
              <w:rPr>
                <w:rFonts w:ascii="Arial" w:cs="Arial" w:eastAsia="Arial" w:hAnsi="Arial"/>
                <w:sz w:val="18"/>
                <w:szCs w:val="18"/>
                <w:color w:val="auto"/>
              </w:rPr>
              <w:t>Issuance</w:t>
            </w:r>
          </w:p>
        </w:tc>
        <w:tc>
          <w:tcPr>
            <w:tcW w:w="140" w:type="dxa"/>
            <w:vAlign w:val="bottom"/>
          </w:tcPr>
          <w:p>
            <w:pPr>
              <w:spacing w:after="0"/>
              <w:rPr>
                <w:sz w:val="19"/>
                <w:szCs w:val="19"/>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2,167,332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812,048</w:t>
            </w:r>
          </w:p>
        </w:tc>
        <w:tc>
          <w:tcPr>
            <w:tcW w:w="0" w:type="dxa"/>
            <w:vAlign w:val="bottom"/>
          </w:tcPr>
          <w:p>
            <w:pPr>
              <w:spacing w:after="0"/>
              <w:rPr>
                <w:sz w:val="1"/>
                <w:szCs w:val="1"/>
                <w:color w:val="auto"/>
              </w:rPr>
            </w:pPr>
          </w:p>
        </w:tc>
      </w:tr>
      <w:tr>
        <w:trPr>
          <w:trHeight w:val="229"/>
        </w:trPr>
        <w:tc>
          <w:tcPr>
            <w:tcW w:w="5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 in fair value</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(1,254,218)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454,546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582,760</w:t>
            </w:r>
          </w:p>
        </w:tc>
        <w:tc>
          <w:tcPr>
            <w:tcW w:w="0" w:type="dxa"/>
            <w:vAlign w:val="bottom"/>
          </w:tcPr>
          <w:p>
            <w:pPr>
              <w:spacing w:after="0"/>
              <w:rPr>
                <w:sz w:val="1"/>
                <w:szCs w:val="1"/>
                <w:color w:val="auto"/>
              </w:rPr>
            </w:pPr>
          </w:p>
        </w:tc>
      </w:tr>
      <w:tr>
        <w:trPr>
          <w:trHeight w:val="230"/>
        </w:trPr>
        <w:tc>
          <w:tcPr>
            <w:tcW w:w="5080" w:type="dxa"/>
            <w:vAlign w:val="bottom"/>
          </w:tcPr>
          <w:p>
            <w:pPr>
              <w:ind w:left="180"/>
              <w:spacing w:after="0"/>
              <w:rPr>
                <w:sz w:val="20"/>
                <w:szCs w:val="20"/>
                <w:color w:val="auto"/>
              </w:rPr>
            </w:pPr>
            <w:r>
              <w:rPr>
                <w:rFonts w:ascii="Arial" w:cs="Arial" w:eastAsia="Arial" w:hAnsi="Arial"/>
                <w:sz w:val="18"/>
                <w:szCs w:val="18"/>
                <w:color w:val="auto"/>
              </w:rPr>
              <w:t>Settlement</w:t>
            </w:r>
          </w:p>
        </w:tc>
        <w:tc>
          <w:tcPr>
            <w:tcW w:w="140" w:type="dxa"/>
            <w:vAlign w:val="bottom"/>
          </w:tcPr>
          <w:p>
            <w:pPr>
              <w:spacing w:after="0"/>
              <w:rPr>
                <w:sz w:val="19"/>
                <w:szCs w:val="19"/>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(2,621,878)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(9,936)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50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Fair value-end of period</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140,590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1,394,808</w:t>
            </w: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DEBT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2026 Notes</w:t>
      </w:r>
    </w:p>
    <w:p>
      <w:pPr>
        <w:spacing w:after="0" w:line="225"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In December 2021, the Company issued an aggregate of $2,012.5 million principal amount of 1.25% convertible senior notes due in December 2026 (the “2026 Notes”) in a private offering to qualified institutional buyers pursuant to Rule 144A under the Securities Act of 1933, as amended, at an issuance price equal to 99.5% of the principal amount of 2026 Notes. The 2026 Notes have been designated as green bonds, whose proceeds will be allocated in accordance with the Company’s green bond framework. The 2026 Notes were issued pursuant to and are governed by an indenture dated December 14, 2021, between the Company and U.S. Bank National Association as the trustee. The proceeds from the issuance of the 2026 Notes were $1,986.6 million, net of the issuance discount and debt issuance costs.</w:t>
      </w:r>
    </w:p>
    <w:p>
      <w:pPr>
        <w:spacing w:after="0" w:line="178"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The 2026 Notes are unsecured obligations which bear regular interest at 1.25% per annum and will be payable semiannually in arrears on June 15 and December 15 of each year, beginning on June 15, 2022. The 2026 Notes will mature on December 15, 2026, unless repurchased, redeemed, or converted in accordance with their terms prior to such date. The 2026 Notes are convertible into cash, shares of our Class A common stock, or a combination of cash and shares of our Class A common stock, at the Company’s election, at an initial conversion rate of 18.2548 shares of Class A common stock per $1,000 principal amount of 2026 Notes, which is equivalent to an initial conversion price of approximately $54.78 per share of our Class A common stock. The conversion rate is subject to customary adjustments for certain dilutive events. The Company may redeem for cash all or any portion of the 2026 Notes, at the Company’s option, on or after December 20, 2024 if the last reported sale price of our Class A common stock has been at least 130% of the conversion price then in effect for at least 20 trading days at a redemption price equal to 100% of the principal amount of the 2026 Notes to be redeemed, plus accrued and unpaid interest up to the day before the redemption date. The holders may require the Company to repurchase the 2026 Notes upon the occurrence of certain fundamental change transactions at a redemption price equal to 100% of the principal amount of the 2026 Notes redeemed, plus accrued and unpaid interest up to the day before the redemption date.</w:t>
      </w:r>
    </w:p>
    <w:p>
      <w:pPr>
        <w:spacing w:after="0" w:line="182"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Holders of the 2026 Notes may convert all or a portion of their 2026 Notes at their option prior to September 15, 2026, in multiples of $1,000 principal amounts, only under the following circumstances:</w:t>
      </w:r>
    </w:p>
    <w:p>
      <w:pPr>
        <w:spacing w:after="0" w:line="116" w:lineRule="exact"/>
        <w:rPr>
          <w:sz w:val="20"/>
          <w:szCs w:val="20"/>
          <w:color w:val="auto"/>
        </w:rPr>
      </w:pPr>
    </w:p>
    <w:p>
      <w:pPr>
        <w:ind w:left="660" w:right="280" w:hanging="328"/>
        <w:spacing w:after="0" w:line="263" w:lineRule="auto"/>
        <w:tabs>
          <w:tab w:leader="none" w:pos="655" w:val="left"/>
        </w:tabs>
        <w:numPr>
          <w:ilvl w:val="0"/>
          <w:numId w:val="54"/>
        </w:numPr>
        <w:rPr>
          <w:rFonts w:ascii="Arial" w:cs="Arial" w:eastAsia="Arial" w:hAnsi="Arial"/>
          <w:sz w:val="18"/>
          <w:szCs w:val="18"/>
          <w:color w:val="auto"/>
        </w:rPr>
      </w:pPr>
      <w:r>
        <w:rPr>
          <w:rFonts w:ascii="Arial" w:cs="Arial" w:eastAsia="Arial" w:hAnsi="Arial"/>
          <w:sz w:val="18"/>
          <w:szCs w:val="18"/>
          <w:color w:val="auto"/>
        </w:rPr>
        <w:t>during any calendar quarter commencing after the quarter ending on March 31, 2022 (and only during such calendar quarter), if the Company’s common stock price exceeds 130% of the conversion price for at least 20 trading days during the 30 consecutive trading days at the end of the prior calendar quarter;</w:t>
      </w:r>
    </w:p>
    <w:p>
      <w:pPr>
        <w:sectPr>
          <w:pgSz w:w="11900" w:h="16838" w:orient="portrait"/>
          <w:cols w:equalWidth="0" w:num="1">
            <w:col w:w="11240"/>
          </w:cols>
          <w:pgMar w:left="320" w:top="773" w:right="339" w:bottom="1440" w:gutter="0" w:footer="0" w:header="0"/>
        </w:sect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93980</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type w:val="continuous"/>
        </w:sectPr>
      </w:pPr>
    </w:p>
    <w:bookmarkStart w:id="109" w:name="page110"/>
    <w:bookmarkEnd w:id="109"/>
    <w:p>
      <w:pPr>
        <w:ind w:left="660" w:right="100" w:hanging="328"/>
        <w:spacing w:after="0" w:line="263" w:lineRule="auto"/>
        <w:tabs>
          <w:tab w:leader="none" w:pos="655" w:val="left"/>
        </w:tabs>
        <w:numPr>
          <w:ilvl w:val="0"/>
          <w:numId w:val="55"/>
        </w:numPr>
        <w:rPr>
          <w:rFonts w:ascii="Arial" w:cs="Arial" w:eastAsia="Arial" w:hAnsi="Arial"/>
          <w:sz w:val="18"/>
          <w:szCs w:val="18"/>
          <w:color w:val="auto"/>
        </w:rPr>
      </w:pPr>
      <w:r>
        <w:rPr>
          <w:rFonts w:ascii="Arial" w:cs="Arial" w:eastAsia="Arial" w:hAnsi="Arial"/>
          <w:sz w:val="18"/>
          <w:szCs w:val="18"/>
          <w:color w:val="auto"/>
        </w:rPr>
        <w:t>during the five consecutive business days immediately after any 10 consecutive trading day period in which the trading price per $1,000 principal amount of notes for each trading day of the measurement period was less than 98% of the product of the last reported sale price per share of our common stock on such trading day and the conversion rate on such trading day;</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upon the occurrence of specified corporate events; or</w:t>
      </w:r>
    </w:p>
    <w:p>
      <w:pPr>
        <w:spacing w:after="0" w:line="171" w:lineRule="exact"/>
        <w:rPr>
          <w:rFonts w:ascii="Arial" w:cs="Arial" w:eastAsia="Arial" w:hAnsi="Arial"/>
          <w:sz w:val="18"/>
          <w:szCs w:val="18"/>
          <w:color w:val="auto"/>
        </w:rPr>
      </w:pPr>
    </w:p>
    <w:p>
      <w:pPr>
        <w:ind w:left="660" w:right="320" w:hanging="328"/>
        <w:spacing w:after="0" w:line="277" w:lineRule="auto"/>
        <w:tabs>
          <w:tab w:leader="none" w:pos="655" w:val="left"/>
        </w:tabs>
        <w:numPr>
          <w:ilvl w:val="0"/>
          <w:numId w:val="55"/>
        </w:numPr>
        <w:rPr>
          <w:rFonts w:ascii="Arial" w:cs="Arial" w:eastAsia="Arial" w:hAnsi="Arial"/>
          <w:sz w:val="18"/>
          <w:szCs w:val="18"/>
          <w:color w:val="auto"/>
        </w:rPr>
      </w:pPr>
      <w:r>
        <w:rPr>
          <w:rFonts w:ascii="Arial" w:cs="Arial" w:eastAsia="Arial" w:hAnsi="Arial"/>
          <w:sz w:val="18"/>
          <w:szCs w:val="18"/>
          <w:color w:val="auto"/>
        </w:rPr>
        <w:t>if the Company calls any or all 2026 Notes for redemption, at any time prior to the close of business on the scheduled trading day immediately preceding the redemption date, but only with respect to the notes called for redemption.</w:t>
      </w:r>
    </w:p>
    <w:p>
      <w:pPr>
        <w:spacing w:after="0" w:line="170" w:lineRule="exact"/>
        <w:rPr>
          <w:sz w:val="20"/>
          <w:szCs w:val="20"/>
          <w:color w:val="auto"/>
        </w:rPr>
      </w:pPr>
    </w:p>
    <w:p>
      <w:pPr>
        <w:jc w:val="both"/>
        <w:ind w:right="240"/>
        <w:spacing w:after="0" w:line="311" w:lineRule="auto"/>
        <w:rPr>
          <w:sz w:val="20"/>
          <w:szCs w:val="20"/>
          <w:color w:val="auto"/>
        </w:rPr>
      </w:pPr>
      <w:r>
        <w:rPr>
          <w:rFonts w:ascii="Arial" w:cs="Arial" w:eastAsia="Arial" w:hAnsi="Arial"/>
          <w:sz w:val="16"/>
          <w:szCs w:val="16"/>
          <w:color w:val="auto"/>
        </w:rPr>
        <w:t>On or after September 15, 2026, the 2026 Notes are convertible at any time until the close of business on the second scheduled trading day immediately preceding the maturity date. Holders of the 2026 Notes who convert the 2026 Notes in connection with a make-whole fundamental change, as defined in the indenture governing the 2026 Notes, or in connection with a redemption may be entitled to an increase in the conversion rate.</w:t>
      </w:r>
    </w:p>
    <w:p>
      <w:pPr>
        <w:spacing w:after="0" w:line="149" w:lineRule="exact"/>
        <w:rPr>
          <w:sz w:val="20"/>
          <w:szCs w:val="20"/>
          <w:color w:val="auto"/>
        </w:rPr>
      </w:pPr>
    </w:p>
    <w:p>
      <w:pPr>
        <w:ind w:right="480"/>
        <w:spacing w:after="0" w:line="342" w:lineRule="auto"/>
        <w:rPr>
          <w:sz w:val="20"/>
          <w:szCs w:val="20"/>
          <w:color w:val="auto"/>
        </w:rPr>
      </w:pPr>
      <w:r>
        <w:rPr>
          <w:rFonts w:ascii="Arial" w:cs="Arial" w:eastAsia="Arial" w:hAnsi="Arial"/>
          <w:sz w:val="16"/>
          <w:szCs w:val="16"/>
          <w:color w:val="auto"/>
        </w:rPr>
        <w:t>The Company accounted for the issuance of the 2026 Notes as a single liability measured at its amortized cost, as no other embedded features require bifurcation and recognition as derivatives. The following is a summary of the 2026 Notes as of December 31, 2022 and 2021 (in millions):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 2022</w:t>
            </w:r>
          </w:p>
        </w:tc>
        <w:tc>
          <w:tcPr>
            <w:tcW w:w="140" w:type="dxa"/>
            <w:vAlign w:val="bottom"/>
          </w:tcPr>
          <w:p>
            <w:pPr>
              <w:spacing w:after="0"/>
              <w:rPr>
                <w:sz w:val="16"/>
                <w:szCs w:val="16"/>
                <w:color w:val="auto"/>
              </w:rPr>
            </w:pPr>
          </w:p>
        </w:tc>
        <w:tc>
          <w:tcPr>
            <w:tcW w:w="1340" w:type="dxa"/>
            <w:vAlign w:val="bottom"/>
          </w:tcPr>
          <w:p>
            <w:pPr>
              <w:jc w:val="right"/>
              <w:ind w:right="74"/>
              <w:spacing w:after="0"/>
              <w:rPr>
                <w:sz w:val="20"/>
                <w:szCs w:val="20"/>
                <w:color w:val="auto"/>
              </w:rPr>
            </w:pPr>
            <w:r>
              <w:rPr>
                <w:rFonts w:ascii="Arial" w:cs="Arial" w:eastAsia="Arial" w:hAnsi="Arial"/>
                <w:sz w:val="14"/>
                <w:szCs w:val="14"/>
                <w:b w:val="1"/>
                <w:bCs w:val="1"/>
                <w:color w:val="auto"/>
                <w:w w:val="91"/>
              </w:rPr>
              <w:t>December 31, 2021</w:t>
            </w:r>
          </w:p>
        </w:tc>
      </w:tr>
      <w:tr>
        <w:trPr>
          <w:trHeight w:val="26"/>
        </w:trPr>
        <w:tc>
          <w:tcPr>
            <w:tcW w:w="8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23"/>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Principal Amount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2,012.5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2,012.5</w:t>
            </w:r>
          </w:p>
        </w:tc>
      </w:tr>
      <w:tr>
        <w:trPr>
          <w:trHeight w:val="229"/>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Unamortized Debt Discounts and Issuance Costs</w:t>
            </w: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w:t>
            </w:r>
          </w:p>
        </w:tc>
      </w:tr>
      <w:tr>
        <w:trPr>
          <w:trHeight w:val="248"/>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Carrying Amount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1,991.8</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1,986.8</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30"/>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(Level 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1,041.5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1,984.6</w:t>
            </w:r>
          </w:p>
        </w:tc>
      </w:tr>
    </w:tbl>
    <w:p>
      <w:pPr>
        <w:spacing w:after="0" w:line="296" w:lineRule="exact"/>
        <w:rPr>
          <w:sz w:val="20"/>
          <w:szCs w:val="20"/>
          <w:color w:val="auto"/>
        </w:rPr>
      </w:pPr>
    </w:p>
    <w:p>
      <w:pPr>
        <w:spacing w:after="0"/>
        <w:rPr>
          <w:sz w:val="20"/>
          <w:szCs w:val="20"/>
          <w:color w:val="auto"/>
        </w:rPr>
      </w:pPr>
      <w:r>
        <w:rPr>
          <w:rFonts w:ascii="Arial" w:cs="Arial" w:eastAsia="Arial" w:hAnsi="Arial"/>
          <w:sz w:val="16"/>
          <w:szCs w:val="16"/>
          <w:color w:val="auto"/>
        </w:rPr>
        <w:t>The effective interest rate for the convertible note is 1.5%. The components of interest expense related to the 2026 Notes were as follows (in millions):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20" w:type="dxa"/>
            <w:vAlign w:val="bottom"/>
          </w:tcPr>
          <w:p>
            <w:pPr>
              <w:spacing w:after="0"/>
              <w:rPr>
                <w:sz w:val="16"/>
                <w:szCs w:val="16"/>
                <w:color w:val="auto"/>
              </w:rPr>
            </w:pPr>
          </w:p>
        </w:tc>
        <w:tc>
          <w:tcPr>
            <w:tcW w:w="2580" w:type="dxa"/>
            <w:vAlign w:val="bottom"/>
            <w:gridSpan w:val="4"/>
          </w:tcPr>
          <w:p>
            <w:pPr>
              <w:jc w:val="right"/>
              <w:ind w:right="196"/>
              <w:spacing w:after="0"/>
              <w:rPr>
                <w:sz w:val="20"/>
                <w:szCs w:val="20"/>
                <w:color w:val="auto"/>
              </w:rPr>
            </w:pPr>
            <w:r>
              <w:rPr>
                <w:rFonts w:ascii="Arial" w:cs="Arial" w:eastAsia="Arial" w:hAnsi="Arial"/>
                <w:sz w:val="14"/>
                <w:szCs w:val="14"/>
                <w:b w:val="1"/>
                <w:bCs w:val="1"/>
                <w:color w:val="auto"/>
              </w:rPr>
              <w:t>Year Ended December 31,</w:t>
            </w:r>
          </w:p>
        </w:tc>
        <w:tc>
          <w:tcPr>
            <w:tcW w:w="440" w:type="dxa"/>
            <w:vAlign w:val="bottom"/>
          </w:tcPr>
          <w:p>
            <w:pPr>
              <w:spacing w:after="0"/>
              <w:rPr>
                <w:sz w:val="16"/>
                <w:szCs w:val="16"/>
                <w:color w:val="auto"/>
              </w:rPr>
            </w:pPr>
          </w:p>
        </w:tc>
      </w:tr>
      <w:tr>
        <w:trPr>
          <w:trHeight w:val="25"/>
        </w:trPr>
        <w:tc>
          <w:tcPr>
            <w:tcW w:w="82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190"/>
        </w:trPr>
        <w:tc>
          <w:tcPr>
            <w:tcW w:w="822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2022</w:t>
            </w:r>
          </w:p>
        </w:tc>
        <w:tc>
          <w:tcPr>
            <w:tcW w:w="48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bottom w:val="single" w:sz="8" w:color="auto"/>
            </w:tcBorders>
          </w:tcPr>
          <w:p>
            <w:pPr>
              <w:spacing w:after="0"/>
              <w:rPr>
                <w:sz w:val="16"/>
                <w:szCs w:val="16"/>
                <w:color w:val="auto"/>
              </w:rPr>
            </w:pPr>
          </w:p>
        </w:tc>
      </w:tr>
      <w:tr>
        <w:trPr>
          <w:trHeight w:val="230"/>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Contractual interest</w:t>
            </w:r>
          </w:p>
        </w:tc>
        <w:tc>
          <w:tcPr>
            <w:tcW w:w="980" w:type="dxa"/>
            <w:vAlign w:val="bottom"/>
            <w:shd w:val="clear" w:color="auto" w:fill="CCEEFF"/>
          </w:tcPr>
          <w:p>
            <w:pPr>
              <w:jc w:val="right"/>
              <w:ind w:right="799"/>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36"/>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30"/>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Amortization of debt discounts and debt issuance costs</w:t>
            </w:r>
          </w:p>
        </w:tc>
        <w:tc>
          <w:tcPr>
            <w:tcW w:w="9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8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r>
      <w:tr>
        <w:trPr>
          <w:trHeight w:val="248"/>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980" w:type="dxa"/>
            <w:vAlign w:val="bottom"/>
            <w:tcBorders>
              <w:bottom w:val="single" w:sz="8" w:color="auto"/>
            </w:tcBorders>
            <w:shd w:val="clear" w:color="auto" w:fill="CCEEFF"/>
          </w:tcPr>
          <w:p>
            <w:pPr>
              <w:jc w:val="right"/>
              <w:ind w:right="799"/>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836"/>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2026 Notes were not eligible for conversion as of December 31, 2022 and 2021. No sinking fund is provided for the 2026 Notes, which means that the Company is not required to redeem or retire them periodically. As of December 31, 2022, the Company was in compliance with applicable covenants under the indenture governing the 2026 Notes.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SIDF Loan Agreement</w:t>
      </w:r>
    </w:p>
    <w:p>
      <w:pPr>
        <w:spacing w:after="0" w:line="225" w:lineRule="exact"/>
        <w:rPr>
          <w:sz w:val="20"/>
          <w:szCs w:val="20"/>
          <w:color w:val="auto"/>
        </w:rPr>
      </w:pPr>
    </w:p>
    <w:p>
      <w:pPr>
        <w:jc w:val="both"/>
        <w:ind w:right="20"/>
        <w:spacing w:after="0" w:line="285" w:lineRule="auto"/>
        <w:rPr>
          <w:sz w:val="20"/>
          <w:szCs w:val="20"/>
          <w:color w:val="auto"/>
        </w:rPr>
      </w:pPr>
      <w:r>
        <w:rPr>
          <w:rFonts w:ascii="Arial" w:cs="Arial" w:eastAsia="Arial" w:hAnsi="Arial"/>
          <w:sz w:val="16"/>
          <w:szCs w:val="16"/>
          <w:color w:val="auto"/>
        </w:rPr>
        <w:t>On February 27, 2022, Lucid, LLC, a limited liability company established in Saudi Arabia and a subsidiary of the Company (“Lucid LLC”) entered into a loan agreement (as subsequently amended, the “SIDF Loan Agreement”) with SIDF, a related party of Public Investment Fund (“PIF”), which is an affiliate of Ayar. Under the SIDF Loan Agreement, SIDF has committed to provide loans (the “SIDF Loans”) to Lucid LLC in an aggregate principal amount of up to SAR 5.19 billion (approximately $1.4 billion); provided that SIDF may reduce the availability of SIDF Loans under the facility in certain circumstances. SIDF Loans will be subject to repayment in semi-annual installments in amounts ranging from SAR 25 million (approximately $6.7 million) to SAR</w:t>
      </w:r>
    </w:p>
    <w:p>
      <w:pPr>
        <w:spacing w:after="0" w:line="2" w:lineRule="exact"/>
        <w:rPr>
          <w:sz w:val="20"/>
          <w:szCs w:val="20"/>
          <w:color w:val="auto"/>
        </w:rPr>
      </w:pPr>
    </w:p>
    <w:p>
      <w:pPr>
        <w:ind w:right="20"/>
        <w:spacing w:after="0" w:line="277" w:lineRule="auto"/>
        <w:rPr>
          <w:sz w:val="20"/>
          <w:szCs w:val="20"/>
          <w:color w:val="auto"/>
        </w:rPr>
      </w:pPr>
      <w:r>
        <w:rPr>
          <w:rFonts w:ascii="Arial" w:cs="Arial" w:eastAsia="Arial" w:hAnsi="Arial"/>
          <w:sz w:val="17"/>
          <w:szCs w:val="17"/>
          <w:color w:val="auto"/>
        </w:rPr>
        <w:t>350 million (approximately $93.1 million), commencing on April 3, 2026 and ending on November 12, 2038. SIDF Loans are financing and will be used to finance certain costs in connection with the development and construction of AMP-2. Lucid LLC may repay SIDF Loans earlier than the maturity date without penalty. Obligations under the SIDF Loan Agreement do not extend to the Company or any of its other subsidiaries.</w:t>
      </w:r>
    </w:p>
    <w:p>
      <w:pPr>
        <w:spacing w:after="0" w:line="173" w:lineRule="exact"/>
        <w:rPr>
          <w:sz w:val="20"/>
          <w:szCs w:val="20"/>
          <w:color w:val="auto"/>
        </w:rPr>
      </w:pPr>
    </w:p>
    <w:p>
      <w:pPr>
        <w:jc w:val="both"/>
        <w:ind w:right="380"/>
        <w:spacing w:after="0" w:line="286" w:lineRule="auto"/>
        <w:rPr>
          <w:sz w:val="20"/>
          <w:szCs w:val="20"/>
          <w:color w:val="auto"/>
        </w:rPr>
      </w:pPr>
      <w:r>
        <w:rPr>
          <w:rFonts w:ascii="Arial" w:cs="Arial" w:eastAsia="Arial" w:hAnsi="Arial"/>
          <w:sz w:val="17"/>
          <w:szCs w:val="17"/>
          <w:color w:val="auto"/>
        </w:rPr>
        <w:t xml:space="preserve">SIDF Loans will not bear interest. Instead, Lucid LLC will be required to pay SIDF service fees, consisting of follow-up and technical evaluation fees, ranging, in aggregate, from SAR 415 million (approximately $110.4 million) to SAR 1.77 billion (approximately $471.0 million), over the term of the SIDF Loans. SIDF Loans will be secured by security interests in the </w:t>
      </w:r>
      <w:r>
        <w:rPr>
          <w:rFonts w:ascii="Arial" w:cs="Arial" w:eastAsia="Arial" w:hAnsi="Arial"/>
          <w:sz w:val="17"/>
          <w:szCs w:val="17"/>
          <w:color w:val="242424"/>
        </w:rPr>
        <w:t>equipment, machines and assets funded thereby.</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110" w:name="page111"/>
    <w:bookmarkEnd w:id="110"/>
    <w:p>
      <w:pPr>
        <w:jc w:val="both"/>
        <w:ind w:right="60"/>
        <w:spacing w:after="0" w:line="279" w:lineRule="auto"/>
        <w:rPr>
          <w:sz w:val="20"/>
          <w:szCs w:val="20"/>
          <w:color w:val="auto"/>
        </w:rPr>
      </w:pPr>
      <w:r>
        <w:rPr>
          <w:rFonts w:ascii="Arial" w:cs="Arial" w:eastAsia="Arial" w:hAnsi="Arial"/>
          <w:sz w:val="17"/>
          <w:szCs w:val="17"/>
          <w:color w:val="auto"/>
        </w:rPr>
        <w:t xml:space="preserve">The SIDF Loan Agreement contains certain restrictive financial covenants and imposes annual caps on Lucid LLC’s payment of dividends, distributions of paid-in capital or certain capital expenditures. The SIDF Loan Agreement also defines customary events of default, including abandonment of or failure to commence operations at the plant in the King Abdullah Economic City (“KAEC”), and drawdowns under the SIDF Loan Agreement are subject to certain conditions precedent. </w:t>
      </w:r>
      <w:r>
        <w:rPr>
          <w:rFonts w:ascii="Arial" w:cs="Arial" w:eastAsia="Arial" w:hAnsi="Arial"/>
          <w:sz w:val="17"/>
          <w:szCs w:val="17"/>
          <w:color w:val="242424"/>
        </w:rPr>
        <w:t>As of</w:t>
      </w:r>
      <w:r>
        <w:rPr>
          <w:rFonts w:ascii="Arial" w:cs="Arial" w:eastAsia="Arial" w:hAnsi="Arial"/>
          <w:sz w:val="17"/>
          <w:szCs w:val="17"/>
          <w:color w:val="auto"/>
        </w:rPr>
        <w:t xml:space="preserve"> December 31, 2022, no amount </w:t>
      </w:r>
      <w:r>
        <w:rPr>
          <w:rFonts w:ascii="Arial" w:cs="Arial" w:eastAsia="Arial" w:hAnsi="Arial"/>
          <w:sz w:val="17"/>
          <w:szCs w:val="17"/>
          <w:color w:val="242424"/>
        </w:rPr>
        <w:t>was outstanding under the SIDF Loan Agreement.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42424"/>
        </w:rPr>
        <w:t>GIB Facility Agreement</w:t>
      </w:r>
    </w:p>
    <w:p>
      <w:pPr>
        <w:spacing w:after="0" w:line="225"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On April 29, 2022, Lucid LLC entered into a revolving credit facility agreement (the “GIB Facility Agreement”) with GIB, maturing on February 28, 2025. GIB is a related party of PIF, which is an affiliate of Ayar. The GIB Facility Agreement provides for two committed revolving credit facilities in an aggregate principal amount of SAR 1 billion (approximately $266.1 million). SAR 650 million (approximately $173.0 million) under the GIB Facility Agreement is available as bridge financing (the “Bridge Facility”) of Lucid LLC’s capital expenditures in connection with AMP-2. The remaining SAR</w:t>
      </w:r>
    </w:p>
    <w:p>
      <w:pPr>
        <w:spacing w:after="0" w:line="2" w:lineRule="exact"/>
        <w:rPr>
          <w:sz w:val="20"/>
          <w:szCs w:val="20"/>
          <w:color w:val="auto"/>
        </w:rPr>
      </w:pPr>
    </w:p>
    <w:p>
      <w:pPr>
        <w:ind w:right="60"/>
        <w:spacing w:after="0" w:line="267" w:lineRule="auto"/>
        <w:rPr>
          <w:sz w:val="20"/>
          <w:szCs w:val="20"/>
          <w:color w:val="auto"/>
        </w:rPr>
      </w:pPr>
      <w:r>
        <w:rPr>
          <w:rFonts w:ascii="Arial" w:cs="Arial" w:eastAsia="Arial" w:hAnsi="Arial"/>
          <w:sz w:val="17"/>
          <w:szCs w:val="17"/>
          <w:color w:val="auto"/>
        </w:rPr>
        <w:t>350 million (approximately $93.1 million) may be used for general corporate purposes (the “Working Capital Facility”). Loans under the Bridge Facility and the Working Capital Facility will have a maturity of no more than 12 months. The Bridge Facility will bear interest at a rate of 1.25% per annum over 3-month SAIBOR and the Working Capital Facility will bear interest at a rate of 1.70% per annum over 1~3-month SAIBOR and associated fees. The Company is required to pay a quarterly commitment fee of 0.15% per annum based on the unutilized portion of the GIB Credit Facility. Commitments under the GIB Facility Agreement will terminate, and all amounts then outstanding thereunder will become payable, on the maturity date of the GIB Facility Agreement. The GIB Facility Agreement contains certain conditions precedent to drawdowns, representations and warranties and covenants of Lucid LLC and events of default. As of December 31, 2022</w:t>
      </w:r>
      <w:r>
        <w:rPr>
          <w:rFonts w:ascii="Arial" w:cs="Arial" w:eastAsia="Arial" w:hAnsi="Arial"/>
          <w:sz w:val="17"/>
          <w:szCs w:val="17"/>
          <w:color w:val="242424"/>
        </w:rPr>
        <w:t>, the Company had outstanding borrowings of</w:t>
      </w:r>
      <w:r>
        <w:rPr>
          <w:rFonts w:ascii="Arial" w:cs="Arial" w:eastAsia="Arial" w:hAnsi="Arial"/>
          <w:sz w:val="17"/>
          <w:szCs w:val="17"/>
          <w:color w:val="auto"/>
        </w:rPr>
        <w:t xml:space="preserve"> SAR 36 million (approximately $9.6 million) with interest rate of 6.40% from the Working Capital Facility, which was recorded within Other current liabilities on the consolidated balance sheets. As of December 31, 2022, available borrowings are SAR 650 million (approximately $173.0 million) and SAR 314 million (approximately $83.5 million) under the Bridge Facility and Working Capital Facility, respectively. As of December 31, 2022, the Company was in compliance with applicable covenants under the GIB Facility Agreement.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ABL Credit Facility</w:t>
      </w:r>
    </w:p>
    <w:p>
      <w:pPr>
        <w:spacing w:after="0" w:line="212" w:lineRule="exact"/>
        <w:rPr>
          <w:sz w:val="20"/>
          <w:szCs w:val="20"/>
          <w:color w:val="auto"/>
        </w:rPr>
      </w:pPr>
    </w:p>
    <w:p>
      <w:pPr>
        <w:spacing w:after="0" w:line="251" w:lineRule="auto"/>
        <w:rPr>
          <w:sz w:val="20"/>
          <w:szCs w:val="20"/>
          <w:color w:val="auto"/>
        </w:rPr>
      </w:pPr>
      <w:r>
        <w:rPr>
          <w:rFonts w:ascii="Arial" w:cs="Arial" w:eastAsia="Arial" w:hAnsi="Arial"/>
          <w:sz w:val="17"/>
          <w:szCs w:val="17"/>
          <w:color w:val="auto"/>
        </w:rPr>
        <w:t>In June 2022, the Company entered into a new five-year senior secured asset-based revolving credit facility (“ABL Credit Facility”) with a syndicate of banks that may be used for working capital and general corporate purposes. The ABL Credit Facility provides for an initial aggregate principal commitment amount of up to $1.0 billion (including a $350.0 million letter of credit subfacility and a $100.0 million swingline loan subfacility) and has a stated maturity date of June 9, 2027. Borrowings under the ABL Credit Facility bear interest at the applicable interest rates specified in the credit agreement governing the ABL Credit Facility. Availability under the ABL Credit Facility is subject to the value of eligible assets in the borrowing base and is reduced by outstanding loan borrowings and issuances of letters of credit which bear customary letter of credit fees. Subject to certain terms and conditions, the Company may request one or more increases in the amount of credit commitments under the ABL Credit Facility in an aggregate amount up to the sum of $500.0 million plus certain other amounts. The Company is required to pay a quarterly commitment fee of 0.25% per annum based on the unutilized portion of the ABL Credit Facility.</w:t>
      </w:r>
    </w:p>
    <w:p>
      <w:pPr>
        <w:spacing w:after="0" w:line="199"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The ABL Credit Facility contains customary covenants that limit the ability of the Company and its restricted subsidiaries to, among other activities, pay dividends, incur debt, create liens and encumbrances, redeem or repurchase stock, dispose of certain assets, consummate acquisitions or other investments, prepay certain debt, engage in transactions with affiliates, engage in sale and leaseback transactions or consummate mergers and other fundamental changes. The ABL Credit Facility also includes a minimum liquidity covenant which, at the Company’s option following satisfaction of certain pre-conditions, may be replaced with a springing, minimum fixed charge coverage ratio (“FCCR”) financial covenant, in each case on terms set forth in the credit agreement governing the ABL Credit Facility. As of December 31, 2022, the Company was in compliance with applicable covenants under the ABL Credit Facility.</w:t>
      </w:r>
    </w:p>
    <w:p>
      <w:pPr>
        <w:spacing w:after="0" w:line="195" w:lineRule="exact"/>
        <w:rPr>
          <w:sz w:val="20"/>
          <w:szCs w:val="20"/>
          <w:color w:val="auto"/>
        </w:rPr>
      </w:pPr>
    </w:p>
    <w:p>
      <w:pPr>
        <w:ind w:right="220"/>
        <w:spacing w:after="0" w:line="296" w:lineRule="auto"/>
        <w:rPr>
          <w:sz w:val="20"/>
          <w:szCs w:val="20"/>
          <w:color w:val="auto"/>
        </w:rPr>
      </w:pPr>
      <w:r>
        <w:rPr>
          <w:rFonts w:ascii="Arial" w:cs="Arial" w:eastAsia="Arial" w:hAnsi="Arial"/>
          <w:sz w:val="16"/>
          <w:szCs w:val="16"/>
          <w:color w:val="auto"/>
        </w:rPr>
        <w:t>As of December 31, 2022, the Company had no outstanding borrowings and $37.4 million outstanding letters of credit under the ABL Credit Facility. Availability under the ABL Credit Facility was $441.4 million (including $37.3 million cash and cash equivalents) as of December 31, 2022, after giving effect to the borrowing base and the outstanding letters of credit. The Company incurred issuance costs of $6.3 million to obtain the ABL Credit Facility, which was capitalized within Other noncurrent assets on consolidated balance sheets and amortized over the facility term using the straight-line method. During the year ended December 31, 2022, amortization of the deferred issuance costs and commitment fee were $2.1 million.</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111" w:name="page112"/>
    <w:bookmarkEnd w:id="111"/>
    <w:p>
      <w:pPr>
        <w:spacing w:after="0"/>
        <w:rPr>
          <w:sz w:val="20"/>
          <w:szCs w:val="20"/>
          <w:color w:val="auto"/>
        </w:rPr>
      </w:pPr>
      <w:r>
        <w:rPr>
          <w:rFonts w:ascii="Arial" w:cs="Arial" w:eastAsia="Arial" w:hAnsi="Arial"/>
          <w:sz w:val="18"/>
          <w:szCs w:val="18"/>
          <w:b w:val="1"/>
          <w:bCs w:val="1"/>
          <w:color w:val="auto"/>
        </w:rPr>
        <w:t>NOTE 7 - CONTINGENT FORWARD CONTRACTS</w:t>
      </w:r>
    </w:p>
    <w:p>
      <w:pPr>
        <w:spacing w:after="0" w:line="229"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In September 2018, the Company granted PIF the right to purchase the Company’s Series D convertible preferred stock in future periods. The Company determined PIF’s right to participate in future Series D convertible preferred stock financing to be freestanding similar to a derivative liability in the form of contingent forward contracts.</w:t>
      </w:r>
    </w:p>
    <w:p>
      <w:pPr>
        <w:spacing w:after="0" w:line="184" w:lineRule="exact"/>
        <w:rPr>
          <w:sz w:val="20"/>
          <w:szCs w:val="20"/>
          <w:color w:val="auto"/>
        </w:rPr>
      </w:pPr>
    </w:p>
    <w:p>
      <w:pPr>
        <w:ind w:right="160"/>
        <w:spacing w:after="0" w:line="271" w:lineRule="auto"/>
        <w:rPr>
          <w:sz w:val="20"/>
          <w:szCs w:val="20"/>
          <w:color w:val="auto"/>
        </w:rPr>
      </w:pPr>
      <w:r>
        <w:rPr>
          <w:rFonts w:ascii="Arial" w:cs="Arial" w:eastAsia="Arial" w:hAnsi="Arial"/>
          <w:sz w:val="17"/>
          <w:szCs w:val="17"/>
          <w:color w:val="auto"/>
        </w:rPr>
        <w:t>In March 2020, the Company received $200.0 million in exchange for 82,496,092 shares of Series D convertible preferred shares as partial settlement of the Series D contingent forward contract liability and revalued the contingent forward contract liability to the then fair value of $36.4 million and reclassified $18.2 million of the contingent forward contract liability into Series D convertible preferred stock. In June 2020, the Company received the remaining $200.0 million in exchange for 82,496,121 shares of Series D convertible preferred stock as final settlement of the Series D contingent forward contract liability and revalued the contingent forward contracts liability to the then fair value of $39.6 million and reclassified the liability into Series D convertible preferred stock. The Series D contingent forward contract liability incurred a total fair value loss of $8.7 million during the year ended December 31, 2020. Since the Series D contingent forward contract liability was fully settled in June 2020, there was no related outstanding contingent forward contract liability as of December 31, 2020.</w:t>
      </w:r>
    </w:p>
    <w:p>
      <w:pPr>
        <w:spacing w:after="0" w:line="17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September 2020, the Company granted Ayar the right to purchase the Company’s Series E convertible preferred stock upon the Company’s satisfaction of certain milestones in November 2020. The Company determined Ayar’s right to participate in future Series E convertible preferred stock financing to be freestanding similar to a derivative liability in the form of contingent forward contracts and recorded the initial valuation of $0.8 million into contingent forward contract liabilities.</w:t>
      </w:r>
    </w:p>
    <w:p>
      <w:pPr>
        <w:spacing w:after="0" w:line="187"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In December 2020, Ayar waived the Company’s remaining outstanding obligations, and the Company received $400.0 million for the issuance of Series E convertible preferred stock. Upon settlement, the Company revalued the Series E contingent forward contracts to the then fair value of $110.5 million and reclassified the contingent forward contract liability into Series E convertible preferred stock. The Company recorded a loss of $109.7 million related to fair value remeasurements of the Series E contingent forward contracts during the year ended December 31, 2020.</w:t>
      </w:r>
    </w:p>
    <w:p>
      <w:pPr>
        <w:spacing w:after="0" w:line="17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February 2021, the Company and Ayar entered into Amendment No. 1 to the original Series E Preferred Stock Purchase Agreement (“Amendment No. 1”). Under the Amendment No. 1, Ayar and the Company agreed to enter into the third closing of additional 133,818,821 Series E convertible preferred stock at $2.99 per share, aggregating to $400.0 million. Upon the signing of the Amendment No. 1, the Company received the issuance proceeds of $400.0 million from Ayar in February 2021.</w:t>
      </w:r>
    </w:p>
    <w:p>
      <w:pPr>
        <w:spacing w:after="0" w:line="187"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Amendment No. 1 also allowed the Company to provide an opportunity to all current convertible preferred stockholders other than Ayar (“Eligible Holders”) to enter into the fourth closing to purchase up to 23,737,221 shares of Series E convertible preferred stock on a pro rata basis at $2.99 per share, aggregating to $71.0 million. In addition, the amendment allowed the Company to offer for purchase at the fourth closing at $2.99 per share, a number of Series E Preferred Stock to senior management employees, directors, consultants, advisors and/or contractors of the Company (“Additional Purchasers”) and Ayar. Refer to Note 10 “Convertible Preferred Stock”.</w:t>
      </w:r>
    </w:p>
    <w:p>
      <w:pPr>
        <w:spacing w:after="0" w:line="188" w:lineRule="exact"/>
        <w:rPr>
          <w:sz w:val="20"/>
          <w:szCs w:val="20"/>
          <w:color w:val="auto"/>
        </w:rPr>
      </w:pPr>
    </w:p>
    <w:p>
      <w:pPr>
        <w:jc w:val="both"/>
        <w:ind w:right="300"/>
        <w:spacing w:after="0" w:line="263" w:lineRule="auto"/>
        <w:rPr>
          <w:sz w:val="20"/>
          <w:szCs w:val="20"/>
          <w:color w:val="auto"/>
        </w:rPr>
      </w:pPr>
      <w:r>
        <w:rPr>
          <w:rFonts w:ascii="Arial" w:cs="Arial" w:eastAsia="Arial" w:hAnsi="Arial"/>
          <w:sz w:val="18"/>
          <w:szCs w:val="18"/>
          <w:color w:val="auto"/>
        </w:rPr>
        <w:t>In April 2021, the Company issued 66,909,408 Series E convertible preferred stock from the fourth closing at $2.99 per share for cash consideration of $200.0 million. The Company received $107.1 million of the total issuance proceeds in March 2021 and the remaining $92.9 million in April 2021. See Note 10 “Convertible Preferred Stock” for more information.</w:t>
      </w:r>
    </w:p>
    <w:p>
      <w:pPr>
        <w:spacing w:after="0" w:line="18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Company determined the right to participate in future Series E convertible preferred share financing to be a freestanding financial instrument similar to a derivative liability in the form of contingent forward contracts and recorded the initial valuation of $1,444.9 million and $722.4 million for the third closing and fourth closing, respectively, as contingent forward contract liabilities. Since the contingent forward contract liability related to the third closing was fully settled in the same month following the execution of the amendment, the Company recorded no related fair value remeasurements in the consolidated statements of operations and comprehensive loss.</w:t>
      </w:r>
    </w:p>
    <w:p>
      <w:pPr>
        <w:spacing w:after="0" w:line="201" w:lineRule="exact"/>
        <w:rPr>
          <w:sz w:val="20"/>
          <w:szCs w:val="20"/>
          <w:color w:val="auto"/>
        </w:rPr>
      </w:pPr>
    </w:p>
    <w:p>
      <w:pPr>
        <w:ind w:right="80"/>
        <w:spacing w:after="0" w:line="251" w:lineRule="auto"/>
        <w:rPr>
          <w:sz w:val="20"/>
          <w:szCs w:val="20"/>
          <w:color w:val="auto"/>
        </w:rPr>
      </w:pPr>
      <w:r>
        <w:rPr>
          <w:rFonts w:ascii="Arial" w:cs="Arial" w:eastAsia="Arial" w:hAnsi="Arial"/>
          <w:sz w:val="17"/>
          <w:szCs w:val="17"/>
          <w:color w:val="auto"/>
        </w:rPr>
        <w:t>The Company issued Offer Notices to certain of the Company’s management and members of the Board of Directors in March 2021 and April 2021. The Series E convertible preferred stock issued from the fourth closing included 3,034,194 shares to the Company’s management and 1,658,705 shares to members of the Board of Directors. The total issuance to the Company’s management included 535,275 shares offered to the CEO in April 2021. The offer to employees in the fourth closing to participate in future Series E convertible preferred stock financing represents a fully vested, equity classified award. The Company recorded the award’s full fair value on each recipient’s grant date as stock-based compensation, and derecognized the related contingent forward contract liability. The Company revalued the contingent forward contract liability for the remaining participants and recorded $454.5 million fair value remeasurement loss related to the contingent forward contract liability for the year ended December 31, 2021, with the final fair value of the contingent forward contract liability of $1.2 billion reclassified into Series E convertible preferred stock upon the fourth closing in April 2021. There was no related outstanding contingent forward contract liability as of December 31, 2021.</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12" w:name="page113"/>
    <w:bookmarkEnd w:id="112"/>
    <w:p>
      <w:pPr>
        <w:spacing w:after="0"/>
        <w:rPr>
          <w:sz w:val="20"/>
          <w:szCs w:val="20"/>
          <w:color w:val="auto"/>
        </w:rPr>
      </w:pPr>
      <w:r>
        <w:rPr>
          <w:rFonts w:ascii="Arial" w:cs="Arial" w:eastAsia="Arial" w:hAnsi="Arial"/>
          <w:sz w:val="16"/>
          <w:szCs w:val="16"/>
          <w:color w:val="auto"/>
        </w:rPr>
        <w:t>The fair value of the Series E convertible preferred stock contingent forward contract liability for the third closing was determined using a forward payoff.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Company’s inputs used in determining the fair value on the issuance date and settlement date, were as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Price</w:t>
            </w:r>
          </w:p>
        </w:tc>
        <w:tc>
          <w:tcPr>
            <w:tcW w:w="4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13.79</w:t>
            </w:r>
          </w:p>
        </w:tc>
      </w:tr>
      <w:tr>
        <w:trPr>
          <w:trHeight w:val="229"/>
        </w:trPr>
        <w:tc>
          <w:tcPr>
            <w:tcW w:w="5820" w:type="dxa"/>
            <w:vAlign w:val="bottom"/>
          </w:tcPr>
          <w:p>
            <w:pPr>
              <w:ind w:left="20"/>
              <w:spacing w:after="0"/>
              <w:rPr>
                <w:sz w:val="20"/>
                <w:szCs w:val="20"/>
                <w:color w:val="auto"/>
              </w:rPr>
            </w:pPr>
            <w:r>
              <w:rPr>
                <w:rFonts w:ascii="Arial" w:cs="Arial" w:eastAsia="Arial" w:hAnsi="Arial"/>
                <w:sz w:val="18"/>
                <w:szCs w:val="18"/>
                <w:color w:val="auto"/>
              </w:rPr>
              <w:t>Volatility</w:t>
            </w:r>
          </w:p>
        </w:tc>
        <w:tc>
          <w:tcPr>
            <w:tcW w:w="4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100.00 %</w:t>
            </w:r>
          </w:p>
        </w:tc>
      </w:tr>
      <w:tr>
        <w:trPr>
          <w:trHeight w:val="229"/>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term (in years)</w:t>
            </w:r>
          </w:p>
        </w:tc>
        <w:tc>
          <w:tcPr>
            <w:tcW w:w="4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r>
      <w:tr>
        <w:trPr>
          <w:trHeight w:val="230"/>
        </w:trPr>
        <w:tc>
          <w:tcPr>
            <w:tcW w:w="5820" w:type="dxa"/>
            <w:vAlign w:val="bottom"/>
          </w:tcPr>
          <w:p>
            <w:pPr>
              <w:ind w:left="20"/>
              <w:spacing w:after="0"/>
              <w:rPr>
                <w:sz w:val="20"/>
                <w:szCs w:val="20"/>
                <w:color w:val="auto"/>
              </w:rPr>
            </w:pPr>
            <w:r>
              <w:rPr>
                <w:rFonts w:ascii="Arial" w:cs="Arial" w:eastAsia="Arial" w:hAnsi="Arial"/>
                <w:sz w:val="18"/>
                <w:szCs w:val="18"/>
                <w:color w:val="auto"/>
              </w:rPr>
              <w:t>Risk-free rate</w:t>
            </w:r>
          </w:p>
        </w:tc>
        <w:tc>
          <w:tcPr>
            <w:tcW w:w="44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0.03 %</w:t>
            </w:r>
          </w:p>
        </w:tc>
      </w:tr>
    </w:tbl>
    <w:p>
      <w:pPr>
        <w:spacing w:after="0" w:line="29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fair value of the Series E convertible preferred stock contingent forward contract liability for the fourth closing was determined using a forward and an option payoff. The Company’s inputs used in determining the fair value on the issuance date were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of Series E convertible preferred share</w:t>
            </w:r>
          </w:p>
        </w:tc>
        <w:tc>
          <w:tcPr>
            <w:tcW w:w="35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13.79</w:t>
            </w:r>
          </w:p>
        </w:tc>
      </w:tr>
      <w:tr>
        <w:trPr>
          <w:trHeight w:val="229"/>
        </w:trPr>
        <w:tc>
          <w:tcPr>
            <w:tcW w:w="6700" w:type="dxa"/>
            <w:vAlign w:val="bottom"/>
          </w:tcPr>
          <w:p>
            <w:pPr>
              <w:ind w:left="20"/>
              <w:spacing w:after="0"/>
              <w:rPr>
                <w:sz w:val="20"/>
                <w:szCs w:val="20"/>
                <w:color w:val="auto"/>
              </w:rPr>
            </w:pPr>
            <w:r>
              <w:rPr>
                <w:rFonts w:ascii="Arial" w:cs="Arial" w:eastAsia="Arial" w:hAnsi="Arial"/>
                <w:sz w:val="18"/>
                <w:szCs w:val="18"/>
                <w:color w:val="auto"/>
              </w:rPr>
              <w:t>Volatility</w:t>
            </w:r>
          </w:p>
        </w:tc>
        <w:tc>
          <w:tcPr>
            <w:tcW w:w="35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100.00 %</w:t>
            </w:r>
          </w:p>
        </w:tc>
      </w:tr>
      <w:tr>
        <w:trPr>
          <w:trHeight w:val="229"/>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term (in years)</w:t>
            </w:r>
          </w:p>
        </w:tc>
        <w:tc>
          <w:tcPr>
            <w:tcW w:w="35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0.11</w:t>
            </w:r>
          </w:p>
        </w:tc>
      </w:tr>
      <w:tr>
        <w:trPr>
          <w:trHeight w:val="230"/>
        </w:trPr>
        <w:tc>
          <w:tcPr>
            <w:tcW w:w="6700" w:type="dxa"/>
            <w:vAlign w:val="bottom"/>
          </w:tcPr>
          <w:p>
            <w:pPr>
              <w:ind w:left="20"/>
              <w:spacing w:after="0"/>
              <w:rPr>
                <w:sz w:val="20"/>
                <w:szCs w:val="20"/>
                <w:color w:val="auto"/>
              </w:rPr>
            </w:pPr>
            <w:r>
              <w:rPr>
                <w:rFonts w:ascii="Arial" w:cs="Arial" w:eastAsia="Arial" w:hAnsi="Arial"/>
                <w:sz w:val="18"/>
                <w:szCs w:val="18"/>
                <w:color w:val="auto"/>
              </w:rPr>
              <w:t>Risk-free rate</w:t>
            </w:r>
          </w:p>
        </w:tc>
        <w:tc>
          <w:tcPr>
            <w:tcW w:w="35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0.03 %</w:t>
            </w:r>
          </w:p>
        </w:tc>
      </w:tr>
    </w:tbl>
    <w:p>
      <w:pPr>
        <w:spacing w:after="0" w:line="282"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The fair value of the Series E convertible preferred stock contingent forward contract liability for the fourth closing was determined as the difference between the Series E convertible preferred stock fair value and the purchase price. The Company estimated the fair value of each of the Series E convertible preferred stock on the settlement date by taking the closing price of Churchill’s Class A common stock on April 1, 2021 of $23.78 multiplied by the expected exchange ratio at the time, and discounted for lack of marketability.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CONVERTIBLE PREFERRED STOCK WARRANT LIABILITY</w:t>
      </w:r>
    </w:p>
    <w:p>
      <w:pPr>
        <w:spacing w:after="0" w:line="229"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The Company’s issued and outstanding convertible preferred stock warrants to purchase a total of 1,546,799 shares of Series D convertible preferred stock, with an exercise price of $1.94 per share were recorded at fair value using a Monte-Carlo simulation at issuance and have been subsequently remeasured to fair value each reporting period with the changes recorded in the consolidated statements of operations and comprehensive loss. In February 2021, all the outstanding convertible preferred stock warrants were settled in its entirety at an exercise price of $1.94 per share for an aggregate purchase price of $3.0 million. Upon final settlement, the Company converted the warrant into $12.9 million Series D convertible preferred stock, and recorded $7.0 million losses related to fair value remeasurements of the warrants in the consolidated statements of operations and comprehensive loss for the year ended December 31, 2021.</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COMMON STOCK WARRANT LIABILITY</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 July 23, 2021, in connection with the reverse recapitalization treatment of the Merger, the Company effectively issued 44,350,000 Private Placement Warrants to purchase shares of Lucid’s common stock at an exercise price of $11.50. The Private Placement Warrants were initially recognized as a liability with a fair value of $812.0 million and was remeasured to fair value of $1,394.8 million as of December 31, 2021. The Private Placement Warrants remained unexercised and were remeasured to fair value of $140.6 million as of December 31, 2022. The Company recognized a gain of $1,254.2 million and a loss of $582.8 million for the years ended December 31, 2022 and 2021, respectively, in the consolidated statements of operations and comprehensive loss.</w:t>
      </w:r>
    </w:p>
    <w:p>
      <w:pPr>
        <w:spacing w:after="0" w:line="192"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color w:val="auto"/>
        </w:rPr>
        <w:t>The 44,350,000 Private Placement Warrants included the 14,783,333 Sponsor Earnback Warrants subject to the contingent forfeiture provisions. The earnback triggering events were satisfied during the year ended December 31, 2021 such that the 14,783,333 Sponsor Earnback Warrants vested and are no longer subject to the transfer restrictions and contingent forfeiture provisions. See Note 12 “Earnback Shares and Warrants” for more information.</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113" w:name="page114"/>
    <w:bookmarkEnd w:id="113"/>
    <w:p>
      <w:pPr>
        <w:ind w:right="40"/>
        <w:spacing w:after="0" w:line="241" w:lineRule="auto"/>
        <w:rPr>
          <w:sz w:val="20"/>
          <w:szCs w:val="20"/>
          <w:color w:val="auto"/>
        </w:rPr>
      </w:pPr>
      <w:r>
        <w:rPr>
          <w:rFonts w:ascii="Arial" w:cs="Arial" w:eastAsia="Arial" w:hAnsi="Arial"/>
          <w:sz w:val="18"/>
          <w:szCs w:val="18"/>
          <w:color w:val="auto"/>
        </w:rPr>
        <w:t>The Company initially estimated the fair value of the Private Placement Warrants that were subject to the contingent forfeiture provisions using a Monte-Carlo simulation which estimates a distribution of potential outcomes over the earnback period related to the achievement of the volume-weighted average trading sale price (the “VWAP”) thresholds. The present value of the payoff in each simulation is calculated, and the fair value of the liability is determined by taking the average of all present values. The fair value of the Private Placement Warrants that were subject to the contingent forfeiture provisions were as follows: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255"/>
              <w:spacing w:after="0"/>
              <w:rPr>
                <w:sz w:val="20"/>
                <w:szCs w:val="20"/>
                <w:color w:val="auto"/>
              </w:rPr>
            </w:pPr>
            <w:r>
              <w:rPr>
                <w:rFonts w:ascii="Arial" w:cs="Arial" w:eastAsia="Arial" w:hAnsi="Arial"/>
                <w:sz w:val="14"/>
                <w:szCs w:val="14"/>
                <w:b w:val="1"/>
                <w:bCs w:val="1"/>
                <w:color w:val="auto"/>
              </w:rPr>
              <w:t>July 23, 2021</w:t>
            </w:r>
          </w:p>
        </w:tc>
      </w:tr>
      <w:tr>
        <w:trPr>
          <w:trHeight w:val="26"/>
        </w:trPr>
        <w:tc>
          <w:tcPr>
            <w:tcW w:w="97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23"/>
        </w:trPr>
        <w:tc>
          <w:tcPr>
            <w:tcW w:w="9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of Tranche 1 with $20.00 VWAP threshold per share</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18.16</w:t>
            </w:r>
          </w:p>
        </w:tc>
      </w:tr>
      <w:tr>
        <w:trPr>
          <w:trHeight w:val="229"/>
        </w:trPr>
        <w:tc>
          <w:tcPr>
            <w:tcW w:w="9760" w:type="dxa"/>
            <w:vAlign w:val="bottom"/>
          </w:tcPr>
          <w:p>
            <w:pPr>
              <w:ind w:left="20"/>
              <w:spacing w:after="0"/>
              <w:rPr>
                <w:sz w:val="20"/>
                <w:szCs w:val="20"/>
                <w:color w:val="auto"/>
              </w:rPr>
            </w:pPr>
            <w:r>
              <w:rPr>
                <w:rFonts w:ascii="Arial" w:cs="Arial" w:eastAsia="Arial" w:hAnsi="Arial"/>
                <w:sz w:val="18"/>
                <w:szCs w:val="18"/>
                <w:color w:val="auto"/>
              </w:rPr>
              <w:t>Fair value of Tranche 2 with $25.00 VWAP threshold per share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18.07</w:t>
            </w:r>
          </w:p>
        </w:tc>
      </w:tr>
      <w:tr>
        <w:trPr>
          <w:trHeight w:val="230"/>
        </w:trPr>
        <w:tc>
          <w:tcPr>
            <w:tcW w:w="9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of Tranche 3 with $30.00 VWAP threshold per share</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17.92</w:t>
            </w:r>
          </w:p>
        </w:tc>
      </w:tr>
    </w:tbl>
    <w:p>
      <w:pPr>
        <w:spacing w:after="0" w:line="3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fair value of the Private Placement Warrants that are not subject to the contingent forfeiture provisions was estimated using a Black-Scholes option pricing model, and were as follows: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 2022</w:t>
            </w:r>
          </w:p>
        </w:tc>
        <w:tc>
          <w:tcPr>
            <w:tcW w:w="140" w:type="dxa"/>
            <w:vAlign w:val="bottom"/>
          </w:tcPr>
          <w:p>
            <w:pPr>
              <w:spacing w:after="0"/>
              <w:rPr>
                <w:sz w:val="16"/>
                <w:szCs w:val="16"/>
                <w:color w:val="auto"/>
              </w:rPr>
            </w:pPr>
          </w:p>
        </w:tc>
        <w:tc>
          <w:tcPr>
            <w:tcW w:w="1340" w:type="dxa"/>
            <w:vAlign w:val="bottom"/>
          </w:tcPr>
          <w:p>
            <w:pPr>
              <w:jc w:val="right"/>
              <w:ind w:right="79"/>
              <w:spacing w:after="0"/>
              <w:rPr>
                <w:sz w:val="20"/>
                <w:szCs w:val="20"/>
                <w:color w:val="auto"/>
              </w:rPr>
            </w:pPr>
            <w:r>
              <w:rPr>
                <w:rFonts w:ascii="Arial" w:cs="Arial" w:eastAsia="Arial" w:hAnsi="Arial"/>
                <w:sz w:val="14"/>
                <w:szCs w:val="14"/>
                <w:b w:val="1"/>
                <w:bCs w:val="1"/>
                <w:color w:val="auto"/>
                <w:w w:val="91"/>
              </w:rPr>
              <w:t>December 31, 2021</w:t>
            </w:r>
          </w:p>
        </w:tc>
      </w:tr>
      <w:tr>
        <w:trPr>
          <w:trHeight w:val="26"/>
        </w:trPr>
        <w:tc>
          <w:tcPr>
            <w:tcW w:w="8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50"/>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of Private Placement Warrants per share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31.45</w:t>
            </w:r>
          </w:p>
        </w:tc>
      </w:tr>
    </w:tbl>
    <w:p>
      <w:pPr>
        <w:spacing w:after="0" w:line="310" w:lineRule="exact"/>
        <w:rPr>
          <w:sz w:val="20"/>
          <w:szCs w:val="20"/>
          <w:color w:val="auto"/>
        </w:rPr>
      </w:pPr>
    </w:p>
    <w:p>
      <w:pPr>
        <w:ind w:right="20"/>
        <w:spacing w:after="0" w:line="259" w:lineRule="auto"/>
        <w:rPr>
          <w:sz w:val="20"/>
          <w:szCs w:val="20"/>
          <w:color w:val="auto"/>
        </w:rPr>
      </w:pPr>
      <w:r>
        <w:rPr>
          <w:rFonts w:ascii="Arial" w:cs="Arial" w:eastAsia="Arial" w:hAnsi="Arial"/>
          <w:sz w:val="17"/>
          <w:szCs w:val="17"/>
          <w:color w:val="auto"/>
        </w:rPr>
        <w:t>Assumptions used in the Monte-Carlo simulation models and Black-Scholes option pricing model take into account the contract terms as well as the quoted price of the Company’s common stock in an active market. The volatility is based on the actual market activity of the Company’s peer group as well as the Company's historical volatility. The expected life is based on the remaining contractual term of the warrants, and the risk free interest rate is based on the implied yield available on U.S. Treasury securities with a maturity equivalent to the warrants’ expected life. The level 3 fair value inputs used in the Monte-Carlo simulation models and Black-Scholes option pricing models were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980" w:type="dxa"/>
            <w:vAlign w:val="bottom"/>
          </w:tcPr>
          <w:p>
            <w:pPr>
              <w:spacing w:after="0"/>
              <w:rPr>
                <w:sz w:val="16"/>
                <w:szCs w:val="16"/>
                <w:color w:val="auto"/>
              </w:rPr>
            </w:pPr>
          </w:p>
        </w:tc>
        <w:tc>
          <w:tcPr>
            <w:tcW w:w="1660" w:type="dxa"/>
            <w:vAlign w:val="bottom"/>
            <w:gridSpan w:val="2"/>
          </w:tcPr>
          <w:p>
            <w:pPr>
              <w:ind w:left="200"/>
              <w:spacing w:after="0"/>
              <w:rPr>
                <w:sz w:val="20"/>
                <w:szCs w:val="20"/>
                <w:color w:val="auto"/>
              </w:rPr>
            </w:pPr>
            <w:r>
              <w:rPr>
                <w:rFonts w:ascii="Arial" w:cs="Arial" w:eastAsia="Arial" w:hAnsi="Arial"/>
                <w:sz w:val="14"/>
                <w:szCs w:val="14"/>
                <w:b w:val="1"/>
                <w:bCs w:val="1"/>
                <w:color w:val="auto"/>
              </w:rPr>
              <w:t>December 31, 2022</w:t>
            </w:r>
          </w:p>
        </w:tc>
        <w:tc>
          <w:tcPr>
            <w:tcW w:w="1600" w:type="dxa"/>
            <w:vAlign w:val="bottom"/>
          </w:tcPr>
          <w:p>
            <w:pPr>
              <w:jc w:val="right"/>
              <w:ind w:right="134"/>
              <w:spacing w:after="0"/>
              <w:rPr>
                <w:sz w:val="20"/>
                <w:szCs w:val="20"/>
                <w:color w:val="auto"/>
              </w:rPr>
            </w:pPr>
            <w:r>
              <w:rPr>
                <w:rFonts w:ascii="Arial" w:cs="Arial" w:eastAsia="Arial" w:hAnsi="Arial"/>
                <w:sz w:val="14"/>
                <w:szCs w:val="14"/>
                <w:b w:val="1"/>
                <w:bCs w:val="1"/>
                <w:color w:val="auto"/>
              </w:rPr>
              <w:t>December 31, 2021</w:t>
            </w:r>
          </w:p>
        </w:tc>
      </w:tr>
      <w:tr>
        <w:trPr>
          <w:trHeight w:val="26"/>
        </w:trPr>
        <w:tc>
          <w:tcPr>
            <w:tcW w:w="798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Volatility</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80.00 %</w:t>
            </w:r>
          </w:p>
        </w:tc>
        <w:tc>
          <w:tcPr>
            <w:tcW w:w="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85.00 %</w:t>
            </w: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Expected term (in years)</w:t>
            </w:r>
          </w:p>
        </w:tc>
        <w:tc>
          <w:tcPr>
            <w:tcW w:w="1580" w:type="dxa"/>
            <w:vAlign w:val="bottom"/>
          </w:tcPr>
          <w:p>
            <w:pPr>
              <w:jc w:val="right"/>
              <w:spacing w:after="0"/>
              <w:rPr>
                <w:sz w:val="20"/>
                <w:szCs w:val="20"/>
                <w:color w:val="auto"/>
              </w:rPr>
            </w:pPr>
            <w:r>
              <w:rPr>
                <w:rFonts w:ascii="Arial" w:cs="Arial" w:eastAsia="Arial" w:hAnsi="Arial"/>
                <w:sz w:val="18"/>
                <w:szCs w:val="18"/>
                <w:color w:val="auto"/>
              </w:rPr>
              <w:t>3.6</w:t>
            </w:r>
          </w:p>
        </w:tc>
        <w:tc>
          <w:tcPr>
            <w:tcW w:w="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rate</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4.11 %</w:t>
            </w:r>
          </w:p>
        </w:tc>
        <w:tc>
          <w:tcPr>
            <w:tcW w:w="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1.20 %</w:t>
            </w: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Dividend yield</w:t>
            </w:r>
          </w:p>
        </w:tc>
        <w:tc>
          <w:tcPr>
            <w:tcW w:w="1660" w:type="dxa"/>
            <w:vAlign w:val="bottom"/>
            <w:gridSpan w:val="2"/>
          </w:tcPr>
          <w:p>
            <w:pPr>
              <w:jc w:val="right"/>
              <w:ind w:right="100"/>
              <w:spacing w:after="0"/>
              <w:rPr>
                <w:sz w:val="20"/>
                <w:szCs w:val="20"/>
                <w:color w:val="auto"/>
              </w:rPr>
            </w:pPr>
            <w:r>
              <w:rPr>
                <w:rFonts w:ascii="Arial" w:cs="Arial" w:eastAsia="Arial" w:hAnsi="Arial"/>
                <w:sz w:val="18"/>
                <w:szCs w:val="18"/>
                <w:color w:val="auto"/>
              </w:rPr>
              <w:t>— %</w:t>
            </w:r>
          </w:p>
        </w:tc>
        <w:tc>
          <w:tcPr>
            <w:tcW w:w="1600" w:type="dxa"/>
            <w:vAlign w:val="bottom"/>
          </w:tcPr>
          <w:p>
            <w:pPr>
              <w:jc w:val="right"/>
              <w:spacing w:after="0"/>
              <w:rPr>
                <w:sz w:val="20"/>
                <w:szCs w:val="20"/>
                <w:color w:val="auto"/>
              </w:rPr>
            </w:pPr>
            <w:r>
              <w:rPr>
                <w:rFonts w:ascii="Arial" w:cs="Arial" w:eastAsia="Arial" w:hAnsi="Arial"/>
                <w:sz w:val="18"/>
                <w:szCs w:val="18"/>
                <w:color w:val="auto"/>
              </w:rPr>
              <w:t>— %</w:t>
            </w:r>
          </w:p>
        </w:tc>
      </w:tr>
    </w:tbl>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CONVERTIBLE PREFERRED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Convertible Preferred Stock</w:t>
      </w:r>
    </w:p>
    <w:p>
      <w:pPr>
        <w:spacing w:after="0" w:line="22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Upon the Closing of the Merger, the Company cancelled and converted all 1,155,909,367 shares of issued and outstanding convertible preferred stock into 1,155,909,367 shares of Lucid common stock based upon the conversion rate as calculated pursuant to Legacy Lucid’s memorandum and articles of association at the date and time that the Merger became effective. As of December 31, 2022 and 2021, there were no issued and outstanding shares of convertible preferred stock.</w:t>
      </w:r>
    </w:p>
    <w:p>
      <w:pPr>
        <w:spacing w:after="0" w:line="173" w:lineRule="exact"/>
        <w:rPr>
          <w:sz w:val="20"/>
          <w:szCs w:val="20"/>
          <w:color w:val="auto"/>
        </w:rPr>
      </w:pPr>
    </w:p>
    <w:p>
      <w:pPr>
        <w:ind w:right="480"/>
        <w:spacing w:after="0" w:line="261" w:lineRule="auto"/>
        <w:rPr>
          <w:sz w:val="20"/>
          <w:szCs w:val="20"/>
          <w:color w:val="auto"/>
        </w:rPr>
      </w:pPr>
      <w:r>
        <w:rPr>
          <w:rFonts w:ascii="Arial" w:cs="Arial" w:eastAsia="Arial" w:hAnsi="Arial"/>
          <w:sz w:val="18"/>
          <w:szCs w:val="18"/>
          <w:color w:val="auto"/>
        </w:rPr>
        <w:t>In 2014 through April 2021, the Company had issued Series A, Series B, Series C, and Series D and Series E convertible preferred stock (“Series A,” “Series B,” “Series C,” “Series D,” “Series E,” respectively) (collectively, the “Convertible Preferred Stock”).</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Convertible Preferred Stock was carried at its issuance price, net of issuance costs.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Third Company Repurchase (Series C - August 2020)</w:t>
      </w:r>
    </w:p>
    <w:p>
      <w:pPr>
        <w:spacing w:after="0" w:line="225"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In August 2020, the Company repurchased 9,656,589 shares of Series C convertible preferred stock at a price of $1.02 per share for total of $9.9 million. The Company recognized $10.5 million in Additional paid-in capital in the consolidated balance sheet as of December 31, 2020 related to the difference in fair value and the $20.4 million aggregate carrying value of the Series C stock repurchased.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Fourth Company Repurchase (Series C - December 2020)</w:t>
      </w:r>
    </w:p>
    <w:p>
      <w:pPr>
        <w:spacing w:after="0" w:line="225"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In December 2020, the Company repurchased 1,850,800 Series C convertible preferred stock at a price of $1.21 per share, aggregating to $2.2 million. The Company recognized $2.2 million as additional paid-in capital in the consolidated balance sheet as of December 31, 2020, related to the difference in fair value and the $4.5 million aggregate carrying value of the Series C shares repurchased.</w:t>
      </w:r>
    </w:p>
    <w:p>
      <w:pPr>
        <w:sectPr>
          <w:pgSz w:w="11900" w:h="16838" w:orient="portrait"/>
          <w:cols w:equalWidth="0" w:num="1">
            <w:col w:w="11240"/>
          </w:cols>
          <w:pgMar w:left="320" w:top="976" w:right="339" w:bottom="1440" w:gutter="0" w:footer="0" w:header="0"/>
        </w:sect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100965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6" w:right="339" w:bottom="1440" w:gutter="0" w:footer="0" w:header="0"/>
          <w:type w:val="continuous"/>
        </w:sectPr>
      </w:pPr>
    </w:p>
    <w:bookmarkStart w:id="114" w:name="page115"/>
    <w:bookmarkEnd w:id="114"/>
    <w:p>
      <w:pPr>
        <w:spacing w:after="0"/>
        <w:rPr>
          <w:sz w:val="20"/>
          <w:szCs w:val="20"/>
          <w:color w:val="auto"/>
        </w:rPr>
      </w:pPr>
      <w:r>
        <w:rPr>
          <w:rFonts w:ascii="Arial" w:cs="Arial" w:eastAsia="Arial" w:hAnsi="Arial"/>
          <w:sz w:val="18"/>
          <w:szCs w:val="18"/>
          <w:b w:val="1"/>
          <w:bCs w:val="1"/>
          <w:i w:val="1"/>
          <w:iCs w:val="1"/>
          <w:color w:val="auto"/>
        </w:rPr>
        <w:t>Fifth Company Repurchase (Series B - December 2020)</w:t>
      </w:r>
    </w:p>
    <w:p>
      <w:pPr>
        <w:spacing w:after="0" w:line="225"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On December 22, 2020, the Company repurchased 3,525,332 Series B convertible preferred stock for a total of $3.0 million. The Company recognized $1.0 million in Additional paid-in capital in the consolidated balance sheet as of December 31, 2020, related to the difference in fair value of the consideration payable and the $4.0 million aggregate carrying value of the Series B shares repurchased. As of the date of extinguishment and as of December 31, 2020, the Series B convertible preferred stock subject to repurchase had been mandatorily redeemable within 45 days of the agreement and accordingly had been reclassified to other accrued liabilities on the consolidated balance sheet.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D Preferred Stock Issuance</w:t>
      </w:r>
    </w:p>
    <w:p>
      <w:pPr>
        <w:spacing w:after="0" w:line="225"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In March 2020, the Company received $200.0 million in proceeds from PIF and issued 82,496,092 shares of Series D in exchange. In June 2020, the Company successfully satisfied certain of the second set of milestones related to further development and enhancement in marketing, product, and administrative activities, and received a waiver from PIF for the remaining milestones. The Company received the remaining $200.0 million proceeds in exchange for the issuance of 82,496,121 shares of Series D convertible preferred stock.</w:t>
      </w:r>
    </w:p>
    <w:p>
      <w:pPr>
        <w:sectPr>
          <w:pgSz w:w="11900" w:h="16838" w:orient="portrait"/>
          <w:cols w:equalWidth="0" w:num="1">
            <w:col w:w="11220"/>
          </w:cols>
          <w:pgMar w:left="320" w:top="989" w:right="359" w:bottom="1440" w:gutter="0" w:footer="0" w:header="0"/>
        </w:sectPr>
      </w:pP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See activities related to the PIF Convertible Notes and Series D convertible preferred stock funding as below (in thousands):</w:t>
      </w:r>
    </w:p>
    <w:p>
      <w:pPr>
        <w:spacing w:after="0" w:line="289"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Conversion of Convertible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4541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Series D received in April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Series D received in October 2019</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Series D received in March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Contingent forward contract liability reclassified to Series D in March 2020</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Series D received in June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Contingent forward contract liability reclassified to Series D in June 2020</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Conversion of preferred stock warrant to Series D in February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Reclassification of preferred stock warrant liability to Series D in February 2021</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 proceeds of Series D</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E Convertible Preferred Stock Issuance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97" w:hanging="497"/>
        <w:spacing w:after="0"/>
        <w:tabs>
          <w:tab w:leader="none" w:pos="497" w:val="left"/>
        </w:tabs>
        <w:numPr>
          <w:ilvl w:val="0"/>
          <w:numId w:val="56"/>
        </w:numPr>
        <w:rPr>
          <w:rFonts w:ascii="Arial" w:cs="Arial" w:eastAsia="Arial" w:hAnsi="Arial"/>
          <w:sz w:val="16"/>
          <w:szCs w:val="16"/>
          <w:color w:val="auto"/>
        </w:rPr>
      </w:pPr>
      <w:r>
        <w:rPr>
          <w:rFonts w:ascii="Arial" w:cs="Arial" w:eastAsia="Arial" w:hAnsi="Arial"/>
          <w:sz w:val="16"/>
          <w:szCs w:val="16"/>
          <w:color w:val="auto"/>
        </w:rPr>
        <w:t>271,985</w:t>
      </w:r>
    </w:p>
    <w:p>
      <w:pPr>
        <w:spacing w:after="0" w:line="46" w:lineRule="exact"/>
        <w:rPr>
          <w:rFonts w:ascii="Arial" w:cs="Arial" w:eastAsia="Arial" w:hAnsi="Arial"/>
          <w:sz w:val="16"/>
          <w:szCs w:val="16"/>
          <w:color w:val="auto"/>
        </w:rPr>
      </w:pPr>
    </w:p>
    <w:p>
      <w:pPr>
        <w:ind w:left="497"/>
        <w:spacing w:after="0"/>
        <w:rPr>
          <w:rFonts w:ascii="Arial" w:cs="Arial" w:eastAsia="Arial" w:hAnsi="Arial"/>
          <w:sz w:val="16"/>
          <w:szCs w:val="16"/>
          <w:color w:val="auto"/>
        </w:rPr>
      </w:pPr>
      <w:r>
        <w:rPr>
          <w:rFonts w:ascii="Arial" w:cs="Arial" w:eastAsia="Arial" w:hAnsi="Arial"/>
          <w:sz w:val="16"/>
          <w:szCs w:val="16"/>
          <w:color w:val="auto"/>
        </w:rPr>
        <w:t>200,000</w:t>
      </w:r>
    </w:p>
    <w:p>
      <w:pPr>
        <w:spacing w:after="0" w:line="45" w:lineRule="exact"/>
        <w:rPr>
          <w:rFonts w:ascii="Arial" w:cs="Arial" w:eastAsia="Arial" w:hAnsi="Arial"/>
          <w:sz w:val="16"/>
          <w:szCs w:val="16"/>
          <w:color w:val="auto"/>
        </w:rPr>
      </w:pPr>
    </w:p>
    <w:p>
      <w:pPr>
        <w:ind w:left="497"/>
        <w:spacing w:after="0"/>
        <w:rPr>
          <w:rFonts w:ascii="Arial" w:cs="Arial" w:eastAsia="Arial" w:hAnsi="Arial"/>
          <w:sz w:val="16"/>
          <w:szCs w:val="16"/>
          <w:color w:val="auto"/>
        </w:rPr>
      </w:pPr>
      <w:r>
        <w:rPr>
          <w:rFonts w:ascii="Arial" w:cs="Arial" w:eastAsia="Arial" w:hAnsi="Arial"/>
          <w:sz w:val="16"/>
          <w:szCs w:val="16"/>
          <w:color w:val="auto"/>
        </w:rPr>
        <w:t>400,000</w:t>
      </w:r>
    </w:p>
    <w:p>
      <w:pPr>
        <w:spacing w:after="0" w:line="45" w:lineRule="exact"/>
        <w:rPr>
          <w:rFonts w:ascii="Arial" w:cs="Arial" w:eastAsia="Arial" w:hAnsi="Arial"/>
          <w:sz w:val="16"/>
          <w:szCs w:val="16"/>
          <w:color w:val="auto"/>
        </w:rPr>
      </w:pPr>
    </w:p>
    <w:p>
      <w:pPr>
        <w:ind w:left="497"/>
        <w:spacing w:after="0"/>
        <w:rPr>
          <w:rFonts w:ascii="Arial" w:cs="Arial" w:eastAsia="Arial" w:hAnsi="Arial"/>
          <w:sz w:val="16"/>
          <w:szCs w:val="16"/>
          <w:color w:val="auto"/>
        </w:rPr>
      </w:pPr>
      <w:r>
        <w:rPr>
          <w:rFonts w:ascii="Arial" w:cs="Arial" w:eastAsia="Arial" w:hAnsi="Arial"/>
          <w:sz w:val="16"/>
          <w:szCs w:val="16"/>
          <w:color w:val="auto"/>
        </w:rPr>
        <w:t>200,000</w:t>
      </w:r>
    </w:p>
    <w:p>
      <w:pPr>
        <w:spacing w:after="0" w:line="45" w:lineRule="exact"/>
        <w:rPr>
          <w:rFonts w:ascii="Arial" w:cs="Arial" w:eastAsia="Arial" w:hAnsi="Arial"/>
          <w:sz w:val="16"/>
          <w:szCs w:val="16"/>
          <w:color w:val="auto"/>
        </w:rPr>
      </w:pPr>
    </w:p>
    <w:p>
      <w:pPr>
        <w:ind w:left="597"/>
        <w:spacing w:after="0"/>
        <w:rPr>
          <w:rFonts w:ascii="Arial" w:cs="Arial" w:eastAsia="Arial" w:hAnsi="Arial"/>
          <w:sz w:val="16"/>
          <w:szCs w:val="16"/>
          <w:color w:val="auto"/>
        </w:rPr>
      </w:pPr>
      <w:r>
        <w:rPr>
          <w:rFonts w:ascii="Arial" w:cs="Arial" w:eastAsia="Arial" w:hAnsi="Arial"/>
          <w:sz w:val="15"/>
          <w:szCs w:val="15"/>
          <w:color w:val="auto"/>
        </w:rPr>
        <w:t>18,180</w:t>
      </w:r>
    </w:p>
    <w:p>
      <w:pPr>
        <w:spacing w:after="0" w:line="57" w:lineRule="exact"/>
        <w:rPr>
          <w:rFonts w:ascii="Arial" w:cs="Arial" w:eastAsia="Arial" w:hAnsi="Arial"/>
          <w:sz w:val="16"/>
          <w:szCs w:val="16"/>
          <w:color w:val="auto"/>
        </w:rPr>
      </w:pPr>
    </w:p>
    <w:p>
      <w:pPr>
        <w:ind w:left="497"/>
        <w:spacing w:after="0"/>
        <w:rPr>
          <w:rFonts w:ascii="Arial" w:cs="Arial" w:eastAsia="Arial" w:hAnsi="Arial"/>
          <w:sz w:val="16"/>
          <w:szCs w:val="16"/>
          <w:color w:val="auto"/>
        </w:rPr>
      </w:pPr>
      <w:r>
        <w:rPr>
          <w:rFonts w:ascii="Arial" w:cs="Arial" w:eastAsia="Arial" w:hAnsi="Arial"/>
          <w:sz w:val="16"/>
          <w:szCs w:val="16"/>
          <w:color w:val="auto"/>
        </w:rPr>
        <w:t>200,000</w:t>
      </w:r>
    </w:p>
    <w:p>
      <w:pPr>
        <w:spacing w:after="0" w:line="45" w:lineRule="exact"/>
        <w:rPr>
          <w:rFonts w:ascii="Arial" w:cs="Arial" w:eastAsia="Arial" w:hAnsi="Arial"/>
          <w:sz w:val="16"/>
          <w:szCs w:val="16"/>
          <w:color w:val="auto"/>
        </w:rPr>
      </w:pPr>
    </w:p>
    <w:p>
      <w:pPr>
        <w:ind w:left="597"/>
        <w:spacing w:after="0"/>
        <w:rPr>
          <w:rFonts w:ascii="Arial" w:cs="Arial" w:eastAsia="Arial" w:hAnsi="Arial"/>
          <w:sz w:val="16"/>
          <w:szCs w:val="16"/>
          <w:color w:val="auto"/>
        </w:rPr>
      </w:pPr>
      <w:r>
        <w:rPr>
          <w:rFonts w:ascii="Arial" w:cs="Arial" w:eastAsia="Arial" w:hAnsi="Arial"/>
          <w:sz w:val="15"/>
          <w:szCs w:val="15"/>
          <w:color w:val="auto"/>
        </w:rPr>
        <w:t>21,384</w:t>
      </w:r>
    </w:p>
    <w:p>
      <w:pPr>
        <w:spacing w:after="0" w:line="57" w:lineRule="exact"/>
        <w:rPr>
          <w:rFonts w:ascii="Arial" w:cs="Arial" w:eastAsia="Arial" w:hAnsi="Arial"/>
          <w:sz w:val="16"/>
          <w:szCs w:val="16"/>
          <w:color w:val="auto"/>
        </w:rPr>
      </w:pPr>
    </w:p>
    <w:p>
      <w:pPr>
        <w:ind w:left="677"/>
        <w:spacing w:after="0"/>
        <w:rPr>
          <w:rFonts w:ascii="Arial" w:cs="Arial" w:eastAsia="Arial" w:hAnsi="Arial"/>
          <w:sz w:val="16"/>
          <w:szCs w:val="16"/>
          <w:color w:val="auto"/>
        </w:rPr>
      </w:pPr>
      <w:r>
        <w:rPr>
          <w:rFonts w:ascii="Arial" w:cs="Arial" w:eastAsia="Arial" w:hAnsi="Arial"/>
          <w:sz w:val="15"/>
          <w:szCs w:val="15"/>
          <w:color w:val="auto"/>
        </w:rPr>
        <w:t>3,000</w:t>
      </w:r>
    </w:p>
    <w:p>
      <w:pPr>
        <w:spacing w:after="0" w:line="57" w:lineRule="exact"/>
        <w:rPr>
          <w:rFonts w:ascii="Arial" w:cs="Arial" w:eastAsia="Arial" w:hAnsi="Arial"/>
          <w:sz w:val="16"/>
          <w:szCs w:val="16"/>
          <w:color w:val="auto"/>
        </w:rPr>
      </w:pPr>
    </w:p>
    <w:p>
      <w:pPr>
        <w:ind w:left="677"/>
        <w:spacing w:after="0"/>
        <w:rPr>
          <w:rFonts w:ascii="Arial" w:cs="Arial" w:eastAsia="Arial" w:hAnsi="Arial"/>
          <w:sz w:val="16"/>
          <w:szCs w:val="16"/>
          <w:color w:val="auto"/>
        </w:rPr>
      </w:pPr>
      <w:r>
        <w:rPr>
          <w:rFonts w:ascii="Arial" w:cs="Arial" w:eastAsia="Arial" w:hAnsi="Arial"/>
          <w:sz w:val="15"/>
          <w:szCs w:val="15"/>
          <w:color w:val="auto"/>
        </w:rPr>
        <w:t>9,936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36195</wp:posOffset>
            </wp:positionV>
            <wp:extent cx="74549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45490" cy="8255"/>
                    </a:xfrm>
                    <a:prstGeom prst="rect">
                      <a:avLst/>
                    </a:prstGeom>
                    <a:noFill/>
                  </pic:spPr>
                </pic:pic>
              </a:graphicData>
            </a:graphic>
          </wp:anchor>
        </w:drawing>
      </w:r>
    </w:p>
    <w:p>
      <w:pPr>
        <w:spacing w:after="0" w:line="46" w:lineRule="exact"/>
        <w:rPr>
          <w:sz w:val="20"/>
          <w:szCs w:val="20"/>
          <w:color w:val="auto"/>
        </w:rPr>
      </w:pPr>
    </w:p>
    <w:p>
      <w:pPr>
        <w:ind w:left="357" w:hanging="357"/>
        <w:spacing w:after="0"/>
        <w:tabs>
          <w:tab w:leader="none" w:pos="357" w:val="left"/>
        </w:tabs>
        <w:numPr>
          <w:ilvl w:val="0"/>
          <w:numId w:val="57"/>
        </w:numPr>
        <w:rPr>
          <w:rFonts w:ascii="Arial" w:cs="Arial" w:eastAsia="Arial" w:hAnsi="Arial"/>
          <w:sz w:val="16"/>
          <w:szCs w:val="16"/>
          <w:b w:val="1"/>
          <w:bCs w:val="1"/>
          <w:color w:val="auto"/>
        </w:rPr>
      </w:pPr>
      <w:r>
        <w:rPr>
          <w:rFonts w:ascii="Arial" w:cs="Arial" w:eastAsia="Arial" w:hAnsi="Arial"/>
          <w:sz w:val="16"/>
          <w:szCs w:val="16"/>
          <w:b w:val="1"/>
          <w:bCs w:val="1"/>
          <w:color w:val="auto"/>
        </w:rPr>
        <w:t>1,324,485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31750</wp:posOffset>
            </wp:positionV>
            <wp:extent cx="74549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45490"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57785</wp:posOffset>
            </wp:positionV>
            <wp:extent cx="74549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45490" cy="8255"/>
                    </a:xfrm>
                    <a:prstGeom prst="rect">
                      <a:avLst/>
                    </a:prstGeom>
                    <a:noFill/>
                  </pic:spPr>
                </pic:pic>
              </a:graphicData>
            </a:graphic>
          </wp:anchor>
        </w:drawing>
      </w:r>
    </w:p>
    <w:p>
      <w:pPr>
        <w:spacing w:after="0" w:line="807" w:lineRule="exact"/>
        <w:rPr>
          <w:sz w:val="20"/>
          <w:szCs w:val="20"/>
          <w:color w:val="auto"/>
        </w:rPr>
      </w:pPr>
    </w:p>
    <w:p>
      <w:pPr>
        <w:sectPr>
          <w:pgSz w:w="11900" w:h="16838" w:orient="portrait"/>
          <w:cols w:equalWidth="0" w:num="2">
            <w:col w:w="9363" w:space="720"/>
            <w:col w:w="1137"/>
          </w:cols>
          <w:pgMar w:left="320" w:top="989" w:right="359" w:bottom="1440" w:gutter="0" w:footer="0" w:header="0"/>
          <w:type w:val="continuous"/>
        </w:sectPr>
      </w:pPr>
    </w:p>
    <w:p>
      <w:pPr>
        <w:spacing w:after="0" w:line="25"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In September 2020, the Company entered into an arrangement with Ayar to issue and sell Series E convertible preferred stock pursuant to a securities purchase agreement (the “SPAE”). Along with the execution of the SPAE, the Company granted Ayar the right to purchase additional Series E convertible preferred stock upon the Company’s satisfaction of certain milestones in November 2020. The Company determined Ayar’s right to participate in future Series E convertible preferred stock financing to be freestanding, similar to a derivative liability in the form of contingent forward contracts, and recorded the initial valuation of $0.8 million as a contingent forward contract liability. The contingent forward contract terms were included within the SPAE, which dictated a price of $2.99 per share of Series E convertible preferred stock. The Company needed to satisfy two sets of milestone conditions relating to further development and enhancement in marketing, product, and administrative activities for Ayar to provide funding under the SPAE.</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auto"/>
        </w:rPr>
        <w:t>Immediately upon closing of the SPAE, the Company received the full first tranche of $500.0 million in funding in exchange for 167,273,525 Series 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convertible preferred stock as the requirement for the first milestones were met prior to execution of the purchase agreement. Subsequently, the Company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successfully satisfied certain of the second set of milestones and received a waiver from PIF for the remaining milestones; and on December 24, 2020,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investor provided $400.0 million of funding in exchange for 133,818,821 shares as the final issuance of Series E convertible preferred stock related to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second milestones. Upon final settlement, the Company re-valued the liability associated with the contingent forward contract to the then fair value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$110.5 million from a contingent liability of $0.8 million and derecognized the liability as the contract was settled in its entirety. The Company recognized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increase in fair value of $109.7 million in the consolidated statements of operations and reclassified the liability into convertible preferred stock on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Company’s consolidated balance sheets as of December 31, 2020.</w:t>
      </w:r>
    </w:p>
    <w:p>
      <w:pPr>
        <w:spacing w:after="0" w:line="21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February 2021, the Company and Ayar entered into Amendment No. 1 to the original Series E Preferred Stock Purchase Agreement (“Amendment No. 1”). Under the Amendment No. 1, Ayar and the Company agreed to enter into the third closing of additional 133,818,821 shares of Series E convertible preferred stock at $2.99 per share, aggregating to $400.0 million. Upon the signing of the Amendment No. 1, the Company received the issuance proceeds of $400.0 million from Ayar in February 2021.</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9" w:right="359" w:bottom="1440" w:gutter="0" w:footer="0" w:header="0"/>
          <w:type w:val="continuous"/>
        </w:sectPr>
      </w:pPr>
    </w:p>
    <w:bookmarkStart w:id="115" w:name="page116"/>
    <w:bookmarkEnd w:id="115"/>
    <w:p>
      <w:pPr>
        <w:ind w:right="120"/>
        <w:spacing w:after="0" w:line="293" w:lineRule="auto"/>
        <w:rPr>
          <w:sz w:val="20"/>
          <w:szCs w:val="20"/>
          <w:color w:val="auto"/>
        </w:rPr>
      </w:pPr>
      <w:r>
        <w:rPr>
          <w:rFonts w:ascii="Arial" w:cs="Arial" w:eastAsia="Arial" w:hAnsi="Arial"/>
          <w:sz w:val="16"/>
          <w:szCs w:val="16"/>
          <w:color w:val="auto"/>
        </w:rPr>
        <w:t>Amendment No. 1 also allowed the Company to provide an opportunity to all current convertible preferred stockholders other than Ayar (“Eligible Holders”) to enter into the fourth closing to purchase up to 23,737,221 shares of Series E convertible preferred stock on a pro rata basis at $2.99 per share, aggregating to $71.0 million. In addition, the amendment allowed the Company to offer for purchase at the fourth closing at $2.99 per share, a number of Series E Preferred Stock to senior management employees, directors, consultants, advisors and/or contractors of the Company (“Additional Purchasers”). The aggregate number of Series E Preferred Stock sold at the third closing and fourth closing would not exceed 200.7 million shares (“Extension Amount”). Ayar committed to purchase the entire Extension Amount to the extent not subscribed by Eligible Holders or Additional Purchasers.</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In April 2021, the Company issued 66,909,408 Series E convertible preferred stock from the fourth closing at $2.99 per share for cash consideration of</w:t>
      </w:r>
    </w:p>
    <w:p>
      <w:pPr>
        <w:spacing w:after="0" w:line="46"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$200.0 million. The Company received $107.1 million of the entire cash consideration in March 2021, and the remaining $92.9 million in April 2021. The Company issued Offer Notices to certain of the Company’s management and members of the Board of Directors in March 2021 and April 2021. The Series E convertible preferred stock issued from the fourth closing included 3,034,194 shares to the Company’s management and 1,658,705 shares to members of the Board of Directors. The total issuance to the Company’s management includes 535,275 shares offered to the CEO in April 2021. The offer to employees to participate in a future Series E convertible preferred stock financing represented a fully vested, equity classified award. The excess of the award’s fair value over the purchase price of $123.6 million on each recipient’s grant date during the year ended December 31, 2021 was recorded as stock-based compensation.</w:t>
      </w:r>
    </w:p>
    <w:p>
      <w:pPr>
        <w:spacing w:after="0" w:line="19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Along with the execution of Amendment No. 1, the Company also increased the authorized number of common shares and convertible preferred stock to 1,316,758,889 and 1,155,909,398 stock,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STOCKHOLDERS’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225"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The Company has authorized the issuance of 10,000,000 shares of undesignated preferred stock with a par value of $0.0001 per share with rights and preferences, including voting rights, designated from time to time by the Board of Directors. As of December 31, 2022 and 2021, there were no issued and outstanding shares of preferred stock.</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225" w:lineRule="exact"/>
        <w:rPr>
          <w:sz w:val="20"/>
          <w:szCs w:val="20"/>
          <w:color w:val="auto"/>
        </w:rPr>
      </w:pPr>
    </w:p>
    <w:p>
      <w:pPr>
        <w:ind w:right="380"/>
        <w:spacing w:after="0" w:line="275" w:lineRule="auto"/>
        <w:rPr>
          <w:sz w:val="20"/>
          <w:szCs w:val="20"/>
          <w:color w:val="auto"/>
        </w:rPr>
      </w:pPr>
      <w:r>
        <w:rPr>
          <w:rFonts w:ascii="Arial" w:cs="Arial" w:eastAsia="Arial" w:hAnsi="Arial"/>
          <w:sz w:val="17"/>
          <w:szCs w:val="17"/>
          <w:color w:val="auto"/>
        </w:rPr>
        <w:t>On July 23, 2021, in connection with the reverse recapitalization treatment of the Merger, the Company effectively issued 425,395,023 new shares of common stock upon the Closing. The Company also converted all 1,155,909,367 shares of its issued and outstanding convertible preferred stock into 1,155,909,367 new shares of common stock as of the Closing of the Merger based upon the conversion rate as calculated pursuant to Legacy Lucid’s memorandum and articles of association. Immediately following the Merger, there were 1,618,621,534 shares of common stock outstanding with a par value of $0.0001. The holder of each share of common stock is entitled to one vote.</w:t>
      </w:r>
    </w:p>
    <w:p>
      <w:pPr>
        <w:spacing w:after="0" w:line="1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November 8, 2022, the Company entered into the Equity Distribution Agreement with BofA Securities, Inc., Barclays Capital Inc. and Citigroup Global Markets Inc., under which the Company could offer and sell shares of its common stock having an aggregate offering price up to $600.0 million. During the year ended December 31, 2022, the Company issued 56,203,334 shares at a weighted average price per share of $10.68 and received net proceeds of $594.3 million after deducting commissions and other issuance costs of approximately $5.7 million. No shares remain available for sale under the Equity Distribution Agreement.</w:t>
      </w:r>
    </w:p>
    <w:p>
      <w:pPr>
        <w:spacing w:after="0" w:line="2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November 8, 2022, the Company also entered into the Subscription Agreement, pursuant to which Ayar agreed to purchase from the Company, up to $915.0 million of shares of its common stock in one or more private placements through March 31, 2023. In December 2022, the Company issued 85,712,679 shares to Ayar pursuant to the Subscription Agreement at a weighted average price per share of $10.68, and received aggregate proceeds of $915.0 million.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Warrants</w:t>
      </w:r>
    </w:p>
    <w:p>
      <w:pPr>
        <w:spacing w:after="0" w:line="22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On July 23, 2021, in connection with the reverse recapitalization treatment of the Merger, the Company effectively issued 41,400,000 publicly-traded warrants to purchase shares of its common stock. Each whole warrant entitled the holder to purchase one share of the Company’s common stock at a price of $11.50 per share. The Public Warrants were exercisable as of August 22, 2021 and expire on July 23, 2026, if not yet exercised by the holder or redeemed by the Company.</w:t>
      </w:r>
    </w:p>
    <w:p>
      <w:pPr>
        <w:spacing w:after="0" w:line="187"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During the year ended December 31, 2021, an aggregate of 41,034,197 Public Warrants were exercised, of which 25,966,976 were exercised on a cashless basis. The aggregate cash proceeds received from the exercise of these Public Warrants were $173.3 million. The Company redeemed the remaining 365,803 Public Warrants that were not exercised by the holders at a redemption price of $0.01 per warrant.</w:t>
      </w:r>
    </w:p>
    <w:p>
      <w:pPr>
        <w:sectPr>
          <w:pgSz w:w="11900" w:h="16838" w:orient="portrait"/>
          <w:cols w:equalWidth="0" w:num="1">
            <w:col w:w="11240"/>
          </w:cols>
          <w:pgMar w:left="320" w:top="989" w:right="339" w:bottom="1440" w:gutter="0" w:footer="0" w:header="0"/>
        </w:sectPr>
      </w:pP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109855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type w:val="continuous"/>
        </w:sectPr>
      </w:pPr>
    </w:p>
    <w:bookmarkStart w:id="116" w:name="page117"/>
    <w:bookmarkEnd w:id="116"/>
    <w:p>
      <w:pPr>
        <w:spacing w:after="0"/>
        <w:rPr>
          <w:sz w:val="20"/>
          <w:szCs w:val="20"/>
          <w:color w:val="auto"/>
        </w:rPr>
      </w:pPr>
      <w:r>
        <w:rPr>
          <w:rFonts w:ascii="Arial" w:cs="Arial" w:eastAsia="Arial" w:hAnsi="Arial"/>
          <w:sz w:val="18"/>
          <w:szCs w:val="18"/>
          <w:color w:val="auto"/>
        </w:rPr>
        <w:t>A summary of activity of the Company’s issued and outstanding Public Warrants was as follows: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560" w:type="dxa"/>
            <w:vAlign w:val="bottom"/>
          </w:tcPr>
          <w:p>
            <w:pPr>
              <w:spacing w:after="0"/>
              <w:rPr>
                <w:sz w:val="14"/>
                <w:szCs w:val="14"/>
                <w:color w:val="auto"/>
              </w:rPr>
            </w:pPr>
          </w:p>
        </w:tc>
        <w:tc>
          <w:tcPr>
            <w:tcW w:w="1680" w:type="dxa"/>
            <w:vAlign w:val="bottom"/>
          </w:tcPr>
          <w:p>
            <w:pPr>
              <w:jc w:val="right"/>
              <w:ind w:right="336"/>
              <w:spacing w:after="0"/>
              <w:rPr>
                <w:sz w:val="20"/>
                <w:szCs w:val="20"/>
                <w:color w:val="auto"/>
              </w:rPr>
            </w:pPr>
            <w:r>
              <w:rPr>
                <w:rFonts w:ascii="Arial" w:cs="Arial" w:eastAsia="Arial" w:hAnsi="Arial"/>
                <w:sz w:val="14"/>
                <w:szCs w:val="14"/>
                <w:b w:val="1"/>
                <w:bCs w:val="1"/>
                <w:color w:val="auto"/>
              </w:rPr>
              <w:t>December 31,</w:t>
            </w:r>
          </w:p>
        </w:tc>
      </w:tr>
      <w:tr>
        <w:trPr>
          <w:trHeight w:val="192"/>
        </w:trPr>
        <w:tc>
          <w:tcPr>
            <w:tcW w:w="9560" w:type="dxa"/>
            <w:vAlign w:val="bottom"/>
            <w:tcBorders>
              <w:bottom w:val="single" w:sz="8" w:color="CCEEFF"/>
            </w:tcBorders>
          </w:tcPr>
          <w:p>
            <w:pPr>
              <w:spacing w:after="0"/>
              <w:rPr>
                <w:sz w:val="16"/>
                <w:szCs w:val="16"/>
                <w:color w:val="auto"/>
              </w:rPr>
            </w:pPr>
          </w:p>
        </w:tc>
        <w:tc>
          <w:tcPr>
            <w:tcW w:w="1680" w:type="dxa"/>
            <w:vAlign w:val="bottom"/>
            <w:tcBorders>
              <w:bottom w:val="single" w:sz="8" w:color="auto"/>
            </w:tcBorders>
          </w:tcPr>
          <w:p>
            <w:pPr>
              <w:jc w:val="right"/>
              <w:ind w:right="616"/>
              <w:spacing w:after="0"/>
              <w:rPr>
                <w:sz w:val="20"/>
                <w:szCs w:val="20"/>
                <w:color w:val="auto"/>
              </w:rPr>
            </w:pPr>
            <w:r>
              <w:rPr>
                <w:rFonts w:ascii="Arial" w:cs="Arial" w:eastAsia="Arial" w:hAnsi="Arial"/>
                <w:sz w:val="14"/>
                <w:szCs w:val="14"/>
                <w:b w:val="1"/>
                <w:bCs w:val="1"/>
                <w:color w:val="auto"/>
              </w:rPr>
              <w:t>2021</w:t>
            </w:r>
          </w:p>
        </w:tc>
      </w:tr>
      <w:tr>
        <w:trPr>
          <w:trHeight w:val="229"/>
        </w:trPr>
        <w:tc>
          <w:tcPr>
            <w:tcW w:w="9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Public Warrants issued in connection with Merger on July 23, 2021</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41,400,000</w:t>
            </w:r>
          </w:p>
        </w:tc>
      </w:tr>
      <w:tr>
        <w:trPr>
          <w:trHeight w:val="229"/>
        </w:trPr>
        <w:tc>
          <w:tcPr>
            <w:tcW w:w="9560" w:type="dxa"/>
            <w:vAlign w:val="bottom"/>
          </w:tcPr>
          <w:p>
            <w:pPr>
              <w:ind w:left="20"/>
              <w:spacing w:after="0"/>
              <w:rPr>
                <w:sz w:val="20"/>
                <w:szCs w:val="20"/>
                <w:color w:val="auto"/>
              </w:rPr>
            </w:pPr>
            <w:r>
              <w:rPr>
                <w:rFonts w:ascii="Arial" w:cs="Arial" w:eastAsia="Arial" w:hAnsi="Arial"/>
                <w:sz w:val="18"/>
                <w:szCs w:val="18"/>
                <w:color w:val="auto"/>
              </w:rPr>
              <w:t>Number of Public Warrants exercised</w:t>
            </w:r>
          </w:p>
        </w:tc>
        <w:tc>
          <w:tcPr>
            <w:tcW w:w="1680" w:type="dxa"/>
            <w:vAlign w:val="bottom"/>
          </w:tcPr>
          <w:p>
            <w:pPr>
              <w:jc w:val="right"/>
              <w:spacing w:after="0"/>
              <w:rPr>
                <w:sz w:val="20"/>
                <w:szCs w:val="20"/>
                <w:color w:val="auto"/>
              </w:rPr>
            </w:pPr>
            <w:r>
              <w:rPr>
                <w:rFonts w:ascii="Arial" w:cs="Arial" w:eastAsia="Arial" w:hAnsi="Arial"/>
                <w:sz w:val="18"/>
                <w:szCs w:val="18"/>
                <w:color w:val="auto"/>
              </w:rPr>
              <w:t>(41,034,197)</w:t>
            </w:r>
          </w:p>
        </w:tc>
      </w:tr>
      <w:tr>
        <w:trPr>
          <w:trHeight w:val="230"/>
        </w:trPr>
        <w:tc>
          <w:tcPr>
            <w:tcW w:w="9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Public Warrants redeemed</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(365,803)</w:t>
            </w:r>
          </w:p>
        </w:tc>
      </w:tr>
      <w:tr>
        <w:trPr>
          <w:trHeight w:val="223"/>
        </w:trPr>
        <w:tc>
          <w:tcPr>
            <w:tcW w:w="9560" w:type="dxa"/>
            <w:vAlign w:val="bottom"/>
          </w:tcPr>
          <w:p>
            <w:pPr>
              <w:ind w:left="20"/>
              <w:spacing w:after="0"/>
              <w:rPr>
                <w:sz w:val="20"/>
                <w:szCs w:val="20"/>
                <w:color w:val="auto"/>
              </w:rPr>
            </w:pPr>
            <w:r>
              <w:rPr>
                <w:rFonts w:ascii="Arial" w:cs="Arial" w:eastAsia="Arial" w:hAnsi="Arial"/>
                <w:sz w:val="18"/>
                <w:szCs w:val="18"/>
                <w:color w:val="auto"/>
              </w:rPr>
              <w:t>Issued and outstanding Public Warrants as of December 31, 2021</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1"/>
        </w:trPr>
        <w:tc>
          <w:tcPr>
            <w:tcW w:w="956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Treasury Stock</w:t>
      </w:r>
    </w:p>
    <w:p>
      <w:pPr>
        <w:spacing w:after="0" w:line="252"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During the year ended December 31, 2021, the Company repurchased an aggregate of 857,825 shares of its common stock, including 712,742 shares from certain employees and 145,083 shares from Board of Directors of the Company’s predecessor, Atieva, Inc. at $24.15 per share. No common stock was repurchased during the year ended December 31, 2022.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Reserved for Issuance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Company’s common stock reserved for future issuances as of December 31, 2022 was as follows: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960" w:type="dxa"/>
            <w:vAlign w:val="bottom"/>
          </w:tcPr>
          <w:p>
            <w:pPr>
              <w:spacing w:after="0"/>
              <w:rPr>
                <w:sz w:val="14"/>
                <w:szCs w:val="14"/>
                <w:color w:val="auto"/>
              </w:rPr>
            </w:pPr>
          </w:p>
        </w:tc>
        <w:tc>
          <w:tcPr>
            <w:tcW w:w="1280" w:type="dxa"/>
            <w:vAlign w:val="bottom"/>
          </w:tcPr>
          <w:p>
            <w:pPr>
              <w:jc w:val="right"/>
              <w:ind w:right="135"/>
              <w:spacing w:after="0"/>
              <w:rPr>
                <w:sz w:val="20"/>
                <w:szCs w:val="20"/>
                <w:color w:val="auto"/>
              </w:rPr>
            </w:pPr>
            <w:r>
              <w:rPr>
                <w:rFonts w:ascii="Arial" w:cs="Arial" w:eastAsia="Arial" w:hAnsi="Arial"/>
                <w:sz w:val="14"/>
                <w:szCs w:val="14"/>
                <w:b w:val="1"/>
                <w:bCs w:val="1"/>
                <w:color w:val="auto"/>
              </w:rPr>
              <w:t>December 31,</w:t>
            </w:r>
          </w:p>
        </w:tc>
      </w:tr>
      <w:tr>
        <w:trPr>
          <w:trHeight w:val="196"/>
        </w:trPr>
        <w:tc>
          <w:tcPr>
            <w:tcW w:w="9960" w:type="dxa"/>
            <w:vAlign w:val="bottom"/>
            <w:tcBorders>
              <w:bottom w:val="single" w:sz="8" w:color="CCEEFF"/>
            </w:tcBorders>
          </w:tcPr>
          <w:p>
            <w:pPr>
              <w:spacing w:after="0"/>
              <w:rPr>
                <w:sz w:val="17"/>
                <w:szCs w:val="17"/>
                <w:color w:val="auto"/>
              </w:rPr>
            </w:pPr>
          </w:p>
        </w:tc>
        <w:tc>
          <w:tcPr>
            <w:tcW w:w="128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2022</w:t>
            </w:r>
          </w:p>
        </w:tc>
      </w:tr>
      <w:tr>
        <w:trPr>
          <w:trHeight w:val="230"/>
        </w:trPr>
        <w:tc>
          <w:tcPr>
            <w:tcW w:w="9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Private Placement Warrants to purchase common stock</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44,350,000</w:t>
            </w:r>
          </w:p>
        </w:tc>
      </w:tr>
      <w:tr>
        <w:trPr>
          <w:trHeight w:val="229"/>
        </w:trPr>
        <w:tc>
          <w:tcPr>
            <w:tcW w:w="9960" w:type="dxa"/>
            <w:vAlign w:val="bottom"/>
          </w:tcPr>
          <w:p>
            <w:pPr>
              <w:ind w:left="20"/>
              <w:spacing w:after="0"/>
              <w:rPr>
                <w:sz w:val="20"/>
                <w:szCs w:val="20"/>
                <w:color w:val="auto"/>
              </w:rPr>
            </w:pPr>
            <w:r>
              <w:rPr>
                <w:rFonts w:ascii="Arial" w:cs="Arial" w:eastAsia="Arial" w:hAnsi="Arial"/>
                <w:sz w:val="18"/>
                <w:szCs w:val="18"/>
                <w:color w:val="auto"/>
              </w:rPr>
              <w:t>Stock options outstanding</w:t>
            </w:r>
          </w:p>
        </w:tc>
        <w:tc>
          <w:tcPr>
            <w:tcW w:w="1280" w:type="dxa"/>
            <w:vAlign w:val="bottom"/>
          </w:tcPr>
          <w:p>
            <w:pPr>
              <w:jc w:val="right"/>
              <w:spacing w:after="0"/>
              <w:rPr>
                <w:sz w:val="20"/>
                <w:szCs w:val="20"/>
                <w:color w:val="auto"/>
              </w:rPr>
            </w:pPr>
            <w:r>
              <w:rPr>
                <w:rFonts w:ascii="Arial" w:cs="Arial" w:eastAsia="Arial" w:hAnsi="Arial"/>
                <w:sz w:val="18"/>
                <w:szCs w:val="18"/>
                <w:color w:val="auto"/>
              </w:rPr>
              <w:t>39,011,116</w:t>
            </w:r>
          </w:p>
        </w:tc>
      </w:tr>
      <w:tr>
        <w:trPr>
          <w:trHeight w:val="229"/>
        </w:trPr>
        <w:tc>
          <w:tcPr>
            <w:tcW w:w="9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stock units outstanding</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40,660,438</w:t>
            </w:r>
          </w:p>
        </w:tc>
      </w:tr>
      <w:tr>
        <w:trPr>
          <w:trHeight w:val="230"/>
        </w:trPr>
        <w:tc>
          <w:tcPr>
            <w:tcW w:w="9960" w:type="dxa"/>
            <w:vAlign w:val="bottom"/>
          </w:tcPr>
          <w:p>
            <w:pPr>
              <w:ind w:left="20"/>
              <w:spacing w:after="0"/>
              <w:rPr>
                <w:sz w:val="20"/>
                <w:szCs w:val="20"/>
                <w:color w:val="auto"/>
              </w:rPr>
            </w:pPr>
            <w:r>
              <w:rPr>
                <w:rFonts w:ascii="Arial" w:cs="Arial" w:eastAsia="Arial" w:hAnsi="Arial"/>
                <w:sz w:val="18"/>
                <w:szCs w:val="18"/>
                <w:color w:val="auto"/>
              </w:rPr>
              <w:t>Shares available for future grants under equity plans</w:t>
            </w:r>
          </w:p>
        </w:tc>
        <w:tc>
          <w:tcPr>
            <w:tcW w:w="1280" w:type="dxa"/>
            <w:vAlign w:val="bottom"/>
          </w:tcPr>
          <w:p>
            <w:pPr>
              <w:jc w:val="right"/>
              <w:spacing w:after="0"/>
              <w:rPr>
                <w:sz w:val="20"/>
                <w:szCs w:val="20"/>
                <w:color w:val="auto"/>
              </w:rPr>
            </w:pPr>
            <w:r>
              <w:rPr>
                <w:rFonts w:ascii="Arial" w:cs="Arial" w:eastAsia="Arial" w:hAnsi="Arial"/>
                <w:sz w:val="18"/>
                <w:szCs w:val="18"/>
                <w:color w:val="auto"/>
              </w:rPr>
              <w:t>26,826,282</w:t>
            </w:r>
          </w:p>
        </w:tc>
      </w:tr>
      <w:tr>
        <w:trPr>
          <w:trHeight w:val="229"/>
        </w:trPr>
        <w:tc>
          <w:tcPr>
            <w:tcW w:w="9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If-converted common shares from convertible note</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36,737,785</w:t>
            </w:r>
          </w:p>
        </w:tc>
      </w:tr>
      <w:tr>
        <w:trPr>
          <w:trHeight w:val="223"/>
        </w:trPr>
        <w:tc>
          <w:tcPr>
            <w:tcW w:w="9960" w:type="dxa"/>
            <w:vAlign w:val="bottom"/>
          </w:tcPr>
          <w:p>
            <w:pPr>
              <w:ind w:left="20"/>
              <w:spacing w:after="0"/>
              <w:rPr>
                <w:sz w:val="20"/>
                <w:szCs w:val="20"/>
                <w:color w:val="auto"/>
              </w:rPr>
            </w:pPr>
            <w:r>
              <w:rPr>
                <w:rFonts w:ascii="Arial" w:cs="Arial" w:eastAsia="Arial" w:hAnsi="Arial"/>
                <w:sz w:val="18"/>
                <w:szCs w:val="18"/>
                <w:color w:val="auto"/>
              </w:rPr>
              <w:t>Total shares of common stock reserved</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187,585,621</w:t>
            </w:r>
          </w:p>
        </w:tc>
      </w:tr>
      <w:tr>
        <w:trPr>
          <w:trHeight w:val="21"/>
        </w:trPr>
        <w:tc>
          <w:tcPr>
            <w:tcW w:w="996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EARNBACK SHARES AND WARRANTS</w:t>
      </w:r>
    </w:p>
    <w:p>
      <w:pPr>
        <w:spacing w:after="0" w:line="229"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During the period between the Closing and the five-year anniversary of the Closing, the Churchill Sponsor has subjected the 17,250,000 Sponsor Earnback Shares of issued and outstanding common stock and 14,783,333 Sponsor Earnback Warrants of issued and outstanding Private Placement Warrants to potential forfeiture to Lucid for no consideration until the occurrence of each tranche’s respective earnback triggering event. The earnback triggering events related to achieving a volume-weighted average trading sale price greater than or equal to $20.00, $25.00, and $30.00, respectively, for any 40 trading days within any 60 consecutive trading day period were satisfied during the year ended December 31, 2021. As a result, the 17,250,000 Sponsor Earnback Shares of issued and outstanding common stock and 14,783,333 Sponsor Earnback Warrants of issued and outstanding Private Placement Warrants were vested and no longer subject to the transfer restrictions and contingent forfeiture provisions.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STOCK-BASED AWARDS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Legacy Lucid 2021 Stock Incentive Plan</w:t>
      </w:r>
    </w:p>
    <w:p>
      <w:pPr>
        <w:spacing w:after="0" w:line="225"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In January 2021, the Company’s Board of Directors adopted and the stockholders approved the 2021 Stock Incentive Plan (the “2021 Plan”). The 2021 Plan replaced the Company’s 2014 Plan, adopted by the Board of Directors in May 2014 (the “2014 Plan”). The 10,526,235 shares reserved for future issuance under the 2014 Plan were removed and added to the share reserve under the 2021 Plan. The 2021 Plan provided for the grant of incentive stock options, non-statutory stock options, restricted shares, restricted stock units (“RSU”), share appreciation rights, performance-based awards and cash-based awards to the Company’s employees, directors, and consultants.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Lucid 2021 Stock Incentive Plan and ESPP</w:t>
      </w:r>
    </w:p>
    <w:p>
      <w:pPr>
        <w:spacing w:after="0" w:line="22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 July 2021, the Company’s Board of Directors adopted and the stockholders approved the 2021 Incentive Plan (the “2021 Incentive Plan”), which includes an ESPP as an addendum. The 2021 Incentive Plan replaced the 2021 Plan. The 2021 Incentive Plan provides for the grant of restricted shares, non-qualified stock options, incentive stock options, unrestricted shares, stock appreciation rights, restricted stock units and cash awards. Shares of common stock underlying awards that are forfeited or cancelled generally are returned to the pool of shares available for issuance under the 2021 Incentive Plan.</w:t>
      </w:r>
    </w:p>
    <w:p>
      <w:pPr>
        <w:sectPr>
          <w:pgSz w:w="11900" w:h="16838" w:orient="portrait"/>
          <w:cols w:equalWidth="0" w:num="1">
            <w:col w:w="11240"/>
          </w:cols>
          <w:pgMar w:left="320" w:top="989" w:right="339" w:bottom="1440" w:gutter="0" w:footer="0" w:header="0"/>
        </w:sect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100965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type w:val="continuous"/>
        </w:sectPr>
      </w:pPr>
    </w:p>
    <w:bookmarkStart w:id="117" w:name="page118"/>
    <w:bookmarkEnd w:id="117"/>
    <w:p>
      <w:pPr>
        <w:ind w:right="620"/>
        <w:spacing w:after="0" w:line="277" w:lineRule="auto"/>
        <w:rPr>
          <w:sz w:val="20"/>
          <w:szCs w:val="20"/>
          <w:color w:val="auto"/>
        </w:rPr>
      </w:pPr>
      <w:r>
        <w:rPr>
          <w:rFonts w:ascii="Arial" w:cs="Arial" w:eastAsia="Arial" w:hAnsi="Arial"/>
          <w:sz w:val="18"/>
          <w:szCs w:val="18"/>
          <w:color w:val="auto"/>
        </w:rPr>
        <w:t>The number of shares of common stock that remain available for issuance under the 2021 Incentive Plan, including the ESPP, was 26,826,282 as of December 31, 2022.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2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Company’s outstanding stock options generally expire 10 years from the date of grant and are exercisable when the options vest. Incentive stock options and non-statutory options generally vest over four years, the majority of which vest at a rate of 25% on the first anniversary of the grant date, with the remainder vesting ratably each month over the next three years. A summary of stock option activity for the year ended December 31, 2022 was as follows:</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40" w:type="dxa"/>
            <w:vAlign w:val="bottom"/>
            <w:gridSpan w:val="4"/>
          </w:tcPr>
          <w:p>
            <w:pPr>
              <w:ind w:left="960"/>
              <w:spacing w:after="0"/>
              <w:rPr>
                <w:sz w:val="20"/>
                <w:szCs w:val="20"/>
                <w:color w:val="auto"/>
              </w:rPr>
            </w:pPr>
            <w:r>
              <w:rPr>
                <w:rFonts w:ascii="Arial" w:cs="Arial" w:eastAsia="Arial" w:hAnsi="Arial"/>
                <w:sz w:val="14"/>
                <w:szCs w:val="14"/>
                <w:b w:val="1"/>
                <w:bCs w:val="1"/>
                <w:color w:val="auto"/>
              </w:rPr>
              <w:t>Outstanding Options</w:t>
            </w:r>
          </w:p>
        </w:tc>
        <w:tc>
          <w:tcPr>
            <w:tcW w:w="18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26"/>
        </w:trPr>
        <w:tc>
          <w:tcPr>
            <w:tcW w:w="524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160"/>
        </w:trPr>
        <w:tc>
          <w:tcPr>
            <w:tcW w:w="52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20" w:type="dxa"/>
            <w:vAlign w:val="bottom"/>
            <w:gridSpan w:val="2"/>
          </w:tcPr>
          <w:p>
            <w:pPr>
              <w:jc w:val="center"/>
              <w:ind w:right="80"/>
              <w:spacing w:after="0" w:line="160" w:lineRule="exact"/>
              <w:rPr>
                <w:sz w:val="20"/>
                <w:szCs w:val="20"/>
                <w:color w:val="auto"/>
              </w:rPr>
            </w:pPr>
            <w:r>
              <w:rPr>
                <w:rFonts w:ascii="Arial" w:cs="Arial" w:eastAsia="Arial" w:hAnsi="Arial"/>
                <w:sz w:val="14"/>
                <w:szCs w:val="14"/>
                <w:b w:val="1"/>
                <w:bCs w:val="1"/>
                <w:color w:val="auto"/>
                <w:w w:val="91"/>
              </w:rPr>
              <w:t>Weighted-Average</w:t>
            </w:r>
          </w:p>
        </w:tc>
        <w:tc>
          <w:tcPr>
            <w:tcW w:w="180" w:type="dxa"/>
            <w:vAlign w:val="bottom"/>
          </w:tcPr>
          <w:p>
            <w:pPr>
              <w:spacing w:after="0"/>
              <w:rPr>
                <w:sz w:val="13"/>
                <w:szCs w:val="13"/>
                <w:color w:val="auto"/>
              </w:rPr>
            </w:pPr>
          </w:p>
        </w:tc>
        <w:tc>
          <w:tcPr>
            <w:tcW w:w="1380" w:type="dxa"/>
            <w:vAlign w:val="bottom"/>
          </w:tcPr>
          <w:p>
            <w:pPr>
              <w:spacing w:after="0"/>
              <w:rPr>
                <w:sz w:val="13"/>
                <w:szCs w:val="13"/>
                <w:color w:val="auto"/>
              </w:rPr>
            </w:pPr>
          </w:p>
        </w:tc>
      </w:tr>
      <w:tr>
        <w:trPr>
          <w:trHeight w:val="162"/>
        </w:trPr>
        <w:tc>
          <w:tcPr>
            <w:tcW w:w="5240" w:type="dxa"/>
            <w:vAlign w:val="bottom"/>
          </w:tcPr>
          <w:p>
            <w:pPr>
              <w:spacing w:after="0"/>
              <w:rPr>
                <w:sz w:val="14"/>
                <w:szCs w:val="14"/>
                <w:color w:val="auto"/>
              </w:rPr>
            </w:pPr>
          </w:p>
        </w:tc>
        <w:tc>
          <w:tcPr>
            <w:tcW w:w="1180" w:type="dxa"/>
            <w:vAlign w:val="bottom"/>
          </w:tcPr>
          <w:p>
            <w:pPr>
              <w:jc w:val="right"/>
              <w:ind w:right="175"/>
              <w:spacing w:after="0"/>
              <w:rPr>
                <w:sz w:val="20"/>
                <w:szCs w:val="20"/>
                <w:color w:val="auto"/>
              </w:rPr>
            </w:pPr>
            <w:r>
              <w:rPr>
                <w:rFonts w:ascii="Arial" w:cs="Arial" w:eastAsia="Arial" w:hAnsi="Arial"/>
                <w:sz w:val="14"/>
                <w:szCs w:val="14"/>
                <w:b w:val="1"/>
                <w:bCs w:val="1"/>
                <w:color w:val="auto"/>
              </w:rPr>
              <w:t>Number of</w:t>
            </w:r>
          </w:p>
        </w:tc>
        <w:tc>
          <w:tcPr>
            <w:tcW w:w="80" w:type="dxa"/>
            <w:vAlign w:val="bottom"/>
          </w:tcPr>
          <w:p>
            <w:pPr>
              <w:spacing w:after="0"/>
              <w:rPr>
                <w:sz w:val="14"/>
                <w:szCs w:val="14"/>
                <w:color w:val="auto"/>
              </w:rPr>
            </w:pPr>
          </w:p>
        </w:tc>
        <w:tc>
          <w:tcPr>
            <w:tcW w:w="1260" w:type="dxa"/>
            <w:vAlign w:val="bottom"/>
            <w:gridSpan w:val="3"/>
          </w:tcPr>
          <w:p>
            <w:pPr>
              <w:ind w:left="20"/>
              <w:spacing w:after="0"/>
              <w:rPr>
                <w:sz w:val="20"/>
                <w:szCs w:val="20"/>
                <w:color w:val="auto"/>
              </w:rPr>
            </w:pPr>
            <w:r>
              <w:rPr>
                <w:rFonts w:ascii="Arial" w:cs="Arial" w:eastAsia="Arial" w:hAnsi="Arial"/>
                <w:sz w:val="14"/>
                <w:szCs w:val="14"/>
                <w:b w:val="1"/>
                <w:bCs w:val="1"/>
                <w:color w:val="auto"/>
                <w:w w:val="99"/>
              </w:rPr>
              <w:t>Weighted Average</w:t>
            </w:r>
          </w:p>
        </w:tc>
        <w:tc>
          <w:tcPr>
            <w:tcW w:w="19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Remaining Contractual</w:t>
            </w:r>
          </w:p>
        </w:tc>
        <w:tc>
          <w:tcPr>
            <w:tcW w:w="180" w:type="dxa"/>
            <w:vAlign w:val="bottom"/>
          </w:tcPr>
          <w:p>
            <w:pPr>
              <w:spacing w:after="0"/>
              <w:rPr>
                <w:sz w:val="14"/>
                <w:szCs w:val="14"/>
                <w:color w:val="auto"/>
              </w:rPr>
            </w:pPr>
          </w:p>
        </w:tc>
        <w:tc>
          <w:tcPr>
            <w:tcW w:w="1380" w:type="dxa"/>
            <w:vAlign w:val="bottom"/>
          </w:tcPr>
          <w:p>
            <w:pPr>
              <w:jc w:val="right"/>
              <w:ind w:right="137"/>
              <w:spacing w:after="0"/>
              <w:rPr>
                <w:sz w:val="20"/>
                <w:szCs w:val="20"/>
                <w:color w:val="auto"/>
              </w:rPr>
            </w:pPr>
            <w:r>
              <w:rPr>
                <w:rFonts w:ascii="Arial" w:cs="Arial" w:eastAsia="Arial" w:hAnsi="Arial"/>
                <w:sz w:val="14"/>
                <w:szCs w:val="14"/>
                <w:b w:val="1"/>
                <w:bCs w:val="1"/>
                <w:color w:val="auto"/>
                <w:w w:val="97"/>
              </w:rPr>
              <w:t>Intrinsic Value (in</w:t>
            </w:r>
          </w:p>
        </w:tc>
      </w:tr>
      <w:tr>
        <w:trPr>
          <w:trHeight w:val="186"/>
        </w:trPr>
        <w:tc>
          <w:tcPr>
            <w:tcW w:w="5240" w:type="dxa"/>
            <w:vAlign w:val="bottom"/>
          </w:tcPr>
          <w:p>
            <w:pPr>
              <w:spacing w:after="0"/>
              <w:rPr>
                <w:sz w:val="16"/>
                <w:szCs w:val="16"/>
                <w:color w:val="auto"/>
              </w:rPr>
            </w:pPr>
          </w:p>
        </w:tc>
        <w:tc>
          <w:tcPr>
            <w:tcW w:w="1180" w:type="dxa"/>
            <w:vAlign w:val="bottom"/>
          </w:tcPr>
          <w:p>
            <w:pPr>
              <w:jc w:val="right"/>
              <w:ind w:right="255"/>
              <w:spacing w:after="0"/>
              <w:rPr>
                <w:sz w:val="20"/>
                <w:szCs w:val="20"/>
                <w:color w:val="auto"/>
              </w:rPr>
            </w:pPr>
            <w:r>
              <w:rPr>
                <w:rFonts w:ascii="Arial" w:cs="Arial" w:eastAsia="Arial" w:hAnsi="Arial"/>
                <w:sz w:val="14"/>
                <w:szCs w:val="14"/>
                <w:b w:val="1"/>
                <w:bCs w:val="1"/>
                <w:color w:val="auto"/>
              </w:rPr>
              <w:t>Options</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ind w:left="20"/>
              <w:spacing w:after="0"/>
              <w:rPr>
                <w:sz w:val="20"/>
                <w:szCs w:val="20"/>
                <w:color w:val="auto"/>
              </w:rPr>
            </w:pPr>
            <w:r>
              <w:rPr>
                <w:rFonts w:ascii="Arial" w:cs="Arial" w:eastAsia="Arial" w:hAnsi="Arial"/>
                <w:sz w:val="14"/>
                <w:szCs w:val="14"/>
                <w:b w:val="1"/>
                <w:bCs w:val="1"/>
                <w:color w:val="auto"/>
              </w:rPr>
              <w:t>Exercise Price</w:t>
            </w:r>
          </w:p>
        </w:tc>
        <w:tc>
          <w:tcPr>
            <w:tcW w:w="19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Term</w:t>
            </w:r>
          </w:p>
        </w:tc>
        <w:tc>
          <w:tcPr>
            <w:tcW w:w="180" w:type="dxa"/>
            <w:vAlign w:val="bottom"/>
          </w:tcPr>
          <w:p>
            <w:pPr>
              <w:spacing w:after="0"/>
              <w:rPr>
                <w:sz w:val="16"/>
                <w:szCs w:val="16"/>
                <w:color w:val="auto"/>
              </w:rPr>
            </w:pPr>
          </w:p>
        </w:tc>
        <w:tc>
          <w:tcPr>
            <w:tcW w:w="1380" w:type="dxa"/>
            <w:vAlign w:val="bottom"/>
          </w:tcPr>
          <w:p>
            <w:pPr>
              <w:jc w:val="right"/>
              <w:ind w:right="357"/>
              <w:spacing w:after="0"/>
              <w:rPr>
                <w:sz w:val="20"/>
                <w:szCs w:val="20"/>
                <w:color w:val="auto"/>
              </w:rPr>
            </w:pPr>
            <w:r>
              <w:rPr>
                <w:rFonts w:ascii="Arial" w:cs="Arial" w:eastAsia="Arial" w:hAnsi="Arial"/>
                <w:sz w:val="14"/>
                <w:szCs w:val="14"/>
                <w:b w:val="1"/>
                <w:bCs w:val="1"/>
                <w:color w:val="auto"/>
              </w:rPr>
              <w:t>thousands)</w:t>
            </w:r>
          </w:p>
        </w:tc>
      </w:tr>
      <w:tr>
        <w:trPr>
          <w:trHeight w:val="26"/>
        </w:trPr>
        <w:tc>
          <w:tcPr>
            <w:tcW w:w="524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0"/>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December 31, 2021</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64,119,902</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80" w:type="dxa"/>
            <w:vAlign w:val="bottom"/>
            <w:shd w:val="clear" w:color="auto" w:fill="CCEEFF"/>
          </w:tcPr>
          <w:p>
            <w:pPr>
              <w:spacing w:after="0"/>
              <w:rPr>
                <w:sz w:val="21"/>
                <w:szCs w:val="21"/>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2,370,666</w:t>
            </w:r>
          </w:p>
        </w:tc>
      </w:tr>
      <w:tr>
        <w:trPr>
          <w:trHeight w:val="230"/>
        </w:trPr>
        <w:tc>
          <w:tcPr>
            <w:tcW w:w="5240" w:type="dxa"/>
            <w:vAlign w:val="bottom"/>
          </w:tcPr>
          <w:p>
            <w:pPr>
              <w:ind w:left="140"/>
              <w:spacing w:after="0"/>
              <w:rPr>
                <w:sz w:val="20"/>
                <w:szCs w:val="20"/>
                <w:color w:val="auto"/>
              </w:rPr>
            </w:pPr>
            <w:r>
              <w:rPr>
                <w:rFonts w:ascii="Arial" w:cs="Arial" w:eastAsia="Arial" w:hAnsi="Arial"/>
                <w:sz w:val="18"/>
                <w:szCs w:val="18"/>
                <w:color w:val="auto"/>
              </w:rPr>
              <w:t>Options exercised</w:t>
            </w:r>
          </w:p>
        </w:tc>
        <w:tc>
          <w:tcPr>
            <w:tcW w:w="1180" w:type="dxa"/>
            <w:vAlign w:val="bottom"/>
          </w:tcPr>
          <w:p>
            <w:pPr>
              <w:jc w:val="right"/>
              <w:spacing w:after="0"/>
              <w:rPr>
                <w:sz w:val="20"/>
                <w:szCs w:val="20"/>
                <w:color w:val="auto"/>
              </w:rPr>
            </w:pPr>
            <w:r>
              <w:rPr>
                <w:rFonts w:ascii="Arial" w:cs="Arial" w:eastAsia="Arial" w:hAnsi="Arial"/>
                <w:sz w:val="18"/>
                <w:szCs w:val="18"/>
                <w:color w:val="auto"/>
              </w:rPr>
              <w:t>(22,519,879)</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0.79</w:t>
            </w:r>
          </w:p>
        </w:tc>
        <w:tc>
          <w:tcPr>
            <w:tcW w:w="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26"/>
        </w:trPr>
        <w:tc>
          <w:tcPr>
            <w:tcW w:w="5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6"/>
        </w:trPr>
        <w:tc>
          <w:tcPr>
            <w:tcW w:w="52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Options canceled</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(2,588,907)</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80" w:type="dxa"/>
            <w:vAlign w:val="bottom"/>
            <w:tcBorders>
              <w:bottom w:val="single" w:sz="8" w:color="CCEEFF"/>
            </w:tcBorders>
            <w:shd w:val="clear" w:color="auto" w:fill="CCEEFF"/>
          </w:tcPr>
          <w:p>
            <w:pPr>
              <w:spacing w:after="0"/>
              <w:rPr>
                <w:sz w:val="22"/>
                <w:szCs w:val="22"/>
                <w:color w:val="auto"/>
              </w:rPr>
            </w:pPr>
          </w:p>
        </w:tc>
        <w:tc>
          <w:tcPr>
            <w:tcW w:w="18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spacing w:after="0"/>
              <w:rPr>
                <w:sz w:val="22"/>
                <w:szCs w:val="22"/>
                <w:color w:val="auto"/>
              </w:rPr>
            </w:pPr>
          </w:p>
        </w:tc>
      </w:tr>
      <w:tr>
        <w:trPr>
          <w:trHeight w:val="250"/>
        </w:trPr>
        <w:tc>
          <w:tcPr>
            <w:tcW w:w="5240" w:type="dxa"/>
            <w:vAlign w:val="bottom"/>
          </w:tcPr>
          <w:p>
            <w:pPr>
              <w:ind w:left="20"/>
              <w:spacing w:after="0"/>
              <w:rPr>
                <w:sz w:val="20"/>
                <w:szCs w:val="20"/>
                <w:color w:val="auto"/>
              </w:rPr>
            </w:pPr>
            <w:r>
              <w:rPr>
                <w:rFonts w:ascii="Arial" w:cs="Arial" w:eastAsia="Arial" w:hAnsi="Arial"/>
                <w:sz w:val="18"/>
                <w:szCs w:val="18"/>
                <w:color w:val="auto"/>
              </w:rPr>
              <w:t>Balance as of December 31, 2022</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39,011,116</w:t>
            </w: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1.19</w:t>
            </w:r>
          </w:p>
        </w:tc>
        <w:tc>
          <w:tcPr>
            <w:tcW w:w="8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6.52</w:t>
            </w:r>
          </w:p>
        </w:tc>
        <w:tc>
          <w:tcPr>
            <w:tcW w:w="8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224,721</w:t>
            </w:r>
          </w:p>
        </w:tc>
      </w:tr>
      <w:tr>
        <w:trPr>
          <w:trHeight w:val="20"/>
        </w:trPr>
        <w:tc>
          <w:tcPr>
            <w:tcW w:w="524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CCEEFF"/>
            </w:tcBorders>
          </w:tcPr>
          <w:p>
            <w:pPr>
              <w:spacing w:after="0" w:line="20" w:lineRule="exact"/>
              <w:rPr>
                <w:sz w:val="1"/>
                <w:szCs w:val="1"/>
                <w:color w:val="auto"/>
              </w:rPr>
            </w:pPr>
          </w:p>
        </w:tc>
      </w:tr>
      <w:tr>
        <w:trPr>
          <w:trHeight w:val="276"/>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Options vested and exercisable as of December 31, 2022</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29,534,568</w:t>
            </w:r>
          </w:p>
        </w:tc>
        <w:tc>
          <w:tcPr>
            <w:tcW w:w="22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8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6.14</w:t>
            </w: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173,872</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r>
    </w:tbl>
    <w:p>
      <w:pPr>
        <w:spacing w:after="0" w:line="296"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Aggregate intrinsic value represents the difference between the exercise price of the options and the fair value of common shares. The aggregate intrinsic value of options exercised was approximately $475.5 million, $206.7 million and $8.3 million for the years ended December 31, 2022, 2021 and 2020, respectively.</w:t>
      </w:r>
    </w:p>
    <w:p>
      <w:pPr>
        <w:spacing w:after="0" w:line="184"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The total fair value of stock options granted during the years ended December 31, 2021 and 2020, was approximately $24.0 million and $14.8 million, respectively, which is recognized over the respective vesting periods. No stock options were granted during the year ended December 31, 2022. The total fair value of stock options vested during the years ended December 31, 2022, 2021 and 2020, was approximately $5.5 million, $6.2 million and $3.9 million, respectively.</w:t>
      </w:r>
    </w:p>
    <w:p>
      <w:pPr>
        <w:spacing w:after="0" w:line="187"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The Company estimates the fair value of the options utilizing the Black-Scholes option pricing model, which is dependent upon several variables, including expected option term, expected volatility of the Company’s share price over the expected term, expected risk-free interest rate over the expected option term, and expected dividend yield rate over the expected option term, and actual forfeiture rates. A summary of the assumptions the Company utilized to record compensation expense for stock options granted during the year ended December 31, 2021 and 2020, was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360" w:type="dxa"/>
            <w:vAlign w:val="bottom"/>
          </w:tcPr>
          <w:p>
            <w:pPr>
              <w:spacing w:after="0"/>
              <w:rPr>
                <w:sz w:val="16"/>
                <w:szCs w:val="16"/>
                <w:color w:val="auto"/>
              </w:rPr>
            </w:pPr>
          </w:p>
        </w:tc>
        <w:tc>
          <w:tcPr>
            <w:tcW w:w="2340" w:type="dxa"/>
            <w:vAlign w:val="bottom"/>
            <w:gridSpan w:val="4"/>
          </w:tcPr>
          <w:p>
            <w:pPr>
              <w:jc w:val="right"/>
              <w:ind w:right="39"/>
              <w:spacing w:after="0"/>
              <w:rPr>
                <w:sz w:val="20"/>
                <w:szCs w:val="20"/>
                <w:color w:val="auto"/>
              </w:rPr>
            </w:pPr>
            <w:r>
              <w:rPr>
                <w:rFonts w:ascii="Arial" w:cs="Arial" w:eastAsia="Arial" w:hAnsi="Arial"/>
                <w:sz w:val="14"/>
                <w:szCs w:val="14"/>
                <w:b w:val="1"/>
                <w:bCs w:val="1"/>
                <w:color w:val="auto"/>
              </w:rPr>
              <w:t>Year ended December 31,</w:t>
            </w:r>
          </w:p>
        </w:tc>
        <w:tc>
          <w:tcPr>
            <w:tcW w:w="540" w:type="dxa"/>
            <w:vAlign w:val="bottom"/>
          </w:tcPr>
          <w:p>
            <w:pPr>
              <w:spacing w:after="0"/>
              <w:rPr>
                <w:sz w:val="16"/>
                <w:szCs w:val="16"/>
                <w:color w:val="auto"/>
              </w:rPr>
            </w:pPr>
          </w:p>
        </w:tc>
      </w:tr>
      <w:tr>
        <w:trPr>
          <w:trHeight w:val="25"/>
        </w:trPr>
        <w:tc>
          <w:tcPr>
            <w:tcW w:w="836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190"/>
        </w:trPr>
        <w:tc>
          <w:tcPr>
            <w:tcW w:w="836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40" w:type="dxa"/>
            <w:vAlign w:val="bottom"/>
            <w:tcBorders>
              <w:bottom w:val="single" w:sz="8" w:color="auto"/>
            </w:tcBorders>
          </w:tcPr>
          <w:p>
            <w:pPr>
              <w:spacing w:after="0"/>
              <w:rPr>
                <w:sz w:val="16"/>
                <w:szCs w:val="16"/>
                <w:color w:val="auto"/>
              </w:rPr>
            </w:pPr>
          </w:p>
        </w:tc>
      </w:tr>
      <w:tr>
        <w:trPr>
          <w:trHeight w:val="230"/>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volatility</w:t>
            </w:r>
          </w:p>
        </w:tc>
        <w:tc>
          <w:tcPr>
            <w:tcW w:w="8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48.4 %</w:t>
            </w: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59.0 %</w:t>
            </w: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Expected term (in years)</w:t>
            </w:r>
          </w:p>
        </w:tc>
        <w:tc>
          <w:tcPr>
            <w:tcW w:w="8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6.6</w:t>
            </w: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29"/>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8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1.45 %</w:t>
            </w: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0.75 %</w:t>
            </w: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Expected dividends</w:t>
            </w:r>
          </w:p>
        </w:tc>
        <w:tc>
          <w:tcPr>
            <w:tcW w:w="840" w:type="dxa"/>
            <w:vAlign w:val="bottom"/>
          </w:tcPr>
          <w:p>
            <w:pPr>
              <w:jc w:val="right"/>
              <w:ind w:right="662"/>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679"/>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ind w:right="130"/>
              <w:spacing w:after="0"/>
              <w:rPr>
                <w:sz w:val="20"/>
                <w:szCs w:val="20"/>
                <w:color w:val="auto"/>
              </w:rPr>
            </w:pPr>
            <w:r>
              <w:rPr>
                <w:rFonts w:ascii="Arial" w:cs="Arial" w:eastAsia="Arial" w:hAnsi="Arial"/>
                <w:sz w:val="18"/>
                <w:szCs w:val="18"/>
                <w:color w:val="auto"/>
              </w:rPr>
              <w:t>—</w:t>
            </w:r>
          </w:p>
        </w:tc>
      </w:tr>
    </w:tbl>
    <w:p>
      <w:pPr>
        <w:spacing w:after="0" w:line="282"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As of December 31, 2022, unrecognized stock-based compensation cost related to outstanding unvested stock options that are expected to vest w</w:t>
      </w:r>
      <w:r>
        <w:rPr>
          <w:rFonts w:ascii="Arial" w:cs="Arial" w:eastAsia="Arial" w:hAnsi="Arial"/>
          <w:sz w:val="18"/>
          <w:szCs w:val="18"/>
          <w:color w:val="242424"/>
        </w:rPr>
        <w:t>as $5.9</w:t>
      </w:r>
      <w:r>
        <w:rPr>
          <w:rFonts w:ascii="Arial" w:cs="Arial" w:eastAsia="Arial" w:hAnsi="Arial"/>
          <w:sz w:val="18"/>
          <w:szCs w:val="18"/>
          <w:color w:val="auto"/>
        </w:rPr>
        <w:t xml:space="preserve"> </w:t>
      </w:r>
      <w:r>
        <w:rPr>
          <w:rFonts w:ascii="Arial" w:cs="Arial" w:eastAsia="Arial" w:hAnsi="Arial"/>
          <w:sz w:val="18"/>
          <w:szCs w:val="18"/>
          <w:color w:val="242424"/>
        </w:rPr>
        <w:t>million, which is expected to be recognized over a weighted-average period of 1.7 years.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RSUs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 summary of RSUs activity for the year ended December 31, 2022 was as follows: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8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40" w:type="dxa"/>
            <w:vAlign w:val="bottom"/>
            <w:gridSpan w:val="3"/>
          </w:tcPr>
          <w:p>
            <w:pPr>
              <w:jc w:val="right"/>
              <w:ind w:right="553"/>
              <w:spacing w:after="0"/>
              <w:rPr>
                <w:sz w:val="20"/>
                <w:szCs w:val="20"/>
                <w:color w:val="auto"/>
              </w:rPr>
            </w:pPr>
            <w:r>
              <w:rPr>
                <w:rFonts w:ascii="Arial" w:cs="Arial" w:eastAsia="Arial" w:hAnsi="Arial"/>
                <w:sz w:val="14"/>
                <w:szCs w:val="14"/>
                <w:b w:val="1"/>
                <w:bCs w:val="1"/>
                <w:color w:val="auto"/>
              </w:rPr>
              <w:t>Restricted Stock Units</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586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58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Performance-Based</w:t>
            </w:r>
          </w:p>
        </w:tc>
        <w:tc>
          <w:tcPr>
            <w:tcW w:w="1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gridSpan w:val="2"/>
          </w:tcPr>
          <w:p>
            <w:pPr>
              <w:jc w:val="right"/>
              <w:spacing w:after="0" w:line="133" w:lineRule="exact"/>
              <w:rPr>
                <w:sz w:val="20"/>
                <w:szCs w:val="20"/>
                <w:color w:val="auto"/>
              </w:rPr>
            </w:pPr>
            <w:r>
              <w:rPr>
                <w:rFonts w:ascii="Arial" w:cs="Arial" w:eastAsia="Arial" w:hAnsi="Arial"/>
                <w:sz w:val="14"/>
                <w:szCs w:val="14"/>
                <w:b w:val="1"/>
                <w:bCs w:val="1"/>
                <w:color w:val="auto"/>
                <w:w w:val="95"/>
              </w:rPr>
              <w:t>Weighted-Average</w:t>
            </w:r>
          </w:p>
        </w:tc>
        <w:tc>
          <w:tcPr>
            <w:tcW w:w="0" w:type="dxa"/>
            <w:vAlign w:val="bottom"/>
          </w:tcPr>
          <w:p>
            <w:pPr>
              <w:spacing w:after="0"/>
              <w:rPr>
                <w:sz w:val="1"/>
                <w:szCs w:val="1"/>
                <w:color w:val="auto"/>
              </w:rPr>
            </w:pPr>
          </w:p>
        </w:tc>
      </w:tr>
      <w:tr>
        <w:trPr>
          <w:trHeight w:val="149"/>
        </w:trPr>
        <w:tc>
          <w:tcPr>
            <w:tcW w:w="5860" w:type="dxa"/>
            <w:vAlign w:val="bottom"/>
          </w:tcPr>
          <w:p>
            <w:pPr>
              <w:spacing w:after="0"/>
              <w:rPr>
                <w:sz w:val="12"/>
                <w:szCs w:val="12"/>
                <w:color w:val="auto"/>
              </w:rPr>
            </w:pPr>
          </w:p>
        </w:tc>
        <w:tc>
          <w:tcPr>
            <w:tcW w:w="13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Time-Based Shares</w:t>
            </w:r>
          </w:p>
        </w:tc>
        <w:tc>
          <w:tcPr>
            <w:tcW w:w="1360" w:type="dxa"/>
            <w:vAlign w:val="bottom"/>
            <w:gridSpan w:val="2"/>
            <w:vMerge w:val="continue"/>
          </w:tcPr>
          <w:p>
            <w:pPr>
              <w:spacing w:after="0"/>
              <w:rPr>
                <w:sz w:val="12"/>
                <w:szCs w:val="12"/>
                <w:color w:val="auto"/>
              </w:rPr>
            </w:pPr>
          </w:p>
        </w:tc>
        <w:tc>
          <w:tcPr>
            <w:tcW w:w="1280" w:type="dxa"/>
            <w:vAlign w:val="bottom"/>
            <w:vMerge w:val="restart"/>
          </w:tcPr>
          <w:p>
            <w:pPr>
              <w:jc w:val="right"/>
              <w:ind w:right="173"/>
              <w:spacing w:after="0"/>
              <w:rPr>
                <w:sz w:val="20"/>
                <w:szCs w:val="20"/>
                <w:color w:val="auto"/>
              </w:rPr>
            </w:pPr>
            <w:r>
              <w:rPr>
                <w:rFonts w:ascii="Arial" w:cs="Arial" w:eastAsia="Arial" w:hAnsi="Arial"/>
                <w:sz w:val="14"/>
                <w:szCs w:val="14"/>
                <w:b w:val="1"/>
                <w:bCs w:val="1"/>
                <w:color w:val="auto"/>
              </w:rPr>
              <w:t>Total Shares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jc w:val="right"/>
              <w:ind w:right="55"/>
              <w:spacing w:after="0" w:line="149" w:lineRule="exact"/>
              <w:rPr>
                <w:sz w:val="20"/>
                <w:szCs w:val="20"/>
                <w:color w:val="auto"/>
              </w:rPr>
            </w:pPr>
            <w:r>
              <w:rPr>
                <w:rFonts w:ascii="Arial" w:cs="Arial" w:eastAsia="Arial" w:hAnsi="Arial"/>
                <w:sz w:val="14"/>
                <w:szCs w:val="14"/>
                <w:b w:val="1"/>
                <w:bCs w:val="1"/>
                <w:color w:val="auto"/>
                <w:w w:val="98"/>
              </w:rPr>
              <w:t>Grant-Date Fair</w:t>
            </w:r>
          </w:p>
        </w:tc>
        <w:tc>
          <w:tcPr>
            <w:tcW w:w="0" w:type="dxa"/>
            <w:vAlign w:val="bottom"/>
          </w:tcPr>
          <w:p>
            <w:pPr>
              <w:spacing w:after="0"/>
              <w:rPr>
                <w:sz w:val="1"/>
                <w:szCs w:val="1"/>
                <w:color w:val="auto"/>
              </w:rPr>
            </w:pPr>
          </w:p>
        </w:tc>
      </w:tr>
      <w:tr>
        <w:trPr>
          <w:trHeight w:val="192"/>
        </w:trPr>
        <w:tc>
          <w:tcPr>
            <w:tcW w:w="586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Shares</w:t>
            </w:r>
          </w:p>
        </w:tc>
        <w:tc>
          <w:tcPr>
            <w:tcW w:w="12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jc w:val="right"/>
              <w:ind w:right="375"/>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29"/>
        </w:trPr>
        <w:tc>
          <w:tcPr>
            <w:tcW w:w="5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2021</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32,210,200</w:t>
            </w:r>
          </w:p>
        </w:tc>
        <w:tc>
          <w:tcPr>
            <w:tcW w:w="10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242424"/>
              </w:rPr>
              <w:t>16,024,411</w:t>
            </w:r>
          </w:p>
        </w:tc>
        <w:tc>
          <w:tcPr>
            <w:tcW w:w="8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242424"/>
              </w:rPr>
              <w:t>48,234,611</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20.45</w:t>
            </w:r>
          </w:p>
        </w:tc>
        <w:tc>
          <w:tcPr>
            <w:tcW w:w="0" w:type="dxa"/>
            <w:vAlign w:val="bottom"/>
          </w:tcPr>
          <w:p>
            <w:pPr>
              <w:spacing w:after="0"/>
              <w:rPr>
                <w:sz w:val="1"/>
                <w:szCs w:val="1"/>
                <w:color w:val="auto"/>
              </w:rPr>
            </w:pPr>
          </w:p>
        </w:tc>
      </w:tr>
      <w:tr>
        <w:trPr>
          <w:trHeight w:val="230"/>
        </w:trPr>
        <w:tc>
          <w:tcPr>
            <w:tcW w:w="5860" w:type="dxa"/>
            <w:vAlign w:val="bottom"/>
          </w:tcPr>
          <w:p>
            <w:pPr>
              <w:ind w:left="20"/>
              <w:spacing w:after="0"/>
              <w:rPr>
                <w:sz w:val="20"/>
                <w:szCs w:val="20"/>
                <w:color w:val="auto"/>
              </w:rPr>
            </w:pPr>
            <w:r>
              <w:rPr>
                <w:rFonts w:ascii="Arial" w:cs="Arial" w:eastAsia="Arial" w:hAnsi="Arial"/>
                <w:sz w:val="18"/>
                <w:szCs w:val="18"/>
                <w:color w:val="auto"/>
              </w:rPr>
              <w:t>Granted</w:t>
            </w:r>
          </w:p>
        </w:tc>
        <w:tc>
          <w:tcPr>
            <w:tcW w:w="1280" w:type="dxa"/>
            <w:vAlign w:val="bottom"/>
          </w:tcPr>
          <w:p>
            <w:pPr>
              <w:jc w:val="right"/>
              <w:spacing w:after="0"/>
              <w:rPr>
                <w:sz w:val="20"/>
                <w:szCs w:val="20"/>
                <w:color w:val="auto"/>
              </w:rPr>
            </w:pPr>
            <w:r>
              <w:rPr>
                <w:rFonts w:ascii="Arial" w:cs="Arial" w:eastAsia="Arial" w:hAnsi="Arial"/>
                <w:sz w:val="18"/>
                <w:szCs w:val="18"/>
                <w:color w:val="auto"/>
              </w:rPr>
              <w:t>21,332,603</w:t>
            </w:r>
          </w:p>
        </w:tc>
        <w:tc>
          <w:tcPr>
            <w:tcW w:w="10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242424"/>
              </w:rPr>
              <w:t>—</w:t>
            </w:r>
          </w:p>
        </w:tc>
        <w:tc>
          <w:tcPr>
            <w:tcW w:w="1280" w:type="dxa"/>
            <w:vAlign w:val="bottom"/>
          </w:tcPr>
          <w:p>
            <w:pPr>
              <w:jc w:val="right"/>
              <w:spacing w:after="0"/>
              <w:rPr>
                <w:sz w:val="20"/>
                <w:szCs w:val="20"/>
                <w:color w:val="auto"/>
              </w:rPr>
            </w:pPr>
            <w:r>
              <w:rPr>
                <w:rFonts w:ascii="Arial" w:cs="Arial" w:eastAsia="Arial" w:hAnsi="Arial"/>
                <w:sz w:val="18"/>
                <w:szCs w:val="18"/>
                <w:color w:val="242424"/>
              </w:rPr>
              <w:t>21,332,603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242424"/>
              </w:rPr>
              <w:t>17.04</w:t>
            </w:r>
          </w:p>
        </w:tc>
        <w:tc>
          <w:tcPr>
            <w:tcW w:w="0" w:type="dxa"/>
            <w:vAlign w:val="bottom"/>
          </w:tcPr>
          <w:p>
            <w:pPr>
              <w:spacing w:after="0"/>
              <w:rPr>
                <w:sz w:val="1"/>
                <w:szCs w:val="1"/>
                <w:color w:val="auto"/>
              </w:rPr>
            </w:pPr>
          </w:p>
        </w:tc>
      </w:tr>
      <w:tr>
        <w:trPr>
          <w:trHeight w:val="229"/>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242424"/>
              </w:rPr>
              <w:t>(11,656,996)</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242424"/>
              </w:rPr>
              <w:t>(13,934,271)</w:t>
            </w:r>
          </w:p>
        </w:tc>
        <w:tc>
          <w:tcPr>
            <w:tcW w:w="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242424"/>
              </w:rPr>
              <w:t>(25,591,267)</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242424"/>
              </w:rPr>
              <w:t>19.56</w:t>
            </w:r>
          </w:p>
        </w:tc>
        <w:tc>
          <w:tcPr>
            <w:tcW w:w="0" w:type="dxa"/>
            <w:vAlign w:val="bottom"/>
          </w:tcPr>
          <w:p>
            <w:pPr>
              <w:spacing w:after="0"/>
              <w:rPr>
                <w:sz w:val="1"/>
                <w:szCs w:val="1"/>
                <w:color w:val="auto"/>
              </w:rPr>
            </w:pPr>
          </w:p>
        </w:tc>
      </w:tr>
      <w:tr>
        <w:trPr>
          <w:trHeight w:val="230"/>
        </w:trPr>
        <w:tc>
          <w:tcPr>
            <w:tcW w:w="5860" w:type="dxa"/>
            <w:vAlign w:val="bottom"/>
          </w:tcPr>
          <w:p>
            <w:pPr>
              <w:ind w:left="20"/>
              <w:spacing w:after="0"/>
              <w:rPr>
                <w:sz w:val="20"/>
                <w:szCs w:val="20"/>
                <w:color w:val="auto"/>
              </w:rPr>
            </w:pPr>
            <w:r>
              <w:rPr>
                <w:rFonts w:ascii="Arial" w:cs="Arial" w:eastAsia="Arial" w:hAnsi="Arial"/>
                <w:sz w:val="18"/>
                <w:szCs w:val="18"/>
                <w:color w:val="auto"/>
              </w:rPr>
              <w:t>Cancelled/Forfeited</w:t>
            </w:r>
          </w:p>
        </w:tc>
        <w:tc>
          <w:tcPr>
            <w:tcW w:w="1280" w:type="dxa"/>
            <w:vAlign w:val="bottom"/>
          </w:tcPr>
          <w:p>
            <w:pPr>
              <w:jc w:val="right"/>
              <w:spacing w:after="0"/>
              <w:rPr>
                <w:sz w:val="20"/>
                <w:szCs w:val="20"/>
                <w:color w:val="auto"/>
              </w:rPr>
            </w:pPr>
            <w:r>
              <w:rPr>
                <w:rFonts w:ascii="Arial" w:cs="Arial" w:eastAsia="Arial" w:hAnsi="Arial"/>
                <w:sz w:val="18"/>
                <w:szCs w:val="18"/>
                <w:color w:val="242424"/>
              </w:rPr>
              <w:t>(3,315,509)</w:t>
            </w:r>
          </w:p>
        </w:tc>
        <w:tc>
          <w:tcPr>
            <w:tcW w:w="10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242424"/>
              </w:rPr>
              <w:t>—</w:t>
            </w:r>
          </w:p>
        </w:tc>
        <w:tc>
          <w:tcPr>
            <w:tcW w:w="1280" w:type="dxa"/>
            <w:vAlign w:val="bottom"/>
          </w:tcPr>
          <w:p>
            <w:pPr>
              <w:jc w:val="right"/>
              <w:spacing w:after="0"/>
              <w:rPr>
                <w:sz w:val="20"/>
                <w:szCs w:val="20"/>
                <w:color w:val="auto"/>
              </w:rPr>
            </w:pPr>
            <w:r>
              <w:rPr>
                <w:rFonts w:ascii="Arial" w:cs="Arial" w:eastAsia="Arial" w:hAnsi="Arial"/>
                <w:sz w:val="18"/>
                <w:szCs w:val="18"/>
                <w:color w:val="242424"/>
              </w:rPr>
              <w:t>(3,315,509)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242424"/>
              </w:rPr>
              <w:t>18.52</w:t>
            </w:r>
          </w:p>
        </w:tc>
        <w:tc>
          <w:tcPr>
            <w:tcW w:w="0" w:type="dxa"/>
            <w:vAlign w:val="bottom"/>
          </w:tcPr>
          <w:p>
            <w:pPr>
              <w:spacing w:after="0"/>
              <w:rPr>
                <w:sz w:val="1"/>
                <w:szCs w:val="1"/>
                <w:color w:val="auto"/>
              </w:rPr>
            </w:pPr>
          </w:p>
        </w:tc>
      </w:tr>
      <w:tr>
        <w:trPr>
          <w:trHeight w:val="248"/>
        </w:trPr>
        <w:tc>
          <w:tcPr>
            <w:tcW w:w="5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2022</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42424"/>
              </w:rPr>
              <w:t>38,570,298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42424"/>
              </w:rPr>
              <w:t>2,090,140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42424"/>
              </w:rPr>
              <w:t>40,660,438</w:t>
            </w:r>
          </w:p>
        </w:tc>
        <w:tc>
          <w:tcPr>
            <w:tcW w:w="20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242424"/>
              </w:rPr>
              <w:t>$</w:t>
            </w:r>
          </w:p>
        </w:tc>
        <w:tc>
          <w:tcPr>
            <w:tcW w:w="1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242424"/>
              </w:rPr>
              <w:t>19.38</w:t>
            </w:r>
          </w:p>
        </w:tc>
        <w:tc>
          <w:tcPr>
            <w:tcW w:w="0" w:type="dxa"/>
            <w:vAlign w:val="bottom"/>
          </w:tcPr>
          <w:p>
            <w:pPr>
              <w:spacing w:after="0"/>
              <w:rPr>
                <w:sz w:val="1"/>
                <w:szCs w:val="1"/>
                <w:color w:val="auto"/>
              </w:rPr>
            </w:pP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989" w:right="339" w:bottom="1440" w:gutter="0" w:footer="0" w:header="0"/>
        </w:sectPr>
      </w:pP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109855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type w:val="continuous"/>
        </w:sectPr>
      </w:pPr>
    </w:p>
    <w:bookmarkStart w:id="118" w:name="page119"/>
    <w:bookmarkEnd w:id="118"/>
    <w:p>
      <w:pPr>
        <w:jc w:val="both"/>
        <w:spacing w:after="0" w:line="271" w:lineRule="auto"/>
        <w:rPr>
          <w:sz w:val="20"/>
          <w:szCs w:val="20"/>
          <w:color w:val="auto"/>
        </w:rPr>
      </w:pPr>
      <w:r>
        <w:rPr>
          <w:rFonts w:ascii="Arial" w:cs="Arial" w:eastAsia="Arial" w:hAnsi="Arial"/>
          <w:sz w:val="17"/>
          <w:szCs w:val="17"/>
          <w:color w:val="auto"/>
        </w:rPr>
        <w:t>Time-based RSUs granted prior to the Closing of Merger are subject to both performance-based and service-based vesting conditions. The performance condition was satisfied upon the Closing of the Merger, and the service condition will be met generally over 4.0 years. The Company granted 13,834,748 shares of the time-based RSUs to the CEO that will vest in sixteen equal quarterly installments, beginning on December 5, 2021, and are subject to continuous employment. The service condition for 25% of the Company’s non-CEO RSUs granted prior to the Closing of Merger was satisfied 375 days after the Closing. The remaining RSUs will be satisfied in equal quarterly installments thereafter, subject to continuous employment. The Company recognizes compensation expense for these time-based RSUs on a graded vesting schedule over the requisite vesting period. Fair value of these time-based RSUs was measured using the fair value of the Company’s common stock on the date of the grant, as based on the market price of Churchill’s stock adjusted for the expected exchange ratio at the time, and discounted for lack of marketability.</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Time-based RSUs granted subsequent to the Closing of Merger are only subject to service-based vesting conditions and the compensation expense is recognized on a straight-line basis over the requisite service period. The fair value of these time-based RSUs granted after the Closing of the Merger was measured using the fair value of the Company’s common stock on the date of the grant.</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2022, unrecognized stock-based compensation cost related to outstanding unvested time-based RSUs that are expected to vest was</w:t>
      </w:r>
    </w:p>
    <w:p>
      <w:pPr>
        <w:spacing w:after="0" w:line="46"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$524.5 million, which is expected to be recognized over a weighted-average period of 3.0 years. The total fair value of time-based RSUs vested during the years ended December 31, 2022 and 2021 was $190.9 million and $50.5 million, respectively. There was no time-based RSU vested for the year ended December 31, 2020.</w:t>
      </w:r>
    </w:p>
    <w:p>
      <w:pPr>
        <w:spacing w:after="0" w:line="190"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All performance-based RSUs granted to the CEO are subject to performance and market conditions. The performance condition was satisfied upon the closing of the Merger. The market conditions will be satisfied and vest in five tranches based on the achievement of market capitalization goals applicable to each tranche over a six-month period subject to the CEO’s continuous employment through the applicable vesting date. Any CEO performance-based RSUs that have not vested within five years after the Closing will be forfeited. The fair value of these performance-based RSUs was measured on the grant date, March 27, 2021, using a Monte Carlo simulation model, with the following assumptions: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volatility</w:t>
            </w:r>
          </w:p>
        </w:tc>
        <w:tc>
          <w:tcPr>
            <w:tcW w:w="4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60.0 %</w:t>
            </w:r>
          </w:p>
        </w:tc>
      </w:tr>
      <w:tr>
        <w:trPr>
          <w:trHeight w:val="230"/>
        </w:trPr>
        <w:tc>
          <w:tcPr>
            <w:tcW w:w="6360" w:type="dxa"/>
            <w:vAlign w:val="bottom"/>
          </w:tcPr>
          <w:p>
            <w:pPr>
              <w:ind w:left="20"/>
              <w:spacing w:after="0"/>
              <w:rPr>
                <w:sz w:val="20"/>
                <w:szCs w:val="20"/>
                <w:color w:val="auto"/>
              </w:rPr>
            </w:pPr>
            <w:r>
              <w:rPr>
                <w:rFonts w:ascii="Arial" w:cs="Arial" w:eastAsia="Arial" w:hAnsi="Arial"/>
                <w:sz w:val="18"/>
                <w:szCs w:val="18"/>
                <w:color w:val="auto"/>
              </w:rPr>
              <w:t>Expected term (in years)</w:t>
            </w:r>
          </w:p>
        </w:tc>
        <w:tc>
          <w:tcPr>
            <w:tcW w:w="488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30"/>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4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0.9 %</w:t>
            </w:r>
          </w:p>
        </w:tc>
      </w:tr>
      <w:tr>
        <w:trPr>
          <w:trHeight w:val="230"/>
        </w:trPr>
        <w:tc>
          <w:tcPr>
            <w:tcW w:w="6360" w:type="dxa"/>
            <w:vAlign w:val="bottom"/>
          </w:tcPr>
          <w:p>
            <w:pPr>
              <w:ind w:left="20"/>
              <w:spacing w:after="0"/>
              <w:rPr>
                <w:sz w:val="20"/>
                <w:szCs w:val="20"/>
                <w:color w:val="auto"/>
              </w:rPr>
            </w:pPr>
            <w:r>
              <w:rPr>
                <w:rFonts w:ascii="Arial" w:cs="Arial" w:eastAsia="Arial" w:hAnsi="Arial"/>
                <w:sz w:val="18"/>
                <w:szCs w:val="18"/>
                <w:color w:val="auto"/>
              </w:rPr>
              <w:t>Expected dividends</w:t>
            </w:r>
          </w:p>
        </w:tc>
        <w:tc>
          <w:tcPr>
            <w:tcW w:w="4880" w:type="dxa"/>
            <w:vAlign w:val="bottom"/>
          </w:tcPr>
          <w:p>
            <w:pPr>
              <w:jc w:val="right"/>
              <w:ind w:right="130"/>
              <w:spacing w:after="0"/>
              <w:rPr>
                <w:sz w:val="20"/>
                <w:szCs w:val="20"/>
                <w:color w:val="auto"/>
              </w:rPr>
            </w:pPr>
            <w:r>
              <w:rPr>
                <w:rFonts w:ascii="Arial" w:cs="Arial" w:eastAsia="Arial" w:hAnsi="Arial"/>
                <w:sz w:val="18"/>
                <w:szCs w:val="18"/>
                <w:color w:val="auto"/>
              </w:rPr>
              <w:t>—</w:t>
            </w:r>
          </w:p>
        </w:tc>
      </w:tr>
    </w:tbl>
    <w:p>
      <w:pPr>
        <w:spacing w:after="0" w:line="295"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The Company recognizes compensation expense using a graded vesting attribution method over the derived service period for the CEO performance-based awards. Stock-based compensation expense is recognized when the relevant performance condition is considered probable of achievement for the performance-based award. During the year ended December 31, 2022, the market condition was met for the CEO performance-based awards for four of the five tranches and certified by the Board of Directors, representing an aggregate of 13,934,271 performance RSUs. We recorded stock-based compensation expense of $85.4 million for the four tranches during the year ended December 31, 2022, and no such expense was recognized during the year ended December 31, 2021. As of December 31, 2022, the unamortized expense for the fifth tranche, representing 2,090,140 RSUs, was $8.2 million which will be recognized over a period of 0.7 years. The total fair value of performance-based RSUs vested during the year ended December 31, 2022 was $315.3 million. There are no performance-based RSUs vested for the years ended December 31, 2021 and 2020. For the year ended December 31, 2022, the Company withheld approximately 9.4 million shares of common stock by net settlement to meet the related tax withholding requirements related to the CEO time-based and performance-based RSUs, and nil for the years ended December 31, 2021 and 2020.</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ESPP</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ESPP authorizes the issuance of shares of common stock pursuant to purchase rights granted to employees. The plan provides for 24-month offering periods beginning in December and June of each year, and each offering period will consist of four six-month purchase periods. The purchase price for each share purchased during an offering period will be the lesser of 85% of the fair market value of the share on the purchase date or 85% of the fair market value of the share on the offering date.</w:t>
      </w:r>
    </w:p>
    <w:p>
      <w:pPr>
        <w:spacing w:after="0" w:line="18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If the market value of our common stock on the purchase date is lower than the market value at the beginning of the offering period, the ongoing offering terminates immediately following the purchase of ESPP shares on the purchase date and participants in the terminated offering are automatically enrolled in the new offering resulting in a reset of the offering price and a modification charge to be recognized over the new offering period. During the year ended December 31, 2022, there were two ESPP resets that resulted in modification charges of $19.9 million, which are being recognized until the new offering period ending in November 2024.</w:t>
      </w:r>
    </w:p>
    <w:p>
      <w:pPr>
        <w:spacing w:after="0" w:line="188"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The Company issued 2,106,158 shares at a weighted-average price of $11.66 for the year ended December 31, 2022. No shares were issued during the year ended December 31, 2021. As of December 31, 2022, unrecognized stock-based compensation cost related to the ESPP was $41.5 million, which is expected to be recognized over a weighted-average period of 1.9 years.</w:t>
      </w:r>
    </w:p>
    <w:p>
      <w:pPr>
        <w:sectPr>
          <w:pgSz w:w="11900" w:h="16838" w:orient="portrait"/>
          <w:cols w:equalWidth="0" w:num="1">
            <w:col w:w="11240"/>
          </w:cols>
          <w:pgMar w:left="320" w:top="989" w:right="339" w:bottom="1440" w:gutter="0" w:footer="0" w:header="0"/>
        </w:sect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109855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type w:val="continuous"/>
        </w:sectPr>
      </w:pPr>
    </w:p>
    <w:bookmarkStart w:id="119" w:name="page120"/>
    <w:bookmarkEnd w:id="119"/>
    <w:p>
      <w:pPr>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Total employee and nonemployee stock-based compensation expense for the years ended December 31, 2022, 2021 and 2020, was classified in the consolidated statements of operations and comprehensive loss as follows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720" w:type="dxa"/>
            <w:vAlign w:val="bottom"/>
            <w:gridSpan w:val="6"/>
          </w:tcPr>
          <w:p>
            <w:pPr>
              <w:jc w:val="right"/>
              <w:ind w:right="130"/>
              <w:spacing w:after="0"/>
              <w:rPr>
                <w:sz w:val="20"/>
                <w:szCs w:val="20"/>
                <w:color w:val="auto"/>
              </w:rPr>
            </w:pPr>
            <w:r>
              <w:rPr>
                <w:rFonts w:ascii="Arial" w:cs="Arial" w:eastAsia="Arial" w:hAnsi="Arial"/>
                <w:sz w:val="14"/>
                <w:szCs w:val="14"/>
                <w:b w:val="1"/>
                <w:bCs w:val="1"/>
                <w:color w:val="auto"/>
              </w:rPr>
              <w:t>Year Ended December 31,</w:t>
            </w:r>
          </w:p>
        </w:tc>
        <w:tc>
          <w:tcPr>
            <w:tcW w:w="980" w:type="dxa"/>
            <w:vAlign w:val="bottom"/>
          </w:tcPr>
          <w:p>
            <w:pPr>
              <w:spacing w:after="0"/>
              <w:rPr>
                <w:sz w:val="16"/>
                <w:szCs w:val="16"/>
                <w:color w:val="auto"/>
              </w:rPr>
            </w:pPr>
          </w:p>
        </w:tc>
      </w:tr>
      <w:tr>
        <w:trPr>
          <w:trHeight w:val="26"/>
        </w:trPr>
        <w:tc>
          <w:tcPr>
            <w:tcW w:w="72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89"/>
        </w:trPr>
        <w:tc>
          <w:tcPr>
            <w:tcW w:w="72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2020</w:t>
            </w:r>
          </w:p>
        </w:tc>
      </w:tr>
      <w:tr>
        <w:trPr>
          <w:trHeight w:val="230"/>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41,753</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8,737</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w:t>
            </w:r>
          </w:p>
        </w:tc>
      </w:tr>
      <w:tr>
        <w:trPr>
          <w:trHeight w:val="229"/>
        </w:trPr>
        <w:tc>
          <w:tcPr>
            <w:tcW w:w="724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151,549</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137,303</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3,724</w:t>
            </w:r>
          </w:p>
        </w:tc>
      </w:tr>
      <w:tr>
        <w:trPr>
          <w:trHeight w:val="229"/>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w:t>
            </w: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230,198</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370,717</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677</w:t>
            </w:r>
          </w:p>
        </w:tc>
      </w:tr>
      <w:tr>
        <w:trPr>
          <w:trHeight w:val="223"/>
        </w:trPr>
        <w:tc>
          <w:tcPr>
            <w:tcW w:w="7240" w:type="dxa"/>
            <w:vAlign w:val="bottom"/>
          </w:tcPr>
          <w:p>
            <w:pPr>
              <w:ind w:left="2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423,500</w:t>
            </w:r>
          </w:p>
        </w:tc>
        <w:tc>
          <w:tcPr>
            <w:tcW w:w="8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516,757</w:t>
            </w:r>
          </w:p>
        </w:tc>
        <w:tc>
          <w:tcPr>
            <w:tcW w:w="8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4,614</w:t>
            </w:r>
          </w:p>
        </w:tc>
      </w:tr>
      <w:tr>
        <w:trPr>
          <w:trHeight w:val="21"/>
        </w:trPr>
        <w:tc>
          <w:tcPr>
            <w:tcW w:w="7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Total stock-based compensation expense for the year ended December 31, 2021 included $383.2 million stock-based compensation expense related to the RSUs and $123.6 million stock-based compensation expense related to the Series E convertible preferred stock issuance in March 2021 and April 2021. Refer to Note 7 “Contingent Forward Contracts” and Note 10 “Convertible Preferred Stock” for more information.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LEASES</w:t>
      </w:r>
    </w:p>
    <w:p>
      <w:pPr>
        <w:spacing w:after="0" w:line="229"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The Company has entered into various non-cancellable operating and finance lease agreements for certain of the Company’s offices, manufacturing and warehouse facilities, retail and service locations, equipment and vehicles, worldwide. The Company has determined if an arrangement is a lease, or contains a lease, including embedded leases, at inception and records the leases in the Company’s financial statements upon later of ASC 842 adoption date of January 1, 2021, or lease commencement, which is the date when the underlying asset is made available for use by the lessor.</w:t>
      </w:r>
    </w:p>
    <w:p>
      <w:pPr>
        <w:spacing w:after="0" w:line="171"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Lease expense for operating lease payments is recognized on a straight-line basis over the lease term. Our assessed lease terms may include options to extend or terminate the lease when it is reasonably certain that we will exercise that option. Certain operating leases provide for annual increases to lease payments based on an index or rate. The Company estimates the annual increase in lease payments based on the index or rate at the lease commencement date, for both the Company’s historical leases and for new leases commencing after January 1, 2021. Differences between the estimated lease payment and actual payment are expensed as incurred. Lease expense for finance lease payments is recognized as amortization expense of the finance lease ROU asset and interest expense on the finance lease liability over the lease term.</w:t>
      </w:r>
    </w:p>
    <w:p>
      <w:pPr>
        <w:spacing w:after="0" w:line="178"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In August 2022, the Company entered into a four-year agreement (“Lease Agreement”) to lease land in Casa Grande, Arizona adjacent to our manufacturing facility. The Company classified this lease as a finance lease because the Lease Agreement contains a purchase option which the Company is reasonably certain to exercise. As of December 31, 2022, assets and liabilities associated with the finance lease were $79.3 million and $81.1 million, respectively.</w:t>
      </w:r>
    </w:p>
    <w:p>
      <w:pPr>
        <w:spacing w:after="0" w:line="214"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Contemporaneously with the execution of the Lease Agreement, the Company entered into a sale agreement, pursuant to which the Company sold certain parcels of land for $31.7 million to the lessor and leased back these parcels of land under the Lease Agreement. The sale of the land and subsequent lease did not result in change in the transfer of control of the land; therefore, the sale-leaseback transaction is accounted for as a failed sale and leaseback financing obligation. The Company recorded the sales proceeds received as a financial liability within Other long-term liabilities on our consolidated balance sheets as of December 31, 2022.</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120" w:name="page121"/>
    <w:bookmarkEnd w:id="120"/>
    <w:p>
      <w:pPr>
        <w:spacing w:after="0" w:line="277" w:lineRule="auto"/>
        <w:rPr>
          <w:sz w:val="20"/>
          <w:szCs w:val="20"/>
          <w:color w:val="auto"/>
        </w:rPr>
      </w:pPr>
      <w:r>
        <w:rPr>
          <w:rFonts w:ascii="Arial" w:cs="Arial" w:eastAsia="Arial" w:hAnsi="Arial"/>
          <w:sz w:val="18"/>
          <w:szCs w:val="18"/>
          <w:color w:val="auto"/>
        </w:rPr>
        <w:t>The balances for the operating and finance leases where the Company is the lessee are presented as follows within the Company’s consolidated balance sheets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4"/>
                <w:szCs w:val="14"/>
                <w:color w:val="auto"/>
              </w:rPr>
            </w:pPr>
          </w:p>
        </w:tc>
        <w:tc>
          <w:tcPr>
            <w:tcW w:w="1120" w:type="dxa"/>
            <w:vAlign w:val="bottom"/>
          </w:tcPr>
          <w:p>
            <w:pPr>
              <w:jc w:val="right"/>
              <w:ind w:right="133"/>
              <w:spacing w:after="0"/>
              <w:rPr>
                <w:sz w:val="20"/>
                <w:szCs w:val="20"/>
                <w:color w:val="auto"/>
              </w:rPr>
            </w:pPr>
            <w:r>
              <w:rPr>
                <w:rFonts w:ascii="Arial" w:cs="Arial" w:eastAsia="Arial" w:hAnsi="Arial"/>
                <w:sz w:val="14"/>
                <w:szCs w:val="14"/>
                <w:b w:val="1"/>
                <w:bCs w:val="1"/>
                <w:color w:val="auto"/>
                <w:w w:val="96"/>
              </w:rPr>
              <w:t>December 31,</w:t>
            </w:r>
          </w:p>
        </w:tc>
      </w:tr>
      <w:tr>
        <w:trPr>
          <w:trHeight w:val="192"/>
        </w:trPr>
        <w:tc>
          <w:tcPr>
            <w:tcW w:w="86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2021</w:t>
            </w:r>
          </w:p>
        </w:tc>
      </w:tr>
      <w:tr>
        <w:trPr>
          <w:trHeight w:val="216"/>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leases:</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30"/>
        </w:trPr>
        <w:tc>
          <w:tcPr>
            <w:tcW w:w="8600" w:type="dxa"/>
            <w:vAlign w:val="bottom"/>
          </w:tcPr>
          <w:p>
            <w:pPr>
              <w:ind w:left="240"/>
              <w:spacing w:after="0"/>
              <w:rPr>
                <w:sz w:val="20"/>
                <w:szCs w:val="20"/>
                <w:color w:val="auto"/>
              </w:rPr>
            </w:pPr>
            <w:r>
              <w:rPr>
                <w:rFonts w:ascii="Arial" w:cs="Arial" w:eastAsia="Arial" w:hAnsi="Arial"/>
                <w:sz w:val="18"/>
                <w:szCs w:val="18"/>
                <w:color w:val="auto"/>
              </w:rPr>
              <w:t>Operating lease right-of-use assets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215,160</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161,974</w:t>
            </w:r>
          </w:p>
        </w:tc>
      </w:tr>
      <w:tr>
        <w:trPr>
          <w:trHeight w:val="270"/>
        </w:trPr>
        <w:tc>
          <w:tcPr>
            <w:tcW w:w="86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r>
      <w:tr>
        <w:trPr>
          <w:trHeight w:val="229"/>
        </w:trPr>
        <w:tc>
          <w:tcPr>
            <w:tcW w:w="8600" w:type="dxa"/>
            <w:vAlign w:val="bottom"/>
          </w:tcPr>
          <w:p>
            <w:pPr>
              <w:ind w:left="240"/>
              <w:spacing w:after="0"/>
              <w:rPr>
                <w:sz w:val="20"/>
                <w:szCs w:val="20"/>
                <w:color w:val="auto"/>
              </w:rPr>
            </w:pPr>
            <w:r>
              <w:rPr>
                <w:rFonts w:ascii="Arial" w:cs="Arial" w:eastAsia="Arial" w:hAnsi="Arial"/>
                <w:sz w:val="18"/>
                <w:szCs w:val="18"/>
                <w:color w:val="auto"/>
              </w:rPr>
              <w:t>Other current liabilities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11,269</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11,056</w:t>
            </w:r>
          </w:p>
        </w:tc>
      </w:tr>
      <w:tr>
        <w:trPr>
          <w:trHeight w:val="229"/>
        </w:trPr>
        <w:tc>
          <w:tcPr>
            <w:tcW w:w="86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long-term liabilities</w:t>
            </w: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243,843</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185,323</w:t>
            </w:r>
          </w:p>
        </w:tc>
      </w:tr>
      <w:tr>
        <w:trPr>
          <w:trHeight w:val="223"/>
        </w:trPr>
        <w:tc>
          <w:tcPr>
            <w:tcW w:w="8600" w:type="dxa"/>
            <w:vAlign w:val="bottom"/>
          </w:tcPr>
          <w:p>
            <w:pPr>
              <w:ind w:left="520"/>
              <w:spacing w:after="0"/>
              <w:rPr>
                <w:sz w:val="20"/>
                <w:szCs w:val="20"/>
                <w:color w:val="auto"/>
              </w:rPr>
            </w:pPr>
            <w:r>
              <w:rPr>
                <w:rFonts w:ascii="Arial" w:cs="Arial" w:eastAsia="Arial" w:hAnsi="Arial"/>
                <w:sz w:val="18"/>
                <w:szCs w:val="18"/>
                <w:color w:val="auto"/>
              </w:rPr>
              <w:t>Total operating lease liabilities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255,112</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196,379</w:t>
            </w:r>
          </w:p>
        </w:tc>
      </w:tr>
      <w:tr>
        <w:trPr>
          <w:trHeight w:val="20"/>
        </w:trPr>
        <w:tc>
          <w:tcPr>
            <w:tcW w:w="86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37"/>
        </w:trPr>
        <w:tc>
          <w:tcPr>
            <w:tcW w:w="86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r>
        <w:trPr>
          <w:trHeight w:val="230"/>
        </w:trPr>
        <w:tc>
          <w:tcPr>
            <w:tcW w:w="8600" w:type="dxa"/>
            <w:vAlign w:val="bottom"/>
          </w:tcPr>
          <w:p>
            <w:pPr>
              <w:ind w:left="20"/>
              <w:spacing w:after="0"/>
              <w:rPr>
                <w:sz w:val="20"/>
                <w:szCs w:val="20"/>
                <w:color w:val="auto"/>
              </w:rPr>
            </w:pPr>
            <w:r>
              <w:rPr>
                <w:rFonts w:ascii="Arial" w:cs="Arial" w:eastAsia="Arial" w:hAnsi="Arial"/>
                <w:sz w:val="18"/>
                <w:szCs w:val="18"/>
                <w:b w:val="1"/>
                <w:bCs w:val="1"/>
                <w:color w:val="auto"/>
              </w:rPr>
              <w:t>Finance leases:</w:t>
            </w: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9"/>
        </w:trPr>
        <w:tc>
          <w:tcPr>
            <w:tcW w:w="86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Property, plant and equipment, net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90,386</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10,567</w:t>
            </w:r>
          </w:p>
        </w:tc>
      </w:tr>
      <w:tr>
        <w:trPr>
          <w:trHeight w:val="223"/>
        </w:trPr>
        <w:tc>
          <w:tcPr>
            <w:tcW w:w="8600" w:type="dxa"/>
            <w:vAlign w:val="bottom"/>
          </w:tcPr>
          <w:p>
            <w:pPr>
              <w:ind w:left="520"/>
              <w:spacing w:after="0"/>
              <w:rPr>
                <w:sz w:val="20"/>
                <w:szCs w:val="20"/>
                <w:color w:val="auto"/>
              </w:rPr>
            </w:pPr>
            <w:r>
              <w:rPr>
                <w:rFonts w:ascii="Arial" w:cs="Arial" w:eastAsia="Arial" w:hAnsi="Arial"/>
                <w:sz w:val="18"/>
                <w:szCs w:val="18"/>
                <w:color w:val="auto"/>
              </w:rPr>
              <w:t>Total finance lease assets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90,386</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10,567</w:t>
            </w:r>
          </w:p>
        </w:tc>
      </w:tr>
      <w:tr>
        <w:trPr>
          <w:trHeight w:val="20"/>
        </w:trPr>
        <w:tc>
          <w:tcPr>
            <w:tcW w:w="86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37"/>
        </w:trPr>
        <w:tc>
          <w:tcPr>
            <w:tcW w:w="86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r>
        <w:trPr>
          <w:trHeight w:val="229"/>
        </w:trPr>
        <w:tc>
          <w:tcPr>
            <w:tcW w:w="8600" w:type="dxa"/>
            <w:vAlign w:val="bottom"/>
          </w:tcPr>
          <w:p>
            <w:pPr>
              <w:ind w:left="240"/>
              <w:spacing w:after="0"/>
              <w:rPr>
                <w:sz w:val="20"/>
                <w:szCs w:val="20"/>
                <w:color w:val="auto"/>
              </w:rPr>
            </w:pPr>
            <w:r>
              <w:rPr>
                <w:rFonts w:ascii="Arial" w:cs="Arial" w:eastAsia="Arial" w:hAnsi="Arial"/>
                <w:sz w:val="18"/>
                <w:szCs w:val="18"/>
                <w:color w:val="auto"/>
              </w:rPr>
              <w:t>Finance lease liabilities, current portion</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10,586</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4,183</w:t>
            </w:r>
          </w:p>
        </w:tc>
      </w:tr>
      <w:tr>
        <w:trPr>
          <w:trHeight w:val="230"/>
        </w:trPr>
        <w:tc>
          <w:tcPr>
            <w:tcW w:w="86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Finance lease liabilities, net of current portion</w:t>
            </w: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81,336</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6,083</w:t>
            </w:r>
          </w:p>
        </w:tc>
      </w:tr>
      <w:tr>
        <w:trPr>
          <w:trHeight w:val="223"/>
        </w:trPr>
        <w:tc>
          <w:tcPr>
            <w:tcW w:w="8600" w:type="dxa"/>
            <w:vAlign w:val="bottom"/>
          </w:tcPr>
          <w:p>
            <w:pPr>
              <w:ind w:left="520"/>
              <w:spacing w:after="0"/>
              <w:rPr>
                <w:sz w:val="20"/>
                <w:szCs w:val="20"/>
                <w:color w:val="auto"/>
              </w:rPr>
            </w:pPr>
            <w:r>
              <w:rPr>
                <w:rFonts w:ascii="Arial" w:cs="Arial" w:eastAsia="Arial" w:hAnsi="Arial"/>
                <w:sz w:val="18"/>
                <w:szCs w:val="18"/>
                <w:color w:val="auto"/>
              </w:rPr>
              <w:t>Total finance lease liabilities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91,922</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10,266</w:t>
            </w:r>
          </w:p>
        </w:tc>
      </w:tr>
      <w:tr>
        <w:trPr>
          <w:trHeight w:val="21"/>
        </w:trPr>
        <w:tc>
          <w:tcPr>
            <w:tcW w:w="8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6"/>
          <w:szCs w:val="16"/>
          <w:color w:val="auto"/>
        </w:rPr>
        <w:t>The components of lease expense are as follows within the Company’s consolidated statements of operations and comprehensive loss (in thousands):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340" w:type="dxa"/>
            <w:vAlign w:val="bottom"/>
            <w:gridSpan w:val="4"/>
          </w:tcPr>
          <w:p>
            <w:pPr>
              <w:jc w:val="right"/>
              <w:ind w:right="433"/>
              <w:spacing w:after="0"/>
              <w:rPr>
                <w:sz w:val="20"/>
                <w:szCs w:val="20"/>
                <w:color w:val="auto"/>
              </w:rPr>
            </w:pPr>
            <w:r>
              <w:rPr>
                <w:rFonts w:ascii="Arial" w:cs="Arial" w:eastAsia="Arial" w:hAnsi="Arial"/>
                <w:sz w:val="14"/>
                <w:szCs w:val="14"/>
                <w:b w:val="1"/>
                <w:bCs w:val="1"/>
                <w:color w:val="auto"/>
              </w:rPr>
              <w:t>Year Ended December 31,</w:t>
            </w:r>
          </w:p>
        </w:tc>
      </w:tr>
      <w:tr>
        <w:trPr>
          <w:trHeight w:val="26"/>
        </w:trPr>
        <w:tc>
          <w:tcPr>
            <w:tcW w:w="86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89"/>
        </w:trPr>
        <w:tc>
          <w:tcPr>
            <w:tcW w:w="86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2021</w:t>
            </w:r>
          </w:p>
        </w:tc>
      </w:tr>
      <w:tr>
        <w:trPr>
          <w:trHeight w:val="216"/>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lease expense:</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30"/>
        </w:trPr>
        <w:tc>
          <w:tcPr>
            <w:tcW w:w="8600" w:type="dxa"/>
            <w:vAlign w:val="bottom"/>
          </w:tcPr>
          <w:p>
            <w:pPr>
              <w:ind w:left="240"/>
              <w:spacing w:after="0" w:line="230" w:lineRule="exact"/>
              <w:rPr>
                <w:sz w:val="20"/>
                <w:szCs w:val="20"/>
                <w:color w:val="auto"/>
              </w:rPr>
            </w:pPr>
            <w:r>
              <w:rPr>
                <w:rFonts w:ascii="Arial" w:cs="Arial" w:eastAsia="Arial" w:hAnsi="Arial"/>
                <w:sz w:val="18"/>
                <w:szCs w:val="18"/>
                <w:color w:val="auto"/>
              </w:rPr>
              <w:t xml:space="preserve">Operating lease expense </w:t>
            </w:r>
            <w:r>
              <w:rPr>
                <w:rFonts w:ascii="Arial" w:cs="Arial" w:eastAsia="Arial" w:hAnsi="Arial"/>
                <w:sz w:val="23"/>
                <w:szCs w:val="23"/>
                <w:color w:val="auto"/>
                <w:vertAlign w:val="superscript"/>
              </w:rPr>
              <w:t>(1)</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44,617</w:t>
            </w:r>
          </w:p>
        </w:tc>
        <w:tc>
          <w:tcPr>
            <w:tcW w:w="8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31,097</w:t>
            </w:r>
          </w:p>
        </w:tc>
      </w:tr>
      <w:tr>
        <w:trPr>
          <w:trHeight w:val="230"/>
        </w:trPr>
        <w:tc>
          <w:tcPr>
            <w:tcW w:w="86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Variable lease expense</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1,712</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2,406</w:t>
            </w:r>
          </w:p>
        </w:tc>
      </w:tr>
      <w:tr>
        <w:trPr>
          <w:trHeight w:val="256"/>
        </w:trPr>
        <w:tc>
          <w:tcPr>
            <w:tcW w:w="86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30"/>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Finance lease expense:</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0"/>
        </w:trPr>
        <w:tc>
          <w:tcPr>
            <w:tcW w:w="8600" w:type="dxa"/>
            <w:vAlign w:val="bottom"/>
          </w:tcPr>
          <w:p>
            <w:pPr>
              <w:ind w:left="240"/>
              <w:spacing w:after="0"/>
              <w:rPr>
                <w:sz w:val="20"/>
                <w:szCs w:val="20"/>
                <w:color w:val="auto"/>
              </w:rPr>
            </w:pPr>
            <w:r>
              <w:rPr>
                <w:rFonts w:ascii="Arial" w:cs="Arial" w:eastAsia="Arial" w:hAnsi="Arial"/>
                <w:sz w:val="18"/>
                <w:szCs w:val="18"/>
                <w:color w:val="auto"/>
              </w:rPr>
              <w:t>Amortization of leased assets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4,812</w:t>
            </w:r>
          </w:p>
        </w:tc>
        <w:tc>
          <w:tcPr>
            <w:tcW w:w="8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3,020</w:t>
            </w:r>
          </w:p>
        </w:tc>
      </w:tr>
      <w:tr>
        <w:trPr>
          <w:trHeight w:val="229"/>
        </w:trPr>
        <w:tc>
          <w:tcPr>
            <w:tcW w:w="86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Interest on lease liabilities</w:t>
            </w: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2,453</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w:t>
            </w:r>
          </w:p>
        </w:tc>
      </w:tr>
      <w:tr>
        <w:trPr>
          <w:trHeight w:val="223"/>
        </w:trPr>
        <w:tc>
          <w:tcPr>
            <w:tcW w:w="860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Total finance lease expense</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7,265</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3,480</w:t>
            </w:r>
          </w:p>
        </w:tc>
      </w:tr>
      <w:tr>
        <w:trPr>
          <w:trHeight w:val="248"/>
        </w:trPr>
        <w:tc>
          <w:tcPr>
            <w:tcW w:w="860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Total lease expense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53,594</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36,983</w:t>
            </w:r>
          </w:p>
        </w:tc>
      </w:tr>
      <w:tr>
        <w:trPr>
          <w:trHeight w:val="20"/>
        </w:trPr>
        <w:tc>
          <w:tcPr>
            <w:tcW w:w="86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78" w:lineRule="exact"/>
        <w:rPr>
          <w:sz w:val="20"/>
          <w:szCs w:val="20"/>
          <w:color w:val="auto"/>
        </w:rPr>
      </w:pPr>
    </w:p>
    <w:p>
      <w:pPr>
        <w:ind w:left="160" w:hanging="152"/>
        <w:spacing w:after="0"/>
        <w:tabs>
          <w:tab w:leader="none" w:pos="160" w:val="left"/>
        </w:tabs>
        <w:numPr>
          <w:ilvl w:val="0"/>
          <w:numId w:val="58"/>
        </w:numPr>
        <w:rPr>
          <w:rFonts w:ascii="Arial" w:cs="Arial" w:eastAsia="Arial" w:hAnsi="Arial"/>
          <w:sz w:val="9"/>
          <w:szCs w:val="9"/>
          <w:color w:val="auto"/>
        </w:rPr>
      </w:pPr>
      <w:r>
        <w:rPr>
          <w:rFonts w:ascii="Arial" w:cs="Arial" w:eastAsia="Arial" w:hAnsi="Arial"/>
          <w:sz w:val="14"/>
          <w:szCs w:val="14"/>
          <w:color w:val="auto"/>
        </w:rPr>
        <w:t>Excluded short-term leases, which were immaterial.</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Other information related to leases where the Company is the lessee was as follows: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500" w:type="dxa"/>
            <w:vAlign w:val="bottom"/>
            <w:gridSpan w:val="2"/>
          </w:tcPr>
          <w:p>
            <w:pPr>
              <w:ind w:left="300"/>
              <w:spacing w:after="0"/>
              <w:rPr>
                <w:sz w:val="20"/>
                <w:szCs w:val="20"/>
                <w:color w:val="auto"/>
              </w:rPr>
            </w:pPr>
            <w:r>
              <w:rPr>
                <w:rFonts w:ascii="Arial" w:cs="Arial" w:eastAsia="Arial" w:hAnsi="Arial"/>
                <w:sz w:val="14"/>
                <w:szCs w:val="14"/>
                <w:b w:val="1"/>
                <w:bCs w:val="1"/>
                <w:color w:val="auto"/>
              </w:rPr>
              <w:t>December 31,</w:t>
            </w:r>
          </w:p>
        </w:tc>
        <w:tc>
          <w:tcPr>
            <w:tcW w:w="1420" w:type="dxa"/>
            <w:vAlign w:val="bottom"/>
          </w:tcPr>
          <w:p>
            <w:pPr>
              <w:jc w:val="right"/>
              <w:ind w:right="196"/>
              <w:spacing w:after="0"/>
              <w:rPr>
                <w:sz w:val="20"/>
                <w:szCs w:val="20"/>
                <w:color w:val="auto"/>
              </w:rPr>
            </w:pPr>
            <w:r>
              <w:rPr>
                <w:rFonts w:ascii="Arial" w:cs="Arial" w:eastAsia="Arial" w:hAnsi="Arial"/>
                <w:sz w:val="14"/>
                <w:szCs w:val="14"/>
                <w:b w:val="1"/>
                <w:bCs w:val="1"/>
                <w:color w:val="auto"/>
              </w:rPr>
              <w:t>December 31,</w:t>
            </w:r>
          </w:p>
        </w:tc>
      </w:tr>
      <w:tr>
        <w:trPr>
          <w:trHeight w:val="192"/>
        </w:trPr>
        <w:tc>
          <w:tcPr>
            <w:tcW w:w="4700" w:type="dxa"/>
            <w:vAlign w:val="bottom"/>
          </w:tcPr>
          <w:p>
            <w:pPr>
              <w:spacing w:after="0"/>
              <w:rPr>
                <w:sz w:val="16"/>
                <w:szCs w:val="16"/>
                <w:color w:val="auto"/>
              </w:rPr>
            </w:pPr>
          </w:p>
        </w:tc>
        <w:tc>
          <w:tcPr>
            <w:tcW w:w="5040" w:type="dxa"/>
            <w:vAlign w:val="bottom"/>
            <w:gridSpan w:val="2"/>
          </w:tcPr>
          <w:p>
            <w:pPr>
              <w:jc w:val="right"/>
              <w:ind w:right="488"/>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c>
          <w:tcPr>
            <w:tcW w:w="1420" w:type="dxa"/>
            <w:vAlign w:val="bottom"/>
          </w:tcPr>
          <w:p>
            <w:pPr>
              <w:jc w:val="right"/>
              <w:ind w:right="476"/>
              <w:spacing w:after="0"/>
              <w:rPr>
                <w:sz w:val="20"/>
                <w:szCs w:val="20"/>
                <w:color w:val="auto"/>
              </w:rPr>
            </w:pPr>
            <w:r>
              <w:rPr>
                <w:rFonts w:ascii="Arial" w:cs="Arial" w:eastAsia="Arial" w:hAnsi="Arial"/>
                <w:sz w:val="14"/>
                <w:szCs w:val="14"/>
                <w:b w:val="1"/>
                <w:bCs w:val="1"/>
                <w:color w:val="auto"/>
              </w:rPr>
              <w:t>2021</w:t>
            </w:r>
          </w:p>
        </w:tc>
      </w:tr>
      <w:tr>
        <w:trPr>
          <w:trHeight w:val="215"/>
        </w:trPr>
        <w:tc>
          <w:tcPr>
            <w:tcW w:w="4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Weighted-average remaining lease term (in years):</w:t>
            </w:r>
          </w:p>
        </w:tc>
        <w:tc>
          <w:tcPr>
            <w:tcW w:w="362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r>
      <w:tr>
        <w:trPr>
          <w:trHeight w:val="230"/>
        </w:trPr>
        <w:tc>
          <w:tcPr>
            <w:tcW w:w="4700" w:type="dxa"/>
            <w:vAlign w:val="bottom"/>
          </w:tcPr>
          <w:p>
            <w:pPr>
              <w:ind w:left="240"/>
              <w:spacing w:after="0"/>
              <w:rPr>
                <w:sz w:val="20"/>
                <w:szCs w:val="20"/>
                <w:color w:val="auto"/>
              </w:rPr>
            </w:pPr>
            <w:r>
              <w:rPr>
                <w:rFonts w:ascii="Arial" w:cs="Arial" w:eastAsia="Arial" w:hAnsi="Arial"/>
                <w:sz w:val="18"/>
                <w:szCs w:val="18"/>
                <w:color w:val="auto"/>
              </w:rPr>
              <w:t>Operating leases</w:t>
            </w:r>
          </w:p>
        </w:tc>
        <w:tc>
          <w:tcPr>
            <w:tcW w:w="5040" w:type="dxa"/>
            <w:vAlign w:val="bottom"/>
            <w:gridSpan w:val="2"/>
          </w:tcPr>
          <w:p>
            <w:pPr>
              <w:jc w:val="right"/>
              <w:spacing w:after="0"/>
              <w:rPr>
                <w:sz w:val="20"/>
                <w:szCs w:val="20"/>
                <w:color w:val="auto"/>
              </w:rPr>
            </w:pPr>
            <w:r>
              <w:rPr>
                <w:rFonts w:ascii="Arial" w:cs="Arial" w:eastAsia="Arial" w:hAnsi="Arial"/>
                <w:sz w:val="18"/>
                <w:szCs w:val="18"/>
                <w:color w:val="auto"/>
              </w:rPr>
              <w:t>7.6</w:t>
            </w:r>
          </w:p>
        </w:tc>
        <w:tc>
          <w:tcPr>
            <w:tcW w:w="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29"/>
        </w:trPr>
        <w:tc>
          <w:tcPr>
            <w:tcW w:w="47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Finance leases</w:t>
            </w:r>
          </w:p>
        </w:tc>
        <w:tc>
          <w:tcPr>
            <w:tcW w:w="5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470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30"/>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Weighted-average discount rate:</w:t>
            </w:r>
          </w:p>
        </w:tc>
        <w:tc>
          <w:tcPr>
            <w:tcW w:w="36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29"/>
        </w:trPr>
        <w:tc>
          <w:tcPr>
            <w:tcW w:w="4700" w:type="dxa"/>
            <w:vAlign w:val="bottom"/>
          </w:tcPr>
          <w:p>
            <w:pPr>
              <w:ind w:left="240"/>
              <w:spacing w:after="0"/>
              <w:rPr>
                <w:sz w:val="20"/>
                <w:szCs w:val="20"/>
                <w:color w:val="auto"/>
              </w:rPr>
            </w:pPr>
            <w:r>
              <w:rPr>
                <w:rFonts w:ascii="Arial" w:cs="Arial" w:eastAsia="Arial" w:hAnsi="Arial"/>
                <w:sz w:val="18"/>
                <w:szCs w:val="18"/>
                <w:color w:val="auto"/>
              </w:rPr>
              <w:t>Operating leases</w:t>
            </w:r>
          </w:p>
        </w:tc>
        <w:tc>
          <w:tcPr>
            <w:tcW w:w="5040" w:type="dxa"/>
            <w:vAlign w:val="bottom"/>
            <w:gridSpan w:val="2"/>
          </w:tcPr>
          <w:p>
            <w:pPr>
              <w:jc w:val="right"/>
              <w:spacing w:after="0"/>
              <w:rPr>
                <w:sz w:val="20"/>
                <w:szCs w:val="20"/>
                <w:color w:val="auto"/>
              </w:rPr>
            </w:pPr>
            <w:r>
              <w:rPr>
                <w:rFonts w:ascii="Arial" w:cs="Arial" w:eastAsia="Arial" w:hAnsi="Arial"/>
                <w:sz w:val="18"/>
                <w:szCs w:val="18"/>
                <w:color w:val="auto"/>
              </w:rPr>
              <w:t>10.52 %</w:t>
            </w:r>
          </w:p>
        </w:tc>
        <w:tc>
          <w:tcPr>
            <w:tcW w:w="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10.98 %</w:t>
            </w:r>
          </w:p>
        </w:tc>
      </w:tr>
      <w:tr>
        <w:trPr>
          <w:trHeight w:val="229"/>
        </w:trPr>
        <w:tc>
          <w:tcPr>
            <w:tcW w:w="47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Finance leases</w:t>
            </w:r>
          </w:p>
        </w:tc>
        <w:tc>
          <w:tcPr>
            <w:tcW w:w="5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5.57 %</w:t>
            </w: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5.58 %</w:t>
            </w:r>
          </w:p>
        </w:tc>
      </w:tr>
      <w:tr>
        <w:trPr>
          <w:trHeight w:val="553"/>
        </w:trPr>
        <w:tc>
          <w:tcPr>
            <w:tcW w:w="4700" w:type="dxa"/>
            <w:vAlign w:val="bottom"/>
          </w:tcPr>
          <w:p>
            <w:pPr>
              <w:spacing w:after="0"/>
              <w:rPr>
                <w:sz w:val="24"/>
                <w:szCs w:val="24"/>
                <w:color w:val="auto"/>
              </w:rPr>
            </w:pPr>
          </w:p>
        </w:tc>
        <w:tc>
          <w:tcPr>
            <w:tcW w:w="3620" w:type="dxa"/>
            <w:vAlign w:val="bottom"/>
          </w:tcPr>
          <w:p>
            <w:pPr>
              <w:jc w:val="right"/>
              <w:ind w:right="2473"/>
              <w:spacing w:after="0"/>
              <w:rPr>
                <w:sz w:val="20"/>
                <w:szCs w:val="20"/>
                <w:color w:val="auto"/>
              </w:rPr>
            </w:pPr>
            <w:r>
              <w:rPr>
                <w:rFonts w:ascii="Arial" w:cs="Arial" w:eastAsia="Arial" w:hAnsi="Arial"/>
                <w:sz w:val="18"/>
                <w:szCs w:val="18"/>
                <w:color w:val="auto"/>
              </w:rPr>
              <w:t>120</w:t>
            </w: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42"/>
        </w:trPr>
        <w:tc>
          <w:tcPr>
            <w:tcW w:w="4700" w:type="dxa"/>
            <w:vAlign w:val="bottom"/>
            <w:tcBorders>
              <w:bottom w:val="single" w:sz="8" w:color="9A9A9A"/>
            </w:tcBorders>
          </w:tcPr>
          <w:p>
            <w:pPr>
              <w:spacing w:after="0"/>
              <w:rPr>
                <w:sz w:val="12"/>
                <w:szCs w:val="12"/>
                <w:color w:val="auto"/>
              </w:rPr>
            </w:pPr>
          </w:p>
        </w:tc>
        <w:tc>
          <w:tcPr>
            <w:tcW w:w="3620" w:type="dxa"/>
            <w:vAlign w:val="bottom"/>
            <w:tcBorders>
              <w:bottom w:val="single" w:sz="8" w:color="9A9A9A"/>
            </w:tcBorders>
          </w:tcPr>
          <w:p>
            <w:pPr>
              <w:spacing w:after="0"/>
              <w:rPr>
                <w:sz w:val="12"/>
                <w:szCs w:val="12"/>
                <w:color w:val="auto"/>
              </w:rPr>
            </w:pPr>
          </w:p>
        </w:tc>
        <w:tc>
          <w:tcPr>
            <w:tcW w:w="142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1420" w:type="dxa"/>
            <w:vAlign w:val="bottom"/>
            <w:tcBorders>
              <w:bottom w:val="single" w:sz="8" w:color="9A9A9A"/>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121" w:name="page122"/>
    <w:bookmarkEnd w:id="121"/>
    <w:p>
      <w:pPr>
        <w:spacing w:after="0"/>
        <w:rPr>
          <w:sz w:val="20"/>
          <w:szCs w:val="20"/>
          <w:color w:val="auto"/>
        </w:rPr>
      </w:pPr>
      <w:r>
        <w:rPr>
          <w:rFonts w:ascii="Arial" w:cs="Arial" w:eastAsia="Arial" w:hAnsi="Arial"/>
          <w:sz w:val="18"/>
          <w:szCs w:val="18"/>
          <w:color w:val="auto"/>
        </w:rPr>
        <w:t>Supplemental cash flow information related to leases where the Company is the lessee is as follows (in thousands):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340" w:type="dxa"/>
            <w:vAlign w:val="bottom"/>
            <w:gridSpan w:val="4"/>
          </w:tcPr>
          <w:p>
            <w:pPr>
              <w:jc w:val="right"/>
              <w:ind w:right="433"/>
              <w:spacing w:after="0"/>
              <w:rPr>
                <w:sz w:val="20"/>
                <w:szCs w:val="20"/>
                <w:color w:val="auto"/>
              </w:rPr>
            </w:pPr>
            <w:r>
              <w:rPr>
                <w:rFonts w:ascii="Arial" w:cs="Arial" w:eastAsia="Arial" w:hAnsi="Arial"/>
                <w:sz w:val="14"/>
                <w:szCs w:val="14"/>
                <w:b w:val="1"/>
                <w:bCs w:val="1"/>
                <w:color w:val="auto"/>
              </w:rPr>
              <w:t>Year Ended December 31,</w:t>
            </w:r>
          </w:p>
        </w:tc>
      </w:tr>
      <w:tr>
        <w:trPr>
          <w:trHeight w:val="26"/>
        </w:trPr>
        <w:tc>
          <w:tcPr>
            <w:tcW w:w="86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90"/>
        </w:trPr>
        <w:tc>
          <w:tcPr>
            <w:tcW w:w="86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2021</w:t>
            </w:r>
          </w:p>
        </w:tc>
      </w:tr>
      <w:tr>
        <w:trPr>
          <w:trHeight w:val="216"/>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paid for amounts included in the measurement of lease liabilities:</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29"/>
        </w:trPr>
        <w:tc>
          <w:tcPr>
            <w:tcW w:w="8600" w:type="dxa"/>
            <w:vAlign w:val="bottom"/>
          </w:tcPr>
          <w:p>
            <w:pPr>
              <w:ind w:left="140"/>
              <w:spacing w:after="0"/>
              <w:rPr>
                <w:sz w:val="20"/>
                <w:szCs w:val="20"/>
                <w:color w:val="auto"/>
              </w:rPr>
            </w:pPr>
            <w:r>
              <w:rPr>
                <w:rFonts w:ascii="Arial" w:cs="Arial" w:eastAsia="Arial" w:hAnsi="Arial"/>
                <w:sz w:val="18"/>
                <w:szCs w:val="18"/>
                <w:color w:val="auto"/>
              </w:rPr>
              <w:t>Operating cash flows from operating leases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15,482</w:t>
            </w:r>
          </w:p>
        </w:tc>
        <w:tc>
          <w:tcPr>
            <w:tcW w:w="8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10,019</w:t>
            </w:r>
          </w:p>
        </w:tc>
      </w:tr>
      <w:tr>
        <w:trPr>
          <w:trHeight w:val="230"/>
        </w:trPr>
        <w:tc>
          <w:tcPr>
            <w:tcW w:w="8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cash flows from finance leases (interest payments)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w:t>
            </w:r>
          </w:p>
        </w:tc>
      </w:tr>
      <w:tr>
        <w:trPr>
          <w:trHeight w:val="229"/>
        </w:trPr>
        <w:tc>
          <w:tcPr>
            <w:tcW w:w="8600" w:type="dxa"/>
            <w:vAlign w:val="bottom"/>
          </w:tcPr>
          <w:p>
            <w:pPr>
              <w:ind w:left="140"/>
              <w:spacing w:after="0"/>
              <w:rPr>
                <w:sz w:val="20"/>
                <w:szCs w:val="20"/>
                <w:color w:val="auto"/>
              </w:rPr>
            </w:pPr>
            <w:r>
              <w:rPr>
                <w:rFonts w:ascii="Arial" w:cs="Arial" w:eastAsia="Arial" w:hAnsi="Arial"/>
                <w:sz w:val="18"/>
                <w:szCs w:val="18"/>
                <w:color w:val="auto"/>
              </w:rPr>
              <w:t>Financing cash flows from finance leases</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4,977</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3,088</w:t>
            </w:r>
          </w:p>
        </w:tc>
      </w:tr>
      <w:tr>
        <w:trPr>
          <w:trHeight w:val="229"/>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Leased assets obtained in exchange for new operating lease liabilities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73,502</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84,078</w:t>
            </w:r>
          </w:p>
        </w:tc>
      </w:tr>
      <w:tr>
        <w:trPr>
          <w:trHeight w:val="230"/>
        </w:trPr>
        <w:tc>
          <w:tcPr>
            <w:tcW w:w="8600" w:type="dxa"/>
            <w:vAlign w:val="bottom"/>
          </w:tcPr>
          <w:p>
            <w:pPr>
              <w:ind w:left="20"/>
              <w:spacing w:after="0"/>
              <w:rPr>
                <w:sz w:val="20"/>
                <w:szCs w:val="20"/>
                <w:color w:val="auto"/>
              </w:rPr>
            </w:pPr>
            <w:r>
              <w:rPr>
                <w:rFonts w:ascii="Arial" w:cs="Arial" w:eastAsia="Arial" w:hAnsi="Arial"/>
                <w:sz w:val="18"/>
                <w:szCs w:val="18"/>
                <w:color w:val="auto"/>
              </w:rPr>
              <w:t>Leased assets obtained in exchange for new finance lease liabilities</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84,392</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9,693</w:t>
            </w:r>
          </w:p>
        </w:tc>
      </w:tr>
    </w:tbl>
    <w:p>
      <w:pPr>
        <w:spacing w:after="0" w:line="32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2022, the maturities of the Company’s operating and finance lease liabilities (excluding short-term leases) were as follows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600" w:type="dxa"/>
            <w:vAlign w:val="bottom"/>
          </w:tcPr>
          <w:p>
            <w:pPr>
              <w:spacing w:after="0"/>
              <w:rPr>
                <w:sz w:val="16"/>
                <w:szCs w:val="16"/>
                <w:color w:val="auto"/>
              </w:rPr>
            </w:pPr>
          </w:p>
        </w:tc>
        <w:tc>
          <w:tcPr>
            <w:tcW w:w="1360" w:type="dxa"/>
            <w:vAlign w:val="bottom"/>
            <w:gridSpan w:val="3"/>
          </w:tcPr>
          <w:p>
            <w:pPr>
              <w:ind w:left="100"/>
              <w:spacing w:after="0"/>
              <w:rPr>
                <w:sz w:val="20"/>
                <w:szCs w:val="20"/>
                <w:color w:val="auto"/>
              </w:rPr>
            </w:pPr>
            <w:r>
              <w:rPr>
                <w:rFonts w:ascii="Arial" w:cs="Arial" w:eastAsia="Arial" w:hAnsi="Arial"/>
                <w:sz w:val="14"/>
                <w:szCs w:val="14"/>
                <w:b w:val="1"/>
                <w:bCs w:val="1"/>
                <w:color w:val="auto"/>
              </w:rPr>
              <w:t>Operating Leases</w:t>
            </w:r>
          </w:p>
        </w:tc>
        <w:tc>
          <w:tcPr>
            <w:tcW w:w="140" w:type="dxa"/>
            <w:vAlign w:val="bottom"/>
          </w:tcPr>
          <w:p>
            <w:pPr>
              <w:spacing w:after="0"/>
              <w:rPr>
                <w:sz w:val="16"/>
                <w:szCs w:val="16"/>
                <w:color w:val="auto"/>
              </w:rPr>
            </w:pPr>
          </w:p>
        </w:tc>
        <w:tc>
          <w:tcPr>
            <w:tcW w:w="1140" w:type="dxa"/>
            <w:vAlign w:val="bottom"/>
          </w:tcPr>
          <w:p>
            <w:pPr>
              <w:jc w:val="right"/>
              <w:ind w:right="92"/>
              <w:spacing w:after="0"/>
              <w:rPr>
                <w:sz w:val="20"/>
                <w:szCs w:val="20"/>
                <w:color w:val="auto"/>
              </w:rPr>
            </w:pPr>
            <w:r>
              <w:rPr>
                <w:rFonts w:ascii="Arial" w:cs="Arial" w:eastAsia="Arial" w:hAnsi="Arial"/>
                <w:sz w:val="14"/>
                <w:szCs w:val="14"/>
                <w:b w:val="1"/>
                <w:bCs w:val="1"/>
                <w:color w:val="auto"/>
                <w:w w:val="90"/>
              </w:rPr>
              <w:t>Finance Leases</w:t>
            </w:r>
          </w:p>
        </w:tc>
      </w:tr>
      <w:tr>
        <w:trPr>
          <w:trHeight w:val="26"/>
        </w:trPr>
        <w:tc>
          <w:tcPr>
            <w:tcW w:w="86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23"/>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32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38,064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10,937</w:t>
            </w:r>
          </w:p>
        </w:tc>
      </w:tr>
      <w:tr>
        <w:trPr>
          <w:trHeight w:val="230"/>
        </w:trPr>
        <w:tc>
          <w:tcPr>
            <w:tcW w:w="8600" w:type="dxa"/>
            <w:vAlign w:val="bottom"/>
          </w:tcPr>
          <w:p>
            <w:pPr>
              <w:ind w:left="20"/>
              <w:spacing w:after="0"/>
              <w:rPr>
                <w:sz w:val="20"/>
                <w:szCs w:val="20"/>
                <w:color w:val="auto"/>
              </w:rPr>
            </w:pPr>
            <w:r>
              <w:rPr>
                <w:rFonts w:ascii="Arial" w:cs="Arial" w:eastAsia="Arial" w:hAnsi="Arial"/>
                <w:sz w:val="18"/>
                <w:szCs w:val="18"/>
                <w:color w:val="auto"/>
              </w:rPr>
              <w:t>2024</w:t>
            </w: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54,504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8,340</w:t>
            </w:r>
          </w:p>
        </w:tc>
      </w:tr>
      <w:tr>
        <w:trPr>
          <w:trHeight w:val="229"/>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53,838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6,619</w:t>
            </w:r>
          </w:p>
        </w:tc>
      </w:tr>
      <w:tr>
        <w:trPr>
          <w:trHeight w:val="229"/>
        </w:trPr>
        <w:tc>
          <w:tcPr>
            <w:tcW w:w="8600" w:type="dxa"/>
            <w:vAlign w:val="bottom"/>
          </w:tcPr>
          <w:p>
            <w:pPr>
              <w:ind w:left="20"/>
              <w:spacing w:after="0"/>
              <w:rPr>
                <w:sz w:val="20"/>
                <w:szCs w:val="20"/>
                <w:color w:val="auto"/>
              </w:rPr>
            </w:pPr>
            <w:r>
              <w:rPr>
                <w:rFonts w:ascii="Arial" w:cs="Arial" w:eastAsia="Arial" w:hAnsi="Arial"/>
                <w:sz w:val="18"/>
                <w:szCs w:val="18"/>
                <w:color w:val="auto"/>
              </w:rPr>
              <w:t>2026</w:t>
            </w: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50,434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82,488</w:t>
            </w:r>
          </w:p>
        </w:tc>
      </w:tr>
      <w:tr>
        <w:trPr>
          <w:trHeight w:val="230"/>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44,039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r>
      <w:tr>
        <w:trPr>
          <w:trHeight w:val="229"/>
        </w:trPr>
        <w:tc>
          <w:tcPr>
            <w:tcW w:w="8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146,784</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r>
      <w:tr>
        <w:trPr>
          <w:trHeight w:val="223"/>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minimum lease payments</w:t>
            </w: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387,663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108,538</w:t>
            </w:r>
          </w:p>
        </w:tc>
      </w:tr>
      <w:tr>
        <w:trPr>
          <w:trHeight w:val="229"/>
        </w:trPr>
        <w:tc>
          <w:tcPr>
            <w:tcW w:w="8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Interest</w:t>
            </w: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(132,551)</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(16,616)</w:t>
            </w:r>
          </w:p>
        </w:tc>
      </w:tr>
      <w:tr>
        <w:trPr>
          <w:trHeight w:val="223"/>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Present value of lease obligations</w:t>
            </w: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255,112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91,922</w:t>
            </w:r>
          </w:p>
        </w:tc>
      </w:tr>
      <w:tr>
        <w:trPr>
          <w:trHeight w:val="229"/>
        </w:trPr>
        <w:tc>
          <w:tcPr>
            <w:tcW w:w="8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Current portion</w:t>
            </w: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(11,269)</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(10,586)</w:t>
            </w:r>
          </w:p>
        </w:tc>
      </w:tr>
      <w:tr>
        <w:trPr>
          <w:trHeight w:val="248"/>
        </w:trPr>
        <w:tc>
          <w:tcPr>
            <w:tcW w:w="8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portion of lease obligations</w:t>
            </w:r>
          </w:p>
        </w:tc>
        <w:tc>
          <w:tcPr>
            <w:tcW w:w="32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243,843</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81,336</w:t>
            </w:r>
          </w:p>
        </w:tc>
      </w:tr>
      <w:tr>
        <w:trPr>
          <w:trHeight w:val="20"/>
        </w:trPr>
        <w:tc>
          <w:tcPr>
            <w:tcW w:w="86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As of December 31, 2022, the Company entered into additional leases for facilities and equipment that have not yet commenced with undiscounted future lease payments of $26.8 million. The leases are expected to commence over the next twelve months.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COMMITMENTS AND 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color w:val="auto"/>
        </w:rPr>
        <w:t>As of December 31, 2022 and 2021, the Company had $593.9 million and $286.0 million, respectively, in commitments related to AMP-1 and AMP-2 plant and equipment. These commitments represent future expected payments on open purchase orders entered into as of December 31, 2022 and 2021.</w:t>
      </w:r>
    </w:p>
    <w:p>
      <w:pPr>
        <w:spacing w:after="0" w:line="121" w:lineRule="exact"/>
        <w:rPr>
          <w:sz w:val="20"/>
          <w:szCs w:val="20"/>
          <w:color w:val="auto"/>
        </w:rPr>
      </w:pPr>
    </w:p>
    <w:p>
      <w:pPr>
        <w:ind w:right="500"/>
        <w:spacing w:after="0" w:line="256" w:lineRule="auto"/>
        <w:rPr>
          <w:sz w:val="20"/>
          <w:szCs w:val="20"/>
          <w:color w:val="auto"/>
        </w:rPr>
      </w:pPr>
      <w:r>
        <w:rPr>
          <w:rFonts w:ascii="Arial" w:cs="Arial" w:eastAsia="Arial" w:hAnsi="Arial"/>
          <w:sz w:val="20"/>
          <w:szCs w:val="20"/>
          <w:color w:val="auto"/>
        </w:rPr>
        <w:t>T</w:t>
      </w:r>
      <w:r>
        <w:rPr>
          <w:rFonts w:ascii="Arial" w:cs="Arial" w:eastAsia="Arial" w:hAnsi="Arial"/>
          <w:sz w:val="17"/>
          <w:szCs w:val="17"/>
          <w:color w:val="auto"/>
        </w:rPr>
        <w:t>he Company’s non-cancellable long-term commitments primarily related to certain inventory component purchases. The estimated future payments</w:t>
      </w:r>
      <w:r>
        <w:rPr>
          <w:rFonts w:ascii="Arial" w:cs="Arial" w:eastAsia="Arial" w:hAnsi="Arial"/>
          <w:sz w:val="20"/>
          <w:szCs w:val="20"/>
          <w:color w:val="auto"/>
        </w:rPr>
        <w:t xml:space="preserve"> </w:t>
      </w:r>
      <w:r>
        <w:rPr>
          <w:rFonts w:ascii="Arial" w:cs="Arial" w:eastAsia="Arial" w:hAnsi="Arial"/>
          <w:sz w:val="17"/>
          <w:szCs w:val="17"/>
          <w:color w:val="auto"/>
        </w:rPr>
        <w:t>having a remaining term in excess of one year as of December 31, 2022 were as follows (in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jc w:val="center"/>
              <w:ind w:right="55"/>
              <w:spacing w:after="0"/>
              <w:rPr>
                <w:sz w:val="20"/>
                <w:szCs w:val="20"/>
                <w:color w:val="auto"/>
              </w:rPr>
            </w:pPr>
            <w:r>
              <w:rPr>
                <w:rFonts w:ascii="Arial" w:cs="Arial" w:eastAsia="Arial" w:hAnsi="Arial"/>
                <w:sz w:val="14"/>
                <w:szCs w:val="14"/>
                <w:b w:val="1"/>
                <w:bCs w:val="1"/>
                <w:color w:val="auto"/>
                <w:w w:val="97"/>
              </w:rPr>
              <w:t>Minimum</w:t>
            </w:r>
          </w:p>
        </w:tc>
        <w:tc>
          <w:tcPr>
            <w:tcW w:w="0" w:type="dxa"/>
            <w:vAlign w:val="bottom"/>
          </w:tcPr>
          <w:p>
            <w:pPr>
              <w:spacing w:after="0"/>
              <w:rPr>
                <w:sz w:val="1"/>
                <w:szCs w:val="1"/>
                <w:color w:val="auto"/>
              </w:rPr>
            </w:pPr>
          </w:p>
        </w:tc>
      </w:tr>
      <w:tr>
        <w:trPr>
          <w:trHeight w:val="144"/>
        </w:trPr>
        <w:tc>
          <w:tcPr>
            <w:tcW w:w="9960" w:type="dxa"/>
            <w:vAlign w:val="bottom"/>
            <w:vMerge w:val="restart"/>
          </w:tcPr>
          <w:p>
            <w:pPr>
              <w:ind w:left="20"/>
              <w:spacing w:after="0"/>
              <w:rPr>
                <w:sz w:val="20"/>
                <w:szCs w:val="20"/>
                <w:color w:val="auto"/>
              </w:rPr>
            </w:pPr>
            <w:r>
              <w:rPr>
                <w:rFonts w:ascii="Arial" w:cs="Arial" w:eastAsia="Arial" w:hAnsi="Arial"/>
                <w:sz w:val="18"/>
                <w:szCs w:val="18"/>
                <w:color w:val="auto"/>
              </w:rPr>
              <w:t>Years ended December 31,</w:t>
            </w:r>
          </w:p>
        </w:tc>
        <w:tc>
          <w:tcPr>
            <w:tcW w:w="140" w:type="dxa"/>
            <w:vAlign w:val="bottom"/>
          </w:tcPr>
          <w:p>
            <w:pPr>
              <w:spacing w:after="0"/>
              <w:rPr>
                <w:sz w:val="12"/>
                <w:szCs w:val="12"/>
                <w:color w:val="auto"/>
              </w:rPr>
            </w:pPr>
          </w:p>
        </w:tc>
        <w:tc>
          <w:tcPr>
            <w:tcW w:w="1140" w:type="dxa"/>
            <w:vAlign w:val="bottom"/>
          </w:tcPr>
          <w:p>
            <w:pPr>
              <w:jc w:val="center"/>
              <w:ind w:right="55"/>
              <w:spacing w:after="0" w:line="145" w:lineRule="exact"/>
              <w:rPr>
                <w:sz w:val="20"/>
                <w:szCs w:val="20"/>
                <w:color w:val="auto"/>
              </w:rPr>
            </w:pPr>
            <w:r>
              <w:rPr>
                <w:rFonts w:ascii="Arial" w:cs="Arial" w:eastAsia="Arial" w:hAnsi="Arial"/>
                <w:sz w:val="14"/>
                <w:szCs w:val="14"/>
                <w:b w:val="1"/>
                <w:bCs w:val="1"/>
                <w:color w:val="auto"/>
                <w:w w:val="88"/>
              </w:rPr>
              <w:t>Purchase</w:t>
            </w:r>
          </w:p>
        </w:tc>
        <w:tc>
          <w:tcPr>
            <w:tcW w:w="0" w:type="dxa"/>
            <w:vAlign w:val="bottom"/>
          </w:tcPr>
          <w:p>
            <w:pPr>
              <w:spacing w:after="0"/>
              <w:rPr>
                <w:sz w:val="1"/>
                <w:szCs w:val="1"/>
                <w:color w:val="auto"/>
              </w:rPr>
            </w:pPr>
          </w:p>
        </w:tc>
      </w:tr>
      <w:tr>
        <w:trPr>
          <w:trHeight w:val="203"/>
        </w:trPr>
        <w:tc>
          <w:tcPr>
            <w:tcW w:w="9960" w:type="dxa"/>
            <w:vAlign w:val="bottom"/>
            <w:tcBorders>
              <w:bottom w:val="single" w:sz="8" w:color="CCEEFF"/>
            </w:tcBorders>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95"/>
              </w:rPr>
              <w:t>Commitment</w:t>
            </w:r>
            <w:r>
              <w:rPr>
                <w:rFonts w:ascii="Arial" w:cs="Arial" w:eastAsia="Arial" w:hAnsi="Arial"/>
                <w:sz w:val="9"/>
                <w:szCs w:val="9"/>
                <w:b w:val="1"/>
                <w:bCs w:val="1"/>
                <w:color w:val="auto"/>
                <w:w w:val="95"/>
              </w:rPr>
              <w:t>(1)</w:t>
            </w:r>
          </w:p>
        </w:tc>
        <w:tc>
          <w:tcPr>
            <w:tcW w:w="0" w:type="dxa"/>
            <w:vAlign w:val="bottom"/>
          </w:tcPr>
          <w:p>
            <w:pPr>
              <w:spacing w:after="0"/>
              <w:rPr>
                <w:sz w:val="1"/>
                <w:szCs w:val="1"/>
                <w:color w:val="auto"/>
              </w:rPr>
            </w:pPr>
          </w:p>
        </w:tc>
      </w:tr>
      <w:tr>
        <w:trPr>
          <w:trHeight w:val="223"/>
        </w:trPr>
        <w:tc>
          <w:tcPr>
            <w:tcW w:w="9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310,399</w:t>
            </w:r>
          </w:p>
        </w:tc>
        <w:tc>
          <w:tcPr>
            <w:tcW w:w="0" w:type="dxa"/>
            <w:vAlign w:val="bottom"/>
          </w:tcPr>
          <w:p>
            <w:pPr>
              <w:spacing w:after="0"/>
              <w:rPr>
                <w:sz w:val="1"/>
                <w:szCs w:val="1"/>
                <w:color w:val="auto"/>
              </w:rPr>
            </w:pPr>
          </w:p>
        </w:tc>
      </w:tr>
      <w:tr>
        <w:trPr>
          <w:trHeight w:val="230"/>
        </w:trPr>
        <w:tc>
          <w:tcPr>
            <w:tcW w:w="9960" w:type="dxa"/>
            <w:vAlign w:val="bottom"/>
          </w:tcPr>
          <w:p>
            <w:pPr>
              <w:ind w:left="20"/>
              <w:spacing w:after="0"/>
              <w:rPr>
                <w:sz w:val="20"/>
                <w:szCs w:val="20"/>
                <w:color w:val="auto"/>
              </w:rPr>
            </w:pPr>
            <w:r>
              <w:rPr>
                <w:rFonts w:ascii="Arial" w:cs="Arial" w:eastAsia="Arial" w:hAnsi="Arial"/>
                <w:sz w:val="18"/>
                <w:szCs w:val="18"/>
                <w:color w:val="auto"/>
              </w:rPr>
              <w:t>2024</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327,680</w:t>
            </w:r>
          </w:p>
        </w:tc>
        <w:tc>
          <w:tcPr>
            <w:tcW w:w="0" w:type="dxa"/>
            <w:vAlign w:val="bottom"/>
          </w:tcPr>
          <w:p>
            <w:pPr>
              <w:spacing w:after="0"/>
              <w:rPr>
                <w:sz w:val="1"/>
                <w:szCs w:val="1"/>
                <w:color w:val="auto"/>
              </w:rPr>
            </w:pPr>
          </w:p>
        </w:tc>
      </w:tr>
      <w:tr>
        <w:trPr>
          <w:trHeight w:val="230"/>
        </w:trPr>
        <w:tc>
          <w:tcPr>
            <w:tcW w:w="9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430,036</w:t>
            </w:r>
          </w:p>
        </w:tc>
        <w:tc>
          <w:tcPr>
            <w:tcW w:w="0" w:type="dxa"/>
            <w:vAlign w:val="bottom"/>
          </w:tcPr>
          <w:p>
            <w:pPr>
              <w:spacing w:after="0"/>
              <w:rPr>
                <w:sz w:val="1"/>
                <w:szCs w:val="1"/>
                <w:color w:val="auto"/>
              </w:rPr>
            </w:pPr>
          </w:p>
        </w:tc>
      </w:tr>
      <w:tr>
        <w:trPr>
          <w:trHeight w:val="230"/>
        </w:trPr>
        <w:tc>
          <w:tcPr>
            <w:tcW w:w="9960" w:type="dxa"/>
            <w:vAlign w:val="bottom"/>
          </w:tcPr>
          <w:p>
            <w:pPr>
              <w:ind w:left="20"/>
              <w:spacing w:after="0"/>
              <w:rPr>
                <w:sz w:val="20"/>
                <w:szCs w:val="20"/>
                <w:color w:val="auto"/>
              </w:rPr>
            </w:pPr>
            <w:r>
              <w:rPr>
                <w:rFonts w:ascii="Arial" w:cs="Arial" w:eastAsia="Arial" w:hAnsi="Arial"/>
                <w:sz w:val="18"/>
                <w:szCs w:val="18"/>
                <w:color w:val="auto"/>
              </w:rPr>
              <w:t>2026</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703,715</w:t>
            </w:r>
          </w:p>
        </w:tc>
        <w:tc>
          <w:tcPr>
            <w:tcW w:w="0" w:type="dxa"/>
            <w:vAlign w:val="bottom"/>
          </w:tcPr>
          <w:p>
            <w:pPr>
              <w:spacing w:after="0"/>
              <w:rPr>
                <w:sz w:val="1"/>
                <w:szCs w:val="1"/>
                <w:color w:val="auto"/>
              </w:rPr>
            </w:pPr>
          </w:p>
        </w:tc>
      </w:tr>
      <w:tr>
        <w:trPr>
          <w:trHeight w:val="229"/>
        </w:trPr>
        <w:tc>
          <w:tcPr>
            <w:tcW w:w="9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703,205</w:t>
            </w:r>
          </w:p>
        </w:tc>
        <w:tc>
          <w:tcPr>
            <w:tcW w:w="0" w:type="dxa"/>
            <w:vAlign w:val="bottom"/>
          </w:tcPr>
          <w:p>
            <w:pPr>
              <w:spacing w:after="0"/>
              <w:rPr>
                <w:sz w:val="1"/>
                <w:szCs w:val="1"/>
                <w:color w:val="auto"/>
              </w:rPr>
            </w:pPr>
          </w:p>
        </w:tc>
      </w:tr>
      <w:tr>
        <w:trPr>
          <w:trHeight w:val="230"/>
        </w:trPr>
        <w:tc>
          <w:tcPr>
            <w:tcW w:w="99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2,709,173</w:t>
            </w:r>
          </w:p>
        </w:tc>
        <w:tc>
          <w:tcPr>
            <w:tcW w:w="0" w:type="dxa"/>
            <w:vAlign w:val="bottom"/>
          </w:tcPr>
          <w:p>
            <w:pPr>
              <w:spacing w:after="0"/>
              <w:rPr>
                <w:sz w:val="1"/>
                <w:szCs w:val="1"/>
                <w:color w:val="auto"/>
              </w:rPr>
            </w:pPr>
          </w:p>
        </w:tc>
      </w:tr>
      <w:tr>
        <w:trPr>
          <w:trHeight w:val="248"/>
        </w:trPr>
        <w:tc>
          <w:tcPr>
            <w:tcW w:w="9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5,184,208</w:t>
            </w:r>
          </w:p>
        </w:tc>
        <w:tc>
          <w:tcPr>
            <w:tcW w:w="0" w:type="dxa"/>
            <w:vAlign w:val="bottom"/>
          </w:tcPr>
          <w:p>
            <w:pPr>
              <w:spacing w:after="0"/>
              <w:rPr>
                <w:sz w:val="1"/>
                <w:szCs w:val="1"/>
                <w:color w:val="auto"/>
              </w:rPr>
            </w:pPr>
          </w:p>
        </w:tc>
      </w:tr>
      <w:tr>
        <w:trPr>
          <w:trHeight w:val="20"/>
        </w:trPr>
        <w:tc>
          <w:tcPr>
            <w:tcW w:w="99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1" w:lineRule="exact"/>
        <w:rPr>
          <w:sz w:val="20"/>
          <w:szCs w:val="20"/>
          <w:color w:val="auto"/>
        </w:rPr>
      </w:pPr>
    </w:p>
    <w:p>
      <w:pPr>
        <w:ind w:left="160" w:hanging="152"/>
        <w:spacing w:after="0"/>
        <w:tabs>
          <w:tab w:leader="none" w:pos="160" w:val="left"/>
        </w:tabs>
        <w:numPr>
          <w:ilvl w:val="0"/>
          <w:numId w:val="59"/>
        </w:numPr>
        <w:rPr>
          <w:rFonts w:ascii="Arial" w:cs="Arial" w:eastAsia="Arial" w:hAnsi="Arial"/>
          <w:sz w:val="18"/>
          <w:szCs w:val="18"/>
          <w:color w:val="auto"/>
          <w:vertAlign w:val="superscript"/>
        </w:rPr>
      </w:pPr>
      <w:r>
        <w:rPr>
          <w:rFonts w:ascii="Arial" w:cs="Arial" w:eastAsia="Arial" w:hAnsi="Arial"/>
          <w:sz w:val="14"/>
          <w:szCs w:val="14"/>
          <w:color w:val="auto"/>
        </w:rPr>
        <w:t>Included minimum purchase commitment of approximately $5.0 billion of battery cells from Panasonic Energy Co., Ltd. and certain of its affiliates.</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122" w:name="page123"/>
    <w:bookmarkEnd w:id="122"/>
    <w:p>
      <w:pPr>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From time to time, the Company may become subject to legal proceedings, claims and litigation arising in the ordinary course of business. Some of these claims, lawsuits and other proceedings may involve highly complex issues that are subject to substantial uncertainties, and could result in damages, fines, penalties, non-monetary sanctions or relief.</w:t>
      </w:r>
    </w:p>
    <w:p>
      <w:pPr>
        <w:spacing w:after="0" w:line="184"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Beginning on April 18, 2021, two individual actions and two putative class actions were filed in federal courts in Alabama, California, New Jersey and Indiana, asserting claims under the federal securities laws against the Company (f/k/a Churchill Capital Corp IV), its wholly owned subsidiary, Atieva, Inc. (“Lucid Motors”), and certain current and former officers and directors of the Company, generally relating to the Merger. On September 16, 2021, the plaintiff in the New Jersey action voluntarily dismissed that lawsuit. The remaining actions were ultimately transferred to the Northern District of California and consolidated under the caption, In re CCIV / Lucid Motors Securities Litigation, Case No. 4:21-cv-09323-YGR (the “Consolidated Class Action”). On December 30, 2021, lead plaintiffs in the Consolidated Class Action filed a revised amended consolidated complaint (the “Complaint”), which asserts claims under Sections 10(b) and 20(a) of the Securities Exchange Act of 1934 on behalf of a putative class of shareholders who purchased stock in CCIV between February 5, 2021 and February 22, 2021. The Complaint names as defendants Lucid Motors and the Company’s chief executive officer, and generally alleges that, prior to the public announcement of the Merger, defendants purportedly made false or misleading statements regarding the expected start of production for Lucid Air and related matters. The Complaint seeks certification of the action as a class action as well as compensatory damages, interest thereon, and attorneys’ fees and expenses. The Company moved to dismiss the Complaint on February 14, 2022 and that motion was granted on January 11, 2023, with Plaintiffs being provided the ability to seek leave to amend. On January 30, 2023, Plaintiffs filed a Motion for Leave to Amend which is currently set for a hearing on March 7, 2023. The Company believes that the plaintiffs’ claims are without merit and intends to defend itself vigorously, but the Company cannot ensure that defendants’ efforts to dismiss the Complaint will be successful or that it will avoid liability in these matters.</w:t>
      </w:r>
    </w:p>
    <w:p>
      <w:pPr>
        <w:spacing w:after="0" w:line="182"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On December 3, 2021, the Company received a subpoena from the SEC requesting the production of certain documents related to an investigation by the SEC. Although there is no assurance as to the scope or outcome of this matter, the investigation appears to concern the Merger. The Company is cooperating fully with the SEC in its review.</w:t>
      </w:r>
    </w:p>
    <w:p>
      <w:pPr>
        <w:spacing w:after="0" w:line="184"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 xml:space="preserve">In addition, two separate purported shareholders of the Company filed shareholder derivative actions, purportedly on behalf of the Company, against certain of the Company’s officers and directors in California federal court, captioned Sahr Lebbie v. Peter Rawlinson, et al., Case No. 4:22-cv-00531-YGR (N.D. Cal.) (filed on January 26, 2022) and </w:t>
      </w:r>
      <w:r>
        <w:rPr>
          <w:rFonts w:ascii="Arial" w:cs="Arial" w:eastAsia="Arial" w:hAnsi="Arial"/>
          <w:sz w:val="16"/>
          <w:szCs w:val="16"/>
          <w:i w:val="1"/>
          <w:iCs w:val="1"/>
          <w:color w:val="auto"/>
        </w:rPr>
        <w:t>Zsata Williams-Spinks v. Peter Rawlinson, et al.</w:t>
      </w:r>
      <w:r>
        <w:rPr>
          <w:rFonts w:ascii="Arial" w:cs="Arial" w:eastAsia="Arial" w:hAnsi="Arial"/>
          <w:sz w:val="16"/>
          <w:szCs w:val="16"/>
          <w:color w:val="auto"/>
        </w:rPr>
        <w:t>, Case No. 4:22-cv-01115-YGR (N.D. Cal.) (filed on February 23, 2022). The complaint also names the Company as a nominal defendant. Based on allegations that are similar to those in the Consolidated Class Action, the Lebbie complaint asserts claims for unjust enrichment, breach of fiduciary duty, aiding and abetting breach of fiduciary duty, abuse of control, gross mismanagement and waste of corporate assets and a claim for contribution under Sections 10(b) and 21D of the Exchange Act in connection with the Consolidated Class Action and the Williams-Spinks complaint asserts claims for breach of fiduciary duty, gross mismanagement, abuse of control, unjust enrichment, contribution under Sections 10(b) and 21D of the Exchange Act, and aiding and abetting breach of fiduciary duty in connection with the Consolidated Class Action. The complaints seek compensatory damages, interest thereon, certain corporate governance reforms, and attorneys’ fees and expenses. The Company is advancing defendants’ fees and expenses incurred in their defense of the actions.</w:t>
      </w:r>
    </w:p>
    <w:p>
      <w:pPr>
        <w:spacing w:after="0" w:line="168"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 xml:space="preserve">On April 1, 2022 and May 31, 2022, two alleged shareholders filed putative class actions under the federal securities laws against Lucid Group, Inc. and certain officers of the Company relating to alleged statements, updated projections and guidance provided in the late 2021 to early 2022 timeframe. The complaints, which were filed in the Northern District of California, are captioned </w:t>
      </w:r>
      <w:r>
        <w:rPr>
          <w:rFonts w:ascii="Arial" w:cs="Arial" w:eastAsia="Arial" w:hAnsi="Arial"/>
          <w:sz w:val="16"/>
          <w:szCs w:val="16"/>
          <w:i w:val="1"/>
          <w:iCs w:val="1"/>
          <w:color w:val="auto"/>
        </w:rPr>
        <w:t>Victor W. Mangino v. Lucid Group, Inc., et al.</w:t>
      </w:r>
      <w:r>
        <w:rPr>
          <w:rFonts w:ascii="Arial" w:cs="Arial" w:eastAsia="Arial" w:hAnsi="Arial"/>
          <w:sz w:val="16"/>
          <w:szCs w:val="16"/>
          <w:color w:val="auto"/>
        </w:rPr>
        <w:t xml:space="preserve">, Case No. 3:22-cv-02094-JD, and </w:t>
      </w:r>
      <w:r>
        <w:rPr>
          <w:rFonts w:ascii="Arial" w:cs="Arial" w:eastAsia="Arial" w:hAnsi="Arial"/>
          <w:sz w:val="16"/>
          <w:szCs w:val="16"/>
          <w:i w:val="1"/>
          <w:iCs w:val="1"/>
          <w:color w:val="auto"/>
        </w:rPr>
        <w:t>Anant Goel v. Lucid Group, Inc., et al.</w:t>
      </w:r>
      <w:r>
        <w:rPr>
          <w:rFonts w:ascii="Arial" w:cs="Arial" w:eastAsia="Arial" w:hAnsi="Arial"/>
          <w:sz w:val="16"/>
          <w:szCs w:val="16"/>
          <w:color w:val="auto"/>
        </w:rPr>
        <w:t xml:space="preserve">, Case No. 3:22-cv-03176-JD. The two matters were consolidated into one action, entitled </w:t>
      </w:r>
      <w:r>
        <w:rPr>
          <w:rFonts w:ascii="Arial" w:cs="Arial" w:eastAsia="Arial" w:hAnsi="Arial"/>
          <w:sz w:val="16"/>
          <w:szCs w:val="16"/>
          <w:i w:val="1"/>
          <w:iCs w:val="1"/>
          <w:color w:val="auto"/>
        </w:rPr>
        <w:t>In re Lucid Group,</w:t>
      </w:r>
      <w:r>
        <w:rPr>
          <w:rFonts w:ascii="Arial" w:cs="Arial" w:eastAsia="Arial" w:hAnsi="Arial"/>
          <w:sz w:val="16"/>
          <w:szCs w:val="16"/>
          <w:color w:val="auto"/>
        </w:rPr>
        <w:t xml:space="preserve"> </w:t>
      </w:r>
      <w:r>
        <w:rPr>
          <w:rFonts w:ascii="Arial" w:cs="Arial" w:eastAsia="Arial" w:hAnsi="Arial"/>
          <w:sz w:val="16"/>
          <w:szCs w:val="16"/>
          <w:i w:val="1"/>
          <w:iCs w:val="1"/>
          <w:color w:val="auto"/>
        </w:rPr>
        <w:t>Inc. Securities Litigation</w:t>
      </w:r>
      <w:r>
        <w:rPr>
          <w:rFonts w:ascii="Arial" w:cs="Arial" w:eastAsia="Arial" w:hAnsi="Arial"/>
          <w:sz w:val="16"/>
          <w:szCs w:val="16"/>
          <w:color w:val="auto"/>
        </w:rPr>
        <w:t>, Case No. 22-cv-02094-JD. The complaints name as defendants Lucid Group, Inc. and the Company’s chief executive officer and</w:t>
      </w:r>
      <w:r>
        <w:rPr>
          <w:rFonts w:ascii="Arial" w:cs="Arial" w:eastAsia="Arial" w:hAnsi="Arial"/>
          <w:sz w:val="16"/>
          <w:szCs w:val="16"/>
          <w:i w:val="1"/>
          <w:iCs w:val="1"/>
          <w:color w:val="auto"/>
        </w:rPr>
        <w:t xml:space="preserve"> </w:t>
      </w:r>
      <w:r>
        <w:rPr>
          <w:rFonts w:ascii="Arial" w:cs="Arial" w:eastAsia="Arial" w:hAnsi="Arial"/>
          <w:sz w:val="16"/>
          <w:szCs w:val="16"/>
          <w:color w:val="auto"/>
        </w:rPr>
        <w:t>chief financial officer, and generally allege that defendants purportedly made false or misleading statements regarding delivery and revenue projections and related matters. The complaints in these actions seek certification of the actions as class actions, as well as compensatory damages, interest thereon, and attorneys’ fees and expenses. The Company believes that the plaintiffs’ claims are without merit and intends to defend itself vigorously, but the Company cannot ensure that defendants’ efforts to dismiss the complaint will be successful or that it will avoid liability in these matters.</w:t>
      </w:r>
    </w:p>
    <w:p>
      <w:pPr>
        <w:spacing w:after="0" w:line="166"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 xml:space="preserve">In addition, on July 11, 2022, a purported shareholder of the Company filed a shareholder derivative action, purportedly on behalf of the Company, against certain of the Company’s officers and directors in California state court, captioned </w:t>
      </w:r>
      <w:r>
        <w:rPr>
          <w:rFonts w:ascii="Arial" w:cs="Arial" w:eastAsia="Arial" w:hAnsi="Arial"/>
          <w:sz w:val="17"/>
          <w:szCs w:val="17"/>
          <w:i w:val="1"/>
          <w:iCs w:val="1"/>
          <w:color w:val="auto"/>
        </w:rPr>
        <w:t>Floyd Taylor v. Glenn August, et al.</w:t>
      </w:r>
      <w:r>
        <w:rPr>
          <w:rFonts w:ascii="Arial" w:cs="Arial" w:eastAsia="Arial" w:hAnsi="Arial"/>
          <w:sz w:val="17"/>
          <w:szCs w:val="17"/>
          <w:color w:val="auto"/>
        </w:rPr>
        <w:t xml:space="preserve">, Superior Court, Alameda County, Case No. 22CV014130. The complaint also names the Company as a nominal defendant. Based on allegations that are similar to those in the </w:t>
      </w:r>
      <w:r>
        <w:rPr>
          <w:rFonts w:ascii="Arial" w:cs="Arial" w:eastAsia="Arial" w:hAnsi="Arial"/>
          <w:sz w:val="17"/>
          <w:szCs w:val="17"/>
          <w:i w:val="1"/>
          <w:iCs w:val="1"/>
          <w:color w:val="auto"/>
        </w:rPr>
        <w:t>In re Lucid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Group, Inc. Securities Litigation </w:t>
      </w:r>
      <w:r>
        <w:rPr>
          <w:rFonts w:ascii="Arial" w:cs="Arial" w:eastAsia="Arial" w:hAnsi="Arial"/>
          <w:sz w:val="17"/>
          <w:szCs w:val="17"/>
          <w:color w:val="auto"/>
        </w:rPr>
        <w:t>action, the</w:t>
      </w:r>
      <w:r>
        <w:rPr>
          <w:rFonts w:ascii="Arial" w:cs="Arial" w:eastAsia="Arial" w:hAnsi="Arial"/>
          <w:sz w:val="17"/>
          <w:szCs w:val="17"/>
          <w:i w:val="1"/>
          <w:iCs w:val="1"/>
          <w:color w:val="auto"/>
        </w:rPr>
        <w:t xml:space="preserve"> Taylor </w:t>
      </w:r>
      <w:r>
        <w:rPr>
          <w:rFonts w:ascii="Arial" w:cs="Arial" w:eastAsia="Arial" w:hAnsi="Arial"/>
          <w:sz w:val="17"/>
          <w:szCs w:val="17"/>
          <w:color w:val="auto"/>
        </w:rPr>
        <w:t>complaint asserts claims for breach of fiduciary duty, unjust enrichment, waste of corporate assets and</w:t>
      </w:r>
      <w:r>
        <w:rPr>
          <w:rFonts w:ascii="Arial" w:cs="Arial" w:eastAsia="Arial" w:hAnsi="Arial"/>
          <w:sz w:val="17"/>
          <w:szCs w:val="17"/>
          <w:i w:val="1"/>
          <w:iCs w:val="1"/>
          <w:color w:val="auto"/>
        </w:rPr>
        <w:t xml:space="preserve"> </w:t>
      </w:r>
      <w:r>
        <w:rPr>
          <w:rFonts w:ascii="Arial" w:cs="Arial" w:eastAsia="Arial" w:hAnsi="Arial"/>
          <w:sz w:val="17"/>
          <w:szCs w:val="17"/>
          <w:color w:val="auto"/>
        </w:rPr>
        <w:t>aiding and abetting breach of fiduciary duty. The complaint seeks compensatory damages, punitive damages, interest, and attorneys’ fees and expenses. The Company is advancing defendants’ fees and expenses incurred in their defense of the actions.</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123" w:name="page124"/>
    <w:bookmarkEnd w:id="123"/>
    <w:p>
      <w:pPr>
        <w:ind w:right="20"/>
        <w:spacing w:after="0" w:line="263" w:lineRule="auto"/>
        <w:rPr>
          <w:sz w:val="20"/>
          <w:szCs w:val="20"/>
          <w:color w:val="auto"/>
        </w:rPr>
      </w:pPr>
      <w:r>
        <w:rPr>
          <w:rFonts w:ascii="Arial" w:cs="Arial" w:eastAsia="Arial" w:hAnsi="Arial"/>
          <w:sz w:val="18"/>
          <w:szCs w:val="18"/>
          <w:color w:val="auto"/>
        </w:rPr>
        <w:t>At this time, the Company does not consider any such claims, lawsuits or proceedings that are currently pending, individually or in the aggregate, including the matters referenced above, to be material to the Company’s business or likely to result in a material adverse effect on its future operating results, financial condition or cash flows should such proceedings be resolved unfavorably.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w:t>
      </w:r>
    </w:p>
    <w:p>
      <w:pPr>
        <w:spacing w:after="0" w:line="229"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In the ordinary course of business, the Company may provide indemnification of varying scope and terms to customers, vendors, investors, directors, and officers with respect to certain matters, including, but not limited to, losses arising out of our breach of such agreements, services to be provided by the Company, or from intellectual property infringement claims made by third parties. These indemnification provisions may survive termination of the underlying agreement and the maximum potential amount of future payments the Company could be required to make under these indemnification provisions may not be subject to maximum loss clauses. The maximum potential amount of future payments the Company could be required to make under these indemnification provisions is indeterminable. The Company has never paid a material claim, nor has it been sued in connection with these indemnification arrangements. The Company has indemnification obligations with respect to letters of credit and surety bond primarily used as security against facility leases and utilities infrastructure in the amount of $52.5 million and $30.4 million as of December 31, 2022 and 2021, respectively, for which no liabilities are recorded on the consolidated balance sheets.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INCOME TAXES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components of loss before provision for (benefit from) income taxes for the years ended December 31, 2022, 2021 and 2020, are as follows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jc w:val="right"/>
              <w:ind w:right="415"/>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jc w:val="right"/>
              <w:ind w:right="415"/>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ind w:right="415"/>
              <w:spacing w:after="0"/>
              <w:rPr>
                <w:sz w:val="20"/>
                <w:szCs w:val="20"/>
                <w:color w:val="auto"/>
              </w:rPr>
            </w:pPr>
            <w:r>
              <w:rPr>
                <w:rFonts w:ascii="Arial" w:cs="Arial" w:eastAsia="Arial" w:hAnsi="Arial"/>
                <w:sz w:val="14"/>
                <w:szCs w:val="14"/>
                <w:b w:val="1"/>
                <w:bCs w:val="1"/>
                <w:color w:val="auto"/>
              </w:rPr>
              <w:t>2020</w:t>
            </w:r>
          </w:p>
        </w:tc>
      </w:tr>
      <w:tr>
        <w:trPr>
          <w:trHeight w:val="26"/>
        </w:trPr>
        <w:tc>
          <w:tcPr>
            <w:tcW w:w="72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23"/>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subject to domestic income taxes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(1,306,245)</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(2,580,324)</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(719,636)</w:t>
            </w:r>
          </w:p>
        </w:tc>
      </w:tr>
      <w:tr>
        <w:trPr>
          <w:trHeight w:val="230"/>
        </w:trPr>
        <w:tc>
          <w:tcPr>
            <w:tcW w:w="7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subject to foreign income taxes</w:t>
            </w: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2,164</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612</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r>
      <w:tr>
        <w:trPr>
          <w:trHeight w:val="248"/>
        </w:trPr>
        <w:tc>
          <w:tcPr>
            <w:tcW w:w="72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(1,304,081)</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(2,579,712)</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(719,568)</w:t>
            </w:r>
          </w:p>
        </w:tc>
      </w:tr>
      <w:tr>
        <w:trPr>
          <w:trHeight w:val="20"/>
        </w:trPr>
        <w:tc>
          <w:tcPr>
            <w:tcW w:w="7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recorded $0.4 million and immaterial amount of provision for income taxes for the years ended December 31, 2022 and 2021, respectively, and $(0.2) million of benefit from income taxes for the year ended December 31, 2020. The Company recorded provision for (benefit from) income taxes in connection with its domestic, state, and foreign subsidiaries for the years ended December 31, 2022, 2021 and 2020, respectively, as follows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460" w:type="dxa"/>
            <w:vAlign w:val="bottom"/>
          </w:tcPr>
          <w:p>
            <w:pPr>
              <w:spacing w:after="0"/>
              <w:rPr>
                <w:sz w:val="16"/>
                <w:szCs w:val="16"/>
                <w:color w:val="auto"/>
              </w:rPr>
            </w:pPr>
          </w:p>
        </w:tc>
        <w:tc>
          <w:tcPr>
            <w:tcW w:w="36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2022</w:t>
            </w: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jc w:val="right"/>
              <w:ind w:right="33"/>
              <w:spacing w:after="0"/>
              <w:rPr>
                <w:sz w:val="20"/>
                <w:szCs w:val="20"/>
                <w:color w:val="auto"/>
              </w:rPr>
            </w:pPr>
            <w:r>
              <w:rPr>
                <w:rFonts w:ascii="Arial" w:cs="Arial" w:eastAsia="Arial" w:hAnsi="Arial"/>
                <w:sz w:val="14"/>
                <w:szCs w:val="14"/>
                <w:b w:val="1"/>
                <w:bCs w:val="1"/>
                <w:color w:val="auto"/>
              </w:rPr>
              <w:t>2021</w:t>
            </w: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ind w:right="412"/>
              <w:spacing w:after="0"/>
              <w:rPr>
                <w:sz w:val="20"/>
                <w:szCs w:val="20"/>
                <w:color w:val="auto"/>
              </w:rPr>
            </w:pPr>
            <w:r>
              <w:rPr>
                <w:rFonts w:ascii="Arial" w:cs="Arial" w:eastAsia="Arial" w:hAnsi="Arial"/>
                <w:sz w:val="14"/>
                <w:szCs w:val="14"/>
                <w:b w:val="1"/>
                <w:bCs w:val="1"/>
                <w:color w:val="auto"/>
              </w:rPr>
              <w:t>2020</w:t>
            </w:r>
          </w:p>
        </w:tc>
      </w:tr>
      <w:tr>
        <w:trPr>
          <w:trHeight w:val="25"/>
        </w:trPr>
        <w:tc>
          <w:tcPr>
            <w:tcW w:w="4460" w:type="dxa"/>
            <w:vAlign w:val="bottom"/>
            <w:tcBorders>
              <w:bottom w:val="single" w:sz="8" w:color="CCEEFF"/>
            </w:tcBorders>
          </w:tcPr>
          <w:p>
            <w:pPr>
              <w:spacing w:after="0"/>
              <w:rPr>
                <w:sz w:val="2"/>
                <w:szCs w:val="2"/>
                <w:color w:val="auto"/>
              </w:rPr>
            </w:pPr>
          </w:p>
        </w:tc>
        <w:tc>
          <w:tcPr>
            <w:tcW w:w="278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10"/>
        </w:trPr>
        <w:tc>
          <w:tcPr>
            <w:tcW w:w="44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Current</w:t>
            </w:r>
          </w:p>
        </w:tc>
        <w:tc>
          <w:tcPr>
            <w:tcW w:w="27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30"/>
        </w:trPr>
        <w:tc>
          <w:tcPr>
            <w:tcW w:w="4460" w:type="dxa"/>
            <w:vAlign w:val="bottom"/>
          </w:tcPr>
          <w:p>
            <w:pPr>
              <w:ind w:left="20"/>
              <w:spacing w:after="0"/>
              <w:rPr>
                <w:sz w:val="20"/>
                <w:szCs w:val="20"/>
                <w:color w:val="auto"/>
              </w:rPr>
            </w:pPr>
            <w:r>
              <w:rPr>
                <w:rFonts w:ascii="Arial" w:cs="Arial" w:eastAsia="Arial" w:hAnsi="Arial"/>
                <w:sz w:val="18"/>
                <w:szCs w:val="18"/>
                <w:color w:val="auto"/>
              </w:rPr>
              <w:t>Federal</w:t>
            </w:r>
          </w:p>
        </w:tc>
        <w:tc>
          <w:tcPr>
            <w:tcW w:w="3640" w:type="dxa"/>
            <w:vAlign w:val="bottom"/>
            <w:gridSpan w:val="2"/>
          </w:tcPr>
          <w:p>
            <w:pPr>
              <w:jc w:val="right"/>
              <w:ind w:right="67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713"/>
              <w:spacing w:after="0"/>
              <w:rPr>
                <w:sz w:val="20"/>
                <w:szCs w:val="20"/>
                <w:color w:val="auto"/>
              </w:rPr>
            </w:pPr>
            <w:r>
              <w:rPr>
                <w:rFonts w:ascii="Arial" w:cs="Arial" w:eastAsia="Arial" w:hAnsi="Arial"/>
                <w:sz w:val="18"/>
                <w:szCs w:val="18"/>
                <w:color w:val="auto"/>
                <w:w w:val="79"/>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State</w:t>
            </w:r>
          </w:p>
        </w:tc>
        <w:tc>
          <w:tcPr>
            <w:tcW w:w="27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30"/>
        </w:trPr>
        <w:tc>
          <w:tcPr>
            <w:tcW w:w="4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Foreign</w:t>
            </w:r>
          </w:p>
        </w:tc>
        <w:tc>
          <w:tcPr>
            <w:tcW w:w="278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w:t>
            </w:r>
          </w:p>
        </w:tc>
        <w:tc>
          <w:tcPr>
            <w:tcW w:w="8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w:t>
            </w:r>
          </w:p>
        </w:tc>
      </w:tr>
      <w:tr>
        <w:trPr>
          <w:trHeight w:val="223"/>
        </w:trPr>
        <w:tc>
          <w:tcPr>
            <w:tcW w:w="4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current tax expense (benefit)</w:t>
            </w:r>
          </w:p>
        </w:tc>
        <w:tc>
          <w:tcPr>
            <w:tcW w:w="278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670"/>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w:t>
            </w:r>
          </w:p>
        </w:tc>
        <w:tc>
          <w:tcPr>
            <w:tcW w:w="8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713"/>
              <w:spacing w:after="0"/>
              <w:rPr>
                <w:sz w:val="20"/>
                <w:szCs w:val="20"/>
                <w:color w:val="auto"/>
              </w:rPr>
            </w:pPr>
            <w:r>
              <w:rPr>
                <w:rFonts w:ascii="Arial" w:cs="Arial" w:eastAsia="Arial" w:hAnsi="Arial"/>
                <w:sz w:val="18"/>
                <w:szCs w:val="18"/>
                <w:color w:val="auto"/>
                <w:w w:val="79"/>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w:t>
            </w:r>
          </w:p>
        </w:tc>
      </w:tr>
      <w:tr>
        <w:trPr>
          <w:trHeight w:val="210"/>
        </w:trPr>
        <w:tc>
          <w:tcPr>
            <w:tcW w:w="4460" w:type="dxa"/>
            <w:vAlign w:val="bottom"/>
          </w:tcPr>
          <w:p>
            <w:pPr>
              <w:ind w:left="20"/>
              <w:spacing w:after="0"/>
              <w:rPr>
                <w:sz w:val="20"/>
                <w:szCs w:val="20"/>
                <w:color w:val="auto"/>
              </w:rPr>
            </w:pPr>
            <w:r>
              <w:rPr>
                <w:rFonts w:ascii="Arial" w:cs="Arial" w:eastAsia="Arial" w:hAnsi="Arial"/>
                <w:sz w:val="18"/>
                <w:szCs w:val="18"/>
                <w:b w:val="1"/>
                <w:bCs w:val="1"/>
                <w:color w:val="auto"/>
              </w:rPr>
              <w:t>Deferred</w:t>
            </w:r>
          </w:p>
        </w:tc>
        <w:tc>
          <w:tcPr>
            <w:tcW w:w="27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0"/>
        </w:trPr>
        <w:tc>
          <w:tcPr>
            <w:tcW w:w="4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Federal</w:t>
            </w:r>
          </w:p>
        </w:tc>
        <w:tc>
          <w:tcPr>
            <w:tcW w:w="3640" w:type="dxa"/>
            <w:vAlign w:val="bottom"/>
            <w:gridSpan w:val="2"/>
            <w:shd w:val="clear" w:color="auto" w:fill="CCEEFF"/>
          </w:tcPr>
          <w:p>
            <w:pPr>
              <w:jc w:val="right"/>
              <w:ind w:right="67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713"/>
              <w:spacing w:after="0"/>
              <w:rPr>
                <w:sz w:val="20"/>
                <w:szCs w:val="20"/>
                <w:color w:val="auto"/>
              </w:rPr>
            </w:pPr>
            <w:r>
              <w:rPr>
                <w:rFonts w:ascii="Arial" w:cs="Arial" w:eastAsia="Arial" w:hAnsi="Arial"/>
                <w:sz w:val="18"/>
                <w:szCs w:val="18"/>
                <w:color w:val="auto"/>
                <w:w w:val="79"/>
              </w:rPr>
              <w:t>$</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460" w:type="dxa"/>
            <w:vAlign w:val="bottom"/>
          </w:tcPr>
          <w:p>
            <w:pPr>
              <w:ind w:left="20"/>
              <w:spacing w:after="0"/>
              <w:rPr>
                <w:sz w:val="20"/>
                <w:szCs w:val="20"/>
                <w:color w:val="auto"/>
              </w:rPr>
            </w:pPr>
            <w:r>
              <w:rPr>
                <w:rFonts w:ascii="Arial" w:cs="Arial" w:eastAsia="Arial" w:hAnsi="Arial"/>
                <w:sz w:val="18"/>
                <w:szCs w:val="18"/>
                <w:color w:val="auto"/>
              </w:rPr>
              <w:t>State</w:t>
            </w:r>
          </w:p>
        </w:tc>
        <w:tc>
          <w:tcPr>
            <w:tcW w:w="27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9"/>
                <w:szCs w:val="19"/>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w:t>
            </w:r>
          </w:p>
        </w:tc>
        <w:tc>
          <w:tcPr>
            <w:tcW w:w="27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deferred tax expense (benefit)</w:t>
            </w:r>
          </w:p>
        </w:tc>
        <w:tc>
          <w:tcPr>
            <w:tcW w:w="2780" w:type="dxa"/>
            <w:vAlign w:val="bottom"/>
            <w:tcBorders>
              <w:bottom w:val="single" w:sz="8" w:color="CCEEFF"/>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670"/>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713"/>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Provision for (benefit from) income taxes</w:t>
            </w:r>
          </w:p>
        </w:tc>
        <w:tc>
          <w:tcPr>
            <w:tcW w:w="278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670"/>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w:t>
            </w:r>
          </w:p>
        </w:tc>
        <w:tc>
          <w:tcPr>
            <w:tcW w:w="8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713"/>
              <w:spacing w:after="0"/>
              <w:rPr>
                <w:sz w:val="20"/>
                <w:szCs w:val="20"/>
                <w:color w:val="auto"/>
              </w:rPr>
            </w:pPr>
            <w:r>
              <w:rPr>
                <w:rFonts w:ascii="Arial" w:cs="Arial" w:eastAsia="Arial" w:hAnsi="Arial"/>
                <w:sz w:val="18"/>
                <w:szCs w:val="18"/>
                <w:color w:val="auto"/>
                <w:w w:val="79"/>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w:t>
            </w:r>
          </w:p>
        </w:tc>
      </w:tr>
      <w:tr>
        <w:trPr>
          <w:trHeight w:val="547"/>
        </w:trPr>
        <w:tc>
          <w:tcPr>
            <w:tcW w:w="4460" w:type="dxa"/>
            <w:vAlign w:val="bottom"/>
          </w:tcPr>
          <w:p>
            <w:pPr>
              <w:spacing w:after="0"/>
              <w:rPr>
                <w:sz w:val="24"/>
                <w:szCs w:val="24"/>
                <w:color w:val="auto"/>
              </w:rPr>
            </w:pPr>
          </w:p>
        </w:tc>
        <w:tc>
          <w:tcPr>
            <w:tcW w:w="2780" w:type="dxa"/>
            <w:vAlign w:val="bottom"/>
          </w:tcPr>
          <w:p>
            <w:pPr>
              <w:jc w:val="right"/>
              <w:ind w:right="1395"/>
              <w:spacing w:after="0"/>
              <w:rPr>
                <w:sz w:val="20"/>
                <w:szCs w:val="20"/>
                <w:color w:val="auto"/>
              </w:rPr>
            </w:pPr>
            <w:r>
              <w:rPr>
                <w:rFonts w:ascii="Arial" w:cs="Arial" w:eastAsia="Arial" w:hAnsi="Arial"/>
                <w:sz w:val="18"/>
                <w:szCs w:val="18"/>
                <w:color w:val="auto"/>
              </w:rPr>
              <w:t>123</w:t>
            </w: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28"/>
        </w:trPr>
        <w:tc>
          <w:tcPr>
            <w:tcW w:w="4460" w:type="dxa"/>
            <w:vAlign w:val="bottom"/>
            <w:tcBorders>
              <w:bottom w:val="single" w:sz="8" w:color="9A9A9A"/>
            </w:tcBorders>
          </w:tcPr>
          <w:p>
            <w:pPr>
              <w:spacing w:after="0"/>
              <w:rPr>
                <w:sz w:val="11"/>
                <w:szCs w:val="11"/>
                <w:color w:val="auto"/>
              </w:rPr>
            </w:pPr>
          </w:p>
        </w:tc>
        <w:tc>
          <w:tcPr>
            <w:tcW w:w="2780" w:type="dxa"/>
            <w:vAlign w:val="bottom"/>
            <w:tcBorders>
              <w:bottom w:val="single" w:sz="8" w:color="9A9A9A"/>
            </w:tcBorders>
          </w:tcPr>
          <w:p>
            <w:pPr>
              <w:spacing w:after="0"/>
              <w:rPr>
                <w:sz w:val="11"/>
                <w:szCs w:val="11"/>
                <w:color w:val="auto"/>
              </w:rPr>
            </w:pPr>
          </w:p>
        </w:tc>
        <w:tc>
          <w:tcPr>
            <w:tcW w:w="860" w:type="dxa"/>
            <w:vAlign w:val="bottom"/>
            <w:tcBorders>
              <w:bottom w:val="single" w:sz="8" w:color="9A9A9A"/>
            </w:tcBorders>
          </w:tcPr>
          <w:p>
            <w:pPr>
              <w:spacing w:after="0"/>
              <w:rPr>
                <w:sz w:val="11"/>
                <w:szCs w:val="11"/>
                <w:color w:val="auto"/>
              </w:rPr>
            </w:pPr>
          </w:p>
        </w:tc>
        <w:tc>
          <w:tcPr>
            <w:tcW w:w="42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900" w:type="dxa"/>
            <w:vAlign w:val="bottom"/>
            <w:tcBorders>
              <w:bottom w:val="single" w:sz="8" w:color="9A9A9A"/>
            </w:tcBorders>
          </w:tcPr>
          <w:p>
            <w:pPr>
              <w:spacing w:after="0"/>
              <w:rPr>
                <w:sz w:val="11"/>
                <w:szCs w:val="11"/>
                <w:color w:val="auto"/>
              </w:rPr>
            </w:pPr>
          </w:p>
        </w:tc>
        <w:tc>
          <w:tcPr>
            <w:tcW w:w="38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300" w:type="dxa"/>
            <w:vAlign w:val="bottom"/>
            <w:tcBorders>
              <w:bottom w:val="single" w:sz="8" w:color="9A9A9A"/>
            </w:tcBorders>
          </w:tcPr>
          <w:p>
            <w:pPr>
              <w:spacing w:after="0"/>
              <w:rPr>
                <w:sz w:val="11"/>
                <w:szCs w:val="11"/>
                <w:color w:val="auto"/>
              </w:rPr>
            </w:pPr>
          </w:p>
        </w:tc>
        <w:tc>
          <w:tcPr>
            <w:tcW w:w="980" w:type="dxa"/>
            <w:vAlign w:val="bottom"/>
            <w:tcBorders>
              <w:bottom w:val="single" w:sz="8" w:color="9A9A9A"/>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124" w:name="page125"/>
    <w:bookmarkEnd w:id="124"/>
    <w:p>
      <w:pPr>
        <w:spacing w:after="0" w:line="277" w:lineRule="auto"/>
        <w:rPr>
          <w:sz w:val="20"/>
          <w:szCs w:val="20"/>
          <w:color w:val="auto"/>
        </w:rPr>
      </w:pPr>
      <w:r>
        <w:rPr>
          <w:rFonts w:ascii="Arial" w:cs="Arial" w:eastAsia="Arial" w:hAnsi="Arial"/>
          <w:sz w:val="18"/>
          <w:szCs w:val="18"/>
          <w:color w:val="auto"/>
        </w:rPr>
        <w:t>The reconciliation of taxes at the federal statutory rate to our provision for (benefit from) income taxes for the years ended December 31, 2022, 2021 and 2020 was as follows: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880" w:type="dxa"/>
            <w:vAlign w:val="bottom"/>
            <w:gridSpan w:val="5"/>
          </w:tcPr>
          <w:p>
            <w:pPr>
              <w:ind w:left="40"/>
              <w:spacing w:after="0"/>
              <w:rPr>
                <w:sz w:val="20"/>
                <w:szCs w:val="20"/>
                <w:color w:val="auto"/>
              </w:rPr>
            </w:pPr>
            <w:r>
              <w:rPr>
                <w:rFonts w:ascii="Arial" w:cs="Arial" w:eastAsia="Arial" w:hAnsi="Arial"/>
                <w:sz w:val="14"/>
                <w:szCs w:val="14"/>
                <w:b w:val="1"/>
                <w:bCs w:val="1"/>
                <w:color w:val="auto"/>
              </w:rPr>
              <w:t>Year Ended December 31,</w:t>
            </w:r>
          </w:p>
        </w:tc>
        <w:tc>
          <w:tcPr>
            <w:tcW w:w="1000" w:type="dxa"/>
            <w:vAlign w:val="bottom"/>
          </w:tcPr>
          <w:p>
            <w:pPr>
              <w:spacing w:after="0"/>
              <w:rPr>
                <w:sz w:val="16"/>
                <w:szCs w:val="16"/>
                <w:color w:val="auto"/>
              </w:rPr>
            </w:pPr>
          </w:p>
        </w:tc>
      </w:tr>
      <w:tr>
        <w:trPr>
          <w:trHeight w:val="26"/>
        </w:trPr>
        <w:tc>
          <w:tcPr>
            <w:tcW w:w="716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9"/>
        </w:trPr>
        <w:tc>
          <w:tcPr>
            <w:tcW w:w="7160" w:type="dxa"/>
            <w:vAlign w:val="bottom"/>
          </w:tcPr>
          <w:p>
            <w:pPr>
              <w:spacing w:after="0"/>
              <w:rPr>
                <w:sz w:val="16"/>
                <w:szCs w:val="16"/>
                <w:color w:val="auto"/>
              </w:rPr>
            </w:pPr>
          </w:p>
        </w:tc>
        <w:tc>
          <w:tcPr>
            <w:tcW w:w="1200" w:type="dxa"/>
            <w:vAlign w:val="bottom"/>
          </w:tcPr>
          <w:p>
            <w:pPr>
              <w:jc w:val="right"/>
              <w:ind w:right="332"/>
              <w:spacing w:after="0"/>
              <w:rPr>
                <w:sz w:val="20"/>
                <w:szCs w:val="20"/>
                <w:color w:val="auto"/>
              </w:rPr>
            </w:pPr>
            <w:r>
              <w:rPr>
                <w:rFonts w:ascii="Arial" w:cs="Arial" w:eastAsia="Arial" w:hAnsi="Arial"/>
                <w:sz w:val="14"/>
                <w:szCs w:val="14"/>
                <w:b w:val="1"/>
                <w:bCs w:val="1"/>
                <w:color w:val="auto"/>
              </w:rPr>
              <w:t>2022</w:t>
            </w:r>
          </w:p>
        </w:tc>
        <w:tc>
          <w:tcPr>
            <w:tcW w:w="1480" w:type="dxa"/>
            <w:vAlign w:val="bottom"/>
            <w:gridSpan w:val="3"/>
          </w:tcPr>
          <w:p>
            <w:pPr>
              <w:jc w:val="right"/>
              <w:ind w:right="410"/>
              <w:spacing w:after="0"/>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jc w:val="right"/>
              <w:ind w:right="412"/>
              <w:spacing w:after="0"/>
              <w:rPr>
                <w:sz w:val="20"/>
                <w:szCs w:val="20"/>
                <w:color w:val="auto"/>
              </w:rPr>
            </w:pPr>
            <w:r>
              <w:rPr>
                <w:rFonts w:ascii="Arial" w:cs="Arial" w:eastAsia="Arial" w:hAnsi="Arial"/>
                <w:sz w:val="14"/>
                <w:szCs w:val="14"/>
                <w:b w:val="1"/>
                <w:bCs w:val="1"/>
                <w:color w:val="auto"/>
              </w:rPr>
              <w:t>2020</w:t>
            </w:r>
          </w:p>
        </w:tc>
      </w:tr>
      <w:tr>
        <w:trPr>
          <w:trHeight w:val="229"/>
        </w:trPr>
        <w:tc>
          <w:tcPr>
            <w:tcW w:w="7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Statutory federal income tax rate</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21.0%</w:t>
            </w:r>
          </w:p>
        </w:tc>
        <w:tc>
          <w:tcPr>
            <w:tcW w:w="14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21.0%</w:t>
            </w:r>
          </w:p>
        </w:tc>
      </w:tr>
      <w:tr>
        <w:trPr>
          <w:trHeight w:val="230"/>
        </w:trPr>
        <w:tc>
          <w:tcPr>
            <w:tcW w:w="7160" w:type="dxa"/>
            <w:vAlign w:val="bottom"/>
          </w:tcPr>
          <w:p>
            <w:pPr>
              <w:ind w:left="20"/>
              <w:spacing w:after="0"/>
              <w:rPr>
                <w:sz w:val="20"/>
                <w:szCs w:val="20"/>
                <w:color w:val="auto"/>
              </w:rPr>
            </w:pPr>
            <w:r>
              <w:rPr>
                <w:rFonts w:ascii="Arial" w:cs="Arial" w:eastAsia="Arial" w:hAnsi="Arial"/>
                <w:sz w:val="18"/>
                <w:szCs w:val="18"/>
                <w:color w:val="auto"/>
              </w:rPr>
              <w:t>Stock-based compensation</w:t>
            </w:r>
          </w:p>
        </w:tc>
        <w:tc>
          <w:tcPr>
            <w:tcW w:w="1200" w:type="dxa"/>
            <w:vAlign w:val="bottom"/>
          </w:tcPr>
          <w:p>
            <w:pPr>
              <w:jc w:val="right"/>
              <w:spacing w:after="0"/>
              <w:rPr>
                <w:sz w:val="20"/>
                <w:szCs w:val="20"/>
                <w:color w:val="auto"/>
              </w:rPr>
            </w:pPr>
            <w:r>
              <w:rPr>
                <w:rFonts w:ascii="Arial" w:cs="Arial" w:eastAsia="Arial" w:hAnsi="Arial"/>
                <w:sz w:val="18"/>
                <w:szCs w:val="18"/>
                <w:color w:val="auto"/>
              </w:rPr>
              <w:t>(0.6)</w:t>
            </w:r>
          </w:p>
        </w:tc>
        <w:tc>
          <w:tcPr>
            <w:tcW w:w="1480" w:type="dxa"/>
            <w:vAlign w:val="bottom"/>
            <w:gridSpan w:val="3"/>
          </w:tcPr>
          <w:p>
            <w:pPr>
              <w:jc w:val="right"/>
              <w:ind w:right="30"/>
              <w:spacing w:after="0"/>
              <w:rPr>
                <w:sz w:val="20"/>
                <w:szCs w:val="20"/>
                <w:color w:val="auto"/>
              </w:rPr>
            </w:pPr>
            <w:r>
              <w:rPr>
                <w:rFonts w:ascii="Arial" w:cs="Arial" w:eastAsia="Arial" w:hAnsi="Arial"/>
                <w:sz w:val="18"/>
                <w:szCs w:val="18"/>
                <w:color w:val="auto"/>
              </w:rPr>
              <w:t>(2.9)</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(0.2)</w:t>
            </w:r>
          </w:p>
        </w:tc>
      </w:tr>
      <w:tr>
        <w:trPr>
          <w:trHeight w:val="229"/>
        </w:trPr>
        <w:tc>
          <w:tcPr>
            <w:tcW w:w="7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fair value of warrant liability</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148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(8.5)</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(3.4)</w:t>
            </w:r>
          </w:p>
        </w:tc>
      </w:tr>
      <w:tr>
        <w:trPr>
          <w:trHeight w:val="230"/>
        </w:trPr>
        <w:tc>
          <w:tcPr>
            <w:tcW w:w="7160" w:type="dxa"/>
            <w:vAlign w:val="bottom"/>
          </w:tcPr>
          <w:p>
            <w:pPr>
              <w:ind w:left="20"/>
              <w:spacing w:after="0"/>
              <w:rPr>
                <w:sz w:val="20"/>
                <w:szCs w:val="20"/>
                <w:color w:val="auto"/>
              </w:rPr>
            </w:pPr>
            <w:r>
              <w:rPr>
                <w:rFonts w:ascii="Arial" w:cs="Arial" w:eastAsia="Arial" w:hAnsi="Arial"/>
                <w:sz w:val="18"/>
                <w:szCs w:val="18"/>
                <w:color w:val="auto"/>
              </w:rPr>
              <w:t>Tax-exempt interest</w:t>
            </w:r>
          </w:p>
        </w:tc>
        <w:tc>
          <w:tcPr>
            <w:tcW w:w="1200" w:type="dxa"/>
            <w:vAlign w:val="bottom"/>
          </w:tcPr>
          <w:p>
            <w:pPr>
              <w:jc w:val="right"/>
              <w:spacing w:after="0"/>
              <w:rPr>
                <w:sz w:val="20"/>
                <w:szCs w:val="20"/>
                <w:color w:val="auto"/>
              </w:rPr>
            </w:pPr>
            <w:r>
              <w:rPr>
                <w:rFonts w:ascii="Arial" w:cs="Arial" w:eastAsia="Arial" w:hAnsi="Arial"/>
                <w:sz w:val="18"/>
                <w:szCs w:val="18"/>
                <w:color w:val="auto"/>
              </w:rPr>
              <w:t>0.4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gridSpan w:val="3"/>
          </w:tcPr>
          <w:p>
            <w:pPr>
              <w:jc w:val="right"/>
              <w:ind w:right="52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w:t>
            </w:r>
          </w:p>
        </w:tc>
      </w:tr>
      <w:tr>
        <w:trPr>
          <w:trHeight w:val="229"/>
        </w:trPr>
        <w:tc>
          <w:tcPr>
            <w:tcW w:w="7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Nondeductible expenses</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48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(0.3)</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(0.1)</w:t>
            </w:r>
          </w:p>
        </w:tc>
      </w:tr>
      <w:tr>
        <w:trPr>
          <w:trHeight w:val="229"/>
        </w:trPr>
        <w:tc>
          <w:tcPr>
            <w:tcW w:w="7160" w:type="dxa"/>
            <w:vAlign w:val="bottom"/>
          </w:tcPr>
          <w:p>
            <w:pPr>
              <w:ind w:left="20"/>
              <w:spacing w:after="0"/>
              <w:rPr>
                <w:sz w:val="20"/>
                <w:szCs w:val="20"/>
                <w:color w:val="auto"/>
              </w:rPr>
            </w:pPr>
            <w:r>
              <w:rPr>
                <w:rFonts w:ascii="Arial" w:cs="Arial" w:eastAsia="Arial" w:hAnsi="Arial"/>
                <w:sz w:val="18"/>
                <w:szCs w:val="18"/>
                <w:color w:val="auto"/>
              </w:rPr>
              <w:t>Tax credits</w:t>
            </w:r>
          </w:p>
        </w:tc>
        <w:tc>
          <w:tcPr>
            <w:tcW w:w="1200" w:type="dxa"/>
            <w:vAlign w:val="bottom"/>
          </w:tcPr>
          <w:p>
            <w:pPr>
              <w:jc w:val="right"/>
              <w:spacing w:after="0"/>
              <w:rPr>
                <w:sz w:val="20"/>
                <w:szCs w:val="20"/>
                <w:color w:val="auto"/>
              </w:rPr>
            </w:pPr>
            <w:r>
              <w:rPr>
                <w:rFonts w:ascii="Arial" w:cs="Arial" w:eastAsia="Arial" w:hAnsi="Arial"/>
                <w:sz w:val="18"/>
                <w:szCs w:val="18"/>
                <w:color w:val="auto"/>
              </w:rPr>
              <w:t>1.4</w:t>
            </w:r>
          </w:p>
        </w:tc>
        <w:tc>
          <w:tcPr>
            <w:tcW w:w="1480" w:type="dxa"/>
            <w:vAlign w:val="bottom"/>
            <w:gridSpan w:val="3"/>
          </w:tcPr>
          <w:p>
            <w:pPr>
              <w:jc w:val="right"/>
              <w:ind w:right="30"/>
              <w:spacing w:after="0"/>
              <w:rPr>
                <w:sz w:val="20"/>
                <w:szCs w:val="20"/>
                <w:color w:val="auto"/>
              </w:rPr>
            </w:pPr>
            <w:r>
              <w:rPr>
                <w:rFonts w:ascii="Arial" w:cs="Arial" w:eastAsia="Arial" w:hAnsi="Arial"/>
                <w:sz w:val="18"/>
                <w:szCs w:val="18"/>
                <w:color w:val="auto"/>
              </w:rPr>
              <w:t>0.7</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2.8</w:t>
            </w:r>
          </w:p>
        </w:tc>
      </w:tr>
      <w:tr>
        <w:trPr>
          <w:trHeight w:val="230"/>
        </w:trPr>
        <w:tc>
          <w:tcPr>
            <w:tcW w:w="7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valuation allowance</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148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(10.0)</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(20.1)</w:t>
            </w:r>
          </w:p>
        </w:tc>
      </w:tr>
      <w:tr>
        <w:trPr>
          <w:trHeight w:val="223"/>
        </w:trPr>
        <w:tc>
          <w:tcPr>
            <w:tcW w:w="7160" w:type="dxa"/>
            <w:vAlign w:val="bottom"/>
          </w:tcPr>
          <w:p>
            <w:pPr>
              <w:ind w:left="20"/>
              <w:spacing w:after="0"/>
              <w:rPr>
                <w:sz w:val="20"/>
                <w:szCs w:val="20"/>
                <w:color w:val="auto"/>
              </w:rPr>
            </w:pPr>
            <w:r>
              <w:rPr>
                <w:rFonts w:ascii="Arial" w:cs="Arial" w:eastAsia="Arial" w:hAnsi="Arial"/>
                <w:sz w:val="18"/>
                <w:szCs w:val="18"/>
                <w:color w:val="auto"/>
              </w:rPr>
              <w:t>Provision for (benefit from) income taxes</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auto"/>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r>
      <w:tr>
        <w:trPr>
          <w:trHeight w:val="21"/>
        </w:trPr>
        <w:tc>
          <w:tcPr>
            <w:tcW w:w="716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effective tax rate was 0.0% for the years ended December 31, 2022, 2021 and 2020. The amount of provision for (benefit from) income taxes differs from the expected benefit due to the impact of the U.S. valuation allowance.</w:t>
      </w:r>
    </w:p>
    <w:p>
      <w:pPr>
        <w:spacing w:after="0" w:line="197"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Deferred income taxes reflect the net tax effects of temporary differences between the carrying amounts of assets and liabilities for financial reporting purposes and the amounts used for income tax purposes. Significant components of the Company’s deferred taxes as of December 31, 2022 and 2021, are as follows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jc w:val="right"/>
              <w:ind w:right="411"/>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ind w:right="411"/>
              <w:spacing w:after="0"/>
              <w:rPr>
                <w:sz w:val="20"/>
                <w:szCs w:val="20"/>
                <w:color w:val="auto"/>
              </w:rPr>
            </w:pPr>
            <w:r>
              <w:rPr>
                <w:rFonts w:ascii="Arial" w:cs="Arial" w:eastAsia="Arial" w:hAnsi="Arial"/>
                <w:sz w:val="14"/>
                <w:szCs w:val="14"/>
                <w:b w:val="1"/>
                <w:bCs w:val="1"/>
                <w:color w:val="auto"/>
              </w:rPr>
              <w:t>2021</w:t>
            </w:r>
          </w:p>
        </w:tc>
      </w:tr>
      <w:tr>
        <w:trPr>
          <w:trHeight w:val="26"/>
        </w:trPr>
        <w:tc>
          <w:tcPr>
            <w:tcW w:w="8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9"/>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Deferred tax assets:</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30"/>
        </w:trPr>
        <w:tc>
          <w:tcPr>
            <w:tcW w:w="8600" w:type="dxa"/>
            <w:vAlign w:val="bottom"/>
          </w:tcPr>
          <w:p>
            <w:pPr>
              <w:ind w:left="140"/>
              <w:spacing w:after="0"/>
              <w:rPr>
                <w:sz w:val="20"/>
                <w:szCs w:val="20"/>
                <w:color w:val="auto"/>
              </w:rPr>
            </w:pPr>
            <w:r>
              <w:rPr>
                <w:rFonts w:ascii="Arial" w:cs="Arial" w:eastAsia="Arial" w:hAnsi="Arial"/>
                <w:sz w:val="18"/>
                <w:szCs w:val="18"/>
                <w:color w:val="auto"/>
              </w:rPr>
              <w:t>Net operating loss carryforwards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974,097</w:t>
            </w:r>
          </w:p>
        </w:tc>
        <w:tc>
          <w:tcPr>
            <w:tcW w:w="8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519,410</w:t>
            </w:r>
          </w:p>
        </w:tc>
      </w:tr>
      <w:tr>
        <w:trPr>
          <w:trHeight w:val="229"/>
        </w:trPr>
        <w:tc>
          <w:tcPr>
            <w:tcW w:w="8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Tax credit carryforwards</w:t>
            </w: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104,678</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71,783</w:t>
            </w:r>
          </w:p>
        </w:tc>
      </w:tr>
      <w:tr>
        <w:trPr>
          <w:trHeight w:val="230"/>
        </w:trPr>
        <w:tc>
          <w:tcPr>
            <w:tcW w:w="8600" w:type="dxa"/>
            <w:vAlign w:val="bottom"/>
          </w:tcPr>
          <w:p>
            <w:pPr>
              <w:ind w:left="140"/>
              <w:spacing w:after="0"/>
              <w:rPr>
                <w:sz w:val="20"/>
                <w:szCs w:val="20"/>
                <w:color w:val="auto"/>
              </w:rPr>
            </w:pPr>
            <w:r>
              <w:rPr>
                <w:rFonts w:ascii="Arial" w:cs="Arial" w:eastAsia="Arial" w:hAnsi="Arial"/>
                <w:sz w:val="18"/>
                <w:szCs w:val="18"/>
                <w:color w:val="auto"/>
              </w:rPr>
              <w:t>Stock-based compensation expense</w:t>
            </w: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26,438</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22,559</w:t>
            </w:r>
          </w:p>
        </w:tc>
      </w:tr>
      <w:tr>
        <w:trPr>
          <w:trHeight w:val="230"/>
        </w:trPr>
        <w:tc>
          <w:tcPr>
            <w:tcW w:w="8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Capitalization of research and development costs</w:t>
            </w: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174,564</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600" w:type="dxa"/>
            <w:vAlign w:val="bottom"/>
          </w:tcPr>
          <w:p>
            <w:pPr>
              <w:ind w:left="140"/>
              <w:spacing w:after="0"/>
              <w:rPr>
                <w:sz w:val="20"/>
                <w:szCs w:val="20"/>
                <w:color w:val="auto"/>
              </w:rPr>
            </w:pPr>
            <w:r>
              <w:rPr>
                <w:rFonts w:ascii="Arial" w:cs="Arial" w:eastAsia="Arial" w:hAnsi="Arial"/>
                <w:sz w:val="18"/>
                <w:szCs w:val="18"/>
                <w:color w:val="auto"/>
              </w:rPr>
              <w:t>Accruals and reserves</w:t>
            </w: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100,622</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59,894</w:t>
            </w:r>
          </w:p>
        </w:tc>
      </w:tr>
      <w:tr>
        <w:trPr>
          <w:trHeight w:val="229"/>
        </w:trPr>
        <w:tc>
          <w:tcPr>
            <w:tcW w:w="8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Lease Liability</w:t>
            </w: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84,635</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52,592</w:t>
            </w:r>
          </w:p>
        </w:tc>
      </w:tr>
      <w:tr>
        <w:trPr>
          <w:trHeight w:val="230"/>
        </w:trPr>
        <w:tc>
          <w:tcPr>
            <w:tcW w:w="86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19,037</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8,547</w:t>
            </w:r>
          </w:p>
        </w:tc>
      </w:tr>
      <w:tr>
        <w:trPr>
          <w:trHeight w:val="223"/>
        </w:trPr>
        <w:tc>
          <w:tcPr>
            <w:tcW w:w="86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deferred tax assets</w:t>
            </w: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1,484,071</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734,785</w:t>
            </w:r>
          </w:p>
        </w:tc>
      </w:tr>
      <w:tr>
        <w:trPr>
          <w:trHeight w:val="230"/>
        </w:trPr>
        <w:tc>
          <w:tcPr>
            <w:tcW w:w="860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Valuation allowance</w:t>
            </w: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(1,374,265)</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(672,898)</w:t>
            </w:r>
          </w:p>
        </w:tc>
      </w:tr>
      <w:tr>
        <w:trPr>
          <w:trHeight w:val="223"/>
        </w:trPr>
        <w:tc>
          <w:tcPr>
            <w:tcW w:w="86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deferred tax assets, net of valuation allowance</w:t>
            </w:r>
          </w:p>
        </w:tc>
        <w:tc>
          <w:tcPr>
            <w:tcW w:w="2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109,806</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61,887</w:t>
            </w:r>
          </w:p>
        </w:tc>
      </w:tr>
      <w:tr>
        <w:trPr>
          <w:trHeight w:val="210"/>
        </w:trPr>
        <w:tc>
          <w:tcPr>
            <w:tcW w:w="8600" w:type="dxa"/>
            <w:vAlign w:val="bottom"/>
          </w:tcPr>
          <w:p>
            <w:pPr>
              <w:ind w:left="20"/>
              <w:spacing w:after="0"/>
              <w:rPr>
                <w:sz w:val="20"/>
                <w:szCs w:val="20"/>
                <w:color w:val="auto"/>
              </w:rPr>
            </w:pPr>
            <w:r>
              <w:rPr>
                <w:rFonts w:ascii="Arial" w:cs="Arial" w:eastAsia="Arial" w:hAnsi="Arial"/>
                <w:sz w:val="18"/>
                <w:szCs w:val="18"/>
                <w:b w:val="1"/>
                <w:bCs w:val="1"/>
                <w:color w:val="auto"/>
              </w:rPr>
              <w:t>Deferred tax liabilities:</w:t>
            </w: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0"/>
        </w:trPr>
        <w:tc>
          <w:tcPr>
            <w:tcW w:w="8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Depreciation</w:t>
            </w: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(39,618)</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(20,180)</w:t>
            </w:r>
          </w:p>
        </w:tc>
      </w:tr>
      <w:tr>
        <w:trPr>
          <w:trHeight w:val="230"/>
        </w:trPr>
        <w:tc>
          <w:tcPr>
            <w:tcW w:w="86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Right-of-use assets</w:t>
            </w: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(70,188)</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(41,707)</w:t>
            </w:r>
          </w:p>
        </w:tc>
      </w:tr>
      <w:tr>
        <w:trPr>
          <w:trHeight w:val="223"/>
        </w:trPr>
        <w:tc>
          <w:tcPr>
            <w:tcW w:w="86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deferred tax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(109,806)</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(61,887)</w:t>
            </w:r>
          </w:p>
        </w:tc>
      </w:tr>
      <w:tr>
        <w:trPr>
          <w:trHeight w:val="223"/>
        </w:trPr>
        <w:tc>
          <w:tcPr>
            <w:tcW w:w="8600" w:type="dxa"/>
            <w:vAlign w:val="bottom"/>
          </w:tcPr>
          <w:p>
            <w:pPr>
              <w:ind w:left="900"/>
              <w:spacing w:after="0"/>
              <w:rPr>
                <w:sz w:val="20"/>
                <w:szCs w:val="20"/>
                <w:color w:val="auto"/>
              </w:rPr>
            </w:pPr>
            <w:r>
              <w:rPr>
                <w:rFonts w:ascii="Arial" w:cs="Arial" w:eastAsia="Arial" w:hAnsi="Arial"/>
                <w:sz w:val="18"/>
                <w:szCs w:val="18"/>
                <w:color w:val="auto"/>
              </w:rPr>
              <w:t>Deferred tax assets (liabilities), net of valuation allowance</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0"/>
        </w:trPr>
        <w:tc>
          <w:tcPr>
            <w:tcW w:w="86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Company does not provide deferred tax liabilities when it intends to reinvest earnings of its foreign subsidiaries indefinitely. As of December 31, 2022 and 2021, the Company has no undistributed earnings from its foreign subsidiaries.</w:t>
      </w:r>
    </w:p>
    <w:p>
      <w:pPr>
        <w:spacing w:after="0" w:line="17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 valuation allowance is recognized if, based on the weight of available evidence, it is more likely than not that some portion or all of the deferred tax asset will not be realized in a particular tax jurisdiction. All available evidence, both positive and negative, is considered to determine whether, based on the weight of that evidence, a valuation allowance is needed for some portion or all of a deferred tax asset. Judgment must be used in considering the relative impact of negative and positive evidence.</w:t>
      </w:r>
    </w:p>
    <w:p>
      <w:pPr>
        <w:spacing w:after="0" w:line="187" w:lineRule="exact"/>
        <w:rPr>
          <w:sz w:val="20"/>
          <w:szCs w:val="20"/>
          <w:color w:val="auto"/>
        </w:rPr>
      </w:pPr>
    </w:p>
    <w:p>
      <w:pPr>
        <w:ind w:right="240"/>
        <w:spacing w:after="0" w:line="301" w:lineRule="auto"/>
        <w:rPr>
          <w:sz w:val="20"/>
          <w:szCs w:val="20"/>
          <w:color w:val="auto"/>
        </w:rPr>
      </w:pPr>
      <w:r>
        <w:rPr>
          <w:rFonts w:ascii="Arial" w:cs="Arial" w:eastAsia="Arial" w:hAnsi="Arial"/>
          <w:sz w:val="16"/>
          <w:szCs w:val="16"/>
          <w:color w:val="auto"/>
        </w:rPr>
        <w:t>Based on the weight of the available evidence, which includes the Company’s historical operating losses, lack of taxable income, and the accumulated deficit, as of December 31, 2022 and 2021, the Company provided a full valuation allowance against its U.S. and state deferred tax assets. The valuation allowance for deferred tax assets was $1,374.3 million and $672.9 million, as of December 31, 2022 and 2021, respectively. The valuation allowance on our net deferred taxes increased by $701.4 million and $312.3 million during the years ended December 31, 2022 and 2021, respectively.</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125" w:name="page126"/>
    <w:bookmarkEnd w:id="125"/>
    <w:p>
      <w:pPr>
        <w:ind w:right="20"/>
        <w:spacing w:after="0" w:line="301" w:lineRule="auto"/>
        <w:rPr>
          <w:sz w:val="20"/>
          <w:szCs w:val="20"/>
          <w:color w:val="auto"/>
        </w:rPr>
      </w:pPr>
      <w:r>
        <w:rPr>
          <w:rFonts w:ascii="Arial" w:cs="Arial" w:eastAsia="Arial" w:hAnsi="Arial"/>
          <w:sz w:val="16"/>
          <w:szCs w:val="16"/>
          <w:color w:val="auto"/>
        </w:rPr>
        <w:t>The Company had federal, state, and foreign net operating loss carryforwards of approximately $3,696.1 million, $2,492.0 million, and $2.0 million, respectively, as of December 31, 2022, which will begin to expire at various dates beginning in 2023. The Company also had federal and state tax research and development tax credit carryforwards of approximately $117.9 million and $91.4 million, respectively. The federal research and development tax credit carryforwards will expire at various dates beginning in 2036, if not utilized. The state research and development tax credit carryforwards do not expire.</w:t>
      </w:r>
    </w:p>
    <w:p>
      <w:pPr>
        <w:spacing w:after="0" w:line="157"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The Internal Revenue Code of 1986, as amended, imposes restrictions on the utilization of net operating losses and certain credits in the event of an “ownership change” of a corporation. Accordingly, a company’s ability to use net operating losses and certain credits may be limited as prescribed under.</w:t>
      </w:r>
    </w:p>
    <w:p>
      <w:pPr>
        <w:spacing w:after="0" w:line="15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Internal Revenue Code Section 382, which provide for limitations on net operating losses carryforwards and certain built in losses following ownership changes, and Section 383, which provides for special limitations on certain excess credits, etc. (collectively, “IRC Section 382”). Utilization of the carryforwards may be subject to substantial annual limitation due to the ownership change limitations provided by the IRC Section 382 and similar state provisions, resulting in a reduction in the gross deferral tax assets before considering the valuation allowance. We have completed a formal Section 382 study of our equity transactions through December 31, 2020. The study determined that we experienced an “ownership change” in 2016, and we will not be able to utilize approximately $12.0 million of our gross U.S. federal NOL and $15.0 million of gross U.S. federal research and development tax credit (or $3.0 million in net credit) carryforwards.</w:t>
      </w:r>
    </w:p>
    <w:p>
      <w:pPr>
        <w:spacing w:after="0" w:line="195" w:lineRule="exact"/>
        <w:rPr>
          <w:sz w:val="20"/>
          <w:szCs w:val="20"/>
          <w:color w:val="auto"/>
        </w:rPr>
      </w:pPr>
    </w:p>
    <w:p>
      <w:pPr>
        <w:ind w:right="720"/>
        <w:spacing w:after="0" w:line="263" w:lineRule="auto"/>
        <w:rPr>
          <w:sz w:val="20"/>
          <w:szCs w:val="20"/>
          <w:color w:val="auto"/>
        </w:rPr>
      </w:pPr>
      <w:r>
        <w:rPr>
          <w:rFonts w:ascii="Arial" w:cs="Arial" w:eastAsia="Arial" w:hAnsi="Arial"/>
          <w:sz w:val="18"/>
          <w:szCs w:val="18"/>
          <w:color w:val="auto"/>
        </w:rPr>
        <w:t>The Company files U.S., state, and foreign income tax returns with varying statutes of limitations. The federal, state, and foreign returns statute of limitations remains open for tax years from 2008 and thereafter. There are currently no income tax audits underway by U.S., state, or foreign tax authorities.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Uncertain Tax Positions</w:t>
      </w:r>
    </w:p>
    <w:p>
      <w:pPr>
        <w:spacing w:after="0" w:line="229" w:lineRule="exact"/>
        <w:rPr>
          <w:sz w:val="20"/>
          <w:szCs w:val="20"/>
          <w:color w:val="auto"/>
        </w:rPr>
      </w:pPr>
    </w:p>
    <w:p>
      <w:pPr>
        <w:ind w:right="360"/>
        <w:spacing w:after="0" w:line="311" w:lineRule="auto"/>
        <w:rPr>
          <w:sz w:val="20"/>
          <w:szCs w:val="20"/>
          <w:color w:val="auto"/>
        </w:rPr>
      </w:pPr>
      <w:r>
        <w:rPr>
          <w:rFonts w:ascii="Arial" w:cs="Arial" w:eastAsia="Arial" w:hAnsi="Arial"/>
          <w:sz w:val="16"/>
          <w:szCs w:val="16"/>
          <w:color w:val="auto"/>
        </w:rPr>
        <w:t>As of December 31, 2022, 2021 and 2020, the total amount of unrecognized tax benefits was approximately $105.2 million, $72.3 million, and $42.9 million, respectively, of which $0.6 million, $0.5 million and $2.6 million, if recognized for respective periods, would favorably impact the Company's effective tax rate. The Company does not anticipate a significant change in the total amount of unrecognized tax benefits within the next 12 months.</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activity related to unrecognized tax benefits for the years ended December 31, 2022, 2021 and 2020 (in thousands):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w:t>
            </w: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5"/>
        </w:trPr>
        <w:tc>
          <w:tcPr>
            <w:tcW w:w="72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90"/>
        </w:trPr>
        <w:tc>
          <w:tcPr>
            <w:tcW w:w="72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2020</w:t>
            </w:r>
          </w:p>
        </w:tc>
      </w:tr>
      <w:tr>
        <w:trPr>
          <w:trHeight w:val="230"/>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Unrecognized benefit—beginning of period</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72,330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42,894</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20,635</w:t>
            </w:r>
          </w:p>
        </w:tc>
      </w:tr>
      <w:tr>
        <w:trPr>
          <w:trHeight w:val="230"/>
        </w:trPr>
        <w:tc>
          <w:tcPr>
            <w:tcW w:w="7240" w:type="dxa"/>
            <w:vAlign w:val="bottom"/>
          </w:tcPr>
          <w:p>
            <w:pPr>
              <w:ind w:left="20"/>
              <w:spacing w:after="0"/>
              <w:rPr>
                <w:sz w:val="20"/>
                <w:szCs w:val="20"/>
                <w:color w:val="auto"/>
              </w:rPr>
            </w:pPr>
            <w:r>
              <w:rPr>
                <w:rFonts w:ascii="Arial" w:cs="Arial" w:eastAsia="Arial" w:hAnsi="Arial"/>
                <w:sz w:val="18"/>
                <w:szCs w:val="18"/>
                <w:color w:val="auto"/>
              </w:rPr>
              <w:t>Gross increases—prior-period tax positions</w:t>
            </w:r>
          </w:p>
        </w:tc>
        <w:tc>
          <w:tcPr>
            <w:tcW w:w="3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29"/>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decreases—prior-period tax positions</w:t>
            </w:r>
          </w:p>
        </w:tc>
        <w:tc>
          <w:tcPr>
            <w:tcW w:w="3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7240" w:type="dxa"/>
            <w:vAlign w:val="bottom"/>
          </w:tcPr>
          <w:p>
            <w:pPr>
              <w:ind w:left="20"/>
              <w:spacing w:after="0"/>
              <w:rPr>
                <w:sz w:val="20"/>
                <w:szCs w:val="20"/>
                <w:color w:val="auto"/>
              </w:rPr>
            </w:pPr>
            <w:r>
              <w:rPr>
                <w:rFonts w:ascii="Arial" w:cs="Arial" w:eastAsia="Arial" w:hAnsi="Arial"/>
                <w:sz w:val="18"/>
                <w:szCs w:val="18"/>
                <w:color w:val="auto"/>
              </w:rPr>
              <w:t>Gross increases—current-period tax positions</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32,916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31,336</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22,382</w:t>
            </w:r>
          </w:p>
        </w:tc>
      </w:tr>
      <w:tr>
        <w:trPr>
          <w:trHeight w:val="230"/>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decrease—current-period tax positions</w:t>
            </w:r>
          </w:p>
        </w:tc>
        <w:tc>
          <w:tcPr>
            <w:tcW w:w="3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Statute lapse</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(1,900)</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w:t>
            </w:r>
          </w:p>
        </w:tc>
      </w:tr>
      <w:tr>
        <w:trPr>
          <w:trHeight w:val="248"/>
        </w:trPr>
        <w:tc>
          <w:tcPr>
            <w:tcW w:w="7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Unrecognized benefit—end of period</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105,234</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72,330</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42,894</w:t>
            </w:r>
          </w:p>
        </w:tc>
      </w:tr>
      <w:tr>
        <w:trPr>
          <w:trHeight w:val="20"/>
        </w:trPr>
        <w:tc>
          <w:tcPr>
            <w:tcW w:w="72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Related to the unrecognized tax benefits above, the Company recognized immaterial interest expense and penalty expense as part of provision for (benefit from) income taxes in the consolidated statements of operations and comprehensive loss. As of December 31, 2022, the Company has recognized a liability for immaterial interest expense and penalties, which was included within Other long-term liabilities in the consolidated balance sheets.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NET LOSS PER SHARE</w:t>
      </w:r>
    </w:p>
    <w:p>
      <w:pPr>
        <w:spacing w:after="0" w:line="229"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The weighted-average number of shares of common stock outstanding prior to the Merger have been retroactively adjusted by the Exchange Ratio to give effect to the reverse recapitalization treatment of the Merger. Shares of common stock issued as a result of the conversion of Legacy Lucid convertible preferred stock in connection with the Closing have been included in the basic net loss per share calculation on a prospective basis.</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126" w:name="page127"/>
    <w:bookmarkEnd w:id="126"/>
    <w:p>
      <w:pPr>
        <w:spacing w:after="0"/>
        <w:rPr>
          <w:sz w:val="20"/>
          <w:szCs w:val="20"/>
          <w:color w:val="auto"/>
        </w:rPr>
      </w:pPr>
      <w:r>
        <w:rPr>
          <w:rFonts w:ascii="Arial" w:cs="Arial" w:eastAsia="Arial" w:hAnsi="Arial"/>
          <w:sz w:val="16"/>
          <w:szCs w:val="16"/>
          <w:color w:val="auto"/>
        </w:rPr>
        <w:t>Basic and diluted net loss per share attributable to common stockholders are calculated as follows (in thousands, except share and per share amounts):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40" w:type="dxa"/>
            <w:vAlign w:val="bottom"/>
            <w:gridSpan w:val="6"/>
          </w:tcPr>
          <w:p>
            <w:pPr>
              <w:jc w:val="right"/>
              <w:ind w:right="90"/>
              <w:spacing w:after="0"/>
              <w:rPr>
                <w:sz w:val="20"/>
                <w:szCs w:val="20"/>
                <w:color w:val="auto"/>
              </w:rPr>
            </w:pPr>
            <w:r>
              <w:rPr>
                <w:rFonts w:ascii="Arial" w:cs="Arial" w:eastAsia="Arial" w:hAnsi="Arial"/>
                <w:sz w:val="14"/>
                <w:szCs w:val="14"/>
                <w:b w:val="1"/>
                <w:bCs w:val="1"/>
                <w:color w:val="auto"/>
              </w:rPr>
              <w:t>Year Ended December 31,</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72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2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9"/>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(1,304,460)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(2,579,761)</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(719,380)</w:t>
            </w:r>
          </w:p>
        </w:tc>
        <w:tc>
          <w:tcPr>
            <w:tcW w:w="0" w:type="dxa"/>
            <w:vAlign w:val="bottom"/>
          </w:tcPr>
          <w:p>
            <w:pPr>
              <w:spacing w:after="0"/>
              <w:rPr>
                <w:sz w:val="1"/>
                <w:szCs w:val="1"/>
                <w:color w:val="auto"/>
              </w:rPr>
            </w:pPr>
          </w:p>
        </w:tc>
      </w:tr>
      <w:tr>
        <w:trPr>
          <w:trHeight w:val="229"/>
        </w:trPr>
        <w:tc>
          <w:tcPr>
            <w:tcW w:w="7240" w:type="dxa"/>
            <w:vAlign w:val="bottom"/>
          </w:tcPr>
          <w:p>
            <w:pPr>
              <w:ind w:left="20"/>
              <w:spacing w:after="0"/>
              <w:rPr>
                <w:sz w:val="20"/>
                <w:szCs w:val="20"/>
                <w:color w:val="auto"/>
              </w:rPr>
            </w:pPr>
            <w:r>
              <w:rPr>
                <w:rFonts w:ascii="Arial" w:cs="Arial" w:eastAsia="Arial" w:hAnsi="Arial"/>
                <w:sz w:val="18"/>
                <w:szCs w:val="18"/>
                <w:color w:val="auto"/>
              </w:rPr>
              <w:t>Deemed contribution related to repurchase of Series B convertible preferred stock</w:t>
            </w:r>
          </w:p>
        </w:tc>
        <w:tc>
          <w:tcPr>
            <w:tcW w:w="14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30"/>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Deemed contribution related to repurchase of Series C convertible preferred stock</w:t>
            </w: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12,784</w:t>
            </w:r>
          </w:p>
        </w:tc>
        <w:tc>
          <w:tcPr>
            <w:tcW w:w="0" w:type="dxa"/>
            <w:vAlign w:val="bottom"/>
          </w:tcPr>
          <w:p>
            <w:pPr>
              <w:spacing w:after="0"/>
              <w:rPr>
                <w:sz w:val="1"/>
                <w:szCs w:val="1"/>
                <w:color w:val="auto"/>
              </w:rPr>
            </w:pPr>
          </w:p>
        </w:tc>
      </w:tr>
      <w:tr>
        <w:trPr>
          <w:trHeight w:val="229"/>
        </w:trPr>
        <w:tc>
          <w:tcPr>
            <w:tcW w:w="7240" w:type="dxa"/>
            <w:vAlign w:val="bottom"/>
          </w:tcPr>
          <w:p>
            <w:pPr>
              <w:ind w:left="20"/>
              <w:spacing w:after="0"/>
              <w:rPr>
                <w:sz w:val="20"/>
                <w:szCs w:val="20"/>
                <w:color w:val="auto"/>
              </w:rPr>
            </w:pPr>
            <w:r>
              <w:rPr>
                <w:rFonts w:ascii="Arial" w:cs="Arial" w:eastAsia="Arial" w:hAnsi="Arial"/>
                <w:sz w:val="18"/>
                <w:szCs w:val="18"/>
                <w:color w:val="auto"/>
              </w:rPr>
              <w:t>Deemed dividend related to the issuance of Series E convertible preferred stock</w:t>
            </w:r>
          </w:p>
        </w:tc>
        <w:tc>
          <w:tcPr>
            <w:tcW w:w="14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(2,167,332)</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7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loss attributable to common stockholders, basic</w:t>
            </w: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(1,304,460)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(4,747,093)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spacing w:after="0"/>
              <w:rPr>
                <w:sz w:val="21"/>
                <w:szCs w:val="21"/>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(705,596)</w:t>
            </w:r>
          </w:p>
        </w:tc>
        <w:tc>
          <w:tcPr>
            <w:tcW w:w="0" w:type="dxa"/>
            <w:vAlign w:val="bottom"/>
          </w:tcPr>
          <w:p>
            <w:pPr>
              <w:spacing w:after="0"/>
              <w:rPr>
                <w:sz w:val="1"/>
                <w:szCs w:val="1"/>
                <w:color w:val="auto"/>
              </w:rPr>
            </w:pPr>
          </w:p>
        </w:tc>
      </w:tr>
      <w:tr>
        <w:trPr>
          <w:trHeight w:val="20"/>
        </w:trPr>
        <w:tc>
          <w:tcPr>
            <w:tcW w:w="7240" w:type="dxa"/>
            <w:vAlign w:val="bottom"/>
            <w:tcBorders>
              <w:top w:val="single" w:sz="8" w:color="CCEEFF"/>
            </w:tcBorders>
            <w:vMerge w:val="restart"/>
          </w:tcPr>
          <w:p>
            <w:pPr>
              <w:ind w:left="20"/>
              <w:spacing w:after="0"/>
              <w:rPr>
                <w:sz w:val="20"/>
                <w:szCs w:val="20"/>
                <w:color w:val="auto"/>
              </w:rPr>
            </w:pPr>
            <w:r>
              <w:rPr>
                <w:rFonts w:ascii="Arial" w:cs="Arial" w:eastAsia="Arial" w:hAnsi="Arial"/>
                <w:sz w:val="18"/>
                <w:szCs w:val="18"/>
                <w:color w:val="auto"/>
              </w:rPr>
              <w:t>Change in fair value of dilutive warrants</w:t>
            </w:r>
          </w:p>
        </w:tc>
        <w:tc>
          <w:tcPr>
            <w:tcW w:w="1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gridSpan w:val="2"/>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240" w:type="dxa"/>
            <w:vAlign w:val="bottom"/>
            <w:tcBorders>
              <w:top w:val="single" w:sz="8" w:color="CCEEFF"/>
              <w:bottom w:val="single" w:sz="8" w:color="CCEEFF"/>
            </w:tcBorders>
            <w:vMerge w:val="continue"/>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(1,254,218)</w:t>
            </w:r>
          </w:p>
        </w:tc>
        <w:tc>
          <w:tcPr>
            <w:tcW w:w="8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7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loss attributable to common stockholders, diluted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(2,558,678)</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(4,747,093)</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(705,596)</w:t>
            </w:r>
          </w:p>
        </w:tc>
        <w:tc>
          <w:tcPr>
            <w:tcW w:w="0" w:type="dxa"/>
            <w:vAlign w:val="bottom"/>
          </w:tcPr>
          <w:p>
            <w:pPr>
              <w:spacing w:after="0"/>
              <w:rPr>
                <w:sz w:val="1"/>
                <w:szCs w:val="1"/>
                <w:color w:val="auto"/>
              </w:rPr>
            </w:pPr>
          </w:p>
        </w:tc>
      </w:tr>
      <w:tr>
        <w:trPr>
          <w:trHeight w:val="20"/>
        </w:trPr>
        <w:tc>
          <w:tcPr>
            <w:tcW w:w="7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shares outstanding, basic</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1,678,346,079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740,393,759</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24,825,944</w:t>
            </w:r>
          </w:p>
        </w:tc>
        <w:tc>
          <w:tcPr>
            <w:tcW w:w="0" w:type="dxa"/>
            <w:vAlign w:val="bottom"/>
          </w:tcPr>
          <w:p>
            <w:pPr>
              <w:spacing w:after="0"/>
              <w:rPr>
                <w:sz w:val="1"/>
                <w:szCs w:val="1"/>
                <w:color w:val="auto"/>
              </w:rPr>
            </w:pPr>
          </w:p>
        </w:tc>
      </w:tr>
      <w:tr>
        <w:trPr>
          <w:trHeight w:val="257"/>
        </w:trPr>
        <w:tc>
          <w:tcPr>
            <w:tcW w:w="7240" w:type="dxa"/>
            <w:vAlign w:val="bottom"/>
          </w:tcPr>
          <w:p>
            <w:pPr>
              <w:ind w:left="20"/>
              <w:spacing w:after="0"/>
              <w:rPr>
                <w:sz w:val="20"/>
                <w:szCs w:val="20"/>
                <w:color w:val="auto"/>
              </w:rPr>
            </w:pPr>
            <w:r>
              <w:rPr>
                <w:rFonts w:ascii="Arial" w:cs="Arial" w:eastAsia="Arial" w:hAnsi="Arial"/>
                <w:sz w:val="18"/>
                <w:szCs w:val="18"/>
                <w:color w:val="auto"/>
              </w:rPr>
              <w:t>Private Placement Warrants using the treasury stock method</w:t>
            </w:r>
          </w:p>
        </w:tc>
        <w:tc>
          <w:tcPr>
            <w:tcW w:w="1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14,912,529</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7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Weighted-average shares outstanding, diluted</w:t>
            </w: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1,693,258,608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740,393,759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spacing w:after="0"/>
              <w:rPr>
                <w:sz w:val="21"/>
                <w:szCs w:val="21"/>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24,825,944</w:t>
            </w:r>
          </w:p>
        </w:tc>
        <w:tc>
          <w:tcPr>
            <w:tcW w:w="0" w:type="dxa"/>
            <w:vAlign w:val="bottom"/>
          </w:tcPr>
          <w:p>
            <w:pPr>
              <w:spacing w:after="0"/>
              <w:rPr>
                <w:sz w:val="1"/>
                <w:szCs w:val="1"/>
                <w:color w:val="auto"/>
              </w:rPr>
            </w:pPr>
          </w:p>
        </w:tc>
      </w:tr>
      <w:tr>
        <w:trPr>
          <w:trHeight w:val="20"/>
        </w:trPr>
        <w:tc>
          <w:tcPr>
            <w:tcW w:w="7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loss per share:</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40" w:type="dxa"/>
            <w:vAlign w:val="bottom"/>
          </w:tcPr>
          <w:p>
            <w:pPr>
              <w:ind w:left="20"/>
              <w:spacing w:after="0"/>
              <w:rPr>
                <w:sz w:val="20"/>
                <w:szCs w:val="20"/>
                <w:color w:val="auto"/>
              </w:rPr>
            </w:pPr>
            <w:r>
              <w:rPr>
                <w:rFonts w:ascii="Arial" w:cs="Arial" w:eastAsia="Arial" w:hAnsi="Arial"/>
                <w:sz w:val="18"/>
                <w:szCs w:val="18"/>
                <w:color w:val="auto"/>
              </w:rPr>
              <w:t>Basic</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(0.78)</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(6.41)</w:t>
            </w:r>
          </w:p>
        </w:tc>
        <w:tc>
          <w:tcPr>
            <w:tcW w:w="8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(28.42)</w:t>
            </w:r>
          </w:p>
        </w:tc>
        <w:tc>
          <w:tcPr>
            <w:tcW w:w="0" w:type="dxa"/>
            <w:vAlign w:val="bottom"/>
          </w:tcPr>
          <w:p>
            <w:pPr>
              <w:spacing w:after="0"/>
              <w:rPr>
                <w:sz w:val="1"/>
                <w:szCs w:val="1"/>
                <w:color w:val="auto"/>
              </w:rPr>
            </w:pPr>
          </w:p>
        </w:tc>
      </w:tr>
      <w:tr>
        <w:trPr>
          <w:trHeight w:val="20"/>
        </w:trPr>
        <w:tc>
          <w:tcPr>
            <w:tcW w:w="72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7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(6.41)</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(28.42)</w:t>
            </w:r>
          </w:p>
        </w:tc>
        <w:tc>
          <w:tcPr>
            <w:tcW w:w="0" w:type="dxa"/>
            <w:vAlign w:val="bottom"/>
          </w:tcPr>
          <w:p>
            <w:pPr>
              <w:spacing w:after="0"/>
              <w:rPr>
                <w:sz w:val="1"/>
                <w:szCs w:val="1"/>
                <w:color w:val="auto"/>
              </w:rPr>
            </w:pPr>
          </w:p>
        </w:tc>
      </w:tr>
      <w:tr>
        <w:trPr>
          <w:trHeight w:val="20"/>
        </w:trPr>
        <w:tc>
          <w:tcPr>
            <w:tcW w:w="7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following outstanding shares of potentially dilutive securities were excluded from the computation of diluted net loss per share attributable to common stockholders because including them would have had an anti-dilutive effect:</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680" w:type="dxa"/>
            <w:vAlign w:val="bottom"/>
            <w:gridSpan w:val="4"/>
          </w:tcPr>
          <w:p>
            <w:pPr>
              <w:spacing w:after="0"/>
              <w:rPr>
                <w:sz w:val="20"/>
                <w:szCs w:val="20"/>
                <w:color w:val="auto"/>
              </w:rPr>
            </w:pPr>
            <w:r>
              <w:rPr>
                <w:rFonts w:ascii="Arial" w:cs="Arial" w:eastAsia="Arial" w:hAnsi="Arial"/>
                <w:sz w:val="14"/>
                <w:szCs w:val="14"/>
                <w:b w:val="1"/>
                <w:bCs w:val="1"/>
                <w:color w:val="auto"/>
                <w:w w:val="96"/>
              </w:rPr>
              <w:t>Year Ended December 31,</w:t>
            </w: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71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Excluded Securities</w:t>
            </w:r>
          </w:p>
        </w:tc>
        <w:tc>
          <w:tcPr>
            <w:tcW w:w="1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7180" w:type="dxa"/>
            <w:vAlign w:val="bottom"/>
            <w:vMerge w:val="continue"/>
          </w:tcPr>
          <w:p>
            <w:pPr>
              <w:spacing w:after="0"/>
              <w:rPr>
                <w:sz w:val="18"/>
                <w:szCs w:val="18"/>
                <w:color w:val="auto"/>
              </w:rPr>
            </w:pPr>
          </w:p>
        </w:tc>
        <w:tc>
          <w:tcPr>
            <w:tcW w:w="1220" w:type="dxa"/>
            <w:vAlign w:val="bottom"/>
          </w:tcPr>
          <w:p>
            <w:pPr>
              <w:jc w:val="right"/>
              <w:ind w:right="372"/>
              <w:spacing w:after="0"/>
              <w:rPr>
                <w:sz w:val="20"/>
                <w:szCs w:val="20"/>
                <w:color w:val="auto"/>
              </w:rPr>
            </w:pPr>
            <w:r>
              <w:rPr>
                <w:rFonts w:ascii="Arial" w:cs="Arial" w:eastAsia="Arial" w:hAnsi="Arial"/>
                <w:sz w:val="14"/>
                <w:szCs w:val="14"/>
                <w:b w:val="1"/>
                <w:bCs w:val="1"/>
                <w:color w:val="auto"/>
              </w:rPr>
              <w:t>2022</w:t>
            </w:r>
          </w:p>
        </w:tc>
        <w:tc>
          <w:tcPr>
            <w:tcW w:w="1480" w:type="dxa"/>
            <w:vAlign w:val="bottom"/>
            <w:gridSpan w:val="2"/>
          </w:tcPr>
          <w:p>
            <w:pPr>
              <w:jc w:val="right"/>
              <w:ind w:right="470"/>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ind w:right="41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3"/>
        </w:trPr>
        <w:tc>
          <w:tcPr>
            <w:tcW w:w="7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Convertible preferred stock (on an as-converted basis)</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957,159,704</w:t>
            </w:r>
          </w:p>
        </w:tc>
        <w:tc>
          <w:tcPr>
            <w:tcW w:w="0" w:type="dxa"/>
            <w:vAlign w:val="bottom"/>
          </w:tcPr>
          <w:p>
            <w:pPr>
              <w:spacing w:after="0"/>
              <w:rPr>
                <w:sz w:val="1"/>
                <w:szCs w:val="1"/>
                <w:color w:val="auto"/>
              </w:rPr>
            </w:pPr>
          </w:p>
        </w:tc>
      </w:tr>
      <w:tr>
        <w:trPr>
          <w:trHeight w:val="229"/>
        </w:trPr>
        <w:tc>
          <w:tcPr>
            <w:tcW w:w="7180" w:type="dxa"/>
            <w:vAlign w:val="bottom"/>
          </w:tcPr>
          <w:p>
            <w:pPr>
              <w:ind w:left="20"/>
              <w:spacing w:after="0"/>
              <w:rPr>
                <w:sz w:val="20"/>
                <w:szCs w:val="20"/>
                <w:color w:val="auto"/>
              </w:rPr>
            </w:pPr>
            <w:r>
              <w:rPr>
                <w:rFonts w:ascii="Arial" w:cs="Arial" w:eastAsia="Arial" w:hAnsi="Arial"/>
                <w:sz w:val="18"/>
                <w:szCs w:val="18"/>
                <w:color w:val="auto"/>
              </w:rPr>
              <w:t>Convertible preferred stock warrants (on an as-converted basis)</w:t>
            </w: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1,546,799</w:t>
            </w:r>
          </w:p>
        </w:tc>
        <w:tc>
          <w:tcPr>
            <w:tcW w:w="0" w:type="dxa"/>
            <w:vAlign w:val="bottom"/>
          </w:tcPr>
          <w:p>
            <w:pPr>
              <w:spacing w:after="0"/>
              <w:rPr>
                <w:sz w:val="1"/>
                <w:szCs w:val="1"/>
                <w:color w:val="auto"/>
              </w:rPr>
            </w:pPr>
          </w:p>
        </w:tc>
      </w:tr>
      <w:tr>
        <w:trPr>
          <w:trHeight w:val="230"/>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Private Placement Warrants to purchase common stock</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44,350,000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180" w:type="dxa"/>
            <w:vAlign w:val="bottom"/>
          </w:tcPr>
          <w:p>
            <w:pPr>
              <w:ind w:left="20"/>
              <w:spacing w:after="0"/>
              <w:rPr>
                <w:sz w:val="20"/>
                <w:szCs w:val="20"/>
                <w:color w:val="auto"/>
              </w:rPr>
            </w:pPr>
            <w:r>
              <w:rPr>
                <w:rFonts w:ascii="Arial" w:cs="Arial" w:eastAsia="Arial" w:hAnsi="Arial"/>
                <w:sz w:val="18"/>
                <w:szCs w:val="18"/>
                <w:color w:val="auto"/>
              </w:rPr>
              <w:t>Options outstanding to purchase common stock</w:t>
            </w:r>
          </w:p>
        </w:tc>
        <w:tc>
          <w:tcPr>
            <w:tcW w:w="1220" w:type="dxa"/>
            <w:vAlign w:val="bottom"/>
          </w:tcPr>
          <w:p>
            <w:pPr>
              <w:jc w:val="right"/>
              <w:spacing w:after="0"/>
              <w:rPr>
                <w:sz w:val="20"/>
                <w:szCs w:val="20"/>
                <w:color w:val="auto"/>
              </w:rPr>
            </w:pPr>
            <w:r>
              <w:rPr>
                <w:rFonts w:ascii="Arial" w:cs="Arial" w:eastAsia="Arial" w:hAnsi="Arial"/>
                <w:sz w:val="18"/>
                <w:szCs w:val="18"/>
                <w:color w:val="auto"/>
              </w:rPr>
              <w:t>39,011,116</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64,119,902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70,675,318</w:t>
            </w:r>
          </w:p>
        </w:tc>
        <w:tc>
          <w:tcPr>
            <w:tcW w:w="0" w:type="dxa"/>
            <w:vAlign w:val="bottom"/>
          </w:tcPr>
          <w:p>
            <w:pPr>
              <w:spacing w:after="0"/>
              <w:rPr>
                <w:sz w:val="1"/>
                <w:szCs w:val="1"/>
                <w:color w:val="auto"/>
              </w:rPr>
            </w:pPr>
          </w:p>
        </w:tc>
      </w:tr>
      <w:tr>
        <w:trPr>
          <w:trHeight w:val="230"/>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RSUs outstanding</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38,570,298</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32,210,200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180" w:type="dxa"/>
            <w:vAlign w:val="bottom"/>
          </w:tcPr>
          <w:p>
            <w:pPr>
              <w:ind w:left="20"/>
              <w:spacing w:after="0"/>
              <w:rPr>
                <w:sz w:val="20"/>
                <w:szCs w:val="20"/>
                <w:color w:val="auto"/>
              </w:rPr>
            </w:pPr>
            <w:r>
              <w:rPr>
                <w:rFonts w:ascii="Arial" w:cs="Arial" w:eastAsia="Arial" w:hAnsi="Arial"/>
                <w:sz w:val="18"/>
                <w:szCs w:val="18"/>
                <w:color w:val="auto"/>
              </w:rPr>
              <w:t>Employee stock purchase plan</w:t>
            </w:r>
          </w:p>
        </w:tc>
        <w:tc>
          <w:tcPr>
            <w:tcW w:w="1220" w:type="dxa"/>
            <w:vAlign w:val="bottom"/>
          </w:tcPr>
          <w:p>
            <w:pPr>
              <w:jc w:val="right"/>
              <w:spacing w:after="0"/>
              <w:rPr>
                <w:sz w:val="20"/>
                <w:szCs w:val="20"/>
                <w:color w:val="auto"/>
              </w:rPr>
            </w:pPr>
            <w:r>
              <w:rPr>
                <w:rFonts w:ascii="Arial" w:cs="Arial" w:eastAsia="Arial" w:hAnsi="Arial"/>
                <w:sz w:val="18"/>
                <w:szCs w:val="18"/>
                <w:color w:val="auto"/>
              </w:rPr>
              <w:t>11,826,419</w:t>
            </w:r>
          </w:p>
        </w:tc>
        <w:tc>
          <w:tcPr>
            <w:tcW w:w="80" w:type="dxa"/>
            <w:vAlign w:val="bottom"/>
          </w:tcPr>
          <w:p>
            <w:pPr>
              <w:spacing w:after="0"/>
              <w:rPr>
                <w:sz w:val="19"/>
                <w:szCs w:val="19"/>
                <w:color w:val="auto"/>
              </w:rPr>
            </w:pPr>
          </w:p>
        </w:tc>
        <w:tc>
          <w:tcPr>
            <w:tcW w:w="160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If-converted common shares from convertible note</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36,737,785</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36,737,785</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180" w:type="dxa"/>
            <w:vAlign w:val="bottom"/>
          </w:tcPr>
          <w:p>
            <w:pPr>
              <w:ind w:left="20"/>
              <w:spacing w:after="0"/>
              <w:rPr>
                <w:sz w:val="20"/>
                <w:szCs w:val="20"/>
                <w:color w:val="auto"/>
              </w:rPr>
            </w:pPr>
            <w:r>
              <w:rPr>
                <w:rFonts w:ascii="Arial" w:cs="Arial" w:eastAsia="Arial" w:hAnsi="Arial"/>
                <w:sz w:val="18"/>
                <w:szCs w:val="18"/>
                <w:color w:val="auto"/>
              </w:rPr>
              <w:t>Total</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126,145,618</w:t>
            </w:r>
          </w:p>
        </w:tc>
        <w:tc>
          <w:tcPr>
            <w:tcW w:w="80" w:type="dxa"/>
            <w:vAlign w:val="bottom"/>
          </w:tcPr>
          <w:p>
            <w:pPr>
              <w:spacing w:after="0"/>
              <w:rPr>
                <w:sz w:val="19"/>
                <w:szCs w:val="19"/>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177,417,887</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1,029,381,821</w:t>
            </w:r>
          </w:p>
        </w:tc>
        <w:tc>
          <w:tcPr>
            <w:tcW w:w="0" w:type="dxa"/>
            <w:vAlign w:val="bottom"/>
          </w:tcPr>
          <w:p>
            <w:pPr>
              <w:spacing w:after="0"/>
              <w:rPr>
                <w:sz w:val="1"/>
                <w:szCs w:val="1"/>
                <w:color w:val="auto"/>
              </w:rPr>
            </w:pPr>
          </w:p>
        </w:tc>
      </w:tr>
      <w:tr>
        <w:trPr>
          <w:trHeight w:val="20"/>
        </w:trPr>
        <w:tc>
          <w:tcPr>
            <w:tcW w:w="71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2,090,140 and 16,024,411 shares of common stock equivalents subject to RSUs are excluded from the anti-dilutive table above as the underlying shares remain contingently issuable since the market conditions have not been satisfied as of December 31, 2022 and 2021, respectively.</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 EMPLOYEE BENEFIT PLAN</w:t>
      </w:r>
    </w:p>
    <w:p>
      <w:pPr>
        <w:spacing w:after="0" w:line="22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Company has a 401(k) savings plan (the “401(k) Plan”) that qualifies as a deferred salary arrangement under Section 401(k) of the Internal Revenue Code. Under the 401(k) Plan, participating employees may elect to contribute up to 100% of their eligible compensation, subject to certain limitations. The 401(k) Plan provides for a discretionary employer-matching contribution. The Company made no matching contribution to the 401(k) Plan for the years ended December 31, 2022, 2021 and 2020.</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 RELATED PARTY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Public Investment Fund Internship Agreement</w:t>
      </w:r>
    </w:p>
    <w:p>
      <w:pPr>
        <w:spacing w:after="0" w:line="225"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In July 2021, we entered into an agreement with PIF, which is an affiliate of Ayar, to implement a recruitment and talent development program pursuant to which we agreed to evaluate, employ and train participants nominated by PIF during six-month internships, and PIF agreed to reimburse us for expenses related to participant wages, visa fees, medical insurance, airfare and housing incurred by us. The program ended during the year ended December 31, 2022. The expenses incurred under the agreement were $1.0 million for the year ended December 31, 2022 and the amount due from PIF was $1.0 million as of December 31, 2022. No expenses were incurred during the year ended December 31, 2021.</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127" w:name="page128"/>
    <w:bookmarkEnd w:id="127"/>
    <w:p>
      <w:pPr>
        <w:spacing w:after="0"/>
        <w:rPr>
          <w:sz w:val="20"/>
          <w:szCs w:val="20"/>
          <w:color w:val="auto"/>
        </w:rPr>
      </w:pPr>
      <w:r>
        <w:rPr>
          <w:rFonts w:ascii="Arial" w:cs="Arial" w:eastAsia="Arial" w:hAnsi="Arial"/>
          <w:sz w:val="18"/>
          <w:szCs w:val="18"/>
          <w:b w:val="1"/>
          <w:bCs w:val="1"/>
          <w:i w:val="1"/>
          <w:iCs w:val="1"/>
          <w:color w:val="auto"/>
        </w:rPr>
        <w:t>Professional Services Contract</w:t>
      </w:r>
    </w:p>
    <w:p>
      <w:pPr>
        <w:spacing w:after="0" w:line="225"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color w:val="auto"/>
        </w:rPr>
        <w:t>In December 2021, we entered into an agreement with The Klein Group, LLC (“Klein”), an affiliate of Churchill Sponsor IV LLC who owns more than 5% of our common stock. Pursuant to the agreement, Klein will provide strategic advice and assistance in connection with capital markets and other strategic matters. The costs incurred under the agreement were $1.3 million and $2.3 million for the years ended December 31, 2022 and 2021, respectively.</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February 2022, we entered into a lease agreement with KAEC, a related party of PIF, which is an affiliate of Ayar, for our first international manufacturing plant in Saudi Arabia. The lease has an initial term of 25 years expiring in Year 2047. As of December 31, 2022, the right-of-use assets and lease liabilities related to this lease were $4.8 million and $5.4 million, respectively. The lease expense recorded for the year ended December 31, 2022 was immaterial.</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SIDF Loan Agreement</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February 2022, Lucid LLC entered into the SIDF Loan Agreement with the SIDF, a related party of PIF, which is an affiliate of Ayar. Under the SIDF Loan Agreement, SIDF has committed to provide the SIDF Loans to Lucid LLC in an aggregate principal amount of up to SAR 5.19 billion (approximately $1.4 billion); provided that SIDF may reduce the availability of SIDF Loans under the facility in certain circumstances. See Note 6 “Debt” for more information.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Ministry of Investment of Saudi Arabia </w:t>
      </w: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MISA”) Agreements</w:t>
      </w:r>
    </w:p>
    <w:p>
      <w:pPr>
        <w:spacing w:after="0" w:line="22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In February 2022, Lucid LLC entered into agreements with MISA, a related party of PIF, which is an affiliate of Ayar, pursuant to which MISA has agreed to provide economic support for certain capital expenditures in connection with Lucid LLC’s on-going design and construction of AMP-2. The support by MISA is subject to Lucid LLC’s completion of certain milestones related to the construction and operation of AMP-2. Following the commencement of construction, if operations at the plant do not commence within 30 months, or if the agreed scope of operations is not attained within 55 months, MISA may suspend availability of subsequent support.</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Pursuant to the agreements, MISA has the right to require Lucid LLC to transfer the ownership of AMP-2 to MISA, at the fair market value thereof, minus an amortized value of the support provided in the event of customary events of default including abandonment or material and chronically low utilization of AMP-2. Alternatively, Lucid LLC is entitled to avoid the transfer of the ownership of AMP-2 by electing to pay such amortized value. The agreements will terminate on the fifteenth anniversary of the commencement of completely-built-up (“CBU”) operations at AMP-2 at the latest.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During the year ended December 31, 2022, the Company received support of SAR 366 million (approximately $97.3 million) in cash, of which</w:t>
      </w:r>
    </w:p>
    <w:p>
      <w:pPr>
        <w:spacing w:after="0" w:line="2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$64.0 million was recorded as deferred liability within Other long-term liabilities and $33.3 million was recorded as a deduction in calculating the carrying amount of the related assets on the consolidated balance sheet. There are no unfulfilled conditions and contingencies attached to the payments received. Payment receipts are classified as investing cash inflows on the consolidated statements of cash flows.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42424"/>
        </w:rPr>
        <w:t>GIB Facility Agreement</w:t>
      </w:r>
    </w:p>
    <w:p>
      <w:pPr>
        <w:spacing w:after="0" w:line="225"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In April 2022, Lucid LLC entered into the GIB Facility Agreement with GIB. GIB is a related party of PIF, which is an affiliate of Ayar. The GIB Facility Agreement provides for two committed revolving credit facilities in an aggregate principal amount of SAR 1 billion (approximately $266.1 million). See Note 6 “Debt” for more information.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Construction Service Contract</w:t>
      </w:r>
    </w:p>
    <w:p>
      <w:pPr>
        <w:spacing w:after="0" w:line="225"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Lucid LLC entered into agreements with Al Bawani Company Limited (“Al Bawani”), an affiliate of PIF, which is an affiliate of Ayar, for certain design and construction services in connection with the development of AMP-2. The capital expenditures incurred under these agreements were SAR 109.5 million (approximately $29.1 million) for the year ended December 31, 2022. Amounts due to Al Bawani under these agreements were SAR 42.1 million (approximately $11.2 million) as of December 31, 2022.</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Subscription Agreement</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On November 8, 2022, the Company entered into the Subscription Agreement with Ayar, pursuant to which Ayar agreed to purchase from the Company, up to $915.0 million shares of its common stock in one or more private placements through March 31, 2023. In December 2022, the Company issued 85,712,679 shares at a weighted average price per share of $10.68, and received aggregate proceeds of $915.0 million. See Note 11 “Stockholders’ Equity” for more information.</w:t>
      </w:r>
    </w:p>
    <w:p>
      <w:pPr>
        <w:sectPr>
          <w:pgSz w:w="11900" w:h="16838" w:orient="portrait"/>
          <w:cols w:equalWidth="0" w:num="1">
            <w:col w:w="11240"/>
          </w:cols>
          <w:pgMar w:left="320" w:top="989" w:right="339"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type w:val="continuous"/>
        </w:sectPr>
      </w:pPr>
    </w:p>
    <w:bookmarkStart w:id="128" w:name="page129"/>
    <w:bookmarkEnd w:id="128"/>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 xml:space="preserve">Our management, with the participation of our principal executive officer and principal financial officer, evaluated the effectiveness of the </w:t>
      </w:r>
      <w:r>
        <w:rPr>
          <w:rFonts w:ascii="Arial" w:cs="Arial" w:eastAsia="Arial" w:hAnsi="Arial"/>
          <w:sz w:val="18"/>
          <w:szCs w:val="18"/>
          <w:color w:val="auto"/>
          <w:highlight w:val="lightGray"/>
        </w:rPr>
        <w:t>design</w:t>
      </w:r>
      <w:r>
        <w:rPr>
          <w:rFonts w:ascii="Arial" w:cs="Arial" w:eastAsia="Arial" w:hAnsi="Arial"/>
          <w:sz w:val="18"/>
          <w:szCs w:val="18"/>
          <w:color w:val="auto"/>
        </w:rPr>
        <w:t xml:space="preserve"> and operation of our disclosure controls and procedures (as defined in Rules 13a-15(e) and 15d-15(e) under the Securities Exchange Act of 1934, as amended (the “Exchange Act”)) as of the end of the period covered by this Annual Report on Form 10-K.</w:t>
      </w:r>
    </w:p>
    <w:p>
      <w:pPr>
        <w:spacing w:after="0" w:line="18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Based on their evaluation, our principal executive officer and principal financial officer concluded that as of December 31, 2022, our disclosure controls and procedures are designed to, and are effective to, provide reasonable assurance that the information we are required to disclose in reports we file or submit under the Exchange Act is (i) recorded, processed, summarized, and reported within the time periods specified in the SEC’s rules and forms, and (ii) accumulated and communicated to our management, including our principal executive officer and principal financial officer, as appropriate, to allow timely decisions regarding required disclosure.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29" w:lineRule="exact"/>
        <w:rPr>
          <w:sz w:val="20"/>
          <w:szCs w:val="20"/>
          <w:color w:val="auto"/>
        </w:rPr>
      </w:pPr>
    </w:p>
    <w:p>
      <w:pPr>
        <w:ind w:right="100"/>
        <w:spacing w:after="0" w:line="311"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(as defined in Rules 13a-15(f) and 15d-15(f) under the Exchange Act) to provide reasonable assurance regarding the reliability of our financial reporting and the preparation of consolidated financial statements for external purposes in accordance with generally accepted accounting principles in the United States (“U.S. GAAP”).</w:t>
      </w:r>
    </w:p>
    <w:p>
      <w:pPr>
        <w:spacing w:after="0" w:line="149"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Our management, under the supervision of our principal executive officer and principal financial officer, conducted an evaluation of the effectiveness of our internal control over financial reporting based on the framework in Internal Control—Integrated Framework (2013), issued by the Committee of Sponsoring Organizations of the Treadway Commission. Based on this evaluation, management concluded that our internal control over financial reporting was effective as of December 31, 2022, to provide reasonable assurance regarding the reliability of our financial reporting and the preparation of consolidated financial statements for external reporting purposes in accordance with U.S. GAAP.</w:t>
      </w:r>
    </w:p>
    <w:p>
      <w:pPr>
        <w:spacing w:after="0" w:line="176" w:lineRule="exact"/>
        <w:rPr>
          <w:sz w:val="20"/>
          <w:szCs w:val="20"/>
          <w:color w:val="auto"/>
        </w:rPr>
      </w:pPr>
    </w:p>
    <w:p>
      <w:pPr>
        <w:ind w:right="620"/>
        <w:spacing w:after="0" w:line="342" w:lineRule="auto"/>
        <w:rPr>
          <w:sz w:val="20"/>
          <w:szCs w:val="20"/>
          <w:color w:val="auto"/>
        </w:rPr>
      </w:pPr>
      <w:r>
        <w:rPr>
          <w:rFonts w:ascii="Arial" w:cs="Arial" w:eastAsia="Arial" w:hAnsi="Arial"/>
          <w:sz w:val="16"/>
          <w:szCs w:val="16"/>
          <w:color w:val="auto"/>
        </w:rPr>
        <w:t xml:space="preserve">The effectiveness of our internal control over financial reporting as of December 31, 2022 has been audited by </w:t>
      </w:r>
      <w:r>
        <w:rPr>
          <w:rFonts w:ascii="Arial" w:cs="Arial" w:eastAsia="Arial" w:hAnsi="Arial"/>
          <w:sz w:val="15"/>
          <w:szCs w:val="15"/>
          <w:color w:val="auto"/>
        </w:rPr>
        <w:t>Grant Thornton LLP</w:t>
      </w:r>
      <w:r>
        <w:rPr>
          <w:rFonts w:ascii="Arial" w:cs="Arial" w:eastAsia="Arial" w:hAnsi="Arial"/>
          <w:sz w:val="16"/>
          <w:szCs w:val="16"/>
          <w:color w:val="auto"/>
        </w:rPr>
        <w:t>, an independent registered public accounting firm, as stated in their report, which is included in Item 8 of Part II of this Annual Report on Form 10-K.</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There were no changes in our internal control over financial reporting (as defined in Rule 13a-15(f) and 15d-15(f) under the Exchange Act) that occurred during the fiscal quarter ended December 31, 2022, that has materially affected, or is reasonably likely to materially affect, our internal control over financial reporting.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Effectiveness of Controls and Procedures</w:t>
      </w:r>
    </w:p>
    <w:p>
      <w:pPr>
        <w:spacing w:after="0" w:line="22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designing and evaluating the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9C. Disclosure Regarding Foreign Jurisdictions that Prevent Inspections.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129" w:name="page130"/>
    <w:bookmarkEnd w:id="129"/>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9"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color w:val="auto"/>
        </w:rPr>
        <w:t>The information required by this Item will be included in the Company’s Proxy Statement to be filed with the SEC within 120 days after December 31, 2022 in connection with the solicitation of proxies for the Company’s 2022 annual meeting of stockholders, and is incorporated herein by reference.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information required by this Item will be included in the Company’s Proxy Statement to be filed with the SEC within 120 days after December 31, 2022, and is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information required by this Item will be included in the Company’s Proxy Statement to be filed with the SEC within 120 days after December 31, 2022, and is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information required by this Item will be included in the Company’s Proxy Statement to be filed with the SEC within 120 days after December 31, 2022, and is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information required by this Item will be included in the Company’s Proxy Statement to be filed with the SEC within 120 days after December 31, 2022, and is incorporated herein by reference.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130" w:name="page131"/>
    <w:bookmarkEnd w:id="130"/>
    <w:p>
      <w:pPr>
        <w:jc w:val="center"/>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270" w:lineRule="exact"/>
        <w:rPr>
          <w:sz w:val="20"/>
          <w:szCs w:val="20"/>
          <w:color w:val="auto"/>
        </w:rPr>
      </w:pPr>
    </w:p>
    <w:p>
      <w:pPr>
        <w:ind w:left="20"/>
        <w:spacing w:after="0"/>
        <w:tabs>
          <w:tab w:leader="none" w:pos="580" w:val="left"/>
        </w:tabs>
        <w:rPr>
          <w:sz w:val="20"/>
          <w:szCs w:val="20"/>
          <w:color w:val="auto"/>
        </w:rPr>
      </w:pPr>
      <w:r>
        <w:rPr>
          <w:rFonts w:ascii="Arial" w:cs="Arial" w:eastAsia="Arial" w:hAnsi="Arial"/>
          <w:sz w:val="18"/>
          <w:szCs w:val="18"/>
          <w:color w:val="auto"/>
        </w:rPr>
        <w:t>(a)(1)</w:t>
      </w:r>
      <w:r>
        <w:rPr>
          <w:sz w:val="20"/>
          <w:szCs w:val="20"/>
          <w:color w:val="auto"/>
        </w:rPr>
        <w:tab/>
      </w:r>
      <w:r>
        <w:rPr>
          <w:rFonts w:ascii="Arial" w:cs="Arial" w:eastAsia="Arial" w:hAnsi="Arial"/>
          <w:sz w:val="16"/>
          <w:szCs w:val="16"/>
          <w:color w:val="auto"/>
        </w:rPr>
        <w:t>The financial statements filed as part of this Annual Report are listed in Item 8 of this Annual Report.</w:t>
      </w:r>
    </w:p>
    <w:p>
      <w:pPr>
        <w:spacing w:after="0" w:line="23" w:lineRule="exact"/>
        <w:rPr>
          <w:sz w:val="20"/>
          <w:szCs w:val="20"/>
          <w:color w:val="auto"/>
        </w:rPr>
      </w:pPr>
    </w:p>
    <w:p>
      <w:pPr>
        <w:ind w:left="600" w:right="560" w:hanging="579"/>
        <w:spacing w:after="0" w:line="247" w:lineRule="auto"/>
        <w:tabs>
          <w:tab w:leader="none" w:pos="580" w:val="left"/>
        </w:tabs>
        <w:rPr>
          <w:sz w:val="20"/>
          <w:szCs w:val="20"/>
          <w:color w:val="auto"/>
        </w:rPr>
      </w:pPr>
      <w:r>
        <w:rPr>
          <w:rFonts w:ascii="Arial" w:cs="Arial" w:eastAsia="Arial" w:hAnsi="Arial"/>
          <w:sz w:val="16"/>
          <w:szCs w:val="16"/>
          <w:color w:val="auto"/>
        </w:rPr>
        <w:t>(a)(2)</w:t>
        <w:tab/>
        <w:t>No financial statement schedules are required to be filed as part of this Annual Report because all such schedules have been omitted. Such omission has been made on the basis that information is provided in the financial statements, or in the related notes thereto, in Item 8 of this</w:t>
      </w:r>
    </w:p>
    <w:p>
      <w:pPr>
        <w:spacing w:after="0" w:line="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Annual Report or is not required to be filed as the information is not applicable.</w:t>
      </w:r>
    </w:p>
    <w:p>
      <w:pPr>
        <w:spacing w:after="0" w:line="7" w:lineRule="exact"/>
        <w:rPr>
          <w:sz w:val="20"/>
          <w:szCs w:val="20"/>
          <w:color w:val="auto"/>
        </w:rPr>
      </w:pPr>
    </w:p>
    <w:p>
      <w:pPr>
        <w:ind w:left="20"/>
        <w:spacing w:after="0"/>
        <w:tabs>
          <w:tab w:leader="none" w:pos="580" w:val="left"/>
        </w:tabs>
        <w:rPr>
          <w:sz w:val="20"/>
          <w:szCs w:val="20"/>
          <w:color w:val="auto"/>
        </w:rPr>
      </w:pPr>
      <w:r>
        <w:rPr>
          <w:rFonts w:ascii="Arial" w:cs="Arial" w:eastAsia="Arial" w:hAnsi="Arial"/>
          <w:sz w:val="18"/>
          <w:szCs w:val="18"/>
          <w:color w:val="auto"/>
        </w:rPr>
        <w:t>(a)(3)</w:t>
      </w:r>
      <w:r>
        <w:rPr>
          <w:sz w:val="20"/>
          <w:szCs w:val="20"/>
          <w:color w:val="auto"/>
        </w:rPr>
        <w:tab/>
      </w:r>
      <w:r>
        <w:rPr>
          <w:rFonts w:ascii="Arial" w:cs="Arial" w:eastAsia="Arial" w:hAnsi="Arial"/>
          <w:sz w:val="16"/>
          <w:szCs w:val="16"/>
          <w:color w:val="auto"/>
        </w:rPr>
        <w:t>The exhibits listed on the Exhibit Index to this Annual Report are incorporated herein by reference.</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INDEX</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0" w:type="dxa"/>
            <w:vAlign w:val="bottom"/>
            <w:gridSpan w:val="3"/>
          </w:tcPr>
          <w:p>
            <w:pPr>
              <w:ind w:left="780"/>
              <w:spacing w:after="0"/>
              <w:rPr>
                <w:sz w:val="20"/>
                <w:szCs w:val="20"/>
                <w:color w:val="auto"/>
              </w:rPr>
            </w:pPr>
            <w:r>
              <w:rPr>
                <w:rFonts w:ascii="Arial" w:cs="Arial" w:eastAsia="Arial" w:hAnsi="Arial"/>
                <w:sz w:val="14"/>
                <w:szCs w:val="14"/>
                <w:b w:val="1"/>
                <w:bCs w:val="1"/>
                <w:color w:val="auto"/>
              </w:rPr>
              <w:t>Incorporation by Reference</w:t>
            </w: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8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Exhibit</w:t>
            </w: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8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Form</w:t>
            </w:r>
          </w:p>
        </w:tc>
        <w:tc>
          <w:tcPr>
            <w:tcW w:w="9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9"/>
              </w:rPr>
              <w:t>File</w:t>
            </w:r>
          </w:p>
        </w:tc>
        <w:tc>
          <w:tcPr>
            <w:tcW w:w="12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6"/>
              </w:rPr>
              <w:t>Filing</w:t>
            </w:r>
          </w:p>
        </w:tc>
        <w:tc>
          <w:tcPr>
            <w:tcW w:w="8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8"/>
              </w:rPr>
              <w:t>Exhibit</w:t>
            </w:r>
          </w:p>
        </w:tc>
        <w:tc>
          <w:tcPr>
            <w:tcW w:w="8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7"/>
              </w:rPr>
              <w:t>Filed</w:t>
            </w:r>
          </w:p>
        </w:tc>
        <w:tc>
          <w:tcPr>
            <w:tcW w:w="0" w:type="dxa"/>
            <w:vAlign w:val="bottom"/>
          </w:tcPr>
          <w:p>
            <w:pPr>
              <w:spacing w:after="0"/>
              <w:rPr>
                <w:sz w:val="1"/>
                <w:szCs w:val="1"/>
                <w:color w:val="auto"/>
              </w:rPr>
            </w:pPr>
          </w:p>
        </w:tc>
      </w:tr>
      <w:tr>
        <w:trPr>
          <w:trHeight w:val="196"/>
        </w:trPr>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Number</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Borders>
              <w:bottom w:val="single" w:sz="8" w:color="auto"/>
            </w:tcBorders>
            <w:vMerge w:val="continue"/>
          </w:tcPr>
          <w:p>
            <w:pPr>
              <w:spacing w:after="0"/>
              <w:rPr>
                <w:sz w:val="17"/>
                <w:szCs w:val="17"/>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Number</w:t>
            </w: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Number</w:t>
            </w: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Herewith</w:t>
            </w:r>
          </w:p>
        </w:tc>
        <w:tc>
          <w:tcPr>
            <w:tcW w:w="0" w:type="dxa"/>
            <w:vAlign w:val="bottom"/>
          </w:tcPr>
          <w:p>
            <w:pPr>
              <w:spacing w:after="0"/>
              <w:rPr>
                <w:sz w:val="1"/>
                <w:szCs w:val="1"/>
                <w:color w:val="auto"/>
              </w:rPr>
            </w:pPr>
          </w:p>
        </w:tc>
      </w:tr>
      <w:tr>
        <w:trPr>
          <w:trHeight w:val="216"/>
        </w:trPr>
        <w:tc>
          <w:tcPr>
            <w:tcW w:w="880" w:type="dxa"/>
            <w:vAlign w:val="bottom"/>
          </w:tcPr>
          <w:p>
            <w:pPr>
              <w:jc w:val="center"/>
              <w:spacing w:after="0"/>
              <w:rPr>
                <w:sz w:val="20"/>
                <w:szCs w:val="20"/>
                <w:color w:val="auto"/>
              </w:rPr>
            </w:pPr>
            <w:r>
              <w:rPr>
                <w:rFonts w:ascii="Arial" w:cs="Arial" w:eastAsia="Arial" w:hAnsi="Arial"/>
                <w:sz w:val="16"/>
                <w:szCs w:val="16"/>
                <w:color w:val="auto"/>
                <w:w w:val="89"/>
              </w:rPr>
              <w:t>2.1</w:t>
            </w:r>
          </w:p>
        </w:tc>
        <w:tc>
          <w:tcPr>
            <w:tcW w:w="100" w:type="dxa"/>
            <w:vAlign w:val="bottom"/>
          </w:tcPr>
          <w:p>
            <w:pPr>
              <w:spacing w:after="0"/>
              <w:rPr>
                <w:sz w:val="18"/>
                <w:szCs w:val="18"/>
                <w:color w:val="auto"/>
              </w:rPr>
            </w:pPr>
          </w:p>
        </w:tc>
        <w:tc>
          <w:tcPr>
            <w:tcW w:w="5840" w:type="dxa"/>
            <w:vAlign w:val="bottom"/>
            <w:gridSpan w:val="31"/>
          </w:tcPr>
          <w:p>
            <w:pPr>
              <w:spacing w:after="0"/>
              <w:rPr>
                <w:rFonts w:ascii="Arial" w:cs="Arial" w:eastAsia="Arial" w:hAnsi="Arial"/>
                <w:sz w:val="16"/>
                <w:szCs w:val="16"/>
                <w:color w:val="0000FF"/>
                <w:w w:val="94"/>
              </w:rPr>
            </w:pPr>
            <w:hyperlink r:id="rId171">
              <w:r>
                <w:rPr>
                  <w:rFonts w:ascii="Arial" w:cs="Arial" w:eastAsia="Arial" w:hAnsi="Arial"/>
                  <w:sz w:val="16"/>
                  <w:szCs w:val="16"/>
                  <w:color w:val="0000FF"/>
                  <w:w w:val="94"/>
                </w:rPr>
                <w:t>Agreement and Plan of Merger, dated as of February 22, 2021, by and among Churchill</w:t>
              </w:r>
            </w:hyperlink>
          </w:p>
        </w:tc>
        <w:tc>
          <w:tcPr>
            <w:tcW w:w="580" w:type="dxa"/>
            <w:vAlign w:val="bottom"/>
          </w:tcPr>
          <w:p>
            <w:pPr>
              <w:jc w:val="center"/>
              <w:spacing w:after="0"/>
              <w:rPr>
                <w:sz w:val="20"/>
                <w:szCs w:val="20"/>
                <w:color w:val="auto"/>
              </w:rPr>
            </w:pPr>
            <w:r>
              <w:rPr>
                <w:rFonts w:ascii="Arial" w:cs="Arial" w:eastAsia="Arial" w:hAnsi="Arial"/>
                <w:sz w:val="16"/>
                <w:szCs w:val="16"/>
                <w:color w:val="auto"/>
              </w:rPr>
              <w:t>8-K</w:t>
            </w:r>
          </w:p>
        </w:tc>
        <w:tc>
          <w:tcPr>
            <w:tcW w:w="960" w:type="dxa"/>
            <w:vAlign w:val="bottom"/>
          </w:tcPr>
          <w:p>
            <w:pPr>
              <w:jc w:val="center"/>
              <w:spacing w:after="0"/>
              <w:rPr>
                <w:sz w:val="20"/>
                <w:szCs w:val="20"/>
                <w:color w:val="auto"/>
              </w:rPr>
            </w:pPr>
            <w:r>
              <w:rPr>
                <w:rFonts w:ascii="Arial" w:cs="Arial" w:eastAsia="Arial" w:hAnsi="Arial"/>
                <w:sz w:val="16"/>
                <w:szCs w:val="16"/>
                <w:color w:val="auto"/>
                <w:w w:val="91"/>
              </w:rPr>
              <w:t>001-39408</w:t>
            </w:r>
          </w:p>
        </w:tc>
        <w:tc>
          <w:tcPr>
            <w:tcW w:w="1240" w:type="dxa"/>
            <w:vAlign w:val="bottom"/>
          </w:tcPr>
          <w:p>
            <w:pPr>
              <w:jc w:val="center"/>
              <w:spacing w:after="0"/>
              <w:rPr>
                <w:sz w:val="20"/>
                <w:szCs w:val="20"/>
                <w:color w:val="auto"/>
              </w:rPr>
            </w:pPr>
            <w:r>
              <w:rPr>
                <w:rFonts w:ascii="Arial" w:cs="Arial" w:eastAsia="Arial" w:hAnsi="Arial"/>
                <w:sz w:val="16"/>
                <w:szCs w:val="16"/>
                <w:color w:val="auto"/>
                <w:w w:val="92"/>
              </w:rPr>
              <w:t>July 26, 2021</w:t>
            </w:r>
          </w:p>
        </w:tc>
        <w:tc>
          <w:tcPr>
            <w:tcW w:w="800" w:type="dxa"/>
            <w:vAlign w:val="bottom"/>
          </w:tcPr>
          <w:p>
            <w:pPr>
              <w:jc w:val="center"/>
              <w:spacing w:after="0"/>
              <w:rPr>
                <w:sz w:val="20"/>
                <w:szCs w:val="20"/>
                <w:color w:val="auto"/>
              </w:rPr>
            </w:pPr>
            <w:r>
              <w:rPr>
                <w:rFonts w:ascii="Arial" w:cs="Arial" w:eastAsia="Arial" w:hAnsi="Arial"/>
                <w:sz w:val="16"/>
                <w:szCs w:val="16"/>
                <w:color w:val="auto"/>
                <w:w w:val="89"/>
              </w:rPr>
              <w:t>2.1</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60" w:type="dxa"/>
            <w:vAlign w:val="bottom"/>
            <w:tcBorders>
              <w:top w:val="single" w:sz="8" w:color="0000FF"/>
            </w:tcBorders>
            <w:gridSpan w:val="24"/>
          </w:tcPr>
          <w:p>
            <w:pPr>
              <w:spacing w:after="0" w:line="142" w:lineRule="exact"/>
              <w:rPr>
                <w:rFonts w:ascii="Arial" w:cs="Arial" w:eastAsia="Arial" w:hAnsi="Arial"/>
                <w:sz w:val="16"/>
                <w:szCs w:val="16"/>
                <w:color w:val="0000FF"/>
              </w:rPr>
            </w:pPr>
            <w:hyperlink r:id="rId171">
              <w:r>
                <w:rPr>
                  <w:rFonts w:ascii="Arial" w:cs="Arial" w:eastAsia="Arial" w:hAnsi="Arial"/>
                  <w:sz w:val="16"/>
                  <w:szCs w:val="16"/>
                  <w:color w:val="0000FF"/>
                </w:rPr>
                <w:t>Capital Corp IV, Air Merger Sub, Inc., and Atieva, Inc.</w:t>
              </w:r>
            </w:hyperlink>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80" w:type="dxa"/>
            <w:vAlign w:val="bottom"/>
          </w:tcPr>
          <w:p>
            <w:pPr>
              <w:jc w:val="center"/>
              <w:spacing w:after="0"/>
              <w:rPr>
                <w:sz w:val="20"/>
                <w:szCs w:val="20"/>
                <w:color w:val="auto"/>
              </w:rPr>
            </w:pPr>
            <w:r>
              <w:rPr>
                <w:rFonts w:ascii="Arial" w:cs="Arial" w:eastAsia="Arial" w:hAnsi="Arial"/>
                <w:sz w:val="16"/>
                <w:szCs w:val="16"/>
                <w:color w:val="auto"/>
                <w:w w:val="89"/>
              </w:rPr>
              <w:t>3.1</w:t>
            </w:r>
          </w:p>
        </w:tc>
        <w:tc>
          <w:tcPr>
            <w:tcW w:w="100" w:type="dxa"/>
            <w:vAlign w:val="bottom"/>
          </w:tcPr>
          <w:p>
            <w:pPr>
              <w:spacing w:after="0"/>
              <w:rPr>
                <w:sz w:val="21"/>
                <w:szCs w:val="21"/>
                <w:color w:val="auto"/>
              </w:rPr>
            </w:pPr>
          </w:p>
        </w:tc>
        <w:tc>
          <w:tcPr>
            <w:tcW w:w="3840" w:type="dxa"/>
            <w:vAlign w:val="bottom"/>
            <w:tcBorders>
              <w:bottom w:val="single" w:sz="8" w:color="0E32E1"/>
            </w:tcBorders>
            <w:gridSpan w:val="12"/>
          </w:tcPr>
          <w:p>
            <w:pPr>
              <w:spacing w:after="0"/>
              <w:rPr>
                <w:rFonts w:ascii="Arial" w:cs="Arial" w:eastAsia="Arial" w:hAnsi="Arial"/>
                <w:sz w:val="16"/>
                <w:szCs w:val="16"/>
                <w:color w:val="0E32E1"/>
                <w:w w:val="91"/>
              </w:rPr>
            </w:pPr>
            <w:hyperlink r:id="rId172">
              <w:r>
                <w:rPr>
                  <w:rFonts w:ascii="Arial" w:cs="Arial" w:eastAsia="Arial" w:hAnsi="Arial"/>
                  <w:sz w:val="16"/>
                  <w:szCs w:val="16"/>
                  <w:color w:val="0E32E1"/>
                  <w:w w:val="91"/>
                </w:rPr>
                <w:t>Second Amended and Restated Certificate of Incorporation</w:t>
              </w:r>
            </w:hyperlink>
          </w:p>
        </w:tc>
        <w:tc>
          <w:tcPr>
            <w:tcW w:w="2000" w:type="dxa"/>
            <w:vAlign w:val="bottom"/>
            <w:gridSpan w:val="19"/>
          </w:tcPr>
          <w:p>
            <w:pPr>
              <w:spacing w:after="0"/>
              <w:rPr>
                <w:sz w:val="21"/>
                <w:szCs w:val="21"/>
                <w:color w:val="auto"/>
              </w:rPr>
            </w:pPr>
          </w:p>
        </w:tc>
        <w:tc>
          <w:tcPr>
            <w:tcW w:w="580" w:type="dxa"/>
            <w:vAlign w:val="bottom"/>
          </w:tcPr>
          <w:p>
            <w:pPr>
              <w:jc w:val="center"/>
              <w:spacing w:after="0"/>
              <w:rPr>
                <w:sz w:val="20"/>
                <w:szCs w:val="20"/>
                <w:color w:val="auto"/>
              </w:rPr>
            </w:pPr>
            <w:r>
              <w:rPr>
                <w:rFonts w:ascii="Arial" w:cs="Arial" w:eastAsia="Arial" w:hAnsi="Arial"/>
                <w:sz w:val="16"/>
                <w:szCs w:val="16"/>
                <w:color w:val="auto"/>
              </w:rPr>
              <w:t>8-K</w:t>
            </w:r>
          </w:p>
        </w:tc>
        <w:tc>
          <w:tcPr>
            <w:tcW w:w="960" w:type="dxa"/>
            <w:vAlign w:val="bottom"/>
          </w:tcPr>
          <w:p>
            <w:pPr>
              <w:jc w:val="center"/>
              <w:spacing w:after="0"/>
              <w:rPr>
                <w:sz w:val="20"/>
                <w:szCs w:val="20"/>
                <w:color w:val="auto"/>
              </w:rPr>
            </w:pPr>
            <w:r>
              <w:rPr>
                <w:rFonts w:ascii="Arial" w:cs="Arial" w:eastAsia="Arial" w:hAnsi="Arial"/>
                <w:sz w:val="16"/>
                <w:szCs w:val="16"/>
                <w:color w:val="auto"/>
                <w:w w:val="91"/>
              </w:rPr>
              <w:t>001-39408</w:t>
            </w:r>
          </w:p>
        </w:tc>
        <w:tc>
          <w:tcPr>
            <w:tcW w:w="1240" w:type="dxa"/>
            <w:vAlign w:val="bottom"/>
          </w:tcPr>
          <w:p>
            <w:pPr>
              <w:jc w:val="center"/>
              <w:spacing w:after="0"/>
              <w:rPr>
                <w:sz w:val="20"/>
                <w:szCs w:val="20"/>
                <w:color w:val="auto"/>
              </w:rPr>
            </w:pPr>
            <w:r>
              <w:rPr>
                <w:rFonts w:ascii="Arial" w:cs="Arial" w:eastAsia="Arial" w:hAnsi="Arial"/>
                <w:sz w:val="16"/>
                <w:szCs w:val="16"/>
                <w:color w:val="auto"/>
                <w:w w:val="92"/>
              </w:rPr>
              <w:t>July 26, 2021</w:t>
            </w:r>
          </w:p>
        </w:tc>
        <w:tc>
          <w:tcPr>
            <w:tcW w:w="800" w:type="dxa"/>
            <w:vAlign w:val="bottom"/>
          </w:tcPr>
          <w:p>
            <w:pPr>
              <w:jc w:val="center"/>
              <w:spacing w:after="0"/>
              <w:rPr>
                <w:sz w:val="20"/>
                <w:szCs w:val="20"/>
                <w:color w:val="auto"/>
              </w:rPr>
            </w:pPr>
            <w:r>
              <w:rPr>
                <w:rFonts w:ascii="Arial" w:cs="Arial" w:eastAsia="Arial" w:hAnsi="Arial"/>
                <w:sz w:val="16"/>
                <w:szCs w:val="16"/>
                <w:color w:val="auto"/>
                <w:w w:val="89"/>
              </w:rPr>
              <w:t>3.1</w:t>
            </w: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80" w:type="dxa"/>
            <w:vAlign w:val="bottom"/>
          </w:tcPr>
          <w:p>
            <w:pPr>
              <w:jc w:val="center"/>
              <w:spacing w:after="0"/>
              <w:rPr>
                <w:sz w:val="20"/>
                <w:szCs w:val="20"/>
                <w:color w:val="auto"/>
              </w:rPr>
            </w:pPr>
            <w:r>
              <w:rPr>
                <w:rFonts w:ascii="Arial" w:cs="Arial" w:eastAsia="Arial" w:hAnsi="Arial"/>
                <w:sz w:val="16"/>
                <w:szCs w:val="16"/>
                <w:color w:val="auto"/>
                <w:w w:val="89"/>
              </w:rPr>
              <w:t>3.2</w:t>
            </w:r>
          </w:p>
        </w:tc>
        <w:tc>
          <w:tcPr>
            <w:tcW w:w="100" w:type="dxa"/>
            <w:vAlign w:val="bottom"/>
          </w:tcPr>
          <w:p>
            <w:pPr>
              <w:spacing w:after="0"/>
              <w:rPr>
                <w:sz w:val="21"/>
                <w:szCs w:val="21"/>
                <w:color w:val="auto"/>
              </w:rPr>
            </w:pPr>
          </w:p>
        </w:tc>
        <w:tc>
          <w:tcPr>
            <w:tcW w:w="5840" w:type="dxa"/>
            <w:vAlign w:val="bottom"/>
            <w:gridSpan w:val="31"/>
          </w:tcPr>
          <w:p>
            <w:pPr>
              <w:spacing w:after="0"/>
              <w:rPr>
                <w:rFonts w:ascii="Arial" w:cs="Arial" w:eastAsia="Arial" w:hAnsi="Arial"/>
                <w:sz w:val="16"/>
                <w:szCs w:val="16"/>
                <w:color w:val="0E32E1"/>
              </w:rPr>
            </w:pPr>
            <w:hyperlink r:id="rId173">
              <w:r>
                <w:rPr>
                  <w:rFonts w:ascii="Arial" w:cs="Arial" w:eastAsia="Arial" w:hAnsi="Arial"/>
                  <w:sz w:val="16"/>
                  <w:szCs w:val="16"/>
                  <w:color w:val="0E32E1"/>
                </w:rPr>
                <w:t>Amended and Restated Bylaws</w:t>
              </w:r>
            </w:hyperlink>
          </w:p>
        </w:tc>
        <w:tc>
          <w:tcPr>
            <w:tcW w:w="580" w:type="dxa"/>
            <w:vAlign w:val="bottom"/>
          </w:tcPr>
          <w:p>
            <w:pPr>
              <w:jc w:val="center"/>
              <w:spacing w:after="0"/>
              <w:rPr>
                <w:sz w:val="20"/>
                <w:szCs w:val="20"/>
                <w:color w:val="auto"/>
              </w:rPr>
            </w:pPr>
            <w:r>
              <w:rPr>
                <w:rFonts w:ascii="Arial" w:cs="Arial" w:eastAsia="Arial" w:hAnsi="Arial"/>
                <w:sz w:val="16"/>
                <w:szCs w:val="16"/>
                <w:color w:val="auto"/>
              </w:rPr>
              <w:t>8-K</w:t>
            </w:r>
          </w:p>
        </w:tc>
        <w:tc>
          <w:tcPr>
            <w:tcW w:w="960" w:type="dxa"/>
            <w:vAlign w:val="bottom"/>
          </w:tcPr>
          <w:p>
            <w:pPr>
              <w:jc w:val="center"/>
              <w:spacing w:after="0"/>
              <w:rPr>
                <w:sz w:val="20"/>
                <w:szCs w:val="20"/>
                <w:color w:val="auto"/>
              </w:rPr>
            </w:pPr>
            <w:r>
              <w:rPr>
                <w:rFonts w:ascii="Arial" w:cs="Arial" w:eastAsia="Arial" w:hAnsi="Arial"/>
                <w:sz w:val="16"/>
                <w:szCs w:val="16"/>
                <w:color w:val="auto"/>
                <w:w w:val="91"/>
              </w:rPr>
              <w:t>001-39408</w:t>
            </w:r>
          </w:p>
        </w:tc>
        <w:tc>
          <w:tcPr>
            <w:tcW w:w="1240" w:type="dxa"/>
            <w:vAlign w:val="bottom"/>
          </w:tcPr>
          <w:p>
            <w:pPr>
              <w:jc w:val="center"/>
              <w:spacing w:after="0"/>
              <w:rPr>
                <w:sz w:val="20"/>
                <w:szCs w:val="20"/>
                <w:color w:val="auto"/>
              </w:rPr>
            </w:pPr>
            <w:r>
              <w:rPr>
                <w:rFonts w:ascii="Arial" w:cs="Arial" w:eastAsia="Arial" w:hAnsi="Arial"/>
                <w:sz w:val="16"/>
                <w:szCs w:val="16"/>
                <w:color w:val="auto"/>
                <w:w w:val="92"/>
              </w:rPr>
              <w:t>July 26, 2021</w:t>
            </w:r>
          </w:p>
        </w:tc>
        <w:tc>
          <w:tcPr>
            <w:tcW w:w="800" w:type="dxa"/>
            <w:vAlign w:val="bottom"/>
          </w:tcPr>
          <w:p>
            <w:pPr>
              <w:jc w:val="center"/>
              <w:spacing w:after="0"/>
              <w:rPr>
                <w:sz w:val="20"/>
                <w:szCs w:val="20"/>
                <w:color w:val="auto"/>
              </w:rPr>
            </w:pPr>
            <w:r>
              <w:rPr>
                <w:rFonts w:ascii="Arial" w:cs="Arial" w:eastAsia="Arial" w:hAnsi="Arial"/>
                <w:sz w:val="16"/>
                <w:szCs w:val="16"/>
                <w:color w:val="auto"/>
                <w:w w:val="89"/>
              </w:rPr>
              <w:t>3.2</w:t>
            </w: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shd w:val="clear" w:color="auto" w:fill="0E32E1"/>
          </w:tcPr>
          <w:p>
            <w:pPr>
              <w:spacing w:after="0" w:line="20" w:lineRule="exact"/>
              <w:rPr>
                <w:sz w:val="1"/>
                <w:szCs w:val="1"/>
                <w:color w:val="auto"/>
              </w:rPr>
            </w:pPr>
          </w:p>
        </w:tc>
        <w:tc>
          <w:tcPr>
            <w:tcW w:w="960" w:type="dxa"/>
            <w:vAlign w:val="bottom"/>
            <w:shd w:val="clear" w:color="auto" w:fill="0E32E1"/>
          </w:tcPr>
          <w:p>
            <w:pPr>
              <w:spacing w:after="0" w:line="20" w:lineRule="exact"/>
              <w:rPr>
                <w:sz w:val="1"/>
                <w:szCs w:val="1"/>
                <w:color w:val="auto"/>
              </w:rPr>
            </w:pPr>
          </w:p>
        </w:tc>
        <w:tc>
          <w:tcPr>
            <w:tcW w:w="160" w:type="dxa"/>
            <w:vAlign w:val="bottom"/>
            <w:shd w:val="clear" w:color="auto" w:fill="0E32E1"/>
          </w:tcPr>
          <w:p>
            <w:pPr>
              <w:spacing w:after="0" w:line="20" w:lineRule="exact"/>
              <w:rPr>
                <w:sz w:val="1"/>
                <w:szCs w:val="1"/>
                <w:color w:val="auto"/>
              </w:rPr>
            </w:pPr>
          </w:p>
        </w:tc>
        <w:tc>
          <w:tcPr>
            <w:tcW w:w="100" w:type="dxa"/>
            <w:vAlign w:val="bottom"/>
            <w:tcBorders>
              <w:right w:val="single" w:sz="8" w:color="0E32E1"/>
            </w:tcBorders>
            <w:shd w:val="clear" w:color="auto" w:fill="0E32E1"/>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80" w:type="dxa"/>
            <w:vAlign w:val="bottom"/>
          </w:tcPr>
          <w:p>
            <w:pPr>
              <w:jc w:val="center"/>
              <w:spacing w:after="0"/>
              <w:rPr>
                <w:sz w:val="20"/>
                <w:szCs w:val="20"/>
                <w:color w:val="auto"/>
              </w:rPr>
            </w:pPr>
            <w:r>
              <w:rPr>
                <w:rFonts w:ascii="Arial" w:cs="Arial" w:eastAsia="Arial" w:hAnsi="Arial"/>
                <w:sz w:val="16"/>
                <w:szCs w:val="16"/>
                <w:color w:val="auto"/>
                <w:w w:val="89"/>
              </w:rPr>
              <w:t>4.1</w:t>
            </w:r>
          </w:p>
        </w:tc>
        <w:tc>
          <w:tcPr>
            <w:tcW w:w="100" w:type="dxa"/>
            <w:vAlign w:val="bottom"/>
          </w:tcPr>
          <w:p>
            <w:pPr>
              <w:spacing w:after="0"/>
              <w:rPr>
                <w:sz w:val="21"/>
                <w:szCs w:val="21"/>
                <w:color w:val="auto"/>
              </w:rPr>
            </w:pPr>
          </w:p>
        </w:tc>
        <w:tc>
          <w:tcPr>
            <w:tcW w:w="4340" w:type="dxa"/>
            <w:vAlign w:val="bottom"/>
            <w:tcBorders>
              <w:bottom w:val="single" w:sz="8" w:color="0000FF"/>
            </w:tcBorders>
            <w:gridSpan w:val="14"/>
          </w:tcPr>
          <w:p>
            <w:pPr>
              <w:spacing w:after="0"/>
              <w:rPr>
                <w:rFonts w:ascii="Arial" w:cs="Arial" w:eastAsia="Arial" w:hAnsi="Arial"/>
                <w:sz w:val="16"/>
                <w:szCs w:val="16"/>
                <w:color w:val="0000FF"/>
                <w:w w:val="92"/>
              </w:rPr>
            </w:pPr>
            <w:hyperlink r:id="rId174">
              <w:r>
                <w:rPr>
                  <w:rFonts w:ascii="Arial" w:cs="Arial" w:eastAsia="Arial" w:hAnsi="Arial"/>
                  <w:sz w:val="16"/>
                  <w:szCs w:val="16"/>
                  <w:color w:val="0000FF"/>
                  <w:w w:val="92"/>
                </w:rPr>
                <w:t>Specimen Class A Common Stock Certificate of Lucid Group, Inc.</w:t>
              </w:r>
            </w:hyperlink>
          </w:p>
        </w:tc>
        <w:tc>
          <w:tcPr>
            <w:tcW w:w="1500" w:type="dxa"/>
            <w:vAlign w:val="bottom"/>
            <w:gridSpan w:val="17"/>
          </w:tcPr>
          <w:p>
            <w:pPr>
              <w:spacing w:after="0"/>
              <w:rPr>
                <w:sz w:val="21"/>
                <w:szCs w:val="21"/>
                <w:color w:val="auto"/>
              </w:rPr>
            </w:pPr>
          </w:p>
        </w:tc>
        <w:tc>
          <w:tcPr>
            <w:tcW w:w="580" w:type="dxa"/>
            <w:vAlign w:val="bottom"/>
          </w:tcPr>
          <w:p>
            <w:pPr>
              <w:jc w:val="center"/>
              <w:spacing w:after="0"/>
              <w:rPr>
                <w:sz w:val="20"/>
                <w:szCs w:val="20"/>
                <w:color w:val="auto"/>
              </w:rPr>
            </w:pPr>
            <w:r>
              <w:rPr>
                <w:rFonts w:ascii="Arial" w:cs="Arial" w:eastAsia="Arial" w:hAnsi="Arial"/>
                <w:sz w:val="16"/>
                <w:szCs w:val="16"/>
                <w:color w:val="auto"/>
              </w:rPr>
              <w:t>8-K</w:t>
            </w:r>
          </w:p>
        </w:tc>
        <w:tc>
          <w:tcPr>
            <w:tcW w:w="960" w:type="dxa"/>
            <w:vAlign w:val="bottom"/>
          </w:tcPr>
          <w:p>
            <w:pPr>
              <w:jc w:val="center"/>
              <w:spacing w:after="0"/>
              <w:rPr>
                <w:sz w:val="20"/>
                <w:szCs w:val="20"/>
                <w:color w:val="auto"/>
              </w:rPr>
            </w:pPr>
            <w:r>
              <w:rPr>
                <w:rFonts w:ascii="Arial" w:cs="Arial" w:eastAsia="Arial" w:hAnsi="Arial"/>
                <w:sz w:val="16"/>
                <w:szCs w:val="16"/>
                <w:color w:val="auto"/>
                <w:w w:val="91"/>
              </w:rPr>
              <w:t>001-39408</w:t>
            </w:r>
          </w:p>
        </w:tc>
        <w:tc>
          <w:tcPr>
            <w:tcW w:w="1240" w:type="dxa"/>
            <w:vAlign w:val="bottom"/>
          </w:tcPr>
          <w:p>
            <w:pPr>
              <w:jc w:val="center"/>
              <w:spacing w:after="0"/>
              <w:rPr>
                <w:sz w:val="20"/>
                <w:szCs w:val="20"/>
                <w:color w:val="auto"/>
              </w:rPr>
            </w:pPr>
            <w:r>
              <w:rPr>
                <w:rFonts w:ascii="Arial" w:cs="Arial" w:eastAsia="Arial" w:hAnsi="Arial"/>
                <w:sz w:val="16"/>
                <w:szCs w:val="16"/>
                <w:color w:val="auto"/>
                <w:w w:val="92"/>
              </w:rPr>
              <w:t>July 26, 2021</w:t>
            </w:r>
          </w:p>
        </w:tc>
        <w:tc>
          <w:tcPr>
            <w:tcW w:w="800" w:type="dxa"/>
            <w:vAlign w:val="bottom"/>
          </w:tcPr>
          <w:p>
            <w:pPr>
              <w:jc w:val="center"/>
              <w:spacing w:after="0"/>
              <w:rPr>
                <w:sz w:val="20"/>
                <w:szCs w:val="20"/>
                <w:color w:val="auto"/>
              </w:rPr>
            </w:pPr>
            <w:r>
              <w:rPr>
                <w:rFonts w:ascii="Arial" w:cs="Arial" w:eastAsia="Arial" w:hAnsi="Arial"/>
                <w:sz w:val="16"/>
                <w:szCs w:val="16"/>
                <w:color w:val="auto"/>
                <w:w w:val="89"/>
              </w:rPr>
              <w:t>4.1</w:t>
            </w: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80" w:type="dxa"/>
            <w:vAlign w:val="bottom"/>
          </w:tcPr>
          <w:p>
            <w:pPr>
              <w:jc w:val="center"/>
              <w:spacing w:after="0"/>
              <w:rPr>
                <w:sz w:val="20"/>
                <w:szCs w:val="20"/>
                <w:color w:val="auto"/>
              </w:rPr>
            </w:pPr>
            <w:r>
              <w:rPr>
                <w:rFonts w:ascii="Arial" w:cs="Arial" w:eastAsia="Arial" w:hAnsi="Arial"/>
                <w:sz w:val="16"/>
                <w:szCs w:val="16"/>
                <w:color w:val="auto"/>
                <w:w w:val="89"/>
              </w:rPr>
              <w:t>4.2</w:t>
            </w:r>
          </w:p>
        </w:tc>
        <w:tc>
          <w:tcPr>
            <w:tcW w:w="100" w:type="dxa"/>
            <w:vAlign w:val="bottom"/>
          </w:tcPr>
          <w:p>
            <w:pPr>
              <w:spacing w:after="0"/>
              <w:rPr>
                <w:sz w:val="21"/>
                <w:szCs w:val="21"/>
                <w:color w:val="auto"/>
              </w:rPr>
            </w:pPr>
          </w:p>
        </w:tc>
        <w:tc>
          <w:tcPr>
            <w:tcW w:w="5840" w:type="dxa"/>
            <w:vAlign w:val="bottom"/>
            <w:gridSpan w:val="31"/>
          </w:tcPr>
          <w:p>
            <w:pPr>
              <w:spacing w:after="0"/>
              <w:rPr>
                <w:rFonts w:ascii="Arial" w:cs="Arial" w:eastAsia="Arial" w:hAnsi="Arial"/>
                <w:sz w:val="16"/>
                <w:szCs w:val="16"/>
                <w:color w:val="0000FF"/>
              </w:rPr>
            </w:pPr>
            <w:hyperlink r:id="rId175">
              <w:r>
                <w:rPr>
                  <w:rFonts w:ascii="Arial" w:cs="Arial" w:eastAsia="Arial" w:hAnsi="Arial"/>
                  <w:sz w:val="16"/>
                  <w:szCs w:val="16"/>
                  <w:color w:val="0000FF"/>
                </w:rPr>
                <w:t xml:space="preserve">Specimen Warrant Certificate </w:t>
              </w:r>
            </w:hyperlink>
            <w:r>
              <w:rPr>
                <w:rFonts w:ascii="Arial" w:cs="Arial" w:eastAsia="Arial" w:hAnsi="Arial"/>
                <w:sz w:val="16"/>
                <w:szCs w:val="16"/>
                <w:color w:val="000000"/>
              </w:rPr>
              <w:t>(included</w:t>
            </w:r>
            <w:r>
              <w:rPr>
                <w:rFonts w:ascii="Arial" w:cs="Arial" w:eastAsia="Arial" w:hAnsi="Arial"/>
                <w:sz w:val="16"/>
                <w:szCs w:val="16"/>
                <w:color w:val="0000FF"/>
              </w:rPr>
              <w:t xml:space="preserve"> </w:t>
            </w:r>
            <w:r>
              <w:rPr>
                <w:rFonts w:ascii="Arial" w:cs="Arial" w:eastAsia="Arial" w:hAnsi="Arial"/>
                <w:sz w:val="16"/>
                <w:szCs w:val="16"/>
                <w:color w:val="000000"/>
              </w:rPr>
              <w:t>as Exhibit A to Exhibit 4.3 herewith)</w:t>
            </w:r>
          </w:p>
        </w:tc>
        <w:tc>
          <w:tcPr>
            <w:tcW w:w="580" w:type="dxa"/>
            <w:vAlign w:val="bottom"/>
          </w:tcPr>
          <w:p>
            <w:pPr>
              <w:jc w:val="center"/>
              <w:spacing w:after="0"/>
              <w:rPr>
                <w:sz w:val="20"/>
                <w:szCs w:val="20"/>
                <w:color w:val="auto"/>
              </w:rPr>
            </w:pPr>
            <w:r>
              <w:rPr>
                <w:rFonts w:ascii="Arial" w:cs="Arial" w:eastAsia="Arial" w:hAnsi="Arial"/>
                <w:sz w:val="16"/>
                <w:szCs w:val="16"/>
                <w:color w:val="auto"/>
              </w:rPr>
              <w:t>8-K</w:t>
            </w:r>
          </w:p>
        </w:tc>
        <w:tc>
          <w:tcPr>
            <w:tcW w:w="960" w:type="dxa"/>
            <w:vAlign w:val="bottom"/>
          </w:tcPr>
          <w:p>
            <w:pPr>
              <w:jc w:val="center"/>
              <w:spacing w:after="0"/>
              <w:rPr>
                <w:sz w:val="20"/>
                <w:szCs w:val="20"/>
                <w:color w:val="auto"/>
              </w:rPr>
            </w:pPr>
            <w:r>
              <w:rPr>
                <w:rFonts w:ascii="Arial" w:cs="Arial" w:eastAsia="Arial" w:hAnsi="Arial"/>
                <w:sz w:val="16"/>
                <w:szCs w:val="16"/>
                <w:color w:val="auto"/>
                <w:w w:val="91"/>
              </w:rPr>
              <w:t>001-39408</w:t>
            </w:r>
          </w:p>
        </w:tc>
        <w:tc>
          <w:tcPr>
            <w:tcW w:w="1240" w:type="dxa"/>
            <w:vAlign w:val="bottom"/>
          </w:tcPr>
          <w:p>
            <w:pPr>
              <w:jc w:val="center"/>
              <w:spacing w:after="0"/>
              <w:rPr>
                <w:sz w:val="20"/>
                <w:szCs w:val="20"/>
                <w:color w:val="auto"/>
              </w:rPr>
            </w:pPr>
            <w:r>
              <w:rPr>
                <w:rFonts w:ascii="Arial" w:cs="Arial" w:eastAsia="Arial" w:hAnsi="Arial"/>
                <w:sz w:val="16"/>
                <w:szCs w:val="16"/>
                <w:color w:val="auto"/>
                <w:w w:val="92"/>
              </w:rPr>
              <w:t>August 4, 2020</w:t>
            </w:r>
          </w:p>
        </w:tc>
        <w:tc>
          <w:tcPr>
            <w:tcW w:w="800" w:type="dxa"/>
            <w:vAlign w:val="bottom"/>
          </w:tcPr>
          <w:p>
            <w:pPr>
              <w:jc w:val="center"/>
              <w:spacing w:after="0"/>
              <w:rPr>
                <w:sz w:val="20"/>
                <w:szCs w:val="20"/>
                <w:color w:val="auto"/>
              </w:rPr>
            </w:pPr>
            <w:r>
              <w:rPr>
                <w:rFonts w:ascii="Arial" w:cs="Arial" w:eastAsia="Arial" w:hAnsi="Arial"/>
                <w:sz w:val="16"/>
                <w:szCs w:val="16"/>
                <w:color w:val="auto"/>
                <w:w w:val="89"/>
              </w:rPr>
              <w:t>4.1</w:t>
            </w: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80" w:type="dxa"/>
            <w:vAlign w:val="bottom"/>
          </w:tcPr>
          <w:p>
            <w:pPr>
              <w:jc w:val="center"/>
              <w:spacing w:after="0"/>
              <w:rPr>
                <w:sz w:val="20"/>
                <w:szCs w:val="20"/>
                <w:color w:val="auto"/>
              </w:rPr>
            </w:pPr>
            <w:r>
              <w:rPr>
                <w:rFonts w:ascii="Arial" w:cs="Arial" w:eastAsia="Arial" w:hAnsi="Arial"/>
                <w:sz w:val="16"/>
                <w:szCs w:val="16"/>
                <w:color w:val="auto"/>
                <w:w w:val="89"/>
              </w:rPr>
              <w:t>4.3</w:t>
            </w:r>
          </w:p>
        </w:tc>
        <w:tc>
          <w:tcPr>
            <w:tcW w:w="100" w:type="dxa"/>
            <w:vAlign w:val="bottom"/>
          </w:tcPr>
          <w:p>
            <w:pPr>
              <w:spacing w:after="0"/>
              <w:rPr>
                <w:sz w:val="21"/>
                <w:szCs w:val="21"/>
                <w:color w:val="auto"/>
              </w:rPr>
            </w:pPr>
          </w:p>
        </w:tc>
        <w:tc>
          <w:tcPr>
            <w:tcW w:w="5840" w:type="dxa"/>
            <w:vAlign w:val="bottom"/>
            <w:gridSpan w:val="31"/>
          </w:tcPr>
          <w:p>
            <w:pPr>
              <w:spacing w:after="0"/>
              <w:rPr>
                <w:rFonts w:ascii="Arial" w:cs="Arial" w:eastAsia="Arial" w:hAnsi="Arial"/>
                <w:sz w:val="16"/>
                <w:szCs w:val="16"/>
                <w:color w:val="0000FF"/>
                <w:w w:val="95"/>
              </w:rPr>
            </w:pPr>
            <w:hyperlink r:id="rId175">
              <w:r>
                <w:rPr>
                  <w:rFonts w:ascii="Arial" w:cs="Arial" w:eastAsia="Arial" w:hAnsi="Arial"/>
                  <w:sz w:val="16"/>
                  <w:szCs w:val="16"/>
                  <w:color w:val="0000FF"/>
                  <w:w w:val="95"/>
                </w:rPr>
                <w:t>Warrant Agreement, dated July 29, 2020, between Continental Stock Transfer &amp; Trust</w:t>
              </w:r>
            </w:hyperlink>
          </w:p>
        </w:tc>
        <w:tc>
          <w:tcPr>
            <w:tcW w:w="580" w:type="dxa"/>
            <w:vAlign w:val="bottom"/>
          </w:tcPr>
          <w:p>
            <w:pPr>
              <w:jc w:val="center"/>
              <w:spacing w:after="0"/>
              <w:rPr>
                <w:sz w:val="20"/>
                <w:szCs w:val="20"/>
                <w:color w:val="auto"/>
              </w:rPr>
            </w:pPr>
            <w:r>
              <w:rPr>
                <w:rFonts w:ascii="Arial" w:cs="Arial" w:eastAsia="Arial" w:hAnsi="Arial"/>
                <w:sz w:val="16"/>
                <w:szCs w:val="16"/>
                <w:color w:val="auto"/>
              </w:rPr>
              <w:t>8-K</w:t>
            </w:r>
          </w:p>
        </w:tc>
        <w:tc>
          <w:tcPr>
            <w:tcW w:w="960" w:type="dxa"/>
            <w:vAlign w:val="bottom"/>
          </w:tcPr>
          <w:p>
            <w:pPr>
              <w:jc w:val="center"/>
              <w:spacing w:after="0"/>
              <w:rPr>
                <w:sz w:val="20"/>
                <w:szCs w:val="20"/>
                <w:color w:val="auto"/>
              </w:rPr>
            </w:pPr>
            <w:r>
              <w:rPr>
                <w:rFonts w:ascii="Arial" w:cs="Arial" w:eastAsia="Arial" w:hAnsi="Arial"/>
                <w:sz w:val="16"/>
                <w:szCs w:val="16"/>
                <w:color w:val="auto"/>
                <w:w w:val="91"/>
              </w:rPr>
              <w:t>001-39408</w:t>
            </w:r>
          </w:p>
        </w:tc>
        <w:tc>
          <w:tcPr>
            <w:tcW w:w="1240" w:type="dxa"/>
            <w:vAlign w:val="bottom"/>
          </w:tcPr>
          <w:p>
            <w:pPr>
              <w:jc w:val="center"/>
              <w:spacing w:after="0"/>
              <w:rPr>
                <w:sz w:val="20"/>
                <w:szCs w:val="20"/>
                <w:color w:val="auto"/>
              </w:rPr>
            </w:pPr>
            <w:r>
              <w:rPr>
                <w:rFonts w:ascii="Arial" w:cs="Arial" w:eastAsia="Arial" w:hAnsi="Arial"/>
                <w:sz w:val="16"/>
                <w:szCs w:val="16"/>
                <w:color w:val="auto"/>
                <w:w w:val="92"/>
              </w:rPr>
              <w:t>August 4, 2020</w:t>
            </w:r>
          </w:p>
        </w:tc>
        <w:tc>
          <w:tcPr>
            <w:tcW w:w="800" w:type="dxa"/>
            <w:vAlign w:val="bottom"/>
          </w:tcPr>
          <w:p>
            <w:pPr>
              <w:jc w:val="center"/>
              <w:spacing w:after="0"/>
              <w:rPr>
                <w:sz w:val="20"/>
                <w:szCs w:val="20"/>
                <w:color w:val="auto"/>
              </w:rPr>
            </w:pPr>
            <w:r>
              <w:rPr>
                <w:rFonts w:ascii="Arial" w:cs="Arial" w:eastAsia="Arial" w:hAnsi="Arial"/>
                <w:sz w:val="16"/>
                <w:szCs w:val="16"/>
                <w:color w:val="auto"/>
                <w:w w:val="89"/>
              </w:rPr>
              <w:t>4.1</w:t>
            </w: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6"/>
        </w:trPr>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40" w:type="dxa"/>
            <w:vAlign w:val="bottom"/>
            <w:tcBorders>
              <w:top w:val="single" w:sz="8" w:color="0000FF"/>
              <w:bottom w:val="single" w:sz="8" w:color="0000FF"/>
            </w:tcBorders>
            <w:gridSpan w:val="9"/>
          </w:tcPr>
          <w:p>
            <w:pPr>
              <w:spacing w:after="0" w:line="155" w:lineRule="exact"/>
              <w:rPr>
                <w:rFonts w:ascii="Arial" w:cs="Arial" w:eastAsia="Arial" w:hAnsi="Arial"/>
                <w:sz w:val="16"/>
                <w:szCs w:val="16"/>
                <w:color w:val="0000FF"/>
                <w:w w:val="93"/>
              </w:rPr>
            </w:pPr>
            <w:hyperlink r:id="rId175">
              <w:r>
                <w:rPr>
                  <w:rFonts w:ascii="Arial" w:cs="Arial" w:eastAsia="Arial" w:hAnsi="Arial"/>
                  <w:sz w:val="16"/>
                  <w:szCs w:val="16"/>
                  <w:color w:val="0000FF"/>
                  <w:w w:val="93"/>
                </w:rPr>
                <w:t>Company and Churchill Capital Corp IV</w:t>
              </w:r>
            </w:hyperlink>
          </w:p>
        </w:tc>
        <w:tc>
          <w:tcPr>
            <w:tcW w:w="2940" w:type="dxa"/>
            <w:vAlign w:val="bottom"/>
            <w:tcBorders>
              <w:top w:val="single" w:sz="8" w:color="0000FF"/>
            </w:tcBorders>
            <w:gridSpan w:val="13"/>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880" w:type="dxa"/>
            <w:vAlign w:val="bottom"/>
          </w:tcPr>
          <w:p>
            <w:pPr>
              <w:jc w:val="center"/>
              <w:spacing w:after="0"/>
              <w:rPr>
                <w:sz w:val="20"/>
                <w:szCs w:val="20"/>
                <w:color w:val="auto"/>
              </w:rPr>
            </w:pPr>
            <w:r>
              <w:rPr>
                <w:rFonts w:ascii="Arial" w:cs="Arial" w:eastAsia="Arial" w:hAnsi="Arial"/>
                <w:sz w:val="16"/>
                <w:szCs w:val="16"/>
                <w:color w:val="auto"/>
                <w:w w:val="89"/>
              </w:rPr>
              <w:t>4.4</w:t>
            </w:r>
          </w:p>
        </w:tc>
        <w:tc>
          <w:tcPr>
            <w:tcW w:w="100" w:type="dxa"/>
            <w:vAlign w:val="bottom"/>
          </w:tcPr>
          <w:p>
            <w:pPr>
              <w:spacing w:after="0"/>
              <w:rPr>
                <w:sz w:val="24"/>
                <w:szCs w:val="24"/>
                <w:color w:val="auto"/>
              </w:rPr>
            </w:pPr>
          </w:p>
        </w:tc>
        <w:tc>
          <w:tcPr>
            <w:tcW w:w="5840" w:type="dxa"/>
            <w:vAlign w:val="bottom"/>
            <w:gridSpan w:val="31"/>
          </w:tcPr>
          <w:p>
            <w:pPr>
              <w:spacing w:after="0"/>
              <w:rPr>
                <w:rFonts w:ascii="Arial" w:cs="Arial" w:eastAsia="Arial" w:hAnsi="Arial"/>
                <w:sz w:val="16"/>
                <w:szCs w:val="16"/>
                <w:color w:val="0000FF"/>
                <w:w w:val="96"/>
              </w:rPr>
            </w:pPr>
            <w:hyperlink r:id="rId176">
              <w:r>
                <w:rPr>
                  <w:rFonts w:ascii="Arial" w:cs="Arial" w:eastAsia="Arial" w:hAnsi="Arial"/>
                  <w:sz w:val="16"/>
                  <w:szCs w:val="16"/>
                  <w:color w:val="0000FF"/>
                  <w:w w:val="96"/>
                </w:rPr>
                <w:t>Indenture, dated as of December 14, 2021, between Lucid Group, Inc. and U.S. Bank</w:t>
              </w:r>
            </w:hyperlink>
          </w:p>
        </w:tc>
        <w:tc>
          <w:tcPr>
            <w:tcW w:w="580" w:type="dxa"/>
            <w:vAlign w:val="bottom"/>
          </w:tcPr>
          <w:p>
            <w:pPr>
              <w:jc w:val="center"/>
              <w:spacing w:after="0"/>
              <w:rPr>
                <w:sz w:val="20"/>
                <w:szCs w:val="20"/>
                <w:color w:val="auto"/>
              </w:rPr>
            </w:pPr>
            <w:r>
              <w:rPr>
                <w:rFonts w:ascii="Arial" w:cs="Arial" w:eastAsia="Arial" w:hAnsi="Arial"/>
                <w:sz w:val="16"/>
                <w:szCs w:val="16"/>
                <w:color w:val="auto"/>
              </w:rPr>
              <w:t>8-K</w:t>
            </w:r>
          </w:p>
        </w:tc>
        <w:tc>
          <w:tcPr>
            <w:tcW w:w="960" w:type="dxa"/>
            <w:vAlign w:val="bottom"/>
          </w:tcPr>
          <w:p>
            <w:pPr>
              <w:jc w:val="center"/>
              <w:spacing w:after="0"/>
              <w:rPr>
                <w:sz w:val="20"/>
                <w:szCs w:val="20"/>
                <w:color w:val="auto"/>
              </w:rPr>
            </w:pPr>
            <w:r>
              <w:rPr>
                <w:rFonts w:ascii="Arial" w:cs="Arial" w:eastAsia="Arial" w:hAnsi="Arial"/>
                <w:sz w:val="16"/>
                <w:szCs w:val="16"/>
                <w:color w:val="auto"/>
                <w:w w:val="91"/>
              </w:rPr>
              <w:t>001-39408</w:t>
            </w:r>
          </w:p>
        </w:tc>
        <w:tc>
          <w:tcPr>
            <w:tcW w:w="1240" w:type="dxa"/>
            <w:vAlign w:val="bottom"/>
          </w:tcPr>
          <w:p>
            <w:pPr>
              <w:jc w:val="center"/>
              <w:spacing w:after="0"/>
              <w:rPr>
                <w:sz w:val="20"/>
                <w:szCs w:val="20"/>
                <w:color w:val="auto"/>
              </w:rPr>
            </w:pPr>
            <w:r>
              <w:rPr>
                <w:rFonts w:ascii="Arial" w:cs="Arial" w:eastAsia="Arial" w:hAnsi="Arial"/>
                <w:sz w:val="16"/>
                <w:szCs w:val="16"/>
                <w:color w:val="auto"/>
                <w:w w:val="89"/>
              </w:rPr>
              <w:t>December 14,</w:t>
            </w:r>
          </w:p>
        </w:tc>
        <w:tc>
          <w:tcPr>
            <w:tcW w:w="800" w:type="dxa"/>
            <w:vAlign w:val="bottom"/>
          </w:tcPr>
          <w:p>
            <w:pPr>
              <w:jc w:val="center"/>
              <w:spacing w:after="0"/>
              <w:rPr>
                <w:sz w:val="20"/>
                <w:szCs w:val="20"/>
                <w:color w:val="auto"/>
              </w:rPr>
            </w:pPr>
            <w:r>
              <w:rPr>
                <w:rFonts w:ascii="Arial" w:cs="Arial" w:eastAsia="Arial" w:hAnsi="Arial"/>
                <w:sz w:val="16"/>
                <w:szCs w:val="16"/>
                <w:color w:val="auto"/>
                <w:w w:val="89"/>
              </w:rPr>
              <w:t>4.1</w:t>
            </w: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520" w:type="dxa"/>
            <w:vAlign w:val="bottom"/>
            <w:tcBorders>
              <w:top w:val="single" w:sz="8" w:color="0000FF"/>
            </w:tcBorders>
            <w:gridSpan w:val="20"/>
          </w:tcPr>
          <w:p>
            <w:pPr>
              <w:spacing w:after="0" w:line="155" w:lineRule="exact"/>
              <w:rPr>
                <w:rFonts w:ascii="Arial" w:cs="Arial" w:eastAsia="Arial" w:hAnsi="Arial"/>
                <w:sz w:val="16"/>
                <w:szCs w:val="16"/>
                <w:color w:val="0000FF"/>
              </w:rPr>
            </w:pPr>
            <w:hyperlink r:id="rId176">
              <w:r>
                <w:rPr>
                  <w:rFonts w:ascii="Arial" w:cs="Arial" w:eastAsia="Arial" w:hAnsi="Arial"/>
                  <w:sz w:val="16"/>
                  <w:szCs w:val="16"/>
                  <w:color w:val="0000FF"/>
                </w:rPr>
                <w:t>National Association, as trustee</w:t>
              </w:r>
            </w:hyperlink>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40" w:type="dxa"/>
            <w:vAlign w:val="bottom"/>
          </w:tcPr>
          <w:p>
            <w:pPr>
              <w:jc w:val="center"/>
              <w:spacing w:after="0" w:line="155" w:lineRule="exact"/>
              <w:rPr>
                <w:sz w:val="20"/>
                <w:szCs w:val="20"/>
                <w:color w:val="auto"/>
              </w:rPr>
            </w:pPr>
            <w:r>
              <w:rPr>
                <w:rFonts w:ascii="Arial" w:cs="Arial" w:eastAsia="Arial" w:hAnsi="Arial"/>
                <w:sz w:val="16"/>
                <w:szCs w:val="16"/>
                <w:color w:val="auto"/>
                <w:w w:val="89"/>
              </w:rPr>
              <w:t>2021</w:t>
            </w:r>
          </w:p>
        </w:tc>
        <w:tc>
          <w:tcPr>
            <w:tcW w:w="8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880" w:type="dxa"/>
            <w:vAlign w:val="bottom"/>
          </w:tcPr>
          <w:p>
            <w:pPr>
              <w:jc w:val="center"/>
              <w:spacing w:after="0"/>
              <w:rPr>
                <w:sz w:val="20"/>
                <w:szCs w:val="20"/>
                <w:color w:val="auto"/>
              </w:rPr>
            </w:pPr>
            <w:r>
              <w:rPr>
                <w:rFonts w:ascii="Arial" w:cs="Arial" w:eastAsia="Arial" w:hAnsi="Arial"/>
                <w:sz w:val="16"/>
                <w:szCs w:val="16"/>
                <w:color w:val="auto"/>
                <w:w w:val="89"/>
              </w:rPr>
              <w:t>4.5</w:t>
            </w:r>
          </w:p>
        </w:tc>
        <w:tc>
          <w:tcPr>
            <w:tcW w:w="100" w:type="dxa"/>
            <w:vAlign w:val="bottom"/>
          </w:tcPr>
          <w:p>
            <w:pPr>
              <w:spacing w:after="0"/>
              <w:rPr>
                <w:sz w:val="24"/>
                <w:szCs w:val="24"/>
                <w:color w:val="auto"/>
              </w:rPr>
            </w:pPr>
          </w:p>
        </w:tc>
        <w:tc>
          <w:tcPr>
            <w:tcW w:w="5840" w:type="dxa"/>
            <w:vAlign w:val="bottom"/>
            <w:gridSpan w:val="31"/>
          </w:tcPr>
          <w:p>
            <w:pPr>
              <w:spacing w:after="0"/>
              <w:rPr>
                <w:rFonts w:ascii="Arial" w:cs="Arial" w:eastAsia="Arial" w:hAnsi="Arial"/>
                <w:sz w:val="16"/>
                <w:szCs w:val="16"/>
                <w:color w:val="0000FF"/>
              </w:rPr>
            </w:pPr>
            <w:hyperlink r:id="rId176">
              <w:r>
                <w:rPr>
                  <w:rFonts w:ascii="Arial" w:cs="Arial" w:eastAsia="Arial" w:hAnsi="Arial"/>
                  <w:sz w:val="16"/>
                  <w:szCs w:val="16"/>
                  <w:color w:val="0000FF"/>
                </w:rPr>
                <w:t>Form of certificate representing the 1.25% Convertible Senior Notes due 2026</w:t>
              </w:r>
            </w:hyperlink>
          </w:p>
        </w:tc>
        <w:tc>
          <w:tcPr>
            <w:tcW w:w="580" w:type="dxa"/>
            <w:vAlign w:val="bottom"/>
          </w:tcPr>
          <w:p>
            <w:pPr>
              <w:jc w:val="center"/>
              <w:spacing w:after="0"/>
              <w:rPr>
                <w:sz w:val="20"/>
                <w:szCs w:val="20"/>
                <w:color w:val="auto"/>
              </w:rPr>
            </w:pPr>
            <w:r>
              <w:rPr>
                <w:rFonts w:ascii="Arial" w:cs="Arial" w:eastAsia="Arial" w:hAnsi="Arial"/>
                <w:sz w:val="16"/>
                <w:szCs w:val="16"/>
                <w:color w:val="auto"/>
              </w:rPr>
              <w:t>8-K</w:t>
            </w:r>
          </w:p>
        </w:tc>
        <w:tc>
          <w:tcPr>
            <w:tcW w:w="960" w:type="dxa"/>
            <w:vAlign w:val="bottom"/>
          </w:tcPr>
          <w:p>
            <w:pPr>
              <w:jc w:val="center"/>
              <w:spacing w:after="0"/>
              <w:rPr>
                <w:sz w:val="20"/>
                <w:szCs w:val="20"/>
                <w:color w:val="auto"/>
              </w:rPr>
            </w:pPr>
            <w:r>
              <w:rPr>
                <w:rFonts w:ascii="Arial" w:cs="Arial" w:eastAsia="Arial" w:hAnsi="Arial"/>
                <w:sz w:val="16"/>
                <w:szCs w:val="16"/>
                <w:color w:val="auto"/>
                <w:w w:val="91"/>
              </w:rPr>
              <w:t>001-39408</w:t>
            </w:r>
          </w:p>
        </w:tc>
        <w:tc>
          <w:tcPr>
            <w:tcW w:w="1240" w:type="dxa"/>
            <w:vAlign w:val="bottom"/>
          </w:tcPr>
          <w:p>
            <w:pPr>
              <w:jc w:val="center"/>
              <w:spacing w:after="0"/>
              <w:rPr>
                <w:sz w:val="20"/>
                <w:szCs w:val="20"/>
                <w:color w:val="auto"/>
              </w:rPr>
            </w:pPr>
            <w:r>
              <w:rPr>
                <w:rFonts w:ascii="Arial" w:cs="Arial" w:eastAsia="Arial" w:hAnsi="Arial"/>
                <w:sz w:val="16"/>
                <w:szCs w:val="16"/>
                <w:color w:val="auto"/>
                <w:w w:val="89"/>
              </w:rPr>
              <w:t>December 14,</w:t>
            </w:r>
          </w:p>
        </w:tc>
        <w:tc>
          <w:tcPr>
            <w:tcW w:w="800" w:type="dxa"/>
            <w:vAlign w:val="bottom"/>
          </w:tcPr>
          <w:p>
            <w:pPr>
              <w:jc w:val="center"/>
              <w:spacing w:after="0"/>
              <w:rPr>
                <w:sz w:val="20"/>
                <w:szCs w:val="20"/>
                <w:color w:val="auto"/>
              </w:rPr>
            </w:pPr>
            <w:r>
              <w:rPr>
                <w:rFonts w:ascii="Arial" w:cs="Arial" w:eastAsia="Arial" w:hAnsi="Arial"/>
                <w:sz w:val="16"/>
                <w:szCs w:val="16"/>
                <w:color w:val="auto"/>
                <w:w w:val="89"/>
              </w:rPr>
              <w:t>4.1</w:t>
            </w: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60" w:type="dxa"/>
            <w:vAlign w:val="bottom"/>
            <w:tcBorders>
              <w:top w:val="single" w:sz="8" w:color="0000FF"/>
            </w:tcBorders>
            <w:gridSpan w:val="15"/>
          </w:tcPr>
          <w:p>
            <w:pPr>
              <w:spacing w:after="0"/>
              <w:rPr>
                <w:sz w:val="20"/>
                <w:szCs w:val="20"/>
                <w:color w:val="auto"/>
              </w:rPr>
            </w:pPr>
            <w:r>
              <w:rPr>
                <w:rFonts w:ascii="Arial" w:cs="Arial" w:eastAsia="Arial" w:hAnsi="Arial"/>
                <w:sz w:val="16"/>
                <w:szCs w:val="16"/>
                <w:color w:val="auto"/>
              </w:rPr>
              <w:t>(included as Exhibit A to Exhibit 4.4 herewith)</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gridSpan w:val="2"/>
          </w:tcPr>
          <w:p>
            <w:pPr>
              <w:spacing w:after="0"/>
              <w:rPr>
                <w:sz w:val="17"/>
                <w:szCs w:val="17"/>
                <w:color w:val="auto"/>
              </w:rPr>
            </w:pPr>
          </w:p>
        </w:tc>
        <w:tc>
          <w:tcPr>
            <w:tcW w:w="40" w:type="dxa"/>
            <w:vAlign w:val="bottom"/>
            <w:gridSpan w:val="2"/>
          </w:tcPr>
          <w:p>
            <w:pPr>
              <w:spacing w:after="0"/>
              <w:rPr>
                <w:sz w:val="17"/>
                <w:szCs w:val="17"/>
                <w:color w:val="auto"/>
              </w:rPr>
            </w:pPr>
          </w:p>
        </w:tc>
        <w:tc>
          <w:tcPr>
            <w:tcW w:w="10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auto"/>
                <w:w w:val="89"/>
              </w:rPr>
              <w:t>2021</w:t>
            </w:r>
          </w:p>
        </w:tc>
        <w:tc>
          <w:tcPr>
            <w:tcW w:w="8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880" w:type="dxa"/>
            <w:vAlign w:val="bottom"/>
          </w:tcPr>
          <w:p>
            <w:pPr>
              <w:jc w:val="center"/>
              <w:spacing w:after="0"/>
              <w:rPr>
                <w:sz w:val="20"/>
                <w:szCs w:val="20"/>
                <w:color w:val="auto"/>
              </w:rPr>
            </w:pPr>
            <w:r>
              <w:rPr>
                <w:rFonts w:ascii="Arial" w:cs="Arial" w:eastAsia="Arial" w:hAnsi="Arial"/>
                <w:sz w:val="16"/>
                <w:szCs w:val="16"/>
                <w:color w:val="auto"/>
                <w:w w:val="89"/>
              </w:rPr>
              <w:t>4.6</w:t>
            </w:r>
          </w:p>
        </w:tc>
        <w:tc>
          <w:tcPr>
            <w:tcW w:w="100" w:type="dxa"/>
            <w:vAlign w:val="bottom"/>
          </w:tcPr>
          <w:p>
            <w:pPr>
              <w:spacing w:after="0"/>
              <w:rPr>
                <w:sz w:val="18"/>
                <w:szCs w:val="18"/>
                <w:color w:val="auto"/>
              </w:rPr>
            </w:pPr>
          </w:p>
        </w:tc>
        <w:tc>
          <w:tcPr>
            <w:tcW w:w="5840" w:type="dxa"/>
            <w:vAlign w:val="bottom"/>
            <w:gridSpan w:val="31"/>
          </w:tcPr>
          <w:p>
            <w:pPr>
              <w:spacing w:after="0"/>
              <w:rPr>
                <w:rFonts w:ascii="Arial" w:cs="Arial" w:eastAsia="Arial" w:hAnsi="Arial"/>
                <w:sz w:val="16"/>
                <w:szCs w:val="16"/>
                <w:color w:val="0000FF"/>
              </w:rPr>
            </w:pPr>
            <w:hyperlink r:id="rId177">
              <w:r>
                <w:rPr>
                  <w:rFonts w:ascii="Arial" w:cs="Arial" w:eastAsia="Arial" w:hAnsi="Arial"/>
                  <w:sz w:val="16"/>
                  <w:szCs w:val="16"/>
                  <w:color w:val="0000FF"/>
                </w:rPr>
                <w:t>Description of Registrant’s Securities</w:t>
              </w:r>
            </w:hyperlink>
          </w:p>
        </w:tc>
        <w:tc>
          <w:tcPr>
            <w:tcW w:w="580" w:type="dxa"/>
            <w:vAlign w:val="bottom"/>
          </w:tcPr>
          <w:p>
            <w:pPr>
              <w:jc w:val="center"/>
              <w:spacing w:after="0"/>
              <w:rPr>
                <w:sz w:val="20"/>
                <w:szCs w:val="20"/>
                <w:color w:val="auto"/>
              </w:rPr>
            </w:pPr>
            <w:r>
              <w:rPr>
                <w:rFonts w:ascii="Arial" w:cs="Arial" w:eastAsia="Arial" w:hAnsi="Arial"/>
                <w:sz w:val="16"/>
                <w:szCs w:val="16"/>
                <w:color w:val="auto"/>
              </w:rPr>
              <w:t>10-K</w:t>
            </w:r>
          </w:p>
        </w:tc>
        <w:tc>
          <w:tcPr>
            <w:tcW w:w="960" w:type="dxa"/>
            <w:vAlign w:val="bottom"/>
          </w:tcPr>
          <w:p>
            <w:pPr>
              <w:jc w:val="center"/>
              <w:spacing w:after="0"/>
              <w:rPr>
                <w:sz w:val="20"/>
                <w:szCs w:val="20"/>
                <w:color w:val="auto"/>
              </w:rPr>
            </w:pPr>
            <w:r>
              <w:rPr>
                <w:rFonts w:ascii="Arial" w:cs="Arial" w:eastAsia="Arial" w:hAnsi="Arial"/>
                <w:sz w:val="16"/>
                <w:szCs w:val="16"/>
                <w:color w:val="auto"/>
                <w:w w:val="91"/>
              </w:rPr>
              <w:t>001-39408</w:t>
            </w:r>
          </w:p>
        </w:tc>
        <w:tc>
          <w:tcPr>
            <w:tcW w:w="1240" w:type="dxa"/>
            <w:vAlign w:val="bottom"/>
          </w:tcPr>
          <w:p>
            <w:pPr>
              <w:jc w:val="center"/>
              <w:spacing w:after="0"/>
              <w:rPr>
                <w:sz w:val="20"/>
                <w:szCs w:val="20"/>
                <w:color w:val="auto"/>
              </w:rPr>
            </w:pPr>
            <w:r>
              <w:rPr>
                <w:rFonts w:ascii="Arial" w:cs="Arial" w:eastAsia="Arial" w:hAnsi="Arial"/>
                <w:sz w:val="16"/>
                <w:szCs w:val="16"/>
                <w:color w:val="auto"/>
                <w:w w:val="90"/>
              </w:rPr>
              <w:t>February 28,</w:t>
            </w:r>
          </w:p>
        </w:tc>
        <w:tc>
          <w:tcPr>
            <w:tcW w:w="800" w:type="dxa"/>
            <w:vAlign w:val="bottom"/>
          </w:tcPr>
          <w:p>
            <w:pPr>
              <w:jc w:val="center"/>
              <w:spacing w:after="0"/>
              <w:rPr>
                <w:sz w:val="20"/>
                <w:szCs w:val="20"/>
                <w:color w:val="auto"/>
              </w:rPr>
            </w:pPr>
            <w:r>
              <w:rPr>
                <w:rFonts w:ascii="Arial" w:cs="Arial" w:eastAsia="Arial" w:hAnsi="Arial"/>
                <w:sz w:val="16"/>
                <w:szCs w:val="16"/>
                <w:color w:val="auto"/>
                <w:w w:val="89"/>
              </w:rPr>
              <w:t>4.6</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Borders>
              <w:top w:val="single" w:sz="8" w:color="0000FF"/>
            </w:tcBorders>
          </w:tcPr>
          <w:p>
            <w:pPr>
              <w:spacing w:after="0"/>
              <w:rPr>
                <w:sz w:val="16"/>
                <w:szCs w:val="16"/>
                <w:color w:val="auto"/>
              </w:rPr>
            </w:pPr>
          </w:p>
        </w:tc>
        <w:tc>
          <w:tcPr>
            <w:tcW w:w="960" w:type="dxa"/>
            <w:vAlign w:val="bottom"/>
            <w:tcBorders>
              <w:top w:val="single" w:sz="8" w:color="0000FF"/>
            </w:tcBorders>
          </w:tcPr>
          <w:p>
            <w:pPr>
              <w:spacing w:after="0"/>
              <w:rPr>
                <w:sz w:val="16"/>
                <w:szCs w:val="16"/>
                <w:color w:val="auto"/>
              </w:rPr>
            </w:pPr>
          </w:p>
        </w:tc>
        <w:tc>
          <w:tcPr>
            <w:tcW w:w="160" w:type="dxa"/>
            <w:vAlign w:val="bottom"/>
            <w:tcBorders>
              <w:top w:val="single" w:sz="8" w:color="0000FF"/>
            </w:tcBorders>
          </w:tcPr>
          <w:p>
            <w:pPr>
              <w:spacing w:after="0"/>
              <w:rPr>
                <w:sz w:val="16"/>
                <w:szCs w:val="16"/>
                <w:color w:val="auto"/>
              </w:rPr>
            </w:pPr>
          </w:p>
        </w:tc>
        <w:tc>
          <w:tcPr>
            <w:tcW w:w="100" w:type="dxa"/>
            <w:vAlign w:val="bottom"/>
            <w:tcBorders>
              <w:top w:val="single" w:sz="8" w:color="0000FF"/>
            </w:tcBorders>
          </w:tcPr>
          <w:p>
            <w:pPr>
              <w:spacing w:after="0"/>
              <w:rPr>
                <w:sz w:val="16"/>
                <w:szCs w:val="16"/>
                <w:color w:val="auto"/>
              </w:rPr>
            </w:pPr>
          </w:p>
        </w:tc>
        <w:tc>
          <w:tcPr>
            <w:tcW w:w="12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140" w:type="dxa"/>
            <w:vAlign w:val="bottom"/>
            <w:tcBorders>
              <w:top w:val="single" w:sz="8" w:color="0000FF"/>
            </w:tcBorders>
          </w:tcPr>
          <w:p>
            <w:pPr>
              <w:spacing w:after="0"/>
              <w:rPr>
                <w:sz w:val="16"/>
                <w:szCs w:val="16"/>
                <w:color w:val="auto"/>
              </w:rPr>
            </w:pPr>
          </w:p>
        </w:tc>
        <w:tc>
          <w:tcPr>
            <w:tcW w:w="60" w:type="dxa"/>
            <w:vAlign w:val="bottom"/>
            <w:tcBorders>
              <w:top w:val="single" w:sz="8" w:color="0000FF"/>
            </w:tcBorders>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auto"/>
                <w:w w:val="89"/>
              </w:rPr>
              <w:t>2022</w:t>
            </w:r>
          </w:p>
        </w:tc>
        <w:tc>
          <w:tcPr>
            <w:tcW w:w="8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880" w:type="dxa"/>
            <w:vAlign w:val="bottom"/>
          </w:tcPr>
          <w:p>
            <w:pPr>
              <w:jc w:val="center"/>
              <w:spacing w:after="0"/>
              <w:rPr>
                <w:sz w:val="20"/>
                <w:szCs w:val="20"/>
                <w:color w:val="auto"/>
              </w:rPr>
            </w:pPr>
            <w:r>
              <w:rPr>
                <w:rFonts w:ascii="Arial" w:cs="Arial" w:eastAsia="Arial" w:hAnsi="Arial"/>
                <w:sz w:val="16"/>
                <w:szCs w:val="16"/>
                <w:color w:val="auto"/>
                <w:w w:val="93"/>
              </w:rPr>
              <w:t>10.1^</w:t>
            </w:r>
          </w:p>
        </w:tc>
        <w:tc>
          <w:tcPr>
            <w:tcW w:w="100" w:type="dxa"/>
            <w:vAlign w:val="bottom"/>
          </w:tcPr>
          <w:p>
            <w:pPr>
              <w:spacing w:after="0"/>
              <w:rPr>
                <w:sz w:val="19"/>
                <w:szCs w:val="19"/>
                <w:color w:val="auto"/>
              </w:rPr>
            </w:pPr>
          </w:p>
        </w:tc>
        <w:tc>
          <w:tcPr>
            <w:tcW w:w="2360" w:type="dxa"/>
            <w:vAlign w:val="bottom"/>
            <w:tcBorders>
              <w:bottom w:val="single" w:sz="8" w:color="0000FF"/>
            </w:tcBorders>
            <w:gridSpan w:val="7"/>
          </w:tcPr>
          <w:p>
            <w:pPr>
              <w:spacing w:after="0"/>
              <w:rPr>
                <w:rFonts w:ascii="Arial" w:cs="Arial" w:eastAsia="Arial" w:hAnsi="Arial"/>
                <w:sz w:val="16"/>
                <w:szCs w:val="16"/>
                <w:color w:val="0000FF"/>
                <w:w w:val="93"/>
              </w:rPr>
            </w:pPr>
            <w:hyperlink r:id="rId178">
              <w:r>
                <w:rPr>
                  <w:rFonts w:ascii="Arial" w:cs="Arial" w:eastAsia="Arial" w:hAnsi="Arial"/>
                  <w:sz w:val="16"/>
                  <w:szCs w:val="16"/>
                  <w:color w:val="0000FF"/>
                  <w:w w:val="93"/>
                </w:rPr>
                <w:t>Form of Indemnification Agreement</w:t>
              </w:r>
            </w:hyperlink>
          </w:p>
        </w:tc>
        <w:tc>
          <w:tcPr>
            <w:tcW w:w="3480" w:type="dxa"/>
            <w:vAlign w:val="bottom"/>
            <w:gridSpan w:val="24"/>
          </w:tcPr>
          <w:p>
            <w:pPr>
              <w:spacing w:after="0"/>
              <w:rPr>
                <w:sz w:val="19"/>
                <w:szCs w:val="19"/>
                <w:color w:val="auto"/>
              </w:rPr>
            </w:pPr>
          </w:p>
        </w:tc>
        <w:tc>
          <w:tcPr>
            <w:tcW w:w="580" w:type="dxa"/>
            <w:vAlign w:val="bottom"/>
          </w:tcPr>
          <w:p>
            <w:pPr>
              <w:jc w:val="center"/>
              <w:spacing w:after="0"/>
              <w:rPr>
                <w:sz w:val="20"/>
                <w:szCs w:val="20"/>
                <w:color w:val="auto"/>
              </w:rPr>
            </w:pPr>
            <w:r>
              <w:rPr>
                <w:rFonts w:ascii="Arial" w:cs="Arial" w:eastAsia="Arial" w:hAnsi="Arial"/>
                <w:sz w:val="16"/>
                <w:szCs w:val="16"/>
                <w:color w:val="auto"/>
                <w:w w:val="94"/>
              </w:rPr>
              <w:t>S-4/A</w:t>
            </w:r>
          </w:p>
        </w:tc>
        <w:tc>
          <w:tcPr>
            <w:tcW w:w="960" w:type="dxa"/>
            <w:vAlign w:val="bottom"/>
          </w:tcPr>
          <w:p>
            <w:pPr>
              <w:jc w:val="center"/>
              <w:spacing w:after="0"/>
              <w:rPr>
                <w:sz w:val="20"/>
                <w:szCs w:val="20"/>
                <w:color w:val="auto"/>
              </w:rPr>
            </w:pPr>
            <w:r>
              <w:rPr>
                <w:rFonts w:ascii="Arial" w:cs="Arial" w:eastAsia="Arial" w:hAnsi="Arial"/>
                <w:sz w:val="16"/>
                <w:szCs w:val="16"/>
                <w:color w:val="auto"/>
                <w:w w:val="91"/>
              </w:rPr>
              <w:t>333-254543</w:t>
            </w:r>
          </w:p>
        </w:tc>
        <w:tc>
          <w:tcPr>
            <w:tcW w:w="1240" w:type="dxa"/>
            <w:vAlign w:val="bottom"/>
          </w:tcPr>
          <w:p>
            <w:pPr>
              <w:jc w:val="center"/>
              <w:spacing w:after="0"/>
              <w:rPr>
                <w:sz w:val="20"/>
                <w:szCs w:val="20"/>
                <w:color w:val="auto"/>
              </w:rPr>
            </w:pPr>
            <w:r>
              <w:rPr>
                <w:rFonts w:ascii="Arial" w:cs="Arial" w:eastAsia="Arial" w:hAnsi="Arial"/>
                <w:sz w:val="16"/>
                <w:szCs w:val="16"/>
                <w:color w:val="auto"/>
                <w:w w:val="92"/>
              </w:rPr>
              <w:t>May 14, 2021</w:t>
            </w:r>
          </w:p>
        </w:tc>
        <w:tc>
          <w:tcPr>
            <w:tcW w:w="800" w:type="dxa"/>
            <w:vAlign w:val="bottom"/>
          </w:tcPr>
          <w:p>
            <w:pPr>
              <w:jc w:val="center"/>
              <w:spacing w:after="0"/>
              <w:rPr>
                <w:sz w:val="20"/>
                <w:szCs w:val="20"/>
                <w:color w:val="auto"/>
              </w:rPr>
            </w:pPr>
            <w:r>
              <w:rPr>
                <w:rFonts w:ascii="Arial" w:cs="Arial" w:eastAsia="Arial" w:hAnsi="Arial"/>
                <w:sz w:val="16"/>
                <w:szCs w:val="16"/>
                <w:color w:val="auto"/>
                <w:w w:val="94"/>
              </w:rPr>
              <w:t>10.22</w:t>
            </w: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880" w:type="dxa"/>
            <w:vAlign w:val="bottom"/>
          </w:tcPr>
          <w:p>
            <w:pPr>
              <w:jc w:val="center"/>
              <w:spacing w:after="0"/>
              <w:rPr>
                <w:sz w:val="20"/>
                <w:szCs w:val="20"/>
                <w:color w:val="auto"/>
              </w:rPr>
            </w:pPr>
            <w:r>
              <w:rPr>
                <w:rFonts w:ascii="Arial" w:cs="Arial" w:eastAsia="Arial" w:hAnsi="Arial"/>
                <w:sz w:val="16"/>
                <w:szCs w:val="16"/>
                <w:color w:val="auto"/>
                <w:w w:val="93"/>
              </w:rPr>
              <w:t>10.2^</w:t>
            </w:r>
          </w:p>
        </w:tc>
        <w:tc>
          <w:tcPr>
            <w:tcW w:w="100" w:type="dxa"/>
            <w:vAlign w:val="bottom"/>
          </w:tcPr>
          <w:p>
            <w:pPr>
              <w:spacing w:after="0"/>
              <w:rPr>
                <w:sz w:val="21"/>
                <w:szCs w:val="21"/>
                <w:color w:val="auto"/>
              </w:rPr>
            </w:pPr>
          </w:p>
        </w:tc>
        <w:tc>
          <w:tcPr>
            <w:tcW w:w="5840" w:type="dxa"/>
            <w:vAlign w:val="bottom"/>
            <w:gridSpan w:val="31"/>
          </w:tcPr>
          <w:p>
            <w:pPr>
              <w:spacing w:after="0"/>
              <w:rPr>
                <w:rFonts w:ascii="Arial" w:cs="Arial" w:eastAsia="Arial" w:hAnsi="Arial"/>
                <w:sz w:val="16"/>
                <w:szCs w:val="16"/>
                <w:color w:val="0000FF"/>
              </w:rPr>
            </w:pPr>
            <w:hyperlink r:id="rId179">
              <w:r>
                <w:rPr>
                  <w:rFonts w:ascii="Arial" w:cs="Arial" w:eastAsia="Arial" w:hAnsi="Arial"/>
                  <w:sz w:val="16"/>
                  <w:szCs w:val="16"/>
                  <w:color w:val="0000FF"/>
                </w:rPr>
                <w:t>Lucid Group, Inc. 2021. Performance Bonus Plan</w:t>
              </w:r>
            </w:hyperlink>
          </w:p>
        </w:tc>
        <w:tc>
          <w:tcPr>
            <w:tcW w:w="580" w:type="dxa"/>
            <w:vAlign w:val="bottom"/>
          </w:tcPr>
          <w:p>
            <w:pPr>
              <w:jc w:val="center"/>
              <w:spacing w:after="0"/>
              <w:rPr>
                <w:sz w:val="20"/>
                <w:szCs w:val="20"/>
                <w:color w:val="auto"/>
              </w:rPr>
            </w:pPr>
            <w:r>
              <w:rPr>
                <w:rFonts w:ascii="Arial" w:cs="Arial" w:eastAsia="Arial" w:hAnsi="Arial"/>
                <w:sz w:val="16"/>
                <w:szCs w:val="16"/>
                <w:color w:val="auto"/>
              </w:rPr>
              <w:t>8-K</w:t>
            </w:r>
          </w:p>
        </w:tc>
        <w:tc>
          <w:tcPr>
            <w:tcW w:w="960" w:type="dxa"/>
            <w:vAlign w:val="bottom"/>
          </w:tcPr>
          <w:p>
            <w:pPr>
              <w:jc w:val="center"/>
              <w:spacing w:after="0"/>
              <w:rPr>
                <w:sz w:val="20"/>
                <w:szCs w:val="20"/>
                <w:color w:val="auto"/>
              </w:rPr>
            </w:pPr>
            <w:r>
              <w:rPr>
                <w:rFonts w:ascii="Arial" w:cs="Arial" w:eastAsia="Arial" w:hAnsi="Arial"/>
                <w:sz w:val="16"/>
                <w:szCs w:val="16"/>
                <w:color w:val="auto"/>
                <w:w w:val="91"/>
              </w:rPr>
              <w:t>001-39408</w:t>
            </w:r>
          </w:p>
        </w:tc>
        <w:tc>
          <w:tcPr>
            <w:tcW w:w="1240" w:type="dxa"/>
            <w:vAlign w:val="bottom"/>
          </w:tcPr>
          <w:p>
            <w:pPr>
              <w:jc w:val="center"/>
              <w:spacing w:after="0"/>
              <w:rPr>
                <w:sz w:val="20"/>
                <w:szCs w:val="20"/>
                <w:color w:val="auto"/>
              </w:rPr>
            </w:pPr>
            <w:r>
              <w:rPr>
                <w:rFonts w:ascii="Arial" w:cs="Arial" w:eastAsia="Arial" w:hAnsi="Arial"/>
                <w:sz w:val="16"/>
                <w:szCs w:val="16"/>
                <w:color w:val="auto"/>
                <w:w w:val="92"/>
              </w:rPr>
              <w:t>July 26, 2021</w:t>
            </w:r>
          </w:p>
        </w:tc>
        <w:tc>
          <w:tcPr>
            <w:tcW w:w="800" w:type="dxa"/>
            <w:vAlign w:val="bottom"/>
          </w:tcPr>
          <w:p>
            <w:pPr>
              <w:jc w:val="center"/>
              <w:spacing w:after="0"/>
              <w:rPr>
                <w:sz w:val="20"/>
                <w:szCs w:val="20"/>
                <w:color w:val="auto"/>
              </w:rPr>
            </w:pPr>
            <w:r>
              <w:rPr>
                <w:rFonts w:ascii="Arial" w:cs="Arial" w:eastAsia="Arial" w:hAnsi="Arial"/>
                <w:sz w:val="16"/>
                <w:szCs w:val="16"/>
                <w:color w:val="auto"/>
                <w:w w:val="94"/>
              </w:rPr>
              <w:t>10.25</w:t>
            </w: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980" w:type="dxa"/>
            <w:vAlign w:val="bottom"/>
            <w:gridSpan w:val="4"/>
            <w:shd w:val="clear" w:color="auto" w:fill="0000FF"/>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80" w:type="dxa"/>
            <w:vAlign w:val="bottom"/>
          </w:tcPr>
          <w:p>
            <w:pPr>
              <w:jc w:val="center"/>
              <w:spacing w:after="0"/>
              <w:rPr>
                <w:sz w:val="20"/>
                <w:szCs w:val="20"/>
                <w:color w:val="auto"/>
              </w:rPr>
            </w:pPr>
            <w:r>
              <w:rPr>
                <w:rFonts w:ascii="Arial" w:cs="Arial" w:eastAsia="Arial" w:hAnsi="Arial"/>
                <w:sz w:val="16"/>
                <w:szCs w:val="16"/>
                <w:color w:val="auto"/>
                <w:w w:val="93"/>
              </w:rPr>
              <w:t>10.3^</w:t>
            </w:r>
          </w:p>
        </w:tc>
        <w:tc>
          <w:tcPr>
            <w:tcW w:w="100" w:type="dxa"/>
            <w:vAlign w:val="bottom"/>
          </w:tcPr>
          <w:p>
            <w:pPr>
              <w:spacing w:after="0"/>
              <w:rPr>
                <w:sz w:val="21"/>
                <w:szCs w:val="21"/>
                <w:color w:val="auto"/>
              </w:rPr>
            </w:pPr>
          </w:p>
        </w:tc>
        <w:tc>
          <w:tcPr>
            <w:tcW w:w="5840" w:type="dxa"/>
            <w:vAlign w:val="bottom"/>
            <w:gridSpan w:val="31"/>
          </w:tcPr>
          <w:p>
            <w:pPr>
              <w:spacing w:after="0"/>
              <w:rPr>
                <w:rFonts w:ascii="Arial" w:cs="Arial" w:eastAsia="Arial" w:hAnsi="Arial"/>
                <w:sz w:val="16"/>
                <w:szCs w:val="16"/>
                <w:color w:val="0000FF"/>
                <w:w w:val="92"/>
              </w:rPr>
            </w:pPr>
            <w:hyperlink r:id="rId180">
              <w:r>
                <w:rPr>
                  <w:rFonts w:ascii="Arial" w:cs="Arial" w:eastAsia="Arial" w:hAnsi="Arial"/>
                  <w:sz w:val="16"/>
                  <w:szCs w:val="16"/>
                  <w:color w:val="0000FF"/>
                  <w:w w:val="92"/>
                </w:rPr>
                <w:t>Lucid Group, Inc. 2021 Executive Severance Benefit Plan and Summary Plan Description</w:t>
              </w:r>
            </w:hyperlink>
          </w:p>
        </w:tc>
        <w:tc>
          <w:tcPr>
            <w:tcW w:w="580" w:type="dxa"/>
            <w:vAlign w:val="bottom"/>
          </w:tcPr>
          <w:p>
            <w:pPr>
              <w:jc w:val="center"/>
              <w:spacing w:after="0"/>
              <w:rPr>
                <w:sz w:val="20"/>
                <w:szCs w:val="20"/>
                <w:color w:val="auto"/>
              </w:rPr>
            </w:pPr>
            <w:r>
              <w:rPr>
                <w:rFonts w:ascii="Arial" w:cs="Arial" w:eastAsia="Arial" w:hAnsi="Arial"/>
                <w:sz w:val="16"/>
                <w:szCs w:val="16"/>
                <w:color w:val="auto"/>
              </w:rPr>
              <w:t>8-K</w:t>
            </w:r>
          </w:p>
        </w:tc>
        <w:tc>
          <w:tcPr>
            <w:tcW w:w="960" w:type="dxa"/>
            <w:vAlign w:val="bottom"/>
          </w:tcPr>
          <w:p>
            <w:pPr>
              <w:jc w:val="center"/>
              <w:spacing w:after="0"/>
              <w:rPr>
                <w:sz w:val="20"/>
                <w:szCs w:val="20"/>
                <w:color w:val="auto"/>
              </w:rPr>
            </w:pPr>
            <w:r>
              <w:rPr>
                <w:rFonts w:ascii="Arial" w:cs="Arial" w:eastAsia="Arial" w:hAnsi="Arial"/>
                <w:sz w:val="16"/>
                <w:szCs w:val="16"/>
                <w:color w:val="auto"/>
                <w:w w:val="91"/>
              </w:rPr>
              <w:t>001-39408</w:t>
            </w:r>
          </w:p>
        </w:tc>
        <w:tc>
          <w:tcPr>
            <w:tcW w:w="1240" w:type="dxa"/>
            <w:vAlign w:val="bottom"/>
          </w:tcPr>
          <w:p>
            <w:pPr>
              <w:jc w:val="center"/>
              <w:spacing w:after="0"/>
              <w:rPr>
                <w:sz w:val="20"/>
                <w:szCs w:val="20"/>
                <w:color w:val="auto"/>
              </w:rPr>
            </w:pPr>
            <w:r>
              <w:rPr>
                <w:rFonts w:ascii="Arial" w:cs="Arial" w:eastAsia="Arial" w:hAnsi="Arial"/>
                <w:sz w:val="16"/>
                <w:szCs w:val="16"/>
                <w:color w:val="auto"/>
                <w:w w:val="92"/>
              </w:rPr>
              <w:t>July 26, 2021</w:t>
            </w:r>
          </w:p>
        </w:tc>
        <w:tc>
          <w:tcPr>
            <w:tcW w:w="800" w:type="dxa"/>
            <w:vAlign w:val="bottom"/>
          </w:tcPr>
          <w:p>
            <w:pPr>
              <w:jc w:val="center"/>
              <w:spacing w:after="0"/>
              <w:rPr>
                <w:sz w:val="20"/>
                <w:szCs w:val="20"/>
                <w:color w:val="auto"/>
              </w:rPr>
            </w:pPr>
            <w:r>
              <w:rPr>
                <w:rFonts w:ascii="Arial" w:cs="Arial" w:eastAsia="Arial" w:hAnsi="Arial"/>
                <w:sz w:val="16"/>
                <w:szCs w:val="16"/>
                <w:color w:val="auto"/>
                <w:w w:val="94"/>
              </w:rPr>
              <w:t>10.26</w:t>
            </w: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80" w:type="dxa"/>
            <w:vAlign w:val="bottom"/>
          </w:tcPr>
          <w:p>
            <w:pPr>
              <w:jc w:val="center"/>
              <w:spacing w:after="0"/>
              <w:rPr>
                <w:sz w:val="20"/>
                <w:szCs w:val="20"/>
                <w:color w:val="auto"/>
              </w:rPr>
            </w:pPr>
            <w:r>
              <w:rPr>
                <w:rFonts w:ascii="Arial" w:cs="Arial" w:eastAsia="Arial" w:hAnsi="Arial"/>
                <w:sz w:val="16"/>
                <w:szCs w:val="16"/>
                <w:color w:val="auto"/>
                <w:w w:val="93"/>
              </w:rPr>
              <w:t>10.4^</w:t>
            </w:r>
          </w:p>
        </w:tc>
        <w:tc>
          <w:tcPr>
            <w:tcW w:w="100" w:type="dxa"/>
            <w:vAlign w:val="bottom"/>
          </w:tcPr>
          <w:p>
            <w:pPr>
              <w:spacing w:after="0"/>
              <w:rPr>
                <w:sz w:val="21"/>
                <w:szCs w:val="21"/>
                <w:color w:val="auto"/>
              </w:rPr>
            </w:pPr>
          </w:p>
        </w:tc>
        <w:tc>
          <w:tcPr>
            <w:tcW w:w="5820" w:type="dxa"/>
            <w:vAlign w:val="bottom"/>
            <w:tcBorders>
              <w:top w:val="single" w:sz="8" w:color="0000FF"/>
            </w:tcBorders>
            <w:gridSpan w:val="30"/>
          </w:tcPr>
          <w:p>
            <w:pPr>
              <w:spacing w:after="0"/>
              <w:rPr>
                <w:rFonts w:ascii="Arial" w:cs="Arial" w:eastAsia="Arial" w:hAnsi="Arial"/>
                <w:sz w:val="16"/>
                <w:szCs w:val="16"/>
                <w:color w:val="0000FF"/>
                <w:w w:val="93"/>
              </w:rPr>
            </w:pPr>
            <w:hyperlink r:id="rId181">
              <w:r>
                <w:rPr>
                  <w:rFonts w:ascii="Arial" w:cs="Arial" w:eastAsia="Arial" w:hAnsi="Arial"/>
                  <w:sz w:val="16"/>
                  <w:szCs w:val="16"/>
                  <w:color w:val="0000FF"/>
                  <w:w w:val="93"/>
                </w:rPr>
                <w:t>Form of Participation Agreement under the Lucid Group, Inc. 2021 Executive Severance</w:t>
              </w:r>
            </w:hyperlink>
          </w:p>
        </w:tc>
        <w:tc>
          <w:tcPr>
            <w:tcW w:w="20" w:type="dxa"/>
            <w:vAlign w:val="bottom"/>
          </w:tcPr>
          <w:p>
            <w:pPr>
              <w:spacing w:after="0"/>
              <w:rPr>
                <w:sz w:val="21"/>
                <w:szCs w:val="21"/>
                <w:color w:val="auto"/>
              </w:rPr>
            </w:pPr>
          </w:p>
        </w:tc>
        <w:tc>
          <w:tcPr>
            <w:tcW w:w="580" w:type="dxa"/>
            <w:vAlign w:val="bottom"/>
          </w:tcPr>
          <w:p>
            <w:pPr>
              <w:jc w:val="center"/>
              <w:spacing w:after="0"/>
              <w:rPr>
                <w:sz w:val="20"/>
                <w:szCs w:val="20"/>
                <w:color w:val="auto"/>
              </w:rPr>
            </w:pPr>
            <w:r>
              <w:rPr>
                <w:rFonts w:ascii="Arial" w:cs="Arial" w:eastAsia="Arial" w:hAnsi="Arial"/>
                <w:sz w:val="16"/>
                <w:szCs w:val="16"/>
                <w:color w:val="auto"/>
              </w:rPr>
              <w:t>8-K</w:t>
            </w:r>
          </w:p>
        </w:tc>
        <w:tc>
          <w:tcPr>
            <w:tcW w:w="960" w:type="dxa"/>
            <w:vAlign w:val="bottom"/>
          </w:tcPr>
          <w:p>
            <w:pPr>
              <w:jc w:val="center"/>
              <w:spacing w:after="0"/>
              <w:rPr>
                <w:sz w:val="20"/>
                <w:szCs w:val="20"/>
                <w:color w:val="auto"/>
              </w:rPr>
            </w:pPr>
            <w:r>
              <w:rPr>
                <w:rFonts w:ascii="Arial" w:cs="Arial" w:eastAsia="Arial" w:hAnsi="Arial"/>
                <w:sz w:val="16"/>
                <w:szCs w:val="16"/>
                <w:color w:val="auto"/>
                <w:w w:val="91"/>
              </w:rPr>
              <w:t>001-39408</w:t>
            </w:r>
          </w:p>
        </w:tc>
        <w:tc>
          <w:tcPr>
            <w:tcW w:w="1240" w:type="dxa"/>
            <w:vAlign w:val="bottom"/>
          </w:tcPr>
          <w:p>
            <w:pPr>
              <w:jc w:val="center"/>
              <w:spacing w:after="0"/>
              <w:rPr>
                <w:sz w:val="20"/>
                <w:szCs w:val="20"/>
                <w:color w:val="auto"/>
              </w:rPr>
            </w:pPr>
            <w:r>
              <w:rPr>
                <w:rFonts w:ascii="Arial" w:cs="Arial" w:eastAsia="Arial" w:hAnsi="Arial"/>
                <w:sz w:val="16"/>
                <w:szCs w:val="16"/>
                <w:color w:val="auto"/>
                <w:w w:val="92"/>
              </w:rPr>
              <w:t>July 26, 2021</w:t>
            </w:r>
          </w:p>
        </w:tc>
        <w:tc>
          <w:tcPr>
            <w:tcW w:w="800" w:type="dxa"/>
            <w:vAlign w:val="bottom"/>
          </w:tcPr>
          <w:p>
            <w:pPr>
              <w:jc w:val="center"/>
              <w:spacing w:after="0"/>
              <w:rPr>
                <w:sz w:val="20"/>
                <w:szCs w:val="20"/>
                <w:color w:val="auto"/>
              </w:rPr>
            </w:pPr>
            <w:r>
              <w:rPr>
                <w:rFonts w:ascii="Arial" w:cs="Arial" w:eastAsia="Arial" w:hAnsi="Arial"/>
                <w:sz w:val="16"/>
                <w:szCs w:val="16"/>
                <w:color w:val="auto"/>
                <w:w w:val="94"/>
              </w:rPr>
              <w:t>10.27</w:t>
            </w: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2"/>
        </w:trPr>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Borders>
              <w:top w:val="single" w:sz="8" w:color="0000FF"/>
              <w:bottom w:val="single" w:sz="8" w:color="0000FF"/>
            </w:tcBorders>
          </w:tcPr>
          <w:p>
            <w:pPr>
              <w:spacing w:after="0" w:line="142" w:lineRule="exact"/>
              <w:rPr>
                <w:rFonts w:ascii="Arial" w:cs="Arial" w:eastAsia="Arial" w:hAnsi="Arial"/>
                <w:sz w:val="16"/>
                <w:szCs w:val="16"/>
                <w:color w:val="0000FF"/>
                <w:w w:val="90"/>
              </w:rPr>
            </w:pPr>
            <w:hyperlink r:id="rId181">
              <w:r>
                <w:rPr>
                  <w:rFonts w:ascii="Arial" w:cs="Arial" w:eastAsia="Arial" w:hAnsi="Arial"/>
                  <w:sz w:val="16"/>
                  <w:szCs w:val="16"/>
                  <w:color w:val="0000FF"/>
                  <w:w w:val="90"/>
                </w:rPr>
                <w:t>Benefit Plan</w:t>
              </w:r>
            </w:hyperlink>
          </w:p>
        </w:tc>
        <w:tc>
          <w:tcPr>
            <w:tcW w:w="4960" w:type="dxa"/>
            <w:vAlign w:val="bottom"/>
            <w:tcBorders>
              <w:top w:val="single" w:sz="8" w:color="0000FF"/>
            </w:tcBorders>
            <w:gridSpan w:val="26"/>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5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880" w:type="dxa"/>
            <w:vAlign w:val="bottom"/>
          </w:tcPr>
          <w:p>
            <w:pPr>
              <w:jc w:val="center"/>
              <w:spacing w:after="0"/>
              <w:rPr>
                <w:sz w:val="20"/>
                <w:szCs w:val="20"/>
                <w:color w:val="auto"/>
              </w:rPr>
            </w:pPr>
            <w:r>
              <w:rPr>
                <w:rFonts w:ascii="Arial" w:cs="Arial" w:eastAsia="Arial" w:hAnsi="Arial"/>
                <w:sz w:val="16"/>
                <w:szCs w:val="16"/>
                <w:color w:val="auto"/>
                <w:w w:val="93"/>
              </w:rPr>
              <w:t>10.5^</w:t>
            </w:r>
          </w:p>
        </w:tc>
        <w:tc>
          <w:tcPr>
            <w:tcW w:w="100" w:type="dxa"/>
            <w:vAlign w:val="bottom"/>
          </w:tcPr>
          <w:p>
            <w:pPr>
              <w:spacing w:after="0"/>
              <w:rPr>
                <w:sz w:val="21"/>
                <w:szCs w:val="21"/>
                <w:color w:val="auto"/>
              </w:rPr>
            </w:pPr>
          </w:p>
        </w:tc>
        <w:tc>
          <w:tcPr>
            <w:tcW w:w="5840" w:type="dxa"/>
            <w:vAlign w:val="bottom"/>
            <w:gridSpan w:val="31"/>
          </w:tcPr>
          <w:p>
            <w:pPr>
              <w:spacing w:after="0"/>
              <w:rPr>
                <w:rFonts w:ascii="Arial" w:cs="Arial" w:eastAsia="Arial" w:hAnsi="Arial"/>
                <w:sz w:val="16"/>
                <w:szCs w:val="16"/>
                <w:color w:val="0000FF"/>
                <w:w w:val="92"/>
              </w:rPr>
            </w:pPr>
            <w:hyperlink r:id="rId182">
              <w:r>
                <w:rPr>
                  <w:rFonts w:ascii="Arial" w:cs="Arial" w:eastAsia="Arial" w:hAnsi="Arial"/>
                  <w:sz w:val="16"/>
                  <w:szCs w:val="16"/>
                  <w:color w:val="0000FF"/>
                  <w:w w:val="92"/>
                </w:rPr>
                <w:t>Lucid Group, Inc. Amended and Restated 2021 Stock Incentive Plan (including the Lucid</w:t>
              </w:r>
            </w:hyperlink>
          </w:p>
        </w:tc>
        <w:tc>
          <w:tcPr>
            <w:tcW w:w="580" w:type="dxa"/>
            <w:vAlign w:val="bottom"/>
          </w:tcPr>
          <w:p>
            <w:pPr>
              <w:jc w:val="center"/>
              <w:spacing w:after="0"/>
              <w:rPr>
                <w:sz w:val="20"/>
                <w:szCs w:val="20"/>
                <w:color w:val="auto"/>
              </w:rPr>
            </w:pPr>
            <w:r>
              <w:rPr>
                <w:rFonts w:ascii="Arial" w:cs="Arial" w:eastAsia="Arial" w:hAnsi="Arial"/>
                <w:sz w:val="16"/>
                <w:szCs w:val="16"/>
                <w:color w:val="auto"/>
              </w:rPr>
              <w:t>8-K</w:t>
            </w:r>
          </w:p>
        </w:tc>
        <w:tc>
          <w:tcPr>
            <w:tcW w:w="960" w:type="dxa"/>
            <w:vAlign w:val="bottom"/>
          </w:tcPr>
          <w:p>
            <w:pPr>
              <w:jc w:val="center"/>
              <w:spacing w:after="0"/>
              <w:rPr>
                <w:sz w:val="20"/>
                <w:szCs w:val="20"/>
                <w:color w:val="auto"/>
              </w:rPr>
            </w:pPr>
            <w:r>
              <w:rPr>
                <w:rFonts w:ascii="Arial" w:cs="Arial" w:eastAsia="Arial" w:hAnsi="Arial"/>
                <w:sz w:val="16"/>
                <w:szCs w:val="16"/>
                <w:color w:val="auto"/>
                <w:w w:val="91"/>
              </w:rPr>
              <w:t>001-39408</w:t>
            </w:r>
          </w:p>
        </w:tc>
        <w:tc>
          <w:tcPr>
            <w:tcW w:w="1240" w:type="dxa"/>
            <w:vAlign w:val="bottom"/>
          </w:tcPr>
          <w:p>
            <w:pPr>
              <w:jc w:val="center"/>
              <w:spacing w:after="0"/>
              <w:rPr>
                <w:sz w:val="20"/>
                <w:szCs w:val="20"/>
                <w:color w:val="auto"/>
              </w:rPr>
            </w:pPr>
            <w:r>
              <w:rPr>
                <w:rFonts w:ascii="Arial" w:cs="Arial" w:eastAsia="Arial" w:hAnsi="Arial"/>
                <w:sz w:val="16"/>
                <w:szCs w:val="16"/>
                <w:color w:val="auto"/>
                <w:w w:val="88"/>
              </w:rPr>
              <w:t>June 13, 2022</w:t>
            </w:r>
          </w:p>
        </w:tc>
        <w:tc>
          <w:tcPr>
            <w:tcW w:w="800" w:type="dxa"/>
            <w:vAlign w:val="bottom"/>
          </w:tcPr>
          <w:p>
            <w:pPr>
              <w:jc w:val="center"/>
              <w:spacing w:after="0"/>
              <w:rPr>
                <w:sz w:val="20"/>
                <w:szCs w:val="20"/>
                <w:color w:val="auto"/>
              </w:rPr>
            </w:pPr>
            <w:r>
              <w:rPr>
                <w:rFonts w:ascii="Arial" w:cs="Arial" w:eastAsia="Arial" w:hAnsi="Arial"/>
                <w:sz w:val="16"/>
                <w:szCs w:val="16"/>
                <w:color w:val="auto"/>
                <w:w w:val="96"/>
              </w:rPr>
              <w:t>10.1</w:t>
            </w: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2"/>
        </w:trPr>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0" w:type="dxa"/>
            <w:vAlign w:val="bottom"/>
            <w:tcBorders>
              <w:top w:val="single" w:sz="8" w:color="0000FF"/>
            </w:tcBorders>
            <w:gridSpan w:val="29"/>
          </w:tcPr>
          <w:p>
            <w:pPr>
              <w:spacing w:after="0" w:line="142" w:lineRule="exact"/>
              <w:rPr>
                <w:rFonts w:ascii="Arial" w:cs="Arial" w:eastAsia="Arial" w:hAnsi="Arial"/>
                <w:sz w:val="16"/>
                <w:szCs w:val="16"/>
                <w:color w:val="0000FF"/>
              </w:rPr>
            </w:pPr>
            <w:hyperlink r:id="rId182">
              <w:r>
                <w:rPr>
                  <w:rFonts w:ascii="Arial" w:cs="Arial" w:eastAsia="Arial" w:hAnsi="Arial"/>
                  <w:sz w:val="16"/>
                  <w:szCs w:val="16"/>
                  <w:color w:val="0000FF"/>
                </w:rPr>
                <w:t>Group, Inc. 2021 Employee Stock Purchase Plan, attached thereto)</w:t>
              </w:r>
            </w:hyperlink>
          </w:p>
        </w:tc>
        <w:tc>
          <w:tcPr>
            <w:tcW w:w="40" w:type="dxa"/>
            <w:vAlign w:val="bottom"/>
            <w:gridSpan w:val="2"/>
          </w:tcPr>
          <w:p>
            <w:pPr>
              <w:spacing w:after="0"/>
              <w:rPr>
                <w:sz w:val="12"/>
                <w:szCs w:val="12"/>
                <w:color w:val="auto"/>
              </w:rPr>
            </w:pPr>
          </w:p>
        </w:tc>
        <w:tc>
          <w:tcPr>
            <w:tcW w:w="5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gridSpan w:val="2"/>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100" w:type="dxa"/>
            <w:vAlign w:val="bottom"/>
            <w:gridSpan w:val="7"/>
            <w:shd w:val="clear" w:color="auto" w:fill="0000FF"/>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80" w:type="dxa"/>
            <w:vAlign w:val="bottom"/>
          </w:tcPr>
          <w:p>
            <w:pPr>
              <w:jc w:val="center"/>
              <w:spacing w:after="0"/>
              <w:rPr>
                <w:sz w:val="20"/>
                <w:szCs w:val="20"/>
                <w:color w:val="auto"/>
              </w:rPr>
            </w:pPr>
            <w:r>
              <w:rPr>
                <w:rFonts w:ascii="Arial" w:cs="Arial" w:eastAsia="Arial" w:hAnsi="Arial"/>
                <w:sz w:val="16"/>
                <w:szCs w:val="16"/>
                <w:color w:val="auto"/>
                <w:w w:val="89"/>
              </w:rPr>
              <w:t>10.6</w:t>
            </w:r>
          </w:p>
        </w:tc>
        <w:tc>
          <w:tcPr>
            <w:tcW w:w="100" w:type="dxa"/>
            <w:vAlign w:val="bottom"/>
          </w:tcPr>
          <w:p>
            <w:pPr>
              <w:spacing w:after="0"/>
              <w:rPr>
                <w:sz w:val="21"/>
                <w:szCs w:val="21"/>
                <w:color w:val="auto"/>
              </w:rPr>
            </w:pPr>
          </w:p>
        </w:tc>
        <w:tc>
          <w:tcPr>
            <w:tcW w:w="5420" w:type="dxa"/>
            <w:vAlign w:val="bottom"/>
            <w:tcBorders>
              <w:bottom w:val="single" w:sz="8" w:color="0000FF"/>
            </w:tcBorders>
            <w:gridSpan w:val="19"/>
          </w:tcPr>
          <w:p>
            <w:pPr>
              <w:spacing w:after="0"/>
              <w:rPr>
                <w:rFonts w:ascii="Arial" w:cs="Arial" w:eastAsia="Arial" w:hAnsi="Arial"/>
                <w:sz w:val="16"/>
                <w:szCs w:val="16"/>
                <w:color w:val="0000FF"/>
                <w:w w:val="91"/>
              </w:rPr>
            </w:pPr>
            <w:hyperlink r:id="rId183">
              <w:r>
                <w:rPr>
                  <w:rFonts w:ascii="Arial" w:cs="Arial" w:eastAsia="Arial" w:hAnsi="Arial"/>
                  <w:sz w:val="16"/>
                  <w:szCs w:val="16"/>
                  <w:color w:val="0000FF"/>
                  <w:w w:val="91"/>
                </w:rPr>
                <w:t>Investor Rights Agreement, dated as of February 22, 2021, by and among Churchill</w:t>
              </w:r>
            </w:hyperlink>
          </w:p>
        </w:tc>
        <w:tc>
          <w:tcPr>
            <w:tcW w:w="420" w:type="dxa"/>
            <w:vAlign w:val="bottom"/>
            <w:gridSpan w:val="12"/>
          </w:tcPr>
          <w:p>
            <w:pPr>
              <w:spacing w:after="0"/>
              <w:rPr>
                <w:sz w:val="21"/>
                <w:szCs w:val="21"/>
                <w:color w:val="auto"/>
              </w:rPr>
            </w:pPr>
          </w:p>
        </w:tc>
        <w:tc>
          <w:tcPr>
            <w:tcW w:w="580" w:type="dxa"/>
            <w:vAlign w:val="bottom"/>
          </w:tcPr>
          <w:p>
            <w:pPr>
              <w:jc w:val="center"/>
              <w:spacing w:after="0"/>
              <w:rPr>
                <w:sz w:val="20"/>
                <w:szCs w:val="20"/>
                <w:color w:val="auto"/>
              </w:rPr>
            </w:pPr>
            <w:r>
              <w:rPr>
                <w:rFonts w:ascii="Arial" w:cs="Arial" w:eastAsia="Arial" w:hAnsi="Arial"/>
                <w:sz w:val="16"/>
                <w:szCs w:val="16"/>
                <w:color w:val="auto"/>
              </w:rPr>
              <w:t>8-K</w:t>
            </w:r>
          </w:p>
        </w:tc>
        <w:tc>
          <w:tcPr>
            <w:tcW w:w="960" w:type="dxa"/>
            <w:vAlign w:val="bottom"/>
          </w:tcPr>
          <w:p>
            <w:pPr>
              <w:jc w:val="center"/>
              <w:spacing w:after="0"/>
              <w:rPr>
                <w:sz w:val="20"/>
                <w:szCs w:val="20"/>
                <w:color w:val="auto"/>
              </w:rPr>
            </w:pPr>
            <w:r>
              <w:rPr>
                <w:rFonts w:ascii="Arial" w:cs="Arial" w:eastAsia="Arial" w:hAnsi="Arial"/>
                <w:sz w:val="16"/>
                <w:szCs w:val="16"/>
                <w:color w:val="auto"/>
                <w:w w:val="91"/>
              </w:rPr>
              <w:t>001-39408</w:t>
            </w:r>
          </w:p>
        </w:tc>
        <w:tc>
          <w:tcPr>
            <w:tcW w:w="1240" w:type="dxa"/>
            <w:vAlign w:val="bottom"/>
          </w:tcPr>
          <w:p>
            <w:pPr>
              <w:jc w:val="center"/>
              <w:spacing w:after="0"/>
              <w:rPr>
                <w:sz w:val="20"/>
                <w:szCs w:val="20"/>
                <w:color w:val="auto"/>
              </w:rPr>
            </w:pPr>
            <w:r>
              <w:rPr>
                <w:rFonts w:ascii="Arial" w:cs="Arial" w:eastAsia="Arial" w:hAnsi="Arial"/>
                <w:sz w:val="16"/>
                <w:szCs w:val="16"/>
                <w:color w:val="auto"/>
                <w:w w:val="90"/>
              </w:rPr>
              <w:t>February 23,</w:t>
            </w:r>
          </w:p>
        </w:tc>
        <w:tc>
          <w:tcPr>
            <w:tcW w:w="800" w:type="dxa"/>
            <w:vAlign w:val="bottom"/>
          </w:tcPr>
          <w:p>
            <w:pPr>
              <w:jc w:val="center"/>
              <w:spacing w:after="0"/>
              <w:rPr>
                <w:sz w:val="20"/>
                <w:szCs w:val="20"/>
                <w:color w:val="auto"/>
              </w:rPr>
            </w:pPr>
            <w:r>
              <w:rPr>
                <w:rFonts w:ascii="Arial" w:cs="Arial" w:eastAsia="Arial" w:hAnsi="Arial"/>
                <w:sz w:val="16"/>
                <w:szCs w:val="16"/>
                <w:color w:val="auto"/>
                <w:w w:val="96"/>
              </w:rPr>
              <w:t>10.1</w:t>
            </w: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2"/>
        </w:trPr>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40" w:type="dxa"/>
            <w:vAlign w:val="bottom"/>
            <w:gridSpan w:val="31"/>
          </w:tcPr>
          <w:p>
            <w:pPr>
              <w:spacing w:after="0" w:line="142" w:lineRule="exact"/>
              <w:rPr>
                <w:rFonts w:ascii="Arial" w:cs="Arial" w:eastAsia="Arial" w:hAnsi="Arial"/>
                <w:sz w:val="16"/>
                <w:szCs w:val="16"/>
                <w:color w:val="0000FF"/>
                <w:w w:val="98"/>
              </w:rPr>
            </w:pPr>
            <w:hyperlink r:id="rId183">
              <w:r>
                <w:rPr>
                  <w:rFonts w:ascii="Arial" w:cs="Arial" w:eastAsia="Arial" w:hAnsi="Arial"/>
                  <w:sz w:val="16"/>
                  <w:szCs w:val="16"/>
                  <w:color w:val="0000FF"/>
                  <w:w w:val="98"/>
                </w:rPr>
                <w:t>Capital Corp IV, Ayar Third Investment Company, Churchill Sponsor IV LLC and the</w:t>
              </w:r>
            </w:hyperlink>
          </w:p>
        </w:tc>
        <w:tc>
          <w:tcPr>
            <w:tcW w:w="5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40" w:type="dxa"/>
            <w:vAlign w:val="bottom"/>
          </w:tcPr>
          <w:p>
            <w:pPr>
              <w:jc w:val="center"/>
              <w:spacing w:after="0" w:line="142" w:lineRule="exact"/>
              <w:rPr>
                <w:sz w:val="20"/>
                <w:szCs w:val="20"/>
                <w:color w:val="auto"/>
              </w:rPr>
            </w:pPr>
            <w:r>
              <w:rPr>
                <w:rFonts w:ascii="Arial" w:cs="Arial" w:eastAsia="Arial" w:hAnsi="Arial"/>
                <w:sz w:val="16"/>
                <w:szCs w:val="16"/>
                <w:color w:val="auto"/>
                <w:w w:val="89"/>
              </w:rPr>
              <w:t>2021</w:t>
            </w:r>
          </w:p>
        </w:tc>
        <w:tc>
          <w:tcPr>
            <w:tcW w:w="8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tcBorders>
              <w:top w:val="single" w:sz="8" w:color="0000FF"/>
              <w:bottom w:val="single" w:sz="8" w:color="0000FF"/>
            </w:tcBorders>
            <w:gridSpan w:val="2"/>
          </w:tcPr>
          <w:p>
            <w:pPr>
              <w:spacing w:after="0" w:line="142" w:lineRule="exact"/>
              <w:rPr>
                <w:rFonts w:ascii="Arial" w:cs="Arial" w:eastAsia="Arial" w:hAnsi="Arial"/>
                <w:sz w:val="16"/>
                <w:szCs w:val="16"/>
                <w:color w:val="0000FF"/>
                <w:w w:val="88"/>
              </w:rPr>
            </w:pPr>
            <w:hyperlink r:id="rId183">
              <w:r>
                <w:rPr>
                  <w:rFonts w:ascii="Arial" w:cs="Arial" w:eastAsia="Arial" w:hAnsi="Arial"/>
                  <w:sz w:val="16"/>
                  <w:szCs w:val="16"/>
                  <w:color w:val="0000FF"/>
                  <w:w w:val="88"/>
                </w:rPr>
                <w:t>other parties named therein</w:t>
              </w:r>
            </w:hyperlink>
          </w:p>
        </w:tc>
        <w:tc>
          <w:tcPr>
            <w:tcW w:w="3800" w:type="dxa"/>
            <w:vAlign w:val="bottom"/>
            <w:tcBorders>
              <w:top w:val="single" w:sz="8" w:color="0000FF"/>
            </w:tcBorders>
            <w:gridSpan w:val="19"/>
          </w:tcPr>
          <w:p>
            <w:pPr>
              <w:spacing w:after="0"/>
              <w:rPr>
                <w:sz w:val="12"/>
                <w:szCs w:val="12"/>
                <w:color w:val="auto"/>
              </w:rPr>
            </w:pPr>
          </w:p>
        </w:tc>
        <w:tc>
          <w:tcPr>
            <w:tcW w:w="40" w:type="dxa"/>
            <w:vAlign w:val="bottom"/>
            <w:gridSpan w:val="2"/>
          </w:tcPr>
          <w:p>
            <w:pPr>
              <w:spacing w:after="0"/>
              <w:rPr>
                <w:sz w:val="12"/>
                <w:szCs w:val="12"/>
                <w:color w:val="auto"/>
              </w:rPr>
            </w:pPr>
          </w:p>
        </w:tc>
        <w:tc>
          <w:tcPr>
            <w:tcW w:w="10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60" w:type="dxa"/>
            <w:vAlign w:val="bottom"/>
            <w:gridSpan w:val="3"/>
          </w:tcPr>
          <w:p>
            <w:pPr>
              <w:spacing w:after="0"/>
              <w:rPr>
                <w:sz w:val="12"/>
                <w:szCs w:val="12"/>
                <w:color w:val="auto"/>
              </w:rPr>
            </w:pPr>
          </w:p>
        </w:tc>
        <w:tc>
          <w:tcPr>
            <w:tcW w:w="5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880" w:type="dxa"/>
            <w:vAlign w:val="bottom"/>
          </w:tcPr>
          <w:p>
            <w:pPr>
              <w:jc w:val="center"/>
              <w:spacing w:after="0"/>
              <w:rPr>
                <w:sz w:val="20"/>
                <w:szCs w:val="20"/>
                <w:color w:val="auto"/>
              </w:rPr>
            </w:pPr>
            <w:r>
              <w:rPr>
                <w:rFonts w:ascii="Arial" w:cs="Arial" w:eastAsia="Arial" w:hAnsi="Arial"/>
                <w:sz w:val="16"/>
                <w:szCs w:val="16"/>
                <w:color w:val="auto"/>
                <w:w w:val="89"/>
              </w:rPr>
              <w:t>10.7</w:t>
            </w:r>
          </w:p>
        </w:tc>
        <w:tc>
          <w:tcPr>
            <w:tcW w:w="100" w:type="dxa"/>
            <w:vAlign w:val="bottom"/>
          </w:tcPr>
          <w:p>
            <w:pPr>
              <w:spacing w:after="0"/>
              <w:rPr>
                <w:sz w:val="21"/>
                <w:szCs w:val="21"/>
                <w:color w:val="auto"/>
              </w:rPr>
            </w:pPr>
          </w:p>
        </w:tc>
        <w:tc>
          <w:tcPr>
            <w:tcW w:w="5840" w:type="dxa"/>
            <w:vAlign w:val="bottom"/>
            <w:gridSpan w:val="31"/>
          </w:tcPr>
          <w:p>
            <w:pPr>
              <w:spacing w:after="0"/>
              <w:rPr>
                <w:rFonts w:ascii="Arial" w:cs="Arial" w:eastAsia="Arial" w:hAnsi="Arial"/>
                <w:sz w:val="16"/>
                <w:szCs w:val="16"/>
                <w:color w:val="0000FF"/>
                <w:w w:val="93"/>
              </w:rPr>
            </w:pPr>
            <w:hyperlink r:id="rId184">
              <w:r>
                <w:rPr>
                  <w:rFonts w:ascii="Arial" w:cs="Arial" w:eastAsia="Arial" w:hAnsi="Arial"/>
                  <w:sz w:val="16"/>
                  <w:szCs w:val="16"/>
                  <w:color w:val="0000FF"/>
                  <w:w w:val="93"/>
                </w:rPr>
                <w:t>Amendment No. 1 to the Investor Rights Agreement, dated November 8, 2022, between</w:t>
              </w:r>
            </w:hyperlink>
          </w:p>
        </w:tc>
        <w:tc>
          <w:tcPr>
            <w:tcW w:w="580" w:type="dxa"/>
            <w:vAlign w:val="bottom"/>
          </w:tcPr>
          <w:p>
            <w:pPr>
              <w:jc w:val="center"/>
              <w:spacing w:after="0"/>
              <w:rPr>
                <w:sz w:val="20"/>
                <w:szCs w:val="20"/>
                <w:color w:val="auto"/>
              </w:rPr>
            </w:pPr>
            <w:r>
              <w:rPr>
                <w:rFonts w:ascii="Arial" w:cs="Arial" w:eastAsia="Arial" w:hAnsi="Arial"/>
                <w:sz w:val="16"/>
                <w:szCs w:val="16"/>
                <w:color w:val="auto"/>
              </w:rPr>
              <w:t>8-K</w:t>
            </w:r>
          </w:p>
        </w:tc>
        <w:tc>
          <w:tcPr>
            <w:tcW w:w="960" w:type="dxa"/>
            <w:vAlign w:val="bottom"/>
          </w:tcPr>
          <w:p>
            <w:pPr>
              <w:jc w:val="center"/>
              <w:spacing w:after="0"/>
              <w:rPr>
                <w:sz w:val="20"/>
                <w:szCs w:val="20"/>
                <w:color w:val="auto"/>
              </w:rPr>
            </w:pPr>
            <w:r>
              <w:rPr>
                <w:rFonts w:ascii="Arial" w:cs="Arial" w:eastAsia="Arial" w:hAnsi="Arial"/>
                <w:sz w:val="16"/>
                <w:szCs w:val="16"/>
                <w:color w:val="auto"/>
                <w:w w:val="91"/>
              </w:rPr>
              <w:t>001-39408</w:t>
            </w:r>
          </w:p>
        </w:tc>
        <w:tc>
          <w:tcPr>
            <w:tcW w:w="1240" w:type="dxa"/>
            <w:vAlign w:val="bottom"/>
          </w:tcPr>
          <w:p>
            <w:pPr>
              <w:jc w:val="center"/>
              <w:spacing w:after="0"/>
              <w:rPr>
                <w:sz w:val="20"/>
                <w:szCs w:val="20"/>
                <w:color w:val="auto"/>
              </w:rPr>
            </w:pPr>
            <w:r>
              <w:rPr>
                <w:rFonts w:ascii="Arial" w:cs="Arial" w:eastAsia="Arial" w:hAnsi="Arial"/>
                <w:sz w:val="16"/>
                <w:szCs w:val="16"/>
                <w:color w:val="auto"/>
                <w:w w:val="91"/>
              </w:rPr>
              <w:t>November 8,</w:t>
            </w:r>
          </w:p>
        </w:tc>
        <w:tc>
          <w:tcPr>
            <w:tcW w:w="800" w:type="dxa"/>
            <w:vAlign w:val="bottom"/>
          </w:tcPr>
          <w:p>
            <w:pPr>
              <w:jc w:val="center"/>
              <w:spacing w:after="0"/>
              <w:rPr>
                <w:sz w:val="20"/>
                <w:szCs w:val="20"/>
                <w:color w:val="auto"/>
              </w:rPr>
            </w:pPr>
            <w:r>
              <w:rPr>
                <w:rFonts w:ascii="Arial" w:cs="Arial" w:eastAsia="Arial" w:hAnsi="Arial"/>
                <w:sz w:val="16"/>
                <w:szCs w:val="16"/>
                <w:color w:val="auto"/>
                <w:w w:val="96"/>
              </w:rPr>
              <w:t>10.2</w:t>
            </w: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2"/>
        </w:trPr>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700" w:type="dxa"/>
            <w:vAlign w:val="bottom"/>
            <w:tcBorders>
              <w:top w:val="single" w:sz="8" w:color="0000FF"/>
            </w:tcBorders>
            <w:gridSpan w:val="25"/>
          </w:tcPr>
          <w:p>
            <w:pPr>
              <w:spacing w:after="0" w:line="142" w:lineRule="exact"/>
              <w:rPr>
                <w:rFonts w:ascii="Arial" w:cs="Arial" w:eastAsia="Arial" w:hAnsi="Arial"/>
                <w:sz w:val="16"/>
                <w:szCs w:val="16"/>
                <w:color w:val="0000FF"/>
              </w:rPr>
            </w:pPr>
            <w:hyperlink r:id="rId184">
              <w:r>
                <w:rPr>
                  <w:rFonts w:ascii="Arial" w:cs="Arial" w:eastAsia="Arial" w:hAnsi="Arial"/>
                  <w:sz w:val="16"/>
                  <w:szCs w:val="16"/>
                  <w:color w:val="0000FF"/>
                </w:rPr>
                <w:t>Lucid Group, Inc., Ayar Third Investment Company and the other parties thereto</w:t>
              </w:r>
            </w:hyperlink>
          </w:p>
        </w:tc>
        <w:tc>
          <w:tcPr>
            <w:tcW w:w="2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60" w:type="dxa"/>
            <w:vAlign w:val="bottom"/>
            <w:gridSpan w:val="3"/>
          </w:tcPr>
          <w:p>
            <w:pPr>
              <w:spacing w:after="0"/>
              <w:rPr>
                <w:sz w:val="12"/>
                <w:szCs w:val="12"/>
                <w:color w:val="auto"/>
              </w:rPr>
            </w:pPr>
          </w:p>
        </w:tc>
        <w:tc>
          <w:tcPr>
            <w:tcW w:w="5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40" w:type="dxa"/>
            <w:vAlign w:val="bottom"/>
          </w:tcPr>
          <w:p>
            <w:pPr>
              <w:jc w:val="center"/>
              <w:spacing w:after="0" w:line="142" w:lineRule="exact"/>
              <w:rPr>
                <w:sz w:val="20"/>
                <w:szCs w:val="20"/>
                <w:color w:val="auto"/>
              </w:rPr>
            </w:pPr>
            <w:r>
              <w:rPr>
                <w:rFonts w:ascii="Arial" w:cs="Arial" w:eastAsia="Arial" w:hAnsi="Arial"/>
                <w:sz w:val="16"/>
                <w:szCs w:val="16"/>
                <w:color w:val="auto"/>
                <w:w w:val="89"/>
              </w:rPr>
              <w:t>2022</w:t>
            </w:r>
          </w:p>
        </w:tc>
        <w:tc>
          <w:tcPr>
            <w:tcW w:w="8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880" w:type="dxa"/>
            <w:vAlign w:val="bottom"/>
          </w:tcPr>
          <w:p>
            <w:pPr>
              <w:jc w:val="center"/>
              <w:spacing w:after="0"/>
              <w:rPr>
                <w:sz w:val="20"/>
                <w:szCs w:val="20"/>
                <w:color w:val="auto"/>
              </w:rPr>
            </w:pPr>
            <w:r>
              <w:rPr>
                <w:rFonts w:ascii="Arial" w:cs="Arial" w:eastAsia="Arial" w:hAnsi="Arial"/>
                <w:sz w:val="16"/>
                <w:szCs w:val="16"/>
                <w:color w:val="auto"/>
                <w:w w:val="89"/>
              </w:rPr>
              <w:t>10.8</w:t>
            </w:r>
          </w:p>
        </w:tc>
        <w:tc>
          <w:tcPr>
            <w:tcW w:w="100" w:type="dxa"/>
            <w:vAlign w:val="bottom"/>
          </w:tcPr>
          <w:p>
            <w:pPr>
              <w:spacing w:after="0"/>
              <w:rPr>
                <w:sz w:val="21"/>
                <w:szCs w:val="21"/>
                <w:color w:val="auto"/>
              </w:rPr>
            </w:pPr>
          </w:p>
        </w:tc>
        <w:tc>
          <w:tcPr>
            <w:tcW w:w="5220" w:type="dxa"/>
            <w:vAlign w:val="bottom"/>
            <w:tcBorders>
              <w:top w:val="single" w:sz="8" w:color="0000FF"/>
            </w:tcBorders>
            <w:gridSpan w:val="16"/>
          </w:tcPr>
          <w:p>
            <w:pPr>
              <w:spacing w:after="0"/>
              <w:rPr>
                <w:rFonts w:ascii="Arial" w:cs="Arial" w:eastAsia="Arial" w:hAnsi="Arial"/>
                <w:sz w:val="16"/>
                <w:szCs w:val="16"/>
                <w:color w:val="0000FF"/>
              </w:rPr>
            </w:pPr>
            <w:hyperlink r:id="rId185">
              <w:r>
                <w:rPr>
                  <w:rFonts w:ascii="Arial" w:cs="Arial" w:eastAsia="Arial" w:hAnsi="Arial"/>
                  <w:sz w:val="16"/>
                  <w:szCs w:val="16"/>
                  <w:color w:val="0000FF"/>
                </w:rPr>
                <w:t>Form of Subscription Agreement</w:t>
              </w:r>
            </w:hyperlink>
          </w:p>
        </w:tc>
        <w:tc>
          <w:tcPr>
            <w:tcW w:w="620" w:type="dxa"/>
            <w:vAlign w:val="bottom"/>
            <w:gridSpan w:val="15"/>
          </w:tcPr>
          <w:p>
            <w:pPr>
              <w:spacing w:after="0"/>
              <w:rPr>
                <w:sz w:val="21"/>
                <w:szCs w:val="21"/>
                <w:color w:val="auto"/>
              </w:rPr>
            </w:pPr>
          </w:p>
        </w:tc>
        <w:tc>
          <w:tcPr>
            <w:tcW w:w="580" w:type="dxa"/>
            <w:vAlign w:val="bottom"/>
          </w:tcPr>
          <w:p>
            <w:pPr>
              <w:jc w:val="center"/>
              <w:spacing w:after="0"/>
              <w:rPr>
                <w:sz w:val="20"/>
                <w:szCs w:val="20"/>
                <w:color w:val="auto"/>
              </w:rPr>
            </w:pPr>
            <w:r>
              <w:rPr>
                <w:rFonts w:ascii="Arial" w:cs="Arial" w:eastAsia="Arial" w:hAnsi="Arial"/>
                <w:sz w:val="16"/>
                <w:szCs w:val="16"/>
                <w:color w:val="auto"/>
              </w:rPr>
              <w:t>8-K</w:t>
            </w:r>
          </w:p>
        </w:tc>
        <w:tc>
          <w:tcPr>
            <w:tcW w:w="960" w:type="dxa"/>
            <w:vAlign w:val="bottom"/>
          </w:tcPr>
          <w:p>
            <w:pPr>
              <w:jc w:val="center"/>
              <w:spacing w:after="0"/>
              <w:rPr>
                <w:sz w:val="20"/>
                <w:szCs w:val="20"/>
                <w:color w:val="auto"/>
              </w:rPr>
            </w:pPr>
            <w:r>
              <w:rPr>
                <w:rFonts w:ascii="Arial" w:cs="Arial" w:eastAsia="Arial" w:hAnsi="Arial"/>
                <w:sz w:val="16"/>
                <w:szCs w:val="16"/>
                <w:color w:val="auto"/>
                <w:w w:val="91"/>
              </w:rPr>
              <w:t>001-39408</w:t>
            </w:r>
          </w:p>
        </w:tc>
        <w:tc>
          <w:tcPr>
            <w:tcW w:w="1240" w:type="dxa"/>
            <w:vAlign w:val="bottom"/>
          </w:tcPr>
          <w:p>
            <w:pPr>
              <w:jc w:val="center"/>
              <w:spacing w:after="0"/>
              <w:rPr>
                <w:sz w:val="20"/>
                <w:szCs w:val="20"/>
                <w:color w:val="auto"/>
              </w:rPr>
            </w:pPr>
            <w:r>
              <w:rPr>
                <w:rFonts w:ascii="Arial" w:cs="Arial" w:eastAsia="Arial" w:hAnsi="Arial"/>
                <w:sz w:val="16"/>
                <w:szCs w:val="16"/>
                <w:color w:val="auto"/>
                <w:w w:val="90"/>
              </w:rPr>
              <w:t>February 23,</w:t>
            </w:r>
          </w:p>
        </w:tc>
        <w:tc>
          <w:tcPr>
            <w:tcW w:w="800" w:type="dxa"/>
            <w:vAlign w:val="bottom"/>
          </w:tcPr>
          <w:p>
            <w:pPr>
              <w:jc w:val="center"/>
              <w:spacing w:after="0"/>
              <w:rPr>
                <w:sz w:val="20"/>
                <w:szCs w:val="20"/>
                <w:color w:val="auto"/>
              </w:rPr>
            </w:pPr>
            <w:r>
              <w:rPr>
                <w:rFonts w:ascii="Arial" w:cs="Arial" w:eastAsia="Arial" w:hAnsi="Arial"/>
                <w:sz w:val="16"/>
                <w:szCs w:val="16"/>
                <w:color w:val="auto"/>
                <w:w w:val="96"/>
              </w:rPr>
              <w:t>10.2</w:t>
            </w: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6"/>
        </w:trPr>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Borders>
              <w:top w:val="single" w:sz="8" w:color="0000FF"/>
            </w:tcBorders>
          </w:tcPr>
          <w:p>
            <w:pPr>
              <w:spacing w:after="0"/>
              <w:rPr>
                <w:sz w:val="16"/>
                <w:szCs w:val="16"/>
                <w:color w:val="auto"/>
              </w:rPr>
            </w:pPr>
          </w:p>
        </w:tc>
        <w:tc>
          <w:tcPr>
            <w:tcW w:w="960" w:type="dxa"/>
            <w:vAlign w:val="bottom"/>
            <w:tcBorders>
              <w:top w:val="single" w:sz="8" w:color="0000FF"/>
            </w:tcBorders>
          </w:tcPr>
          <w:p>
            <w:pPr>
              <w:spacing w:after="0"/>
              <w:rPr>
                <w:sz w:val="16"/>
                <w:szCs w:val="16"/>
                <w:color w:val="auto"/>
              </w:rPr>
            </w:pPr>
          </w:p>
        </w:tc>
        <w:tc>
          <w:tcPr>
            <w:tcW w:w="160" w:type="dxa"/>
            <w:vAlign w:val="bottom"/>
            <w:tcBorders>
              <w:top w:val="single" w:sz="8" w:color="0000FF"/>
            </w:tcBorders>
          </w:tcPr>
          <w:p>
            <w:pPr>
              <w:spacing w:after="0"/>
              <w:rPr>
                <w:sz w:val="16"/>
                <w:szCs w:val="16"/>
                <w:color w:val="auto"/>
              </w:rPr>
            </w:pPr>
          </w:p>
        </w:tc>
        <w:tc>
          <w:tcPr>
            <w:tcW w:w="100" w:type="dxa"/>
            <w:vAlign w:val="bottom"/>
            <w:tcBorders>
              <w:top w:val="single" w:sz="8" w:color="0000FF"/>
            </w:tcBorders>
          </w:tcPr>
          <w:p>
            <w:pPr>
              <w:spacing w:after="0"/>
              <w:rPr>
                <w:sz w:val="16"/>
                <w:szCs w:val="16"/>
                <w:color w:val="auto"/>
              </w:rPr>
            </w:pPr>
          </w:p>
        </w:tc>
        <w:tc>
          <w:tcPr>
            <w:tcW w:w="120" w:type="dxa"/>
            <w:vAlign w:val="bottom"/>
            <w:tcBorders>
              <w:top w:val="single" w:sz="8" w:color="0000FF"/>
            </w:tcBorders>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auto"/>
                <w:w w:val="89"/>
              </w:rPr>
              <w:t>2021</w:t>
            </w:r>
          </w:p>
        </w:tc>
        <w:tc>
          <w:tcPr>
            <w:tcW w:w="8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880" w:type="dxa"/>
            <w:vAlign w:val="bottom"/>
          </w:tcPr>
          <w:p>
            <w:pPr>
              <w:jc w:val="center"/>
              <w:spacing w:after="0"/>
              <w:rPr>
                <w:sz w:val="20"/>
                <w:szCs w:val="20"/>
                <w:color w:val="auto"/>
              </w:rPr>
            </w:pPr>
            <w:r>
              <w:rPr>
                <w:rFonts w:ascii="Arial" w:cs="Arial" w:eastAsia="Arial" w:hAnsi="Arial"/>
                <w:sz w:val="16"/>
                <w:szCs w:val="16"/>
                <w:color w:val="auto"/>
                <w:w w:val="89"/>
              </w:rPr>
              <w:t>10.9</w:t>
            </w:r>
          </w:p>
        </w:tc>
        <w:tc>
          <w:tcPr>
            <w:tcW w:w="100" w:type="dxa"/>
            <w:vAlign w:val="bottom"/>
          </w:tcPr>
          <w:p>
            <w:pPr>
              <w:spacing w:after="0"/>
              <w:rPr>
                <w:sz w:val="19"/>
                <w:szCs w:val="19"/>
                <w:color w:val="auto"/>
              </w:rPr>
            </w:pPr>
          </w:p>
        </w:tc>
        <w:tc>
          <w:tcPr>
            <w:tcW w:w="5840" w:type="dxa"/>
            <w:vAlign w:val="bottom"/>
            <w:gridSpan w:val="31"/>
          </w:tcPr>
          <w:p>
            <w:pPr>
              <w:spacing w:after="0"/>
              <w:rPr>
                <w:rFonts w:ascii="Arial" w:cs="Arial" w:eastAsia="Arial" w:hAnsi="Arial"/>
                <w:sz w:val="16"/>
                <w:szCs w:val="16"/>
                <w:color w:val="0000FF"/>
                <w:w w:val="97"/>
              </w:rPr>
            </w:pPr>
            <w:hyperlink r:id="rId186">
              <w:r>
                <w:rPr>
                  <w:rFonts w:ascii="Arial" w:cs="Arial" w:eastAsia="Arial" w:hAnsi="Arial"/>
                  <w:sz w:val="16"/>
                  <w:szCs w:val="16"/>
                  <w:color w:val="0000FF"/>
                  <w:w w:val="97"/>
                </w:rPr>
                <w:t>Amended and Restated Sponsor Agreement, dated as of February 22, 2021, by and</w:t>
              </w:r>
            </w:hyperlink>
          </w:p>
        </w:tc>
        <w:tc>
          <w:tcPr>
            <w:tcW w:w="580" w:type="dxa"/>
            <w:vAlign w:val="bottom"/>
          </w:tcPr>
          <w:p>
            <w:pPr>
              <w:jc w:val="center"/>
              <w:spacing w:after="0"/>
              <w:rPr>
                <w:sz w:val="20"/>
                <w:szCs w:val="20"/>
                <w:color w:val="auto"/>
              </w:rPr>
            </w:pPr>
            <w:r>
              <w:rPr>
                <w:rFonts w:ascii="Arial" w:cs="Arial" w:eastAsia="Arial" w:hAnsi="Arial"/>
                <w:sz w:val="16"/>
                <w:szCs w:val="16"/>
                <w:color w:val="auto"/>
              </w:rPr>
              <w:t>8-K</w:t>
            </w:r>
          </w:p>
        </w:tc>
        <w:tc>
          <w:tcPr>
            <w:tcW w:w="960" w:type="dxa"/>
            <w:vAlign w:val="bottom"/>
          </w:tcPr>
          <w:p>
            <w:pPr>
              <w:jc w:val="center"/>
              <w:spacing w:after="0"/>
              <w:rPr>
                <w:sz w:val="20"/>
                <w:szCs w:val="20"/>
                <w:color w:val="auto"/>
              </w:rPr>
            </w:pPr>
            <w:r>
              <w:rPr>
                <w:rFonts w:ascii="Arial" w:cs="Arial" w:eastAsia="Arial" w:hAnsi="Arial"/>
                <w:sz w:val="16"/>
                <w:szCs w:val="16"/>
                <w:color w:val="auto"/>
                <w:w w:val="91"/>
              </w:rPr>
              <w:t>001-39408</w:t>
            </w:r>
          </w:p>
        </w:tc>
        <w:tc>
          <w:tcPr>
            <w:tcW w:w="1240" w:type="dxa"/>
            <w:vAlign w:val="bottom"/>
          </w:tcPr>
          <w:p>
            <w:pPr>
              <w:jc w:val="center"/>
              <w:spacing w:after="0"/>
              <w:rPr>
                <w:sz w:val="20"/>
                <w:szCs w:val="20"/>
                <w:color w:val="auto"/>
              </w:rPr>
            </w:pPr>
            <w:r>
              <w:rPr>
                <w:rFonts w:ascii="Arial" w:cs="Arial" w:eastAsia="Arial" w:hAnsi="Arial"/>
                <w:sz w:val="16"/>
                <w:szCs w:val="16"/>
                <w:color w:val="auto"/>
                <w:w w:val="90"/>
              </w:rPr>
              <w:t>February 23,</w:t>
            </w:r>
          </w:p>
        </w:tc>
        <w:tc>
          <w:tcPr>
            <w:tcW w:w="800" w:type="dxa"/>
            <w:vAlign w:val="bottom"/>
          </w:tcPr>
          <w:p>
            <w:pPr>
              <w:jc w:val="center"/>
              <w:spacing w:after="0"/>
              <w:rPr>
                <w:sz w:val="20"/>
                <w:szCs w:val="20"/>
                <w:color w:val="auto"/>
              </w:rPr>
            </w:pPr>
            <w:r>
              <w:rPr>
                <w:rFonts w:ascii="Arial" w:cs="Arial" w:eastAsia="Arial" w:hAnsi="Arial"/>
                <w:sz w:val="16"/>
                <w:szCs w:val="16"/>
                <w:color w:val="auto"/>
                <w:w w:val="96"/>
              </w:rPr>
              <w:t>10.3</w:t>
            </w: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2"/>
        </w:trPr>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360" w:type="dxa"/>
            <w:vAlign w:val="bottom"/>
            <w:tcBorders>
              <w:top w:val="single" w:sz="8" w:color="0000FF"/>
            </w:tcBorders>
            <w:gridSpan w:val="17"/>
          </w:tcPr>
          <w:p>
            <w:pPr>
              <w:spacing w:after="0" w:line="142" w:lineRule="exact"/>
              <w:rPr>
                <w:rFonts w:ascii="Arial" w:cs="Arial" w:eastAsia="Arial" w:hAnsi="Arial"/>
                <w:sz w:val="16"/>
                <w:szCs w:val="16"/>
                <w:color w:val="0000FF"/>
                <w:w w:val="95"/>
              </w:rPr>
            </w:pPr>
            <w:hyperlink r:id="rId186">
              <w:r>
                <w:rPr>
                  <w:rFonts w:ascii="Arial" w:cs="Arial" w:eastAsia="Arial" w:hAnsi="Arial"/>
                  <w:sz w:val="16"/>
                  <w:szCs w:val="16"/>
                  <w:color w:val="0000FF"/>
                  <w:w w:val="95"/>
                </w:rPr>
                <w:t>among Churchill Capital Corp IV, Churchill Sponsor IV LLC, and Michael Klein,</w:t>
              </w:r>
            </w:hyperlink>
          </w:p>
        </w:tc>
        <w:tc>
          <w:tcPr>
            <w:tcW w:w="480" w:type="dxa"/>
            <w:vAlign w:val="bottom"/>
            <w:gridSpan w:val="14"/>
          </w:tcPr>
          <w:p>
            <w:pPr>
              <w:spacing w:after="0" w:line="142" w:lineRule="exact"/>
              <w:rPr>
                <w:rFonts w:ascii="Arial" w:cs="Arial" w:eastAsia="Arial" w:hAnsi="Arial"/>
                <w:sz w:val="16"/>
                <w:szCs w:val="16"/>
                <w:color w:val="0000FF"/>
              </w:rPr>
            </w:pPr>
            <w:hyperlink r:id="rId186">
              <w:r>
                <w:rPr>
                  <w:rFonts w:ascii="Arial" w:cs="Arial" w:eastAsia="Arial" w:hAnsi="Arial"/>
                  <w:sz w:val="16"/>
                  <w:szCs w:val="16"/>
                  <w:color w:val="0000FF"/>
                </w:rPr>
                <w:t>Lee</w:t>
              </w:r>
            </w:hyperlink>
          </w:p>
        </w:tc>
        <w:tc>
          <w:tcPr>
            <w:tcW w:w="5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40" w:type="dxa"/>
            <w:vAlign w:val="bottom"/>
          </w:tcPr>
          <w:p>
            <w:pPr>
              <w:jc w:val="center"/>
              <w:spacing w:after="0" w:line="142" w:lineRule="exact"/>
              <w:rPr>
                <w:sz w:val="20"/>
                <w:szCs w:val="20"/>
                <w:color w:val="auto"/>
              </w:rPr>
            </w:pPr>
            <w:r>
              <w:rPr>
                <w:rFonts w:ascii="Arial" w:cs="Arial" w:eastAsia="Arial" w:hAnsi="Arial"/>
                <w:sz w:val="16"/>
                <w:szCs w:val="16"/>
                <w:color w:val="auto"/>
                <w:w w:val="89"/>
              </w:rPr>
              <w:t>2021</w:t>
            </w:r>
          </w:p>
        </w:tc>
        <w:tc>
          <w:tcPr>
            <w:tcW w:w="8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0" w:type="dxa"/>
            <w:vAlign w:val="bottom"/>
            <w:tcBorders>
              <w:top w:val="single" w:sz="8" w:color="0000FF"/>
            </w:tcBorders>
            <w:gridSpan w:val="23"/>
          </w:tcPr>
          <w:p>
            <w:pPr>
              <w:spacing w:after="0" w:line="142" w:lineRule="exact"/>
              <w:rPr>
                <w:rFonts w:ascii="Arial" w:cs="Arial" w:eastAsia="Arial" w:hAnsi="Arial"/>
                <w:sz w:val="16"/>
                <w:szCs w:val="16"/>
                <w:color w:val="0000FF"/>
                <w:w w:val="93"/>
              </w:rPr>
            </w:pPr>
            <w:hyperlink r:id="rId186">
              <w:r>
                <w:rPr>
                  <w:rFonts w:ascii="Arial" w:cs="Arial" w:eastAsia="Arial" w:hAnsi="Arial"/>
                  <w:sz w:val="16"/>
                  <w:szCs w:val="16"/>
                  <w:color w:val="0000FF"/>
                  <w:w w:val="93"/>
                </w:rPr>
                <w:t>Jay Taragin, Glenn R. August, William J. Bynum, Bonnie Jonas, Mark Klein, Malcom</w:t>
              </w:r>
            </w:hyperlink>
          </w:p>
        </w:tc>
        <w:tc>
          <w:tcPr>
            <w:tcW w:w="240" w:type="dxa"/>
            <w:vAlign w:val="bottom"/>
            <w:gridSpan w:val="8"/>
          </w:tcPr>
          <w:p>
            <w:pPr>
              <w:ind w:left="20"/>
              <w:spacing w:after="0" w:line="142" w:lineRule="exact"/>
              <w:rPr>
                <w:rFonts w:ascii="Arial" w:cs="Arial" w:eastAsia="Arial" w:hAnsi="Arial"/>
                <w:sz w:val="16"/>
                <w:szCs w:val="16"/>
                <w:color w:val="0000FF"/>
              </w:rPr>
            </w:pPr>
            <w:hyperlink r:id="rId186">
              <w:r>
                <w:rPr>
                  <w:rFonts w:ascii="Arial" w:cs="Arial" w:eastAsia="Arial" w:hAnsi="Arial"/>
                  <w:sz w:val="16"/>
                  <w:szCs w:val="16"/>
                  <w:color w:val="0000FF"/>
                </w:rPr>
                <w:t>S.</w:t>
              </w:r>
            </w:hyperlink>
          </w:p>
        </w:tc>
        <w:tc>
          <w:tcPr>
            <w:tcW w:w="5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20" w:type="dxa"/>
            <w:vAlign w:val="bottom"/>
            <w:tcBorders>
              <w:top w:val="single" w:sz="8" w:color="0000FF"/>
              <w:bottom w:val="single" w:sz="8" w:color="0000FF"/>
            </w:tcBorders>
            <w:gridSpan w:val="4"/>
          </w:tcPr>
          <w:p>
            <w:pPr>
              <w:spacing w:after="0" w:line="142" w:lineRule="exact"/>
              <w:rPr>
                <w:rFonts w:ascii="Arial" w:cs="Arial" w:eastAsia="Arial" w:hAnsi="Arial"/>
                <w:sz w:val="16"/>
                <w:szCs w:val="16"/>
                <w:color w:val="0000FF"/>
                <w:w w:val="94"/>
              </w:rPr>
            </w:pPr>
            <w:hyperlink r:id="rId186">
              <w:r>
                <w:rPr>
                  <w:rFonts w:ascii="Arial" w:cs="Arial" w:eastAsia="Arial" w:hAnsi="Arial"/>
                  <w:sz w:val="16"/>
                  <w:szCs w:val="16"/>
                  <w:color w:val="0000FF"/>
                  <w:w w:val="94"/>
                </w:rPr>
                <w:t>McDermid and Karen G. Mills</w:t>
              </w:r>
            </w:hyperlink>
          </w:p>
        </w:tc>
        <w:tc>
          <w:tcPr>
            <w:tcW w:w="3760" w:type="dxa"/>
            <w:vAlign w:val="bottom"/>
            <w:tcBorders>
              <w:top w:val="single" w:sz="8" w:color="0000FF"/>
            </w:tcBorders>
            <w:gridSpan w:val="24"/>
          </w:tcPr>
          <w:p>
            <w:pPr>
              <w:spacing w:after="0"/>
              <w:rPr>
                <w:sz w:val="12"/>
                <w:szCs w:val="12"/>
                <w:color w:val="auto"/>
              </w:rPr>
            </w:pPr>
          </w:p>
        </w:tc>
        <w:tc>
          <w:tcPr>
            <w:tcW w:w="60" w:type="dxa"/>
            <w:vAlign w:val="bottom"/>
            <w:gridSpan w:val="3"/>
          </w:tcPr>
          <w:p>
            <w:pPr>
              <w:spacing w:after="0"/>
              <w:rPr>
                <w:sz w:val="12"/>
                <w:szCs w:val="12"/>
                <w:color w:val="auto"/>
              </w:rPr>
            </w:pPr>
          </w:p>
        </w:tc>
        <w:tc>
          <w:tcPr>
            <w:tcW w:w="5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880" w:type="dxa"/>
            <w:vAlign w:val="bottom"/>
          </w:tcPr>
          <w:p>
            <w:pPr>
              <w:jc w:val="center"/>
              <w:spacing w:after="0"/>
              <w:rPr>
                <w:sz w:val="20"/>
                <w:szCs w:val="20"/>
                <w:color w:val="auto"/>
              </w:rPr>
            </w:pPr>
            <w:r>
              <w:rPr>
                <w:rFonts w:ascii="Arial" w:cs="Arial" w:eastAsia="Arial" w:hAnsi="Arial"/>
                <w:sz w:val="16"/>
                <w:szCs w:val="16"/>
                <w:color w:val="auto"/>
                <w:w w:val="89"/>
              </w:rPr>
              <w:t>10.10</w:t>
            </w:r>
          </w:p>
        </w:tc>
        <w:tc>
          <w:tcPr>
            <w:tcW w:w="100" w:type="dxa"/>
            <w:vAlign w:val="bottom"/>
          </w:tcPr>
          <w:p>
            <w:pPr>
              <w:spacing w:after="0"/>
              <w:rPr>
                <w:sz w:val="21"/>
                <w:szCs w:val="21"/>
                <w:color w:val="auto"/>
              </w:rPr>
            </w:pPr>
          </w:p>
        </w:tc>
        <w:tc>
          <w:tcPr>
            <w:tcW w:w="5840" w:type="dxa"/>
            <w:vAlign w:val="bottom"/>
            <w:gridSpan w:val="31"/>
          </w:tcPr>
          <w:p>
            <w:pPr>
              <w:spacing w:after="0"/>
              <w:rPr>
                <w:rFonts w:ascii="Arial" w:cs="Arial" w:eastAsia="Arial" w:hAnsi="Arial"/>
                <w:sz w:val="16"/>
                <w:szCs w:val="16"/>
                <w:color w:val="0000FF"/>
                <w:w w:val="93"/>
              </w:rPr>
            </w:pPr>
            <w:hyperlink r:id="rId187">
              <w:r>
                <w:rPr>
                  <w:rFonts w:ascii="Arial" w:cs="Arial" w:eastAsia="Arial" w:hAnsi="Arial"/>
                  <w:sz w:val="16"/>
                  <w:szCs w:val="16"/>
                  <w:color w:val="0000FF"/>
                  <w:w w:val="93"/>
                </w:rPr>
                <w:t>Promissory Note, dated as of February 22, 2021, by and between Churchill Capital Corp</w:t>
              </w:r>
            </w:hyperlink>
          </w:p>
        </w:tc>
        <w:tc>
          <w:tcPr>
            <w:tcW w:w="580" w:type="dxa"/>
            <w:vAlign w:val="bottom"/>
          </w:tcPr>
          <w:p>
            <w:pPr>
              <w:jc w:val="center"/>
              <w:spacing w:after="0"/>
              <w:rPr>
                <w:sz w:val="20"/>
                <w:szCs w:val="20"/>
                <w:color w:val="auto"/>
              </w:rPr>
            </w:pPr>
            <w:r>
              <w:rPr>
                <w:rFonts w:ascii="Arial" w:cs="Arial" w:eastAsia="Arial" w:hAnsi="Arial"/>
                <w:sz w:val="16"/>
                <w:szCs w:val="16"/>
                <w:color w:val="auto"/>
              </w:rPr>
              <w:t>8-K</w:t>
            </w:r>
          </w:p>
        </w:tc>
        <w:tc>
          <w:tcPr>
            <w:tcW w:w="960" w:type="dxa"/>
            <w:vAlign w:val="bottom"/>
          </w:tcPr>
          <w:p>
            <w:pPr>
              <w:jc w:val="center"/>
              <w:spacing w:after="0"/>
              <w:rPr>
                <w:sz w:val="20"/>
                <w:szCs w:val="20"/>
                <w:color w:val="auto"/>
              </w:rPr>
            </w:pPr>
            <w:r>
              <w:rPr>
                <w:rFonts w:ascii="Arial" w:cs="Arial" w:eastAsia="Arial" w:hAnsi="Arial"/>
                <w:sz w:val="16"/>
                <w:szCs w:val="16"/>
                <w:color w:val="auto"/>
                <w:w w:val="91"/>
              </w:rPr>
              <w:t>001-39408</w:t>
            </w:r>
          </w:p>
        </w:tc>
        <w:tc>
          <w:tcPr>
            <w:tcW w:w="1240" w:type="dxa"/>
            <w:vAlign w:val="bottom"/>
          </w:tcPr>
          <w:p>
            <w:pPr>
              <w:jc w:val="center"/>
              <w:spacing w:after="0"/>
              <w:rPr>
                <w:sz w:val="20"/>
                <w:szCs w:val="20"/>
                <w:color w:val="auto"/>
              </w:rPr>
            </w:pPr>
            <w:r>
              <w:rPr>
                <w:rFonts w:ascii="Arial" w:cs="Arial" w:eastAsia="Arial" w:hAnsi="Arial"/>
                <w:sz w:val="16"/>
                <w:szCs w:val="16"/>
                <w:color w:val="auto"/>
                <w:w w:val="90"/>
              </w:rPr>
              <w:t>February 23,</w:t>
            </w:r>
          </w:p>
        </w:tc>
        <w:tc>
          <w:tcPr>
            <w:tcW w:w="800" w:type="dxa"/>
            <w:vAlign w:val="bottom"/>
          </w:tcPr>
          <w:p>
            <w:pPr>
              <w:jc w:val="center"/>
              <w:spacing w:after="0"/>
              <w:rPr>
                <w:sz w:val="20"/>
                <w:szCs w:val="20"/>
                <w:color w:val="auto"/>
              </w:rPr>
            </w:pPr>
            <w:r>
              <w:rPr>
                <w:rFonts w:ascii="Arial" w:cs="Arial" w:eastAsia="Arial" w:hAnsi="Arial"/>
                <w:sz w:val="16"/>
                <w:szCs w:val="16"/>
                <w:color w:val="auto"/>
                <w:w w:val="96"/>
              </w:rPr>
              <w:t>10.4</w:t>
            </w: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2"/>
        </w:trPr>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20" w:type="dxa"/>
            <w:vAlign w:val="bottom"/>
            <w:tcBorders>
              <w:top w:val="single" w:sz="8" w:color="0000FF"/>
              <w:bottom w:val="single" w:sz="8" w:color="0000FF"/>
            </w:tcBorders>
            <w:gridSpan w:val="6"/>
          </w:tcPr>
          <w:p>
            <w:pPr>
              <w:spacing w:after="0" w:line="142" w:lineRule="exact"/>
              <w:rPr>
                <w:rFonts w:ascii="Arial" w:cs="Arial" w:eastAsia="Arial" w:hAnsi="Arial"/>
                <w:sz w:val="16"/>
                <w:szCs w:val="16"/>
                <w:color w:val="0000FF"/>
                <w:w w:val="95"/>
              </w:rPr>
            </w:pPr>
            <w:hyperlink r:id="rId187">
              <w:r>
                <w:rPr>
                  <w:rFonts w:ascii="Arial" w:cs="Arial" w:eastAsia="Arial" w:hAnsi="Arial"/>
                  <w:sz w:val="16"/>
                  <w:szCs w:val="16"/>
                  <w:color w:val="0000FF"/>
                  <w:w w:val="95"/>
                </w:rPr>
                <w:t>IV and Churchill Sponsor IV LLC</w:t>
              </w:r>
            </w:hyperlink>
          </w:p>
        </w:tc>
        <w:tc>
          <w:tcPr>
            <w:tcW w:w="3500" w:type="dxa"/>
            <w:vAlign w:val="bottom"/>
            <w:tcBorders>
              <w:top w:val="single" w:sz="8" w:color="0000FF"/>
            </w:tcBorders>
            <w:gridSpan w:val="20"/>
          </w:tcPr>
          <w:p>
            <w:pPr>
              <w:spacing w:after="0"/>
              <w:rPr>
                <w:sz w:val="12"/>
                <w:szCs w:val="12"/>
                <w:color w:val="auto"/>
              </w:rPr>
            </w:pPr>
          </w:p>
        </w:tc>
        <w:tc>
          <w:tcPr>
            <w:tcW w:w="120" w:type="dxa"/>
            <w:vAlign w:val="bottom"/>
            <w:gridSpan w:val="5"/>
          </w:tcPr>
          <w:p>
            <w:pPr>
              <w:spacing w:after="0"/>
              <w:rPr>
                <w:sz w:val="12"/>
                <w:szCs w:val="12"/>
                <w:color w:val="auto"/>
              </w:rPr>
            </w:pPr>
          </w:p>
        </w:tc>
        <w:tc>
          <w:tcPr>
            <w:tcW w:w="5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40" w:type="dxa"/>
            <w:vAlign w:val="bottom"/>
          </w:tcPr>
          <w:p>
            <w:pPr>
              <w:jc w:val="center"/>
              <w:spacing w:after="0" w:line="142" w:lineRule="exact"/>
              <w:rPr>
                <w:sz w:val="20"/>
                <w:szCs w:val="20"/>
                <w:color w:val="auto"/>
              </w:rPr>
            </w:pPr>
            <w:r>
              <w:rPr>
                <w:rFonts w:ascii="Arial" w:cs="Arial" w:eastAsia="Arial" w:hAnsi="Arial"/>
                <w:sz w:val="16"/>
                <w:szCs w:val="16"/>
                <w:color w:val="auto"/>
                <w:w w:val="89"/>
              </w:rPr>
              <w:t>2021</w:t>
            </w:r>
          </w:p>
        </w:tc>
        <w:tc>
          <w:tcPr>
            <w:tcW w:w="8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880" w:type="dxa"/>
            <w:vAlign w:val="bottom"/>
          </w:tcPr>
          <w:p>
            <w:pPr>
              <w:jc w:val="center"/>
              <w:spacing w:after="0"/>
              <w:rPr>
                <w:sz w:val="20"/>
                <w:szCs w:val="20"/>
                <w:color w:val="auto"/>
              </w:rPr>
            </w:pPr>
            <w:r>
              <w:rPr>
                <w:rFonts w:ascii="Arial" w:cs="Arial" w:eastAsia="Arial" w:hAnsi="Arial"/>
                <w:sz w:val="16"/>
                <w:szCs w:val="16"/>
                <w:color w:val="auto"/>
                <w:w w:val="92"/>
              </w:rPr>
              <w:t>10.11^</w:t>
            </w:r>
          </w:p>
        </w:tc>
        <w:tc>
          <w:tcPr>
            <w:tcW w:w="100" w:type="dxa"/>
            <w:vAlign w:val="bottom"/>
          </w:tcPr>
          <w:p>
            <w:pPr>
              <w:spacing w:after="0"/>
              <w:rPr>
                <w:sz w:val="21"/>
                <w:szCs w:val="21"/>
                <w:color w:val="auto"/>
              </w:rPr>
            </w:pPr>
          </w:p>
        </w:tc>
        <w:tc>
          <w:tcPr>
            <w:tcW w:w="5380" w:type="dxa"/>
            <w:vAlign w:val="bottom"/>
            <w:tcBorders>
              <w:bottom w:val="single" w:sz="8" w:color="0000FF"/>
            </w:tcBorders>
            <w:gridSpan w:val="18"/>
          </w:tcPr>
          <w:p>
            <w:pPr>
              <w:spacing w:after="0"/>
              <w:rPr>
                <w:rFonts w:ascii="Arial" w:cs="Arial" w:eastAsia="Arial" w:hAnsi="Arial"/>
                <w:sz w:val="16"/>
                <w:szCs w:val="16"/>
                <w:color w:val="0000FF"/>
                <w:w w:val="92"/>
              </w:rPr>
            </w:pPr>
            <w:hyperlink r:id="rId188">
              <w:r>
                <w:rPr>
                  <w:rFonts w:ascii="Arial" w:cs="Arial" w:eastAsia="Arial" w:hAnsi="Arial"/>
                  <w:sz w:val="16"/>
                  <w:szCs w:val="16"/>
                  <w:color w:val="0000FF"/>
                  <w:w w:val="92"/>
                </w:rPr>
                <w:t>Form of Option Agreement under the Lucid Group, Inc. 2021 Stock Incentive Plan</w:t>
              </w:r>
            </w:hyperlink>
          </w:p>
        </w:tc>
        <w:tc>
          <w:tcPr>
            <w:tcW w:w="460" w:type="dxa"/>
            <w:vAlign w:val="bottom"/>
            <w:gridSpan w:val="13"/>
          </w:tcPr>
          <w:p>
            <w:pPr>
              <w:spacing w:after="0"/>
              <w:rPr>
                <w:sz w:val="21"/>
                <w:szCs w:val="21"/>
                <w:color w:val="auto"/>
              </w:rPr>
            </w:pPr>
          </w:p>
        </w:tc>
        <w:tc>
          <w:tcPr>
            <w:tcW w:w="580" w:type="dxa"/>
            <w:vAlign w:val="bottom"/>
          </w:tcPr>
          <w:p>
            <w:pPr>
              <w:jc w:val="center"/>
              <w:spacing w:after="0"/>
              <w:rPr>
                <w:sz w:val="20"/>
                <w:szCs w:val="20"/>
                <w:color w:val="auto"/>
              </w:rPr>
            </w:pPr>
            <w:r>
              <w:rPr>
                <w:rFonts w:ascii="Arial" w:cs="Arial" w:eastAsia="Arial" w:hAnsi="Arial"/>
                <w:sz w:val="16"/>
                <w:szCs w:val="16"/>
                <w:color w:val="auto"/>
                <w:w w:val="88"/>
              </w:rPr>
              <w:t>S-4</w:t>
            </w:r>
          </w:p>
        </w:tc>
        <w:tc>
          <w:tcPr>
            <w:tcW w:w="960" w:type="dxa"/>
            <w:vAlign w:val="bottom"/>
          </w:tcPr>
          <w:p>
            <w:pPr>
              <w:jc w:val="center"/>
              <w:spacing w:after="0"/>
              <w:rPr>
                <w:sz w:val="20"/>
                <w:szCs w:val="20"/>
                <w:color w:val="auto"/>
              </w:rPr>
            </w:pPr>
            <w:r>
              <w:rPr>
                <w:rFonts w:ascii="Arial" w:cs="Arial" w:eastAsia="Arial" w:hAnsi="Arial"/>
                <w:sz w:val="16"/>
                <w:szCs w:val="16"/>
                <w:color w:val="auto"/>
                <w:w w:val="91"/>
              </w:rPr>
              <w:t>333-254543</w:t>
            </w:r>
          </w:p>
        </w:tc>
        <w:tc>
          <w:tcPr>
            <w:tcW w:w="1240" w:type="dxa"/>
            <w:vAlign w:val="bottom"/>
          </w:tcPr>
          <w:p>
            <w:pPr>
              <w:jc w:val="center"/>
              <w:spacing w:after="0"/>
              <w:rPr>
                <w:sz w:val="20"/>
                <w:szCs w:val="20"/>
                <w:color w:val="auto"/>
              </w:rPr>
            </w:pPr>
            <w:r>
              <w:rPr>
                <w:rFonts w:ascii="Arial" w:cs="Arial" w:eastAsia="Arial" w:hAnsi="Arial"/>
                <w:sz w:val="16"/>
                <w:szCs w:val="16"/>
                <w:color w:val="auto"/>
                <w:w w:val="91"/>
              </w:rPr>
              <w:t>March 22, 2021</w:t>
            </w:r>
          </w:p>
        </w:tc>
        <w:tc>
          <w:tcPr>
            <w:tcW w:w="800" w:type="dxa"/>
            <w:vAlign w:val="bottom"/>
          </w:tcPr>
          <w:p>
            <w:pPr>
              <w:jc w:val="center"/>
              <w:spacing w:after="0"/>
              <w:rPr>
                <w:sz w:val="20"/>
                <w:szCs w:val="20"/>
                <w:color w:val="auto"/>
              </w:rPr>
            </w:pPr>
            <w:r>
              <w:rPr>
                <w:rFonts w:ascii="Arial" w:cs="Arial" w:eastAsia="Arial" w:hAnsi="Arial"/>
                <w:sz w:val="16"/>
                <w:szCs w:val="16"/>
                <w:color w:val="auto"/>
                <w:w w:val="96"/>
              </w:rPr>
              <w:t>10.6</w:t>
            </w: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80" w:type="dxa"/>
            <w:vAlign w:val="bottom"/>
          </w:tcPr>
          <w:p>
            <w:pPr>
              <w:jc w:val="center"/>
              <w:spacing w:after="0"/>
              <w:rPr>
                <w:sz w:val="20"/>
                <w:szCs w:val="20"/>
                <w:color w:val="auto"/>
              </w:rPr>
            </w:pPr>
            <w:r>
              <w:rPr>
                <w:rFonts w:ascii="Arial" w:cs="Arial" w:eastAsia="Arial" w:hAnsi="Arial"/>
                <w:sz w:val="16"/>
                <w:szCs w:val="16"/>
                <w:color w:val="auto"/>
                <w:w w:val="92"/>
              </w:rPr>
              <w:t>10.12^</w:t>
            </w:r>
          </w:p>
        </w:tc>
        <w:tc>
          <w:tcPr>
            <w:tcW w:w="100" w:type="dxa"/>
            <w:vAlign w:val="bottom"/>
          </w:tcPr>
          <w:p>
            <w:pPr>
              <w:spacing w:after="0"/>
              <w:rPr>
                <w:sz w:val="21"/>
                <w:szCs w:val="21"/>
                <w:color w:val="auto"/>
              </w:rPr>
            </w:pPr>
          </w:p>
        </w:tc>
        <w:tc>
          <w:tcPr>
            <w:tcW w:w="5840" w:type="dxa"/>
            <w:vAlign w:val="bottom"/>
            <w:gridSpan w:val="31"/>
          </w:tcPr>
          <w:p>
            <w:pPr>
              <w:spacing w:after="0"/>
              <w:rPr>
                <w:rFonts w:ascii="Arial" w:cs="Arial" w:eastAsia="Arial" w:hAnsi="Arial"/>
                <w:sz w:val="16"/>
                <w:szCs w:val="16"/>
                <w:color w:val="0000FF"/>
              </w:rPr>
            </w:pPr>
            <w:hyperlink r:id="rId189">
              <w:r>
                <w:rPr>
                  <w:rFonts w:ascii="Arial" w:cs="Arial" w:eastAsia="Arial" w:hAnsi="Arial"/>
                  <w:sz w:val="16"/>
                  <w:szCs w:val="16"/>
                  <w:color w:val="0000FF"/>
                </w:rPr>
                <w:t>Form of RSU Agreement under the Lucid Group, Inc. 2021 Stock Incentive Plan</w:t>
              </w:r>
            </w:hyperlink>
          </w:p>
        </w:tc>
        <w:tc>
          <w:tcPr>
            <w:tcW w:w="580" w:type="dxa"/>
            <w:vAlign w:val="bottom"/>
          </w:tcPr>
          <w:p>
            <w:pPr>
              <w:jc w:val="center"/>
              <w:spacing w:after="0"/>
              <w:rPr>
                <w:sz w:val="20"/>
                <w:szCs w:val="20"/>
                <w:color w:val="auto"/>
              </w:rPr>
            </w:pPr>
            <w:r>
              <w:rPr>
                <w:rFonts w:ascii="Arial" w:cs="Arial" w:eastAsia="Arial" w:hAnsi="Arial"/>
                <w:sz w:val="16"/>
                <w:szCs w:val="16"/>
                <w:color w:val="auto"/>
                <w:w w:val="88"/>
              </w:rPr>
              <w:t>S-4</w:t>
            </w:r>
          </w:p>
        </w:tc>
        <w:tc>
          <w:tcPr>
            <w:tcW w:w="960" w:type="dxa"/>
            <w:vAlign w:val="bottom"/>
          </w:tcPr>
          <w:p>
            <w:pPr>
              <w:jc w:val="center"/>
              <w:spacing w:after="0"/>
              <w:rPr>
                <w:sz w:val="20"/>
                <w:szCs w:val="20"/>
                <w:color w:val="auto"/>
              </w:rPr>
            </w:pPr>
            <w:r>
              <w:rPr>
                <w:rFonts w:ascii="Arial" w:cs="Arial" w:eastAsia="Arial" w:hAnsi="Arial"/>
                <w:sz w:val="16"/>
                <w:szCs w:val="16"/>
                <w:color w:val="auto"/>
                <w:w w:val="91"/>
              </w:rPr>
              <w:t>333-254543</w:t>
            </w:r>
          </w:p>
        </w:tc>
        <w:tc>
          <w:tcPr>
            <w:tcW w:w="1240" w:type="dxa"/>
            <w:vAlign w:val="bottom"/>
          </w:tcPr>
          <w:p>
            <w:pPr>
              <w:jc w:val="center"/>
              <w:spacing w:after="0"/>
              <w:rPr>
                <w:sz w:val="20"/>
                <w:szCs w:val="20"/>
                <w:color w:val="auto"/>
              </w:rPr>
            </w:pPr>
            <w:r>
              <w:rPr>
                <w:rFonts w:ascii="Arial" w:cs="Arial" w:eastAsia="Arial" w:hAnsi="Arial"/>
                <w:sz w:val="16"/>
                <w:szCs w:val="16"/>
                <w:color w:val="auto"/>
                <w:w w:val="91"/>
              </w:rPr>
              <w:t>March 22, 2021</w:t>
            </w:r>
          </w:p>
        </w:tc>
        <w:tc>
          <w:tcPr>
            <w:tcW w:w="800" w:type="dxa"/>
            <w:vAlign w:val="bottom"/>
          </w:tcPr>
          <w:p>
            <w:pPr>
              <w:jc w:val="center"/>
              <w:spacing w:after="0"/>
              <w:rPr>
                <w:sz w:val="20"/>
                <w:szCs w:val="20"/>
                <w:color w:val="auto"/>
              </w:rPr>
            </w:pPr>
            <w:r>
              <w:rPr>
                <w:rFonts w:ascii="Arial" w:cs="Arial" w:eastAsia="Arial" w:hAnsi="Arial"/>
                <w:sz w:val="16"/>
                <w:szCs w:val="16"/>
                <w:color w:val="auto"/>
                <w:w w:val="96"/>
              </w:rPr>
              <w:t>10.7</w:t>
            </w: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31" w:name="page132"/>
    <w:bookmarkEnd w:id="131"/>
    <w:tbl>
      <w:tblPr>
        <w:tblLayout w:type="fixed"/>
        <w:tblInd w:w="0" w:type="dxa"/>
        <w:tblCellMar>
          <w:top w:w="0" w:type="dxa"/>
          <w:left w:w="0" w:type="dxa"/>
          <w:bottom w:w="0" w:type="dxa"/>
          <w:right w:w="0" w:type="dxa"/>
        </w:tblCellMar>
      </w:tblPr>
      <w:tr>
        <w:trPr>
          <w:trHeight w:val="184"/>
        </w:trPr>
        <w:tc>
          <w:tcPr>
            <w:tcW w:w="760" w:type="dxa"/>
            <w:vAlign w:val="bottom"/>
          </w:tcPr>
          <w:p>
            <w:pPr>
              <w:jc w:val="center"/>
              <w:ind w:right="239"/>
              <w:spacing w:after="0"/>
              <w:rPr>
                <w:sz w:val="20"/>
                <w:szCs w:val="20"/>
                <w:color w:val="auto"/>
              </w:rPr>
            </w:pPr>
            <w:r>
              <w:rPr>
                <w:rFonts w:ascii="Arial" w:cs="Arial" w:eastAsia="Arial" w:hAnsi="Arial"/>
                <w:sz w:val="16"/>
                <w:szCs w:val="16"/>
                <w:color w:val="auto"/>
                <w:w w:val="92"/>
              </w:rPr>
              <w:t>10.13^</w:t>
            </w:r>
          </w:p>
        </w:tc>
        <w:tc>
          <w:tcPr>
            <w:tcW w:w="1860" w:type="dxa"/>
            <w:vAlign w:val="bottom"/>
            <w:tcBorders>
              <w:bottom w:val="single" w:sz="8" w:color="0000FF"/>
            </w:tcBorders>
            <w:gridSpan w:val="7"/>
          </w:tcPr>
          <w:p>
            <w:pPr>
              <w:spacing w:after="0"/>
              <w:rPr>
                <w:rFonts w:ascii="Arial" w:cs="Arial" w:eastAsia="Arial" w:hAnsi="Arial"/>
                <w:sz w:val="16"/>
                <w:szCs w:val="16"/>
                <w:color w:val="0000FF"/>
                <w:w w:val="90"/>
              </w:rPr>
            </w:pPr>
            <w:hyperlink r:id="rId191">
              <w:r>
                <w:rPr>
                  <w:rFonts w:ascii="Arial" w:cs="Arial" w:eastAsia="Arial" w:hAnsi="Arial"/>
                  <w:sz w:val="16"/>
                  <w:szCs w:val="16"/>
                  <w:color w:val="0000FF"/>
                  <w:w w:val="90"/>
                </w:rPr>
                <w:t>Atieva, Inc. 2009 Share Plan</w:t>
              </w:r>
            </w:hyperlink>
          </w:p>
        </w:tc>
        <w:tc>
          <w:tcPr>
            <w:tcW w:w="4020" w:type="dxa"/>
            <w:vAlign w:val="bottom"/>
            <w:gridSpan w:val="41"/>
          </w:tcPr>
          <w:p>
            <w:pPr>
              <w:spacing w:after="0"/>
              <w:rPr>
                <w:sz w:val="16"/>
                <w:szCs w:val="16"/>
                <w:color w:val="auto"/>
              </w:rPr>
            </w:pPr>
          </w:p>
        </w:tc>
        <w:tc>
          <w:tcPr>
            <w:tcW w:w="540" w:type="dxa"/>
            <w:vAlign w:val="bottom"/>
          </w:tcPr>
          <w:p>
            <w:pPr>
              <w:jc w:val="center"/>
              <w:spacing w:after="0"/>
              <w:rPr>
                <w:sz w:val="20"/>
                <w:szCs w:val="20"/>
                <w:color w:val="auto"/>
              </w:rPr>
            </w:pPr>
            <w:r>
              <w:rPr>
                <w:rFonts w:ascii="Arial" w:cs="Arial" w:eastAsia="Arial" w:hAnsi="Arial"/>
                <w:sz w:val="16"/>
                <w:szCs w:val="16"/>
                <w:color w:val="auto"/>
                <w:w w:val="88"/>
              </w:rPr>
              <w:t>S-4</w:t>
            </w:r>
          </w:p>
        </w:tc>
        <w:tc>
          <w:tcPr>
            <w:tcW w:w="960" w:type="dxa"/>
            <w:vAlign w:val="bottom"/>
          </w:tcPr>
          <w:p>
            <w:pPr>
              <w:jc w:val="center"/>
              <w:spacing w:after="0"/>
              <w:rPr>
                <w:sz w:val="20"/>
                <w:szCs w:val="20"/>
                <w:color w:val="auto"/>
              </w:rPr>
            </w:pPr>
            <w:r>
              <w:rPr>
                <w:rFonts w:ascii="Arial" w:cs="Arial" w:eastAsia="Arial" w:hAnsi="Arial"/>
                <w:sz w:val="16"/>
                <w:szCs w:val="16"/>
                <w:color w:val="auto"/>
                <w:w w:val="91"/>
              </w:rPr>
              <w:t>333-254543</w:t>
            </w:r>
          </w:p>
        </w:tc>
        <w:tc>
          <w:tcPr>
            <w:tcW w:w="1280" w:type="dxa"/>
            <w:vAlign w:val="bottom"/>
          </w:tcPr>
          <w:p>
            <w:pPr>
              <w:jc w:val="center"/>
              <w:spacing w:after="0"/>
              <w:rPr>
                <w:sz w:val="20"/>
                <w:szCs w:val="20"/>
                <w:color w:val="auto"/>
              </w:rPr>
            </w:pPr>
            <w:r>
              <w:rPr>
                <w:rFonts w:ascii="Arial" w:cs="Arial" w:eastAsia="Arial" w:hAnsi="Arial"/>
                <w:sz w:val="16"/>
                <w:szCs w:val="16"/>
                <w:color w:val="auto"/>
                <w:w w:val="91"/>
              </w:rPr>
              <w:t>March 22, 2021</w:t>
            </w:r>
          </w:p>
        </w:tc>
        <w:tc>
          <w:tcPr>
            <w:tcW w:w="1260" w:type="dxa"/>
            <w:vAlign w:val="bottom"/>
          </w:tcPr>
          <w:p>
            <w:pPr>
              <w:jc w:val="center"/>
              <w:ind w:right="479"/>
              <w:spacing w:after="0"/>
              <w:rPr>
                <w:sz w:val="20"/>
                <w:szCs w:val="20"/>
                <w:color w:val="auto"/>
              </w:rPr>
            </w:pPr>
            <w:r>
              <w:rPr>
                <w:rFonts w:ascii="Arial" w:cs="Arial" w:eastAsia="Arial" w:hAnsi="Arial"/>
                <w:sz w:val="16"/>
                <w:szCs w:val="16"/>
                <w:color w:val="auto"/>
                <w:w w:val="96"/>
              </w:rPr>
              <w:t>10.8</w:t>
            </w:r>
          </w:p>
        </w:tc>
      </w:tr>
      <w:tr>
        <w:trPr>
          <w:trHeight w:val="250"/>
        </w:trPr>
        <w:tc>
          <w:tcPr>
            <w:tcW w:w="760" w:type="dxa"/>
            <w:vAlign w:val="bottom"/>
          </w:tcPr>
          <w:p>
            <w:pPr>
              <w:jc w:val="center"/>
              <w:ind w:right="239"/>
              <w:spacing w:after="0"/>
              <w:rPr>
                <w:sz w:val="20"/>
                <w:szCs w:val="20"/>
                <w:color w:val="auto"/>
              </w:rPr>
            </w:pPr>
            <w:r>
              <w:rPr>
                <w:rFonts w:ascii="Arial" w:cs="Arial" w:eastAsia="Arial" w:hAnsi="Arial"/>
                <w:sz w:val="16"/>
                <w:szCs w:val="16"/>
                <w:color w:val="auto"/>
                <w:w w:val="92"/>
              </w:rPr>
              <w:t>10.14^</w:t>
            </w:r>
          </w:p>
        </w:tc>
        <w:tc>
          <w:tcPr>
            <w:tcW w:w="5880" w:type="dxa"/>
            <w:vAlign w:val="bottom"/>
            <w:gridSpan w:val="48"/>
          </w:tcPr>
          <w:p>
            <w:pPr>
              <w:spacing w:after="0"/>
              <w:rPr>
                <w:rFonts w:ascii="Arial" w:cs="Arial" w:eastAsia="Arial" w:hAnsi="Arial"/>
                <w:sz w:val="16"/>
                <w:szCs w:val="16"/>
                <w:color w:val="0000FF"/>
                <w:w w:val="98"/>
              </w:rPr>
            </w:pPr>
            <w:hyperlink r:id="rId192">
              <w:r>
                <w:rPr>
                  <w:rFonts w:ascii="Arial" w:cs="Arial" w:eastAsia="Arial" w:hAnsi="Arial"/>
                  <w:sz w:val="16"/>
                  <w:szCs w:val="16"/>
                  <w:color w:val="0000FF"/>
                  <w:w w:val="98"/>
                </w:rPr>
                <w:t>Form of Amended and Restated Notice of Share Option Grant under the Atieva, Inc.</w:t>
              </w:r>
            </w:hyperlink>
          </w:p>
        </w:tc>
        <w:tc>
          <w:tcPr>
            <w:tcW w:w="540" w:type="dxa"/>
            <w:vAlign w:val="bottom"/>
          </w:tcPr>
          <w:p>
            <w:pPr>
              <w:jc w:val="center"/>
              <w:spacing w:after="0"/>
              <w:rPr>
                <w:sz w:val="20"/>
                <w:szCs w:val="20"/>
                <w:color w:val="auto"/>
              </w:rPr>
            </w:pPr>
            <w:r>
              <w:rPr>
                <w:rFonts w:ascii="Arial" w:cs="Arial" w:eastAsia="Arial" w:hAnsi="Arial"/>
                <w:sz w:val="16"/>
                <w:szCs w:val="16"/>
                <w:color w:val="auto"/>
                <w:w w:val="88"/>
              </w:rPr>
              <w:t>S-4</w:t>
            </w:r>
          </w:p>
        </w:tc>
        <w:tc>
          <w:tcPr>
            <w:tcW w:w="960" w:type="dxa"/>
            <w:vAlign w:val="bottom"/>
          </w:tcPr>
          <w:p>
            <w:pPr>
              <w:jc w:val="center"/>
              <w:spacing w:after="0"/>
              <w:rPr>
                <w:sz w:val="20"/>
                <w:szCs w:val="20"/>
                <w:color w:val="auto"/>
              </w:rPr>
            </w:pPr>
            <w:r>
              <w:rPr>
                <w:rFonts w:ascii="Arial" w:cs="Arial" w:eastAsia="Arial" w:hAnsi="Arial"/>
                <w:sz w:val="16"/>
                <w:szCs w:val="16"/>
                <w:color w:val="auto"/>
                <w:w w:val="91"/>
              </w:rPr>
              <w:t>333-254543</w:t>
            </w:r>
          </w:p>
        </w:tc>
        <w:tc>
          <w:tcPr>
            <w:tcW w:w="1280" w:type="dxa"/>
            <w:vAlign w:val="bottom"/>
          </w:tcPr>
          <w:p>
            <w:pPr>
              <w:jc w:val="center"/>
              <w:spacing w:after="0"/>
              <w:rPr>
                <w:sz w:val="20"/>
                <w:szCs w:val="20"/>
                <w:color w:val="auto"/>
              </w:rPr>
            </w:pPr>
            <w:r>
              <w:rPr>
                <w:rFonts w:ascii="Arial" w:cs="Arial" w:eastAsia="Arial" w:hAnsi="Arial"/>
                <w:sz w:val="16"/>
                <w:szCs w:val="16"/>
                <w:color w:val="auto"/>
                <w:w w:val="91"/>
              </w:rPr>
              <w:t>March 22, 2021</w:t>
            </w:r>
          </w:p>
        </w:tc>
        <w:tc>
          <w:tcPr>
            <w:tcW w:w="1260" w:type="dxa"/>
            <w:vAlign w:val="bottom"/>
          </w:tcPr>
          <w:p>
            <w:pPr>
              <w:jc w:val="center"/>
              <w:ind w:right="479"/>
              <w:spacing w:after="0"/>
              <w:rPr>
                <w:sz w:val="20"/>
                <w:szCs w:val="20"/>
                <w:color w:val="auto"/>
              </w:rPr>
            </w:pPr>
            <w:r>
              <w:rPr>
                <w:rFonts w:ascii="Arial" w:cs="Arial" w:eastAsia="Arial" w:hAnsi="Arial"/>
                <w:sz w:val="16"/>
                <w:szCs w:val="16"/>
                <w:color w:val="auto"/>
                <w:w w:val="96"/>
              </w:rPr>
              <w:t>10.9</w:t>
            </w:r>
          </w:p>
        </w:tc>
      </w:tr>
      <w:tr>
        <w:trPr>
          <w:trHeight w:val="142"/>
        </w:trPr>
        <w:tc>
          <w:tcPr>
            <w:tcW w:w="760" w:type="dxa"/>
            <w:vAlign w:val="bottom"/>
          </w:tcPr>
          <w:p>
            <w:pPr>
              <w:spacing w:after="0"/>
              <w:rPr>
                <w:sz w:val="12"/>
                <w:szCs w:val="12"/>
                <w:color w:val="auto"/>
              </w:rPr>
            </w:pPr>
          </w:p>
        </w:tc>
        <w:tc>
          <w:tcPr>
            <w:tcW w:w="1060" w:type="dxa"/>
            <w:vAlign w:val="bottom"/>
            <w:tcBorders>
              <w:top w:val="single" w:sz="8" w:color="0000FF"/>
              <w:bottom w:val="single" w:sz="8" w:color="0000FF"/>
            </w:tcBorders>
            <w:gridSpan w:val="4"/>
          </w:tcPr>
          <w:p>
            <w:pPr>
              <w:spacing w:after="0" w:line="142" w:lineRule="exact"/>
              <w:rPr>
                <w:rFonts w:ascii="Arial" w:cs="Arial" w:eastAsia="Arial" w:hAnsi="Arial"/>
                <w:sz w:val="16"/>
                <w:szCs w:val="16"/>
                <w:color w:val="0000FF"/>
                <w:w w:val="87"/>
              </w:rPr>
            </w:pPr>
            <w:hyperlink r:id="rId192">
              <w:r>
                <w:rPr>
                  <w:rFonts w:ascii="Arial" w:cs="Arial" w:eastAsia="Arial" w:hAnsi="Arial"/>
                  <w:sz w:val="16"/>
                  <w:szCs w:val="16"/>
                  <w:color w:val="0000FF"/>
                  <w:w w:val="87"/>
                </w:rPr>
                <w:t>2009 Share Plan</w:t>
              </w:r>
            </w:hyperlink>
          </w:p>
        </w:tc>
        <w:tc>
          <w:tcPr>
            <w:tcW w:w="4420" w:type="dxa"/>
            <w:vAlign w:val="bottom"/>
            <w:tcBorders>
              <w:top w:val="single" w:sz="8" w:color="0000FF"/>
            </w:tcBorders>
            <w:gridSpan w:val="29"/>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60" w:type="dxa"/>
            <w:vAlign w:val="bottom"/>
          </w:tcPr>
          <w:p>
            <w:pPr>
              <w:spacing w:after="0"/>
              <w:rPr>
                <w:sz w:val="12"/>
                <w:szCs w:val="12"/>
                <w:color w:val="auto"/>
              </w:rPr>
            </w:pPr>
          </w:p>
        </w:tc>
      </w:tr>
      <w:tr>
        <w:trPr>
          <w:trHeight w:val="250"/>
        </w:trPr>
        <w:tc>
          <w:tcPr>
            <w:tcW w:w="760" w:type="dxa"/>
            <w:vAlign w:val="bottom"/>
          </w:tcPr>
          <w:p>
            <w:pPr>
              <w:jc w:val="center"/>
              <w:ind w:right="239"/>
              <w:spacing w:after="0"/>
              <w:rPr>
                <w:sz w:val="20"/>
                <w:szCs w:val="20"/>
                <w:color w:val="auto"/>
              </w:rPr>
            </w:pPr>
            <w:r>
              <w:rPr>
                <w:rFonts w:ascii="Arial" w:cs="Arial" w:eastAsia="Arial" w:hAnsi="Arial"/>
                <w:sz w:val="16"/>
                <w:szCs w:val="16"/>
                <w:color w:val="auto"/>
                <w:w w:val="92"/>
              </w:rPr>
              <w:t>10.15^</w:t>
            </w:r>
          </w:p>
        </w:tc>
        <w:tc>
          <w:tcPr>
            <w:tcW w:w="3860" w:type="dxa"/>
            <w:vAlign w:val="bottom"/>
            <w:tcBorders>
              <w:bottom w:val="single" w:sz="8" w:color="0000FF"/>
            </w:tcBorders>
            <w:gridSpan w:val="18"/>
          </w:tcPr>
          <w:p>
            <w:pPr>
              <w:spacing w:after="0"/>
              <w:rPr>
                <w:rFonts w:ascii="Arial" w:cs="Arial" w:eastAsia="Arial" w:hAnsi="Arial"/>
                <w:sz w:val="16"/>
                <w:szCs w:val="16"/>
                <w:color w:val="0000FF"/>
                <w:w w:val="89"/>
              </w:rPr>
            </w:pPr>
            <w:hyperlink r:id="rId193">
              <w:r>
                <w:rPr>
                  <w:rFonts w:ascii="Arial" w:cs="Arial" w:eastAsia="Arial" w:hAnsi="Arial"/>
                  <w:sz w:val="16"/>
                  <w:szCs w:val="16"/>
                  <w:color w:val="0000FF"/>
                  <w:w w:val="89"/>
                </w:rPr>
                <w:t>Atieva, Inc. 2014 Share Plan, as amended January 11, 2021</w:t>
              </w:r>
            </w:hyperlink>
          </w:p>
        </w:tc>
        <w:tc>
          <w:tcPr>
            <w:tcW w:w="2020" w:type="dxa"/>
            <w:vAlign w:val="bottom"/>
            <w:gridSpan w:val="30"/>
          </w:tcPr>
          <w:p>
            <w:pPr>
              <w:spacing w:after="0"/>
              <w:rPr>
                <w:sz w:val="21"/>
                <w:szCs w:val="21"/>
                <w:color w:val="auto"/>
              </w:rPr>
            </w:pPr>
          </w:p>
        </w:tc>
        <w:tc>
          <w:tcPr>
            <w:tcW w:w="540" w:type="dxa"/>
            <w:vAlign w:val="bottom"/>
          </w:tcPr>
          <w:p>
            <w:pPr>
              <w:jc w:val="center"/>
              <w:spacing w:after="0"/>
              <w:rPr>
                <w:sz w:val="20"/>
                <w:szCs w:val="20"/>
                <w:color w:val="auto"/>
              </w:rPr>
            </w:pPr>
            <w:r>
              <w:rPr>
                <w:rFonts w:ascii="Arial" w:cs="Arial" w:eastAsia="Arial" w:hAnsi="Arial"/>
                <w:sz w:val="16"/>
                <w:szCs w:val="16"/>
                <w:color w:val="auto"/>
                <w:w w:val="88"/>
              </w:rPr>
              <w:t>S-4</w:t>
            </w:r>
          </w:p>
        </w:tc>
        <w:tc>
          <w:tcPr>
            <w:tcW w:w="960" w:type="dxa"/>
            <w:vAlign w:val="bottom"/>
          </w:tcPr>
          <w:p>
            <w:pPr>
              <w:jc w:val="center"/>
              <w:spacing w:after="0"/>
              <w:rPr>
                <w:sz w:val="20"/>
                <w:szCs w:val="20"/>
                <w:color w:val="auto"/>
              </w:rPr>
            </w:pPr>
            <w:r>
              <w:rPr>
                <w:rFonts w:ascii="Arial" w:cs="Arial" w:eastAsia="Arial" w:hAnsi="Arial"/>
                <w:sz w:val="16"/>
                <w:szCs w:val="16"/>
                <w:color w:val="auto"/>
                <w:w w:val="91"/>
              </w:rPr>
              <w:t>333-254543</w:t>
            </w:r>
          </w:p>
        </w:tc>
        <w:tc>
          <w:tcPr>
            <w:tcW w:w="1280" w:type="dxa"/>
            <w:vAlign w:val="bottom"/>
          </w:tcPr>
          <w:p>
            <w:pPr>
              <w:jc w:val="center"/>
              <w:spacing w:after="0"/>
              <w:rPr>
                <w:sz w:val="20"/>
                <w:szCs w:val="20"/>
                <w:color w:val="auto"/>
              </w:rPr>
            </w:pPr>
            <w:r>
              <w:rPr>
                <w:rFonts w:ascii="Arial" w:cs="Arial" w:eastAsia="Arial" w:hAnsi="Arial"/>
                <w:sz w:val="16"/>
                <w:szCs w:val="16"/>
                <w:color w:val="auto"/>
                <w:w w:val="91"/>
              </w:rPr>
              <w:t>March 22, 2021</w:t>
            </w:r>
          </w:p>
        </w:tc>
        <w:tc>
          <w:tcPr>
            <w:tcW w:w="1260" w:type="dxa"/>
            <w:vAlign w:val="bottom"/>
          </w:tcPr>
          <w:p>
            <w:pPr>
              <w:jc w:val="center"/>
              <w:ind w:right="479"/>
              <w:spacing w:after="0"/>
              <w:rPr>
                <w:sz w:val="20"/>
                <w:szCs w:val="20"/>
                <w:color w:val="auto"/>
              </w:rPr>
            </w:pPr>
            <w:r>
              <w:rPr>
                <w:rFonts w:ascii="Arial" w:cs="Arial" w:eastAsia="Arial" w:hAnsi="Arial"/>
                <w:sz w:val="16"/>
                <w:szCs w:val="16"/>
                <w:color w:val="auto"/>
                <w:w w:val="94"/>
              </w:rPr>
              <w:t>10.10</w:t>
            </w:r>
          </w:p>
        </w:tc>
      </w:tr>
      <w:tr>
        <w:trPr>
          <w:trHeight w:val="250"/>
        </w:trPr>
        <w:tc>
          <w:tcPr>
            <w:tcW w:w="760" w:type="dxa"/>
            <w:vAlign w:val="bottom"/>
          </w:tcPr>
          <w:p>
            <w:pPr>
              <w:jc w:val="center"/>
              <w:ind w:right="239"/>
              <w:spacing w:after="0"/>
              <w:rPr>
                <w:sz w:val="20"/>
                <w:szCs w:val="20"/>
                <w:color w:val="auto"/>
              </w:rPr>
            </w:pPr>
            <w:r>
              <w:rPr>
                <w:rFonts w:ascii="Arial" w:cs="Arial" w:eastAsia="Arial" w:hAnsi="Arial"/>
                <w:sz w:val="16"/>
                <w:szCs w:val="16"/>
                <w:color w:val="auto"/>
                <w:w w:val="92"/>
              </w:rPr>
              <w:t>10.16^</w:t>
            </w:r>
          </w:p>
        </w:tc>
        <w:tc>
          <w:tcPr>
            <w:tcW w:w="5880" w:type="dxa"/>
            <w:vAlign w:val="bottom"/>
            <w:gridSpan w:val="48"/>
          </w:tcPr>
          <w:p>
            <w:pPr>
              <w:spacing w:after="0"/>
              <w:rPr>
                <w:rFonts w:ascii="Arial" w:cs="Arial" w:eastAsia="Arial" w:hAnsi="Arial"/>
                <w:sz w:val="16"/>
                <w:szCs w:val="16"/>
                <w:color w:val="0000FF"/>
                <w:w w:val="98"/>
              </w:rPr>
            </w:pPr>
            <w:hyperlink r:id="rId194">
              <w:r>
                <w:rPr>
                  <w:rFonts w:ascii="Arial" w:cs="Arial" w:eastAsia="Arial" w:hAnsi="Arial"/>
                  <w:sz w:val="16"/>
                  <w:szCs w:val="16"/>
                  <w:color w:val="0000FF"/>
                  <w:w w:val="98"/>
                </w:rPr>
                <w:t>Form of Amended and Restated Notice of Share Option Grant under the Atieva, Inc.</w:t>
              </w:r>
            </w:hyperlink>
          </w:p>
        </w:tc>
        <w:tc>
          <w:tcPr>
            <w:tcW w:w="540" w:type="dxa"/>
            <w:vAlign w:val="bottom"/>
          </w:tcPr>
          <w:p>
            <w:pPr>
              <w:jc w:val="center"/>
              <w:spacing w:after="0"/>
              <w:rPr>
                <w:sz w:val="20"/>
                <w:szCs w:val="20"/>
                <w:color w:val="auto"/>
              </w:rPr>
            </w:pPr>
            <w:r>
              <w:rPr>
                <w:rFonts w:ascii="Arial" w:cs="Arial" w:eastAsia="Arial" w:hAnsi="Arial"/>
                <w:sz w:val="16"/>
                <w:szCs w:val="16"/>
                <w:color w:val="auto"/>
                <w:w w:val="88"/>
              </w:rPr>
              <w:t>S-4</w:t>
            </w:r>
          </w:p>
        </w:tc>
        <w:tc>
          <w:tcPr>
            <w:tcW w:w="960" w:type="dxa"/>
            <w:vAlign w:val="bottom"/>
          </w:tcPr>
          <w:p>
            <w:pPr>
              <w:jc w:val="center"/>
              <w:spacing w:after="0"/>
              <w:rPr>
                <w:sz w:val="20"/>
                <w:szCs w:val="20"/>
                <w:color w:val="auto"/>
              </w:rPr>
            </w:pPr>
            <w:r>
              <w:rPr>
                <w:rFonts w:ascii="Arial" w:cs="Arial" w:eastAsia="Arial" w:hAnsi="Arial"/>
                <w:sz w:val="16"/>
                <w:szCs w:val="16"/>
                <w:color w:val="auto"/>
                <w:w w:val="91"/>
              </w:rPr>
              <w:t>333-254543</w:t>
            </w:r>
          </w:p>
        </w:tc>
        <w:tc>
          <w:tcPr>
            <w:tcW w:w="1280" w:type="dxa"/>
            <w:vAlign w:val="bottom"/>
          </w:tcPr>
          <w:p>
            <w:pPr>
              <w:jc w:val="center"/>
              <w:spacing w:after="0"/>
              <w:rPr>
                <w:sz w:val="20"/>
                <w:szCs w:val="20"/>
                <w:color w:val="auto"/>
              </w:rPr>
            </w:pPr>
            <w:r>
              <w:rPr>
                <w:rFonts w:ascii="Arial" w:cs="Arial" w:eastAsia="Arial" w:hAnsi="Arial"/>
                <w:sz w:val="16"/>
                <w:szCs w:val="16"/>
                <w:color w:val="auto"/>
                <w:w w:val="91"/>
              </w:rPr>
              <w:t>March 22, 2021</w:t>
            </w:r>
          </w:p>
        </w:tc>
        <w:tc>
          <w:tcPr>
            <w:tcW w:w="1260" w:type="dxa"/>
            <w:vAlign w:val="bottom"/>
          </w:tcPr>
          <w:p>
            <w:pPr>
              <w:jc w:val="center"/>
              <w:ind w:right="459"/>
              <w:spacing w:after="0"/>
              <w:rPr>
                <w:sz w:val="20"/>
                <w:szCs w:val="20"/>
                <w:color w:val="auto"/>
              </w:rPr>
            </w:pPr>
            <w:r>
              <w:rPr>
                <w:rFonts w:ascii="Arial" w:cs="Arial" w:eastAsia="Arial" w:hAnsi="Arial"/>
                <w:sz w:val="16"/>
                <w:szCs w:val="16"/>
                <w:color w:val="auto"/>
                <w:w w:val="89"/>
              </w:rPr>
              <w:t>10.11</w:t>
            </w:r>
          </w:p>
        </w:tc>
      </w:tr>
      <w:tr>
        <w:trPr>
          <w:trHeight w:val="142"/>
        </w:trPr>
        <w:tc>
          <w:tcPr>
            <w:tcW w:w="760" w:type="dxa"/>
            <w:vAlign w:val="bottom"/>
          </w:tcPr>
          <w:p>
            <w:pPr>
              <w:spacing w:after="0"/>
              <w:rPr>
                <w:sz w:val="12"/>
                <w:szCs w:val="12"/>
                <w:color w:val="auto"/>
              </w:rPr>
            </w:pPr>
          </w:p>
        </w:tc>
        <w:tc>
          <w:tcPr>
            <w:tcW w:w="1060" w:type="dxa"/>
            <w:vAlign w:val="bottom"/>
            <w:tcBorders>
              <w:top w:val="single" w:sz="8" w:color="0000FF"/>
              <w:bottom w:val="single" w:sz="8" w:color="0000FF"/>
            </w:tcBorders>
            <w:gridSpan w:val="4"/>
          </w:tcPr>
          <w:p>
            <w:pPr>
              <w:spacing w:after="0" w:line="142" w:lineRule="exact"/>
              <w:rPr>
                <w:rFonts w:ascii="Arial" w:cs="Arial" w:eastAsia="Arial" w:hAnsi="Arial"/>
                <w:sz w:val="16"/>
                <w:szCs w:val="16"/>
                <w:color w:val="0000FF"/>
                <w:w w:val="87"/>
              </w:rPr>
            </w:pPr>
            <w:hyperlink r:id="rId194">
              <w:r>
                <w:rPr>
                  <w:rFonts w:ascii="Arial" w:cs="Arial" w:eastAsia="Arial" w:hAnsi="Arial"/>
                  <w:sz w:val="16"/>
                  <w:szCs w:val="16"/>
                  <w:color w:val="0000FF"/>
                  <w:w w:val="87"/>
                </w:rPr>
                <w:t>2014 Share Plan</w:t>
              </w:r>
            </w:hyperlink>
          </w:p>
        </w:tc>
        <w:tc>
          <w:tcPr>
            <w:tcW w:w="4420" w:type="dxa"/>
            <w:vAlign w:val="bottom"/>
            <w:tcBorders>
              <w:top w:val="single" w:sz="8" w:color="0000FF"/>
            </w:tcBorders>
            <w:gridSpan w:val="29"/>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60" w:type="dxa"/>
            <w:vAlign w:val="bottom"/>
          </w:tcPr>
          <w:p>
            <w:pPr>
              <w:spacing w:after="0"/>
              <w:rPr>
                <w:sz w:val="12"/>
                <w:szCs w:val="12"/>
                <w:color w:val="auto"/>
              </w:rPr>
            </w:pPr>
          </w:p>
        </w:tc>
      </w:tr>
      <w:tr>
        <w:trPr>
          <w:trHeight w:val="250"/>
        </w:trPr>
        <w:tc>
          <w:tcPr>
            <w:tcW w:w="760" w:type="dxa"/>
            <w:vAlign w:val="bottom"/>
          </w:tcPr>
          <w:p>
            <w:pPr>
              <w:jc w:val="center"/>
              <w:ind w:right="239"/>
              <w:spacing w:after="0"/>
              <w:rPr>
                <w:sz w:val="20"/>
                <w:szCs w:val="20"/>
                <w:color w:val="auto"/>
              </w:rPr>
            </w:pPr>
            <w:r>
              <w:rPr>
                <w:rFonts w:ascii="Arial" w:cs="Arial" w:eastAsia="Arial" w:hAnsi="Arial"/>
                <w:sz w:val="16"/>
                <w:szCs w:val="16"/>
                <w:color w:val="auto"/>
                <w:w w:val="92"/>
              </w:rPr>
              <w:t>10.17^</w:t>
            </w:r>
          </w:p>
        </w:tc>
        <w:tc>
          <w:tcPr>
            <w:tcW w:w="4580" w:type="dxa"/>
            <w:vAlign w:val="bottom"/>
            <w:tcBorders>
              <w:bottom w:val="single" w:sz="8" w:color="0000FF"/>
            </w:tcBorders>
            <w:gridSpan w:val="26"/>
          </w:tcPr>
          <w:p>
            <w:pPr>
              <w:spacing w:after="0"/>
              <w:rPr>
                <w:rFonts w:ascii="Arial" w:cs="Arial" w:eastAsia="Arial" w:hAnsi="Arial"/>
                <w:sz w:val="16"/>
                <w:szCs w:val="16"/>
                <w:color w:val="0000FF"/>
                <w:w w:val="91"/>
              </w:rPr>
            </w:pPr>
            <w:hyperlink r:id="rId195">
              <w:r>
                <w:rPr>
                  <w:rFonts w:ascii="Arial" w:cs="Arial" w:eastAsia="Arial" w:hAnsi="Arial"/>
                  <w:sz w:val="16"/>
                  <w:szCs w:val="16"/>
                  <w:color w:val="0000FF"/>
                  <w:w w:val="91"/>
                </w:rPr>
                <w:t>Atieva, Inc. 2021 Stock Incentive Plan, as amended February 22, 2021</w:t>
              </w:r>
            </w:hyperlink>
          </w:p>
        </w:tc>
        <w:tc>
          <w:tcPr>
            <w:tcW w:w="1300" w:type="dxa"/>
            <w:vAlign w:val="bottom"/>
            <w:gridSpan w:val="22"/>
          </w:tcPr>
          <w:p>
            <w:pPr>
              <w:spacing w:after="0"/>
              <w:rPr>
                <w:sz w:val="21"/>
                <w:szCs w:val="21"/>
                <w:color w:val="auto"/>
              </w:rPr>
            </w:pPr>
          </w:p>
        </w:tc>
        <w:tc>
          <w:tcPr>
            <w:tcW w:w="540" w:type="dxa"/>
            <w:vAlign w:val="bottom"/>
          </w:tcPr>
          <w:p>
            <w:pPr>
              <w:jc w:val="center"/>
              <w:spacing w:after="0"/>
              <w:rPr>
                <w:sz w:val="20"/>
                <w:szCs w:val="20"/>
                <w:color w:val="auto"/>
              </w:rPr>
            </w:pPr>
            <w:r>
              <w:rPr>
                <w:rFonts w:ascii="Arial" w:cs="Arial" w:eastAsia="Arial" w:hAnsi="Arial"/>
                <w:sz w:val="16"/>
                <w:szCs w:val="16"/>
                <w:color w:val="auto"/>
                <w:w w:val="88"/>
              </w:rPr>
              <w:t>S-4</w:t>
            </w:r>
          </w:p>
        </w:tc>
        <w:tc>
          <w:tcPr>
            <w:tcW w:w="960" w:type="dxa"/>
            <w:vAlign w:val="bottom"/>
          </w:tcPr>
          <w:p>
            <w:pPr>
              <w:jc w:val="center"/>
              <w:spacing w:after="0"/>
              <w:rPr>
                <w:sz w:val="20"/>
                <w:szCs w:val="20"/>
                <w:color w:val="auto"/>
              </w:rPr>
            </w:pPr>
            <w:r>
              <w:rPr>
                <w:rFonts w:ascii="Arial" w:cs="Arial" w:eastAsia="Arial" w:hAnsi="Arial"/>
                <w:sz w:val="16"/>
                <w:szCs w:val="16"/>
                <w:color w:val="auto"/>
                <w:w w:val="91"/>
              </w:rPr>
              <w:t>333-254543</w:t>
            </w:r>
          </w:p>
        </w:tc>
        <w:tc>
          <w:tcPr>
            <w:tcW w:w="1280" w:type="dxa"/>
            <w:vAlign w:val="bottom"/>
          </w:tcPr>
          <w:p>
            <w:pPr>
              <w:jc w:val="center"/>
              <w:spacing w:after="0"/>
              <w:rPr>
                <w:sz w:val="20"/>
                <w:szCs w:val="20"/>
                <w:color w:val="auto"/>
              </w:rPr>
            </w:pPr>
            <w:r>
              <w:rPr>
                <w:rFonts w:ascii="Arial" w:cs="Arial" w:eastAsia="Arial" w:hAnsi="Arial"/>
                <w:sz w:val="16"/>
                <w:szCs w:val="16"/>
                <w:color w:val="auto"/>
                <w:w w:val="91"/>
              </w:rPr>
              <w:t>March 22, 2021</w:t>
            </w:r>
          </w:p>
        </w:tc>
        <w:tc>
          <w:tcPr>
            <w:tcW w:w="1260" w:type="dxa"/>
            <w:vAlign w:val="bottom"/>
          </w:tcPr>
          <w:p>
            <w:pPr>
              <w:jc w:val="center"/>
              <w:ind w:right="479"/>
              <w:spacing w:after="0"/>
              <w:rPr>
                <w:sz w:val="20"/>
                <w:szCs w:val="20"/>
                <w:color w:val="auto"/>
              </w:rPr>
            </w:pPr>
            <w:r>
              <w:rPr>
                <w:rFonts w:ascii="Arial" w:cs="Arial" w:eastAsia="Arial" w:hAnsi="Arial"/>
                <w:sz w:val="16"/>
                <w:szCs w:val="16"/>
                <w:color w:val="auto"/>
                <w:w w:val="94"/>
              </w:rPr>
              <w:t>10.12</w:t>
            </w:r>
          </w:p>
        </w:tc>
      </w:tr>
      <w:tr>
        <w:trPr>
          <w:trHeight w:val="250"/>
        </w:trPr>
        <w:tc>
          <w:tcPr>
            <w:tcW w:w="760" w:type="dxa"/>
            <w:vAlign w:val="bottom"/>
          </w:tcPr>
          <w:p>
            <w:pPr>
              <w:jc w:val="center"/>
              <w:ind w:right="239"/>
              <w:spacing w:after="0"/>
              <w:rPr>
                <w:sz w:val="20"/>
                <w:szCs w:val="20"/>
                <w:color w:val="auto"/>
              </w:rPr>
            </w:pPr>
            <w:r>
              <w:rPr>
                <w:rFonts w:ascii="Arial" w:cs="Arial" w:eastAsia="Arial" w:hAnsi="Arial"/>
                <w:sz w:val="16"/>
                <w:szCs w:val="16"/>
                <w:color w:val="auto"/>
                <w:w w:val="92"/>
              </w:rPr>
              <w:t>10.18^</w:t>
            </w:r>
          </w:p>
        </w:tc>
        <w:tc>
          <w:tcPr>
            <w:tcW w:w="5380" w:type="dxa"/>
            <w:vAlign w:val="bottom"/>
            <w:tcBorders>
              <w:bottom w:val="single" w:sz="8" w:color="0000FF"/>
            </w:tcBorders>
            <w:gridSpan w:val="31"/>
          </w:tcPr>
          <w:p>
            <w:pPr>
              <w:spacing w:after="0"/>
              <w:rPr>
                <w:rFonts w:ascii="Arial" w:cs="Arial" w:eastAsia="Arial" w:hAnsi="Arial"/>
                <w:sz w:val="16"/>
                <w:szCs w:val="16"/>
                <w:color w:val="0000FF"/>
                <w:w w:val="92"/>
              </w:rPr>
            </w:pPr>
            <w:hyperlink r:id="rId196">
              <w:r>
                <w:rPr>
                  <w:rFonts w:ascii="Arial" w:cs="Arial" w:eastAsia="Arial" w:hAnsi="Arial"/>
                  <w:sz w:val="16"/>
                  <w:szCs w:val="16"/>
                  <w:color w:val="0000FF"/>
                  <w:w w:val="92"/>
                </w:rPr>
                <w:t>Form of Stock Option Agreement under the Atieva, Inc. 2021 Stock Incentive Plan</w:t>
              </w:r>
            </w:hyperlink>
          </w:p>
        </w:tc>
        <w:tc>
          <w:tcPr>
            <w:tcW w:w="500" w:type="dxa"/>
            <w:vAlign w:val="bottom"/>
            <w:gridSpan w:val="17"/>
          </w:tcPr>
          <w:p>
            <w:pPr>
              <w:spacing w:after="0"/>
              <w:rPr>
                <w:sz w:val="21"/>
                <w:szCs w:val="21"/>
                <w:color w:val="auto"/>
              </w:rPr>
            </w:pPr>
          </w:p>
        </w:tc>
        <w:tc>
          <w:tcPr>
            <w:tcW w:w="540" w:type="dxa"/>
            <w:vAlign w:val="bottom"/>
          </w:tcPr>
          <w:p>
            <w:pPr>
              <w:jc w:val="center"/>
              <w:spacing w:after="0"/>
              <w:rPr>
                <w:sz w:val="20"/>
                <w:szCs w:val="20"/>
                <w:color w:val="auto"/>
              </w:rPr>
            </w:pPr>
            <w:r>
              <w:rPr>
                <w:rFonts w:ascii="Arial" w:cs="Arial" w:eastAsia="Arial" w:hAnsi="Arial"/>
                <w:sz w:val="16"/>
                <w:szCs w:val="16"/>
                <w:color w:val="auto"/>
                <w:w w:val="88"/>
              </w:rPr>
              <w:t>S-4</w:t>
            </w:r>
          </w:p>
        </w:tc>
        <w:tc>
          <w:tcPr>
            <w:tcW w:w="960" w:type="dxa"/>
            <w:vAlign w:val="bottom"/>
          </w:tcPr>
          <w:p>
            <w:pPr>
              <w:jc w:val="center"/>
              <w:spacing w:after="0"/>
              <w:rPr>
                <w:sz w:val="20"/>
                <w:szCs w:val="20"/>
                <w:color w:val="auto"/>
              </w:rPr>
            </w:pPr>
            <w:r>
              <w:rPr>
                <w:rFonts w:ascii="Arial" w:cs="Arial" w:eastAsia="Arial" w:hAnsi="Arial"/>
                <w:sz w:val="16"/>
                <w:szCs w:val="16"/>
                <w:color w:val="auto"/>
                <w:w w:val="91"/>
              </w:rPr>
              <w:t>333-254543</w:t>
            </w:r>
          </w:p>
        </w:tc>
        <w:tc>
          <w:tcPr>
            <w:tcW w:w="1280" w:type="dxa"/>
            <w:vAlign w:val="bottom"/>
          </w:tcPr>
          <w:p>
            <w:pPr>
              <w:jc w:val="center"/>
              <w:spacing w:after="0"/>
              <w:rPr>
                <w:sz w:val="20"/>
                <w:szCs w:val="20"/>
                <w:color w:val="auto"/>
              </w:rPr>
            </w:pPr>
            <w:r>
              <w:rPr>
                <w:rFonts w:ascii="Arial" w:cs="Arial" w:eastAsia="Arial" w:hAnsi="Arial"/>
                <w:sz w:val="16"/>
                <w:szCs w:val="16"/>
                <w:color w:val="auto"/>
                <w:w w:val="91"/>
              </w:rPr>
              <w:t>March 22, 2021</w:t>
            </w:r>
          </w:p>
        </w:tc>
        <w:tc>
          <w:tcPr>
            <w:tcW w:w="1260" w:type="dxa"/>
            <w:vAlign w:val="bottom"/>
          </w:tcPr>
          <w:p>
            <w:pPr>
              <w:jc w:val="center"/>
              <w:ind w:right="479"/>
              <w:spacing w:after="0"/>
              <w:rPr>
                <w:sz w:val="20"/>
                <w:szCs w:val="20"/>
                <w:color w:val="auto"/>
              </w:rPr>
            </w:pPr>
            <w:r>
              <w:rPr>
                <w:rFonts w:ascii="Arial" w:cs="Arial" w:eastAsia="Arial" w:hAnsi="Arial"/>
                <w:sz w:val="16"/>
                <w:szCs w:val="16"/>
                <w:color w:val="auto"/>
                <w:w w:val="94"/>
              </w:rPr>
              <w:t>10.13</w:t>
            </w:r>
          </w:p>
        </w:tc>
      </w:tr>
      <w:tr>
        <w:trPr>
          <w:trHeight w:val="250"/>
        </w:trPr>
        <w:tc>
          <w:tcPr>
            <w:tcW w:w="760" w:type="dxa"/>
            <w:vAlign w:val="bottom"/>
          </w:tcPr>
          <w:p>
            <w:pPr>
              <w:jc w:val="center"/>
              <w:ind w:right="239"/>
              <w:spacing w:after="0"/>
              <w:rPr>
                <w:sz w:val="20"/>
                <w:szCs w:val="20"/>
                <w:color w:val="auto"/>
              </w:rPr>
            </w:pPr>
            <w:r>
              <w:rPr>
                <w:rFonts w:ascii="Arial" w:cs="Arial" w:eastAsia="Arial" w:hAnsi="Arial"/>
                <w:sz w:val="16"/>
                <w:szCs w:val="16"/>
                <w:color w:val="auto"/>
                <w:w w:val="92"/>
              </w:rPr>
              <w:t>10.19^</w:t>
            </w:r>
          </w:p>
        </w:tc>
        <w:tc>
          <w:tcPr>
            <w:tcW w:w="5880" w:type="dxa"/>
            <w:vAlign w:val="bottom"/>
            <w:gridSpan w:val="48"/>
          </w:tcPr>
          <w:p>
            <w:pPr>
              <w:spacing w:after="0"/>
              <w:rPr>
                <w:rFonts w:ascii="Arial" w:cs="Arial" w:eastAsia="Arial" w:hAnsi="Arial"/>
                <w:sz w:val="16"/>
                <w:szCs w:val="16"/>
                <w:color w:val="0000FF"/>
              </w:rPr>
            </w:pPr>
            <w:hyperlink r:id="rId197">
              <w:r>
                <w:rPr>
                  <w:rFonts w:ascii="Arial" w:cs="Arial" w:eastAsia="Arial" w:hAnsi="Arial"/>
                  <w:sz w:val="16"/>
                  <w:szCs w:val="16"/>
                  <w:color w:val="0000FF"/>
                </w:rPr>
                <w:t>Form of RSU Agreement under the Atieva, Inc. 2021 Stock Incentive Plan</w:t>
              </w:r>
            </w:hyperlink>
          </w:p>
        </w:tc>
        <w:tc>
          <w:tcPr>
            <w:tcW w:w="540" w:type="dxa"/>
            <w:vAlign w:val="bottom"/>
          </w:tcPr>
          <w:p>
            <w:pPr>
              <w:jc w:val="center"/>
              <w:spacing w:after="0"/>
              <w:rPr>
                <w:sz w:val="20"/>
                <w:szCs w:val="20"/>
                <w:color w:val="auto"/>
              </w:rPr>
            </w:pPr>
            <w:r>
              <w:rPr>
                <w:rFonts w:ascii="Arial" w:cs="Arial" w:eastAsia="Arial" w:hAnsi="Arial"/>
                <w:sz w:val="16"/>
                <w:szCs w:val="16"/>
                <w:color w:val="auto"/>
                <w:w w:val="88"/>
              </w:rPr>
              <w:t>S-4</w:t>
            </w:r>
          </w:p>
        </w:tc>
        <w:tc>
          <w:tcPr>
            <w:tcW w:w="960" w:type="dxa"/>
            <w:vAlign w:val="bottom"/>
          </w:tcPr>
          <w:p>
            <w:pPr>
              <w:jc w:val="center"/>
              <w:spacing w:after="0"/>
              <w:rPr>
                <w:sz w:val="20"/>
                <w:szCs w:val="20"/>
                <w:color w:val="auto"/>
              </w:rPr>
            </w:pPr>
            <w:r>
              <w:rPr>
                <w:rFonts w:ascii="Arial" w:cs="Arial" w:eastAsia="Arial" w:hAnsi="Arial"/>
                <w:sz w:val="16"/>
                <w:szCs w:val="16"/>
                <w:color w:val="auto"/>
                <w:w w:val="91"/>
              </w:rPr>
              <w:t>333-254543</w:t>
            </w:r>
          </w:p>
        </w:tc>
        <w:tc>
          <w:tcPr>
            <w:tcW w:w="1280" w:type="dxa"/>
            <w:vAlign w:val="bottom"/>
          </w:tcPr>
          <w:p>
            <w:pPr>
              <w:jc w:val="center"/>
              <w:spacing w:after="0"/>
              <w:rPr>
                <w:sz w:val="20"/>
                <w:szCs w:val="20"/>
                <w:color w:val="auto"/>
              </w:rPr>
            </w:pPr>
            <w:r>
              <w:rPr>
                <w:rFonts w:ascii="Arial" w:cs="Arial" w:eastAsia="Arial" w:hAnsi="Arial"/>
                <w:sz w:val="16"/>
                <w:szCs w:val="16"/>
                <w:color w:val="auto"/>
                <w:w w:val="91"/>
              </w:rPr>
              <w:t>March 22, 2021</w:t>
            </w:r>
          </w:p>
        </w:tc>
        <w:tc>
          <w:tcPr>
            <w:tcW w:w="1260" w:type="dxa"/>
            <w:vAlign w:val="bottom"/>
          </w:tcPr>
          <w:p>
            <w:pPr>
              <w:jc w:val="center"/>
              <w:ind w:right="479"/>
              <w:spacing w:after="0"/>
              <w:rPr>
                <w:sz w:val="20"/>
                <w:szCs w:val="20"/>
                <w:color w:val="auto"/>
              </w:rPr>
            </w:pPr>
            <w:r>
              <w:rPr>
                <w:rFonts w:ascii="Arial" w:cs="Arial" w:eastAsia="Arial" w:hAnsi="Arial"/>
                <w:sz w:val="16"/>
                <w:szCs w:val="16"/>
                <w:color w:val="auto"/>
                <w:w w:val="94"/>
              </w:rPr>
              <w:t>10.14</w:t>
            </w:r>
          </w:p>
        </w:tc>
      </w:tr>
      <w:tr>
        <w:trPr>
          <w:trHeight w:val="20"/>
        </w:trPr>
        <w:tc>
          <w:tcPr>
            <w:tcW w:w="76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63"/>
        </w:trPr>
        <w:tc>
          <w:tcPr>
            <w:tcW w:w="760" w:type="dxa"/>
            <w:vAlign w:val="bottom"/>
          </w:tcPr>
          <w:p>
            <w:pPr>
              <w:jc w:val="center"/>
              <w:ind w:right="239"/>
              <w:spacing w:after="0"/>
              <w:rPr>
                <w:sz w:val="20"/>
                <w:szCs w:val="20"/>
                <w:color w:val="auto"/>
              </w:rPr>
            </w:pPr>
            <w:r>
              <w:rPr>
                <w:rFonts w:ascii="Arial" w:cs="Arial" w:eastAsia="Arial" w:hAnsi="Arial"/>
                <w:sz w:val="16"/>
                <w:szCs w:val="16"/>
                <w:color w:val="auto"/>
                <w:w w:val="92"/>
              </w:rPr>
              <w:t>10.20^</w:t>
            </w:r>
          </w:p>
        </w:tc>
        <w:tc>
          <w:tcPr>
            <w:tcW w:w="5880" w:type="dxa"/>
            <w:vAlign w:val="bottom"/>
            <w:gridSpan w:val="48"/>
          </w:tcPr>
          <w:p>
            <w:pPr>
              <w:spacing w:after="0"/>
              <w:rPr>
                <w:rFonts w:ascii="Arial" w:cs="Arial" w:eastAsia="Arial" w:hAnsi="Arial"/>
                <w:sz w:val="16"/>
                <w:szCs w:val="16"/>
                <w:color w:val="0000FF"/>
                <w:w w:val="94"/>
              </w:rPr>
            </w:pPr>
            <w:hyperlink r:id="rId198">
              <w:r>
                <w:rPr>
                  <w:rFonts w:ascii="Arial" w:cs="Arial" w:eastAsia="Arial" w:hAnsi="Arial"/>
                  <w:sz w:val="16"/>
                  <w:szCs w:val="16"/>
                  <w:color w:val="0000FF"/>
                  <w:w w:val="94"/>
                </w:rPr>
                <w:t>Form of RSU Agreement under the Atieva, Inc. 2021 Stock Incentive Plan (for Rule 144</w:t>
              </w:r>
            </w:hyperlink>
          </w:p>
        </w:tc>
        <w:tc>
          <w:tcPr>
            <w:tcW w:w="540" w:type="dxa"/>
            <w:vAlign w:val="bottom"/>
          </w:tcPr>
          <w:p>
            <w:pPr>
              <w:jc w:val="center"/>
              <w:spacing w:after="0"/>
              <w:rPr>
                <w:sz w:val="20"/>
                <w:szCs w:val="20"/>
                <w:color w:val="auto"/>
              </w:rPr>
            </w:pPr>
            <w:r>
              <w:rPr>
                <w:rFonts w:ascii="Arial" w:cs="Arial" w:eastAsia="Arial" w:hAnsi="Arial"/>
                <w:sz w:val="16"/>
                <w:szCs w:val="16"/>
                <w:color w:val="auto"/>
                <w:w w:val="88"/>
              </w:rPr>
              <w:t>S-4</w:t>
            </w:r>
          </w:p>
        </w:tc>
        <w:tc>
          <w:tcPr>
            <w:tcW w:w="960" w:type="dxa"/>
            <w:vAlign w:val="bottom"/>
          </w:tcPr>
          <w:p>
            <w:pPr>
              <w:jc w:val="center"/>
              <w:spacing w:after="0"/>
              <w:rPr>
                <w:sz w:val="20"/>
                <w:szCs w:val="20"/>
                <w:color w:val="auto"/>
              </w:rPr>
            </w:pPr>
            <w:r>
              <w:rPr>
                <w:rFonts w:ascii="Arial" w:cs="Arial" w:eastAsia="Arial" w:hAnsi="Arial"/>
                <w:sz w:val="16"/>
                <w:szCs w:val="16"/>
                <w:color w:val="auto"/>
                <w:w w:val="91"/>
              </w:rPr>
              <w:t>333-254543</w:t>
            </w:r>
          </w:p>
        </w:tc>
        <w:tc>
          <w:tcPr>
            <w:tcW w:w="1280" w:type="dxa"/>
            <w:vAlign w:val="bottom"/>
          </w:tcPr>
          <w:p>
            <w:pPr>
              <w:jc w:val="center"/>
              <w:spacing w:after="0"/>
              <w:rPr>
                <w:sz w:val="20"/>
                <w:szCs w:val="20"/>
                <w:color w:val="auto"/>
              </w:rPr>
            </w:pPr>
            <w:r>
              <w:rPr>
                <w:rFonts w:ascii="Arial" w:cs="Arial" w:eastAsia="Arial" w:hAnsi="Arial"/>
                <w:sz w:val="16"/>
                <w:szCs w:val="16"/>
                <w:color w:val="auto"/>
                <w:w w:val="91"/>
              </w:rPr>
              <w:t>March 22, 2021</w:t>
            </w:r>
          </w:p>
        </w:tc>
        <w:tc>
          <w:tcPr>
            <w:tcW w:w="1260" w:type="dxa"/>
            <w:vAlign w:val="bottom"/>
          </w:tcPr>
          <w:p>
            <w:pPr>
              <w:jc w:val="center"/>
              <w:ind w:right="479"/>
              <w:spacing w:after="0"/>
              <w:rPr>
                <w:sz w:val="20"/>
                <w:szCs w:val="20"/>
                <w:color w:val="auto"/>
              </w:rPr>
            </w:pPr>
            <w:r>
              <w:rPr>
                <w:rFonts w:ascii="Arial" w:cs="Arial" w:eastAsia="Arial" w:hAnsi="Arial"/>
                <w:sz w:val="16"/>
                <w:szCs w:val="16"/>
                <w:color w:val="auto"/>
                <w:w w:val="94"/>
              </w:rPr>
              <w:t>10.15</w:t>
            </w:r>
          </w:p>
        </w:tc>
      </w:tr>
      <w:tr>
        <w:trPr>
          <w:trHeight w:val="156"/>
        </w:trPr>
        <w:tc>
          <w:tcPr>
            <w:tcW w:w="760" w:type="dxa"/>
            <w:vAlign w:val="bottom"/>
          </w:tcPr>
          <w:p>
            <w:pPr>
              <w:spacing w:after="0"/>
              <w:rPr>
                <w:sz w:val="13"/>
                <w:szCs w:val="13"/>
                <w:color w:val="auto"/>
              </w:rPr>
            </w:pPr>
          </w:p>
        </w:tc>
        <w:tc>
          <w:tcPr>
            <w:tcW w:w="660" w:type="dxa"/>
            <w:vAlign w:val="bottom"/>
            <w:tcBorders>
              <w:top w:val="single" w:sz="8" w:color="0000FF"/>
              <w:bottom w:val="single" w:sz="8" w:color="0000FF"/>
            </w:tcBorders>
            <w:gridSpan w:val="3"/>
          </w:tcPr>
          <w:p>
            <w:pPr>
              <w:spacing w:after="0" w:line="155" w:lineRule="exact"/>
              <w:rPr>
                <w:rFonts w:ascii="Arial" w:cs="Arial" w:eastAsia="Arial" w:hAnsi="Arial"/>
                <w:sz w:val="16"/>
                <w:szCs w:val="16"/>
                <w:color w:val="0000FF"/>
                <w:w w:val="97"/>
              </w:rPr>
            </w:pPr>
            <w:hyperlink r:id="rId198">
              <w:r>
                <w:rPr>
                  <w:rFonts w:ascii="Arial" w:cs="Arial" w:eastAsia="Arial" w:hAnsi="Arial"/>
                  <w:sz w:val="16"/>
                  <w:szCs w:val="16"/>
                  <w:color w:val="0000FF"/>
                  <w:w w:val="97"/>
                </w:rPr>
                <w:t>Affiliates)</w:t>
              </w:r>
            </w:hyperlink>
          </w:p>
        </w:tc>
        <w:tc>
          <w:tcPr>
            <w:tcW w:w="5080" w:type="dxa"/>
            <w:vAlign w:val="bottom"/>
            <w:tcBorders>
              <w:top w:val="single" w:sz="8" w:color="0000FF"/>
            </w:tcBorders>
            <w:gridSpan w:val="40"/>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60" w:type="dxa"/>
            <w:vAlign w:val="bottom"/>
          </w:tcPr>
          <w:p>
            <w:pPr>
              <w:spacing w:after="0"/>
              <w:rPr>
                <w:sz w:val="13"/>
                <w:szCs w:val="13"/>
                <w:color w:val="auto"/>
              </w:rPr>
            </w:pPr>
          </w:p>
        </w:tc>
      </w:tr>
      <w:tr>
        <w:trPr>
          <w:trHeight w:val="277"/>
        </w:trPr>
        <w:tc>
          <w:tcPr>
            <w:tcW w:w="760" w:type="dxa"/>
            <w:vAlign w:val="bottom"/>
          </w:tcPr>
          <w:p>
            <w:pPr>
              <w:jc w:val="center"/>
              <w:ind w:right="239"/>
              <w:spacing w:after="0"/>
              <w:rPr>
                <w:sz w:val="20"/>
                <w:szCs w:val="20"/>
                <w:color w:val="auto"/>
              </w:rPr>
            </w:pPr>
            <w:r>
              <w:rPr>
                <w:rFonts w:ascii="Arial" w:cs="Arial" w:eastAsia="Arial" w:hAnsi="Arial"/>
                <w:sz w:val="16"/>
                <w:szCs w:val="16"/>
                <w:color w:val="auto"/>
                <w:w w:val="92"/>
              </w:rPr>
              <w:t>10.21^</w:t>
            </w:r>
          </w:p>
        </w:tc>
        <w:tc>
          <w:tcPr>
            <w:tcW w:w="5880" w:type="dxa"/>
            <w:vAlign w:val="bottom"/>
            <w:gridSpan w:val="48"/>
          </w:tcPr>
          <w:p>
            <w:pPr>
              <w:spacing w:after="0"/>
              <w:rPr>
                <w:rFonts w:ascii="Arial" w:cs="Arial" w:eastAsia="Arial" w:hAnsi="Arial"/>
                <w:sz w:val="16"/>
                <w:szCs w:val="16"/>
                <w:color w:val="0000FF"/>
              </w:rPr>
            </w:pPr>
            <w:hyperlink r:id="rId199">
              <w:r>
                <w:rPr>
                  <w:rFonts w:ascii="Arial" w:cs="Arial" w:eastAsia="Arial" w:hAnsi="Arial"/>
                  <w:sz w:val="16"/>
                  <w:szCs w:val="16"/>
                  <w:color w:val="0000FF"/>
                </w:rPr>
                <w:t>Atieva USA, Inc. Severance Benefit Plan</w:t>
              </w:r>
            </w:hyperlink>
          </w:p>
        </w:tc>
        <w:tc>
          <w:tcPr>
            <w:tcW w:w="540" w:type="dxa"/>
            <w:vAlign w:val="bottom"/>
          </w:tcPr>
          <w:p>
            <w:pPr>
              <w:jc w:val="center"/>
              <w:spacing w:after="0"/>
              <w:rPr>
                <w:sz w:val="20"/>
                <w:szCs w:val="20"/>
                <w:color w:val="auto"/>
              </w:rPr>
            </w:pPr>
            <w:r>
              <w:rPr>
                <w:rFonts w:ascii="Arial" w:cs="Arial" w:eastAsia="Arial" w:hAnsi="Arial"/>
                <w:sz w:val="16"/>
                <w:szCs w:val="16"/>
                <w:color w:val="auto"/>
                <w:w w:val="88"/>
              </w:rPr>
              <w:t>S-4</w:t>
            </w:r>
          </w:p>
        </w:tc>
        <w:tc>
          <w:tcPr>
            <w:tcW w:w="960" w:type="dxa"/>
            <w:vAlign w:val="bottom"/>
          </w:tcPr>
          <w:p>
            <w:pPr>
              <w:jc w:val="center"/>
              <w:spacing w:after="0"/>
              <w:rPr>
                <w:sz w:val="20"/>
                <w:szCs w:val="20"/>
                <w:color w:val="auto"/>
              </w:rPr>
            </w:pPr>
            <w:r>
              <w:rPr>
                <w:rFonts w:ascii="Arial" w:cs="Arial" w:eastAsia="Arial" w:hAnsi="Arial"/>
                <w:sz w:val="16"/>
                <w:szCs w:val="16"/>
                <w:color w:val="auto"/>
                <w:w w:val="91"/>
              </w:rPr>
              <w:t>333-254543</w:t>
            </w:r>
          </w:p>
        </w:tc>
        <w:tc>
          <w:tcPr>
            <w:tcW w:w="1280" w:type="dxa"/>
            <w:vAlign w:val="bottom"/>
          </w:tcPr>
          <w:p>
            <w:pPr>
              <w:jc w:val="center"/>
              <w:spacing w:after="0"/>
              <w:rPr>
                <w:sz w:val="20"/>
                <w:szCs w:val="20"/>
                <w:color w:val="auto"/>
              </w:rPr>
            </w:pPr>
            <w:r>
              <w:rPr>
                <w:rFonts w:ascii="Arial" w:cs="Arial" w:eastAsia="Arial" w:hAnsi="Arial"/>
                <w:sz w:val="16"/>
                <w:szCs w:val="16"/>
                <w:color w:val="auto"/>
                <w:w w:val="91"/>
              </w:rPr>
              <w:t>March 22, 2021</w:t>
            </w:r>
          </w:p>
        </w:tc>
        <w:tc>
          <w:tcPr>
            <w:tcW w:w="1260" w:type="dxa"/>
            <w:vAlign w:val="bottom"/>
          </w:tcPr>
          <w:p>
            <w:pPr>
              <w:jc w:val="center"/>
              <w:ind w:right="479"/>
              <w:spacing w:after="0"/>
              <w:rPr>
                <w:sz w:val="20"/>
                <w:szCs w:val="20"/>
                <w:color w:val="auto"/>
              </w:rPr>
            </w:pPr>
            <w:r>
              <w:rPr>
                <w:rFonts w:ascii="Arial" w:cs="Arial" w:eastAsia="Arial" w:hAnsi="Arial"/>
                <w:sz w:val="16"/>
                <w:szCs w:val="16"/>
                <w:color w:val="auto"/>
                <w:w w:val="94"/>
              </w:rPr>
              <w:t>10.16</w:t>
            </w:r>
          </w:p>
        </w:tc>
      </w:tr>
      <w:tr>
        <w:trPr>
          <w:trHeight w:val="20"/>
        </w:trPr>
        <w:tc>
          <w:tcPr>
            <w:tcW w:w="76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80" w:type="dxa"/>
            <w:vAlign w:val="bottom"/>
            <w:gridSpan w:val="3"/>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50"/>
        </w:trPr>
        <w:tc>
          <w:tcPr>
            <w:tcW w:w="760" w:type="dxa"/>
            <w:vAlign w:val="bottom"/>
          </w:tcPr>
          <w:p>
            <w:pPr>
              <w:jc w:val="center"/>
              <w:ind w:right="239"/>
              <w:spacing w:after="0"/>
              <w:rPr>
                <w:sz w:val="20"/>
                <w:szCs w:val="20"/>
                <w:color w:val="auto"/>
              </w:rPr>
            </w:pPr>
            <w:r>
              <w:rPr>
                <w:rFonts w:ascii="Arial" w:cs="Arial" w:eastAsia="Arial" w:hAnsi="Arial"/>
                <w:sz w:val="16"/>
                <w:szCs w:val="16"/>
                <w:color w:val="auto"/>
                <w:w w:val="89"/>
              </w:rPr>
              <w:t>10.22</w:t>
            </w:r>
          </w:p>
        </w:tc>
        <w:tc>
          <w:tcPr>
            <w:tcW w:w="5880" w:type="dxa"/>
            <w:vAlign w:val="bottom"/>
            <w:gridSpan w:val="48"/>
          </w:tcPr>
          <w:p>
            <w:pPr>
              <w:spacing w:after="0"/>
              <w:rPr>
                <w:rFonts w:ascii="Arial" w:cs="Arial" w:eastAsia="Arial" w:hAnsi="Arial"/>
                <w:sz w:val="16"/>
                <w:szCs w:val="16"/>
                <w:color w:val="0000FF"/>
                <w:w w:val="97"/>
              </w:rPr>
            </w:pPr>
            <w:hyperlink r:id="rId200">
              <w:r>
                <w:rPr>
                  <w:rFonts w:ascii="Arial" w:cs="Arial" w:eastAsia="Arial" w:hAnsi="Arial"/>
                  <w:sz w:val="16"/>
                  <w:szCs w:val="16"/>
                  <w:color w:val="0000FF"/>
                  <w:w w:val="97"/>
                </w:rPr>
                <w:t>Lease by and between CADC Partners, LLC and Atieva USA, Inc., dated January 17,</w:t>
              </w:r>
            </w:hyperlink>
          </w:p>
        </w:tc>
        <w:tc>
          <w:tcPr>
            <w:tcW w:w="540" w:type="dxa"/>
            <w:vAlign w:val="bottom"/>
          </w:tcPr>
          <w:p>
            <w:pPr>
              <w:jc w:val="center"/>
              <w:spacing w:after="0"/>
              <w:rPr>
                <w:sz w:val="20"/>
                <w:szCs w:val="20"/>
                <w:color w:val="auto"/>
              </w:rPr>
            </w:pPr>
            <w:r>
              <w:rPr>
                <w:rFonts w:ascii="Arial" w:cs="Arial" w:eastAsia="Arial" w:hAnsi="Arial"/>
                <w:sz w:val="16"/>
                <w:szCs w:val="16"/>
                <w:color w:val="auto"/>
                <w:w w:val="88"/>
              </w:rPr>
              <w:t>S-4</w:t>
            </w:r>
          </w:p>
        </w:tc>
        <w:tc>
          <w:tcPr>
            <w:tcW w:w="960" w:type="dxa"/>
            <w:vAlign w:val="bottom"/>
          </w:tcPr>
          <w:p>
            <w:pPr>
              <w:jc w:val="center"/>
              <w:spacing w:after="0"/>
              <w:rPr>
                <w:sz w:val="20"/>
                <w:szCs w:val="20"/>
                <w:color w:val="auto"/>
              </w:rPr>
            </w:pPr>
            <w:r>
              <w:rPr>
                <w:rFonts w:ascii="Arial" w:cs="Arial" w:eastAsia="Arial" w:hAnsi="Arial"/>
                <w:sz w:val="16"/>
                <w:szCs w:val="16"/>
                <w:color w:val="auto"/>
                <w:w w:val="91"/>
              </w:rPr>
              <w:t>333-254543</w:t>
            </w:r>
          </w:p>
        </w:tc>
        <w:tc>
          <w:tcPr>
            <w:tcW w:w="1280" w:type="dxa"/>
            <w:vAlign w:val="bottom"/>
          </w:tcPr>
          <w:p>
            <w:pPr>
              <w:jc w:val="center"/>
              <w:spacing w:after="0"/>
              <w:rPr>
                <w:sz w:val="20"/>
                <w:szCs w:val="20"/>
                <w:color w:val="auto"/>
              </w:rPr>
            </w:pPr>
            <w:r>
              <w:rPr>
                <w:rFonts w:ascii="Arial" w:cs="Arial" w:eastAsia="Arial" w:hAnsi="Arial"/>
                <w:sz w:val="16"/>
                <w:szCs w:val="16"/>
                <w:color w:val="auto"/>
                <w:w w:val="91"/>
              </w:rPr>
              <w:t>March 22, 2021</w:t>
            </w:r>
          </w:p>
        </w:tc>
        <w:tc>
          <w:tcPr>
            <w:tcW w:w="1260" w:type="dxa"/>
            <w:vAlign w:val="bottom"/>
          </w:tcPr>
          <w:p>
            <w:pPr>
              <w:jc w:val="center"/>
              <w:ind w:right="479"/>
              <w:spacing w:after="0"/>
              <w:rPr>
                <w:sz w:val="20"/>
                <w:szCs w:val="20"/>
                <w:color w:val="auto"/>
              </w:rPr>
            </w:pPr>
            <w:r>
              <w:rPr>
                <w:rFonts w:ascii="Arial" w:cs="Arial" w:eastAsia="Arial" w:hAnsi="Arial"/>
                <w:sz w:val="16"/>
                <w:szCs w:val="16"/>
                <w:color w:val="auto"/>
                <w:w w:val="94"/>
              </w:rPr>
              <w:t>10.19</w:t>
            </w:r>
          </w:p>
        </w:tc>
      </w:tr>
      <w:tr>
        <w:trPr>
          <w:trHeight w:val="142"/>
        </w:trPr>
        <w:tc>
          <w:tcPr>
            <w:tcW w:w="760" w:type="dxa"/>
            <w:vAlign w:val="bottom"/>
          </w:tcPr>
          <w:p>
            <w:pPr>
              <w:spacing w:after="0"/>
              <w:rPr>
                <w:sz w:val="12"/>
                <w:szCs w:val="12"/>
                <w:color w:val="auto"/>
              </w:rPr>
            </w:pPr>
          </w:p>
        </w:tc>
        <w:tc>
          <w:tcPr>
            <w:tcW w:w="320" w:type="dxa"/>
            <w:vAlign w:val="bottom"/>
            <w:tcBorders>
              <w:top w:val="single" w:sz="8" w:color="0000FF"/>
              <w:bottom w:val="single" w:sz="8" w:color="0000FF"/>
            </w:tcBorders>
            <w:gridSpan w:val="2"/>
          </w:tcPr>
          <w:p>
            <w:pPr>
              <w:spacing w:after="0" w:line="142" w:lineRule="exact"/>
              <w:rPr>
                <w:rFonts w:ascii="Arial" w:cs="Arial" w:eastAsia="Arial" w:hAnsi="Arial"/>
                <w:sz w:val="16"/>
                <w:szCs w:val="16"/>
                <w:color w:val="0000FF"/>
                <w:w w:val="84"/>
              </w:rPr>
            </w:pPr>
            <w:hyperlink r:id="rId200">
              <w:r>
                <w:rPr>
                  <w:rFonts w:ascii="Arial" w:cs="Arial" w:eastAsia="Arial" w:hAnsi="Arial"/>
                  <w:sz w:val="16"/>
                  <w:szCs w:val="16"/>
                  <w:color w:val="0000FF"/>
                  <w:w w:val="84"/>
                </w:rPr>
                <w:t>2020</w:t>
              </w:r>
            </w:hyperlink>
          </w:p>
        </w:tc>
        <w:tc>
          <w:tcPr>
            <w:tcW w:w="340" w:type="dxa"/>
            <w:vAlign w:val="bottom"/>
            <w:tcBorders>
              <w:top w:val="single" w:sz="8" w:color="0000FF"/>
            </w:tcBorders>
          </w:tcPr>
          <w:p>
            <w:pPr>
              <w:spacing w:after="0"/>
              <w:rPr>
                <w:sz w:val="12"/>
                <w:szCs w:val="12"/>
                <w:color w:val="auto"/>
              </w:rPr>
            </w:pPr>
          </w:p>
        </w:tc>
        <w:tc>
          <w:tcPr>
            <w:tcW w:w="400" w:type="dxa"/>
            <w:vAlign w:val="bottom"/>
            <w:tcBorders>
              <w:top w:val="single" w:sz="8" w:color="0000FF"/>
            </w:tcBorders>
          </w:tcPr>
          <w:p>
            <w:pPr>
              <w:spacing w:after="0"/>
              <w:rPr>
                <w:sz w:val="12"/>
                <w:szCs w:val="12"/>
                <w:color w:val="auto"/>
              </w:rPr>
            </w:pPr>
          </w:p>
        </w:tc>
        <w:tc>
          <w:tcPr>
            <w:tcW w:w="340" w:type="dxa"/>
            <w:vAlign w:val="bottom"/>
            <w:tcBorders>
              <w:top w:val="single" w:sz="8" w:color="0000FF"/>
            </w:tcBorders>
          </w:tcPr>
          <w:p>
            <w:pPr>
              <w:spacing w:after="0"/>
              <w:rPr>
                <w:sz w:val="12"/>
                <w:szCs w:val="12"/>
                <w:color w:val="auto"/>
              </w:rPr>
            </w:pPr>
          </w:p>
        </w:tc>
        <w:tc>
          <w:tcPr>
            <w:tcW w:w="38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720" w:type="dxa"/>
            <w:vAlign w:val="bottom"/>
            <w:tcBorders>
              <w:top w:val="single" w:sz="8" w:color="0000FF"/>
            </w:tcBorders>
          </w:tcPr>
          <w:p>
            <w:pPr>
              <w:spacing w:after="0"/>
              <w:rPr>
                <w:sz w:val="12"/>
                <w:szCs w:val="12"/>
                <w:color w:val="auto"/>
              </w:rPr>
            </w:pPr>
          </w:p>
        </w:tc>
        <w:tc>
          <w:tcPr>
            <w:tcW w:w="340" w:type="dxa"/>
            <w:vAlign w:val="bottom"/>
            <w:tcBorders>
              <w:top w:val="single" w:sz="8" w:color="0000FF"/>
            </w:tcBorders>
          </w:tcPr>
          <w:p>
            <w:pPr>
              <w:spacing w:after="0"/>
              <w:rPr>
                <w:sz w:val="12"/>
                <w:szCs w:val="12"/>
                <w:color w:val="auto"/>
              </w:rPr>
            </w:pPr>
          </w:p>
        </w:tc>
        <w:tc>
          <w:tcPr>
            <w:tcW w:w="160" w:type="dxa"/>
            <w:vAlign w:val="bottom"/>
            <w:tcBorders>
              <w:top w:val="single" w:sz="8" w:color="0000FF"/>
            </w:tcBorders>
          </w:tcPr>
          <w:p>
            <w:pPr>
              <w:spacing w:after="0"/>
              <w:rPr>
                <w:sz w:val="12"/>
                <w:szCs w:val="12"/>
                <w:color w:val="auto"/>
              </w:rPr>
            </w:pPr>
          </w:p>
        </w:tc>
        <w:tc>
          <w:tcPr>
            <w:tcW w:w="2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180" w:type="dxa"/>
            <w:vAlign w:val="bottom"/>
            <w:tcBorders>
              <w:top w:val="single" w:sz="8" w:color="0000FF"/>
            </w:tcBorders>
          </w:tcPr>
          <w:p>
            <w:pPr>
              <w:spacing w:after="0"/>
              <w:rPr>
                <w:sz w:val="12"/>
                <w:szCs w:val="12"/>
                <w:color w:val="auto"/>
              </w:rPr>
            </w:pPr>
          </w:p>
        </w:tc>
        <w:tc>
          <w:tcPr>
            <w:tcW w:w="2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18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36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40" w:type="dxa"/>
            <w:vAlign w:val="bottom"/>
            <w:tcBorders>
              <w:top w:val="single" w:sz="8" w:color="0000FF"/>
            </w:tcBorders>
          </w:tcPr>
          <w:p>
            <w:pPr>
              <w:spacing w:after="0"/>
              <w:rPr>
                <w:sz w:val="12"/>
                <w:szCs w:val="12"/>
                <w:color w:val="auto"/>
              </w:rPr>
            </w:pPr>
          </w:p>
        </w:tc>
        <w:tc>
          <w:tcPr>
            <w:tcW w:w="34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60" w:type="dxa"/>
            <w:vAlign w:val="bottom"/>
          </w:tcPr>
          <w:p>
            <w:pPr>
              <w:spacing w:after="0"/>
              <w:rPr>
                <w:sz w:val="12"/>
                <w:szCs w:val="12"/>
                <w:color w:val="auto"/>
              </w:rPr>
            </w:pPr>
          </w:p>
        </w:tc>
      </w:tr>
      <w:tr>
        <w:trPr>
          <w:trHeight w:val="250"/>
        </w:trPr>
        <w:tc>
          <w:tcPr>
            <w:tcW w:w="760" w:type="dxa"/>
            <w:vAlign w:val="bottom"/>
          </w:tcPr>
          <w:p>
            <w:pPr>
              <w:jc w:val="center"/>
              <w:ind w:right="239"/>
              <w:spacing w:after="0"/>
              <w:rPr>
                <w:sz w:val="20"/>
                <w:szCs w:val="20"/>
                <w:color w:val="auto"/>
              </w:rPr>
            </w:pPr>
            <w:r>
              <w:rPr>
                <w:rFonts w:ascii="Arial" w:cs="Arial" w:eastAsia="Arial" w:hAnsi="Arial"/>
                <w:sz w:val="16"/>
                <w:szCs w:val="16"/>
                <w:color w:val="auto"/>
                <w:w w:val="92"/>
              </w:rPr>
              <w:t>10.23^</w:t>
            </w:r>
          </w:p>
        </w:tc>
        <w:tc>
          <w:tcPr>
            <w:tcW w:w="3900" w:type="dxa"/>
            <w:vAlign w:val="bottom"/>
            <w:tcBorders>
              <w:bottom w:val="single" w:sz="8" w:color="0000FF"/>
            </w:tcBorders>
            <w:gridSpan w:val="20"/>
          </w:tcPr>
          <w:p>
            <w:pPr>
              <w:spacing w:after="0"/>
              <w:rPr>
                <w:rFonts w:ascii="Arial" w:cs="Arial" w:eastAsia="Arial" w:hAnsi="Arial"/>
                <w:sz w:val="16"/>
                <w:szCs w:val="16"/>
                <w:color w:val="0000FF"/>
                <w:w w:val="91"/>
              </w:rPr>
            </w:pPr>
            <w:hyperlink r:id="rId201">
              <w:r>
                <w:rPr>
                  <w:rFonts w:ascii="Arial" w:cs="Arial" w:eastAsia="Arial" w:hAnsi="Arial"/>
                  <w:sz w:val="16"/>
                  <w:szCs w:val="16"/>
                  <w:color w:val="0000FF"/>
                  <w:w w:val="91"/>
                </w:rPr>
                <w:t>Transaction Bonus Letter Agreement, dated March 29, 2021</w:t>
              </w:r>
            </w:hyperlink>
          </w:p>
        </w:tc>
        <w:tc>
          <w:tcPr>
            <w:tcW w:w="1980" w:type="dxa"/>
            <w:vAlign w:val="bottom"/>
            <w:gridSpan w:val="28"/>
          </w:tcPr>
          <w:p>
            <w:pPr>
              <w:spacing w:after="0"/>
              <w:rPr>
                <w:sz w:val="21"/>
                <w:szCs w:val="21"/>
                <w:color w:val="auto"/>
              </w:rPr>
            </w:pPr>
          </w:p>
        </w:tc>
        <w:tc>
          <w:tcPr>
            <w:tcW w:w="540" w:type="dxa"/>
            <w:vAlign w:val="bottom"/>
          </w:tcPr>
          <w:p>
            <w:pPr>
              <w:jc w:val="center"/>
              <w:spacing w:after="0"/>
              <w:rPr>
                <w:sz w:val="20"/>
                <w:szCs w:val="20"/>
                <w:color w:val="auto"/>
              </w:rPr>
            </w:pPr>
            <w:r>
              <w:rPr>
                <w:rFonts w:ascii="Arial" w:cs="Arial" w:eastAsia="Arial" w:hAnsi="Arial"/>
                <w:sz w:val="16"/>
                <w:szCs w:val="16"/>
                <w:color w:val="auto"/>
                <w:w w:val="94"/>
              </w:rPr>
              <w:t>S-4/A</w:t>
            </w:r>
          </w:p>
        </w:tc>
        <w:tc>
          <w:tcPr>
            <w:tcW w:w="960" w:type="dxa"/>
            <w:vAlign w:val="bottom"/>
          </w:tcPr>
          <w:p>
            <w:pPr>
              <w:jc w:val="center"/>
              <w:spacing w:after="0"/>
              <w:rPr>
                <w:sz w:val="20"/>
                <w:szCs w:val="20"/>
                <w:color w:val="auto"/>
              </w:rPr>
            </w:pPr>
            <w:r>
              <w:rPr>
                <w:rFonts w:ascii="Arial" w:cs="Arial" w:eastAsia="Arial" w:hAnsi="Arial"/>
                <w:sz w:val="16"/>
                <w:szCs w:val="16"/>
                <w:color w:val="auto"/>
                <w:w w:val="91"/>
              </w:rPr>
              <w:t>333-254543</w:t>
            </w:r>
          </w:p>
        </w:tc>
        <w:tc>
          <w:tcPr>
            <w:tcW w:w="1280" w:type="dxa"/>
            <w:vAlign w:val="bottom"/>
          </w:tcPr>
          <w:p>
            <w:pPr>
              <w:jc w:val="center"/>
              <w:spacing w:after="0"/>
              <w:rPr>
                <w:sz w:val="20"/>
                <w:szCs w:val="20"/>
                <w:color w:val="auto"/>
              </w:rPr>
            </w:pPr>
            <w:r>
              <w:rPr>
                <w:rFonts w:ascii="Arial" w:cs="Arial" w:eastAsia="Arial" w:hAnsi="Arial"/>
                <w:sz w:val="16"/>
                <w:szCs w:val="16"/>
                <w:color w:val="auto"/>
                <w:w w:val="92"/>
              </w:rPr>
              <w:t>May 14, 2021</w:t>
            </w:r>
          </w:p>
        </w:tc>
        <w:tc>
          <w:tcPr>
            <w:tcW w:w="1260" w:type="dxa"/>
            <w:vAlign w:val="bottom"/>
          </w:tcPr>
          <w:p>
            <w:pPr>
              <w:jc w:val="center"/>
              <w:ind w:right="479"/>
              <w:spacing w:after="0"/>
              <w:rPr>
                <w:sz w:val="20"/>
                <w:szCs w:val="20"/>
                <w:color w:val="auto"/>
              </w:rPr>
            </w:pPr>
            <w:r>
              <w:rPr>
                <w:rFonts w:ascii="Arial" w:cs="Arial" w:eastAsia="Arial" w:hAnsi="Arial"/>
                <w:sz w:val="16"/>
                <w:szCs w:val="16"/>
                <w:color w:val="auto"/>
                <w:w w:val="94"/>
              </w:rPr>
              <w:t>10.23</w:t>
            </w:r>
          </w:p>
        </w:tc>
      </w:tr>
      <w:tr>
        <w:trPr>
          <w:trHeight w:val="250"/>
        </w:trPr>
        <w:tc>
          <w:tcPr>
            <w:tcW w:w="760" w:type="dxa"/>
            <w:vAlign w:val="bottom"/>
          </w:tcPr>
          <w:p>
            <w:pPr>
              <w:jc w:val="center"/>
              <w:ind w:right="239"/>
              <w:spacing w:after="0"/>
              <w:rPr>
                <w:sz w:val="20"/>
                <w:szCs w:val="20"/>
                <w:color w:val="auto"/>
              </w:rPr>
            </w:pPr>
            <w:r>
              <w:rPr>
                <w:rFonts w:ascii="Arial" w:cs="Arial" w:eastAsia="Arial" w:hAnsi="Arial"/>
                <w:sz w:val="16"/>
                <w:szCs w:val="16"/>
                <w:color w:val="auto"/>
                <w:w w:val="92"/>
              </w:rPr>
              <w:t>10.24^</w:t>
            </w:r>
          </w:p>
        </w:tc>
        <w:tc>
          <w:tcPr>
            <w:tcW w:w="5880" w:type="dxa"/>
            <w:vAlign w:val="bottom"/>
            <w:gridSpan w:val="48"/>
          </w:tcPr>
          <w:p>
            <w:pPr>
              <w:spacing w:after="0"/>
              <w:rPr>
                <w:rFonts w:ascii="Arial" w:cs="Arial" w:eastAsia="Arial" w:hAnsi="Arial"/>
                <w:sz w:val="16"/>
                <w:szCs w:val="16"/>
                <w:color w:val="0000FF"/>
              </w:rPr>
            </w:pPr>
            <w:hyperlink r:id="rId202">
              <w:r>
                <w:rPr>
                  <w:rFonts w:ascii="Arial" w:cs="Arial" w:eastAsia="Arial" w:hAnsi="Arial"/>
                  <w:sz w:val="16"/>
                  <w:szCs w:val="16"/>
                  <w:color w:val="0000FF"/>
                </w:rPr>
                <w:t>Notice of Restricted Stock Unit Grant, dated March 27, 2021</w:t>
              </w:r>
            </w:hyperlink>
          </w:p>
        </w:tc>
        <w:tc>
          <w:tcPr>
            <w:tcW w:w="540" w:type="dxa"/>
            <w:vAlign w:val="bottom"/>
          </w:tcPr>
          <w:p>
            <w:pPr>
              <w:jc w:val="center"/>
              <w:spacing w:after="0"/>
              <w:rPr>
                <w:sz w:val="20"/>
                <w:szCs w:val="20"/>
                <w:color w:val="auto"/>
              </w:rPr>
            </w:pPr>
            <w:r>
              <w:rPr>
                <w:rFonts w:ascii="Arial" w:cs="Arial" w:eastAsia="Arial" w:hAnsi="Arial"/>
                <w:sz w:val="16"/>
                <w:szCs w:val="16"/>
                <w:color w:val="auto"/>
                <w:w w:val="94"/>
              </w:rPr>
              <w:t>S-4/A</w:t>
            </w:r>
          </w:p>
        </w:tc>
        <w:tc>
          <w:tcPr>
            <w:tcW w:w="960" w:type="dxa"/>
            <w:vAlign w:val="bottom"/>
          </w:tcPr>
          <w:p>
            <w:pPr>
              <w:jc w:val="center"/>
              <w:spacing w:after="0"/>
              <w:rPr>
                <w:sz w:val="20"/>
                <w:szCs w:val="20"/>
                <w:color w:val="auto"/>
              </w:rPr>
            </w:pPr>
            <w:r>
              <w:rPr>
                <w:rFonts w:ascii="Arial" w:cs="Arial" w:eastAsia="Arial" w:hAnsi="Arial"/>
                <w:sz w:val="16"/>
                <w:szCs w:val="16"/>
                <w:color w:val="auto"/>
                <w:w w:val="91"/>
              </w:rPr>
              <w:t>333-254543</w:t>
            </w:r>
          </w:p>
        </w:tc>
        <w:tc>
          <w:tcPr>
            <w:tcW w:w="1280" w:type="dxa"/>
            <w:vAlign w:val="bottom"/>
          </w:tcPr>
          <w:p>
            <w:pPr>
              <w:jc w:val="center"/>
              <w:spacing w:after="0"/>
              <w:rPr>
                <w:sz w:val="20"/>
                <w:szCs w:val="20"/>
                <w:color w:val="auto"/>
              </w:rPr>
            </w:pPr>
            <w:r>
              <w:rPr>
                <w:rFonts w:ascii="Arial" w:cs="Arial" w:eastAsia="Arial" w:hAnsi="Arial"/>
                <w:sz w:val="16"/>
                <w:szCs w:val="16"/>
                <w:color w:val="auto"/>
                <w:w w:val="92"/>
              </w:rPr>
              <w:t>May 14, 2021</w:t>
            </w:r>
          </w:p>
        </w:tc>
        <w:tc>
          <w:tcPr>
            <w:tcW w:w="1260" w:type="dxa"/>
            <w:vAlign w:val="bottom"/>
          </w:tcPr>
          <w:p>
            <w:pPr>
              <w:jc w:val="center"/>
              <w:ind w:right="479"/>
              <w:spacing w:after="0"/>
              <w:rPr>
                <w:sz w:val="20"/>
                <w:szCs w:val="20"/>
                <w:color w:val="auto"/>
              </w:rPr>
            </w:pPr>
            <w:r>
              <w:rPr>
                <w:rFonts w:ascii="Arial" w:cs="Arial" w:eastAsia="Arial" w:hAnsi="Arial"/>
                <w:sz w:val="16"/>
                <w:szCs w:val="16"/>
                <w:color w:val="auto"/>
                <w:w w:val="94"/>
              </w:rPr>
              <w:t>10.24</w:t>
            </w:r>
          </w:p>
        </w:tc>
      </w:tr>
      <w:tr>
        <w:trPr>
          <w:trHeight w:val="250"/>
        </w:trPr>
        <w:tc>
          <w:tcPr>
            <w:tcW w:w="760" w:type="dxa"/>
            <w:vAlign w:val="bottom"/>
          </w:tcPr>
          <w:p>
            <w:pPr>
              <w:jc w:val="center"/>
              <w:ind w:right="239"/>
              <w:spacing w:after="0"/>
              <w:rPr>
                <w:sz w:val="20"/>
                <w:szCs w:val="20"/>
                <w:color w:val="auto"/>
              </w:rPr>
            </w:pPr>
            <w:r>
              <w:rPr>
                <w:rFonts w:ascii="Arial" w:cs="Arial" w:eastAsia="Arial" w:hAnsi="Arial"/>
                <w:sz w:val="16"/>
                <w:szCs w:val="16"/>
                <w:color w:val="auto"/>
                <w:w w:val="92"/>
              </w:rPr>
              <w:t>10.25^</w:t>
            </w:r>
          </w:p>
        </w:tc>
        <w:tc>
          <w:tcPr>
            <w:tcW w:w="3840" w:type="dxa"/>
            <w:vAlign w:val="bottom"/>
            <w:tcBorders>
              <w:top w:val="single" w:sz="8" w:color="0000FF"/>
              <w:bottom w:val="single" w:sz="8" w:color="0000FF"/>
            </w:tcBorders>
            <w:gridSpan w:val="17"/>
          </w:tcPr>
          <w:p>
            <w:pPr>
              <w:spacing w:after="0"/>
              <w:rPr>
                <w:rFonts w:ascii="Arial" w:cs="Arial" w:eastAsia="Arial" w:hAnsi="Arial"/>
                <w:sz w:val="16"/>
                <w:szCs w:val="16"/>
                <w:color w:val="0000FF"/>
                <w:w w:val="93"/>
              </w:rPr>
            </w:pPr>
            <w:hyperlink r:id="rId203">
              <w:r>
                <w:rPr>
                  <w:rFonts w:ascii="Arial" w:cs="Arial" w:eastAsia="Arial" w:hAnsi="Arial"/>
                  <w:sz w:val="16"/>
                  <w:szCs w:val="16"/>
                  <w:color w:val="0000FF"/>
                  <w:w w:val="93"/>
                </w:rPr>
                <w:t>Offer of Employment to Sherry House, dated April 1, 2021</w:t>
              </w:r>
            </w:hyperlink>
          </w:p>
        </w:tc>
        <w:tc>
          <w:tcPr>
            <w:tcW w:w="100" w:type="dxa"/>
            <w:vAlign w:val="bottom"/>
            <w:tcBorders>
              <w:top w:val="single" w:sz="8" w:color="0000FF"/>
            </w:tcBorders>
            <w:gridSpan w:val="4"/>
          </w:tcPr>
          <w:p>
            <w:pPr>
              <w:spacing w:after="0"/>
              <w:rPr>
                <w:sz w:val="21"/>
                <w:szCs w:val="21"/>
                <w:color w:val="auto"/>
              </w:rPr>
            </w:pPr>
          </w:p>
        </w:tc>
        <w:tc>
          <w:tcPr>
            <w:tcW w:w="1940" w:type="dxa"/>
            <w:vAlign w:val="bottom"/>
            <w:gridSpan w:val="27"/>
          </w:tcPr>
          <w:p>
            <w:pPr>
              <w:spacing w:after="0"/>
              <w:rPr>
                <w:sz w:val="21"/>
                <w:szCs w:val="21"/>
                <w:color w:val="auto"/>
              </w:rPr>
            </w:pPr>
          </w:p>
        </w:tc>
        <w:tc>
          <w:tcPr>
            <w:tcW w:w="540" w:type="dxa"/>
            <w:vAlign w:val="bottom"/>
          </w:tcPr>
          <w:p>
            <w:pPr>
              <w:jc w:val="center"/>
              <w:spacing w:after="0"/>
              <w:rPr>
                <w:sz w:val="20"/>
                <w:szCs w:val="20"/>
                <w:color w:val="auto"/>
              </w:rPr>
            </w:pPr>
            <w:r>
              <w:rPr>
                <w:rFonts w:ascii="Arial" w:cs="Arial" w:eastAsia="Arial" w:hAnsi="Arial"/>
                <w:sz w:val="16"/>
                <w:szCs w:val="16"/>
                <w:color w:val="auto"/>
                <w:w w:val="94"/>
              </w:rPr>
              <w:t>S-4/A</w:t>
            </w:r>
          </w:p>
        </w:tc>
        <w:tc>
          <w:tcPr>
            <w:tcW w:w="960" w:type="dxa"/>
            <w:vAlign w:val="bottom"/>
          </w:tcPr>
          <w:p>
            <w:pPr>
              <w:jc w:val="center"/>
              <w:spacing w:after="0"/>
              <w:rPr>
                <w:sz w:val="20"/>
                <w:szCs w:val="20"/>
                <w:color w:val="auto"/>
              </w:rPr>
            </w:pPr>
            <w:r>
              <w:rPr>
                <w:rFonts w:ascii="Arial" w:cs="Arial" w:eastAsia="Arial" w:hAnsi="Arial"/>
                <w:sz w:val="16"/>
                <w:szCs w:val="16"/>
                <w:color w:val="auto"/>
                <w:w w:val="91"/>
              </w:rPr>
              <w:t>333-254543</w:t>
            </w:r>
          </w:p>
        </w:tc>
        <w:tc>
          <w:tcPr>
            <w:tcW w:w="1280" w:type="dxa"/>
            <w:vAlign w:val="bottom"/>
          </w:tcPr>
          <w:p>
            <w:pPr>
              <w:jc w:val="center"/>
              <w:spacing w:after="0"/>
              <w:rPr>
                <w:sz w:val="20"/>
                <w:szCs w:val="20"/>
                <w:color w:val="auto"/>
              </w:rPr>
            </w:pPr>
            <w:r>
              <w:rPr>
                <w:rFonts w:ascii="Arial" w:cs="Arial" w:eastAsia="Arial" w:hAnsi="Arial"/>
                <w:sz w:val="16"/>
                <w:szCs w:val="16"/>
                <w:color w:val="auto"/>
                <w:w w:val="92"/>
              </w:rPr>
              <w:t>May 14, 2021</w:t>
            </w:r>
          </w:p>
        </w:tc>
        <w:tc>
          <w:tcPr>
            <w:tcW w:w="1260" w:type="dxa"/>
            <w:vAlign w:val="bottom"/>
          </w:tcPr>
          <w:p>
            <w:pPr>
              <w:jc w:val="center"/>
              <w:ind w:right="479"/>
              <w:spacing w:after="0"/>
              <w:rPr>
                <w:sz w:val="20"/>
                <w:szCs w:val="20"/>
                <w:color w:val="auto"/>
              </w:rPr>
            </w:pPr>
            <w:r>
              <w:rPr>
                <w:rFonts w:ascii="Arial" w:cs="Arial" w:eastAsia="Arial" w:hAnsi="Arial"/>
                <w:sz w:val="16"/>
                <w:szCs w:val="16"/>
                <w:color w:val="auto"/>
                <w:w w:val="94"/>
              </w:rPr>
              <w:t>10.25</w:t>
            </w:r>
          </w:p>
        </w:tc>
      </w:tr>
      <w:tr>
        <w:trPr>
          <w:trHeight w:val="250"/>
        </w:trPr>
        <w:tc>
          <w:tcPr>
            <w:tcW w:w="760" w:type="dxa"/>
            <w:vAlign w:val="bottom"/>
          </w:tcPr>
          <w:p>
            <w:pPr>
              <w:jc w:val="center"/>
              <w:ind w:right="239"/>
              <w:spacing w:after="0"/>
              <w:rPr>
                <w:sz w:val="20"/>
                <w:szCs w:val="20"/>
                <w:color w:val="auto"/>
              </w:rPr>
            </w:pPr>
            <w:r>
              <w:rPr>
                <w:rFonts w:ascii="Arial" w:cs="Arial" w:eastAsia="Arial" w:hAnsi="Arial"/>
                <w:sz w:val="16"/>
                <w:szCs w:val="16"/>
                <w:color w:val="auto"/>
                <w:w w:val="92"/>
              </w:rPr>
              <w:t>10.26^</w:t>
            </w:r>
          </w:p>
        </w:tc>
        <w:tc>
          <w:tcPr>
            <w:tcW w:w="5880" w:type="dxa"/>
            <w:vAlign w:val="bottom"/>
            <w:gridSpan w:val="48"/>
          </w:tcPr>
          <w:p>
            <w:pPr>
              <w:spacing w:after="0"/>
              <w:rPr>
                <w:rFonts w:ascii="Arial" w:cs="Arial" w:eastAsia="Arial" w:hAnsi="Arial"/>
                <w:sz w:val="16"/>
                <w:szCs w:val="16"/>
                <w:color w:val="0000FF"/>
              </w:rPr>
            </w:pPr>
            <w:hyperlink r:id="rId204">
              <w:r>
                <w:rPr>
                  <w:rFonts w:ascii="Arial" w:cs="Arial" w:eastAsia="Arial" w:hAnsi="Arial"/>
                  <w:sz w:val="16"/>
                  <w:szCs w:val="16"/>
                  <w:color w:val="0000FF"/>
                </w:rPr>
                <w:t>Offer of Employment to Gagan Dhingra, dated October 29, 2021</w:t>
              </w:r>
            </w:hyperlink>
          </w:p>
        </w:tc>
        <w:tc>
          <w:tcPr>
            <w:tcW w:w="540" w:type="dxa"/>
            <w:vAlign w:val="bottom"/>
          </w:tcPr>
          <w:p>
            <w:pPr>
              <w:jc w:val="center"/>
              <w:spacing w:after="0"/>
              <w:rPr>
                <w:sz w:val="20"/>
                <w:szCs w:val="20"/>
                <w:color w:val="auto"/>
              </w:rPr>
            </w:pPr>
            <w:r>
              <w:rPr>
                <w:rFonts w:ascii="Arial" w:cs="Arial" w:eastAsia="Arial" w:hAnsi="Arial"/>
                <w:sz w:val="16"/>
                <w:szCs w:val="16"/>
                <w:color w:val="auto"/>
              </w:rPr>
              <w:t>10-K</w:t>
            </w:r>
          </w:p>
        </w:tc>
        <w:tc>
          <w:tcPr>
            <w:tcW w:w="960" w:type="dxa"/>
            <w:vAlign w:val="bottom"/>
          </w:tcPr>
          <w:p>
            <w:pPr>
              <w:jc w:val="center"/>
              <w:spacing w:after="0"/>
              <w:rPr>
                <w:sz w:val="20"/>
                <w:szCs w:val="20"/>
                <w:color w:val="auto"/>
              </w:rPr>
            </w:pPr>
            <w:r>
              <w:rPr>
                <w:rFonts w:ascii="Arial" w:cs="Arial" w:eastAsia="Arial" w:hAnsi="Arial"/>
                <w:sz w:val="16"/>
                <w:szCs w:val="16"/>
                <w:color w:val="auto"/>
                <w:w w:val="91"/>
              </w:rPr>
              <w:t>001-39408</w:t>
            </w:r>
          </w:p>
        </w:tc>
        <w:tc>
          <w:tcPr>
            <w:tcW w:w="1280" w:type="dxa"/>
            <w:vAlign w:val="bottom"/>
          </w:tcPr>
          <w:p>
            <w:pPr>
              <w:jc w:val="center"/>
              <w:spacing w:after="0"/>
              <w:rPr>
                <w:sz w:val="20"/>
                <w:szCs w:val="20"/>
                <w:color w:val="auto"/>
              </w:rPr>
            </w:pPr>
            <w:r>
              <w:rPr>
                <w:rFonts w:ascii="Arial" w:cs="Arial" w:eastAsia="Arial" w:hAnsi="Arial"/>
                <w:sz w:val="16"/>
                <w:szCs w:val="16"/>
                <w:color w:val="auto"/>
                <w:w w:val="90"/>
              </w:rPr>
              <w:t>February 28,</w:t>
            </w:r>
          </w:p>
        </w:tc>
        <w:tc>
          <w:tcPr>
            <w:tcW w:w="1260" w:type="dxa"/>
            <w:vAlign w:val="bottom"/>
          </w:tcPr>
          <w:p>
            <w:pPr>
              <w:jc w:val="center"/>
              <w:ind w:right="479"/>
              <w:spacing w:after="0"/>
              <w:rPr>
                <w:sz w:val="20"/>
                <w:szCs w:val="20"/>
                <w:color w:val="auto"/>
              </w:rPr>
            </w:pPr>
            <w:r>
              <w:rPr>
                <w:rFonts w:ascii="Arial" w:cs="Arial" w:eastAsia="Arial" w:hAnsi="Arial"/>
                <w:sz w:val="16"/>
                <w:szCs w:val="16"/>
                <w:color w:val="auto"/>
                <w:w w:val="94"/>
              </w:rPr>
              <w:t>10.27</w:t>
            </w:r>
          </w:p>
        </w:tc>
      </w:tr>
      <w:tr>
        <w:trPr>
          <w:trHeight w:val="186"/>
        </w:trPr>
        <w:tc>
          <w:tcPr>
            <w:tcW w:w="760" w:type="dxa"/>
            <w:vAlign w:val="bottom"/>
          </w:tcPr>
          <w:p>
            <w:pPr>
              <w:spacing w:after="0"/>
              <w:rPr>
                <w:sz w:val="16"/>
                <w:szCs w:val="16"/>
                <w:color w:val="auto"/>
              </w:rPr>
            </w:pPr>
          </w:p>
        </w:tc>
        <w:tc>
          <w:tcPr>
            <w:tcW w:w="260" w:type="dxa"/>
            <w:vAlign w:val="bottom"/>
            <w:tcBorders>
              <w:top w:val="single" w:sz="8" w:color="0000FF"/>
            </w:tcBorders>
          </w:tcPr>
          <w:p>
            <w:pPr>
              <w:spacing w:after="0"/>
              <w:rPr>
                <w:sz w:val="16"/>
                <w:szCs w:val="16"/>
                <w:color w:val="auto"/>
              </w:rPr>
            </w:pPr>
          </w:p>
        </w:tc>
        <w:tc>
          <w:tcPr>
            <w:tcW w:w="60" w:type="dxa"/>
            <w:vAlign w:val="bottom"/>
            <w:tcBorders>
              <w:top w:val="single" w:sz="8" w:color="0000FF"/>
            </w:tcBorders>
          </w:tcPr>
          <w:p>
            <w:pPr>
              <w:spacing w:after="0"/>
              <w:rPr>
                <w:sz w:val="16"/>
                <w:szCs w:val="16"/>
                <w:color w:val="auto"/>
              </w:rPr>
            </w:pPr>
          </w:p>
        </w:tc>
        <w:tc>
          <w:tcPr>
            <w:tcW w:w="340" w:type="dxa"/>
            <w:vAlign w:val="bottom"/>
            <w:tcBorders>
              <w:top w:val="single" w:sz="8" w:color="0000FF"/>
            </w:tcBorders>
          </w:tcPr>
          <w:p>
            <w:pPr>
              <w:spacing w:after="0"/>
              <w:rPr>
                <w:sz w:val="16"/>
                <w:szCs w:val="16"/>
                <w:color w:val="auto"/>
              </w:rPr>
            </w:pPr>
          </w:p>
        </w:tc>
        <w:tc>
          <w:tcPr>
            <w:tcW w:w="400" w:type="dxa"/>
            <w:vAlign w:val="bottom"/>
            <w:tcBorders>
              <w:top w:val="single" w:sz="8" w:color="0000FF"/>
            </w:tcBorders>
          </w:tcPr>
          <w:p>
            <w:pPr>
              <w:spacing w:after="0"/>
              <w:rPr>
                <w:sz w:val="16"/>
                <w:szCs w:val="16"/>
                <w:color w:val="auto"/>
              </w:rPr>
            </w:pPr>
          </w:p>
        </w:tc>
        <w:tc>
          <w:tcPr>
            <w:tcW w:w="340" w:type="dxa"/>
            <w:vAlign w:val="bottom"/>
            <w:tcBorders>
              <w:top w:val="single" w:sz="8" w:color="0000FF"/>
            </w:tcBorders>
          </w:tcPr>
          <w:p>
            <w:pPr>
              <w:spacing w:after="0"/>
              <w:rPr>
                <w:sz w:val="16"/>
                <w:szCs w:val="16"/>
                <w:color w:val="auto"/>
              </w:rPr>
            </w:pPr>
          </w:p>
        </w:tc>
        <w:tc>
          <w:tcPr>
            <w:tcW w:w="38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720" w:type="dxa"/>
            <w:vAlign w:val="bottom"/>
            <w:tcBorders>
              <w:top w:val="single" w:sz="8" w:color="0000FF"/>
            </w:tcBorders>
          </w:tcPr>
          <w:p>
            <w:pPr>
              <w:spacing w:after="0"/>
              <w:rPr>
                <w:sz w:val="16"/>
                <w:szCs w:val="16"/>
                <w:color w:val="auto"/>
              </w:rPr>
            </w:pPr>
          </w:p>
        </w:tc>
        <w:tc>
          <w:tcPr>
            <w:tcW w:w="340" w:type="dxa"/>
            <w:vAlign w:val="bottom"/>
            <w:tcBorders>
              <w:top w:val="single" w:sz="8" w:color="0000FF"/>
            </w:tcBorders>
          </w:tcPr>
          <w:p>
            <w:pPr>
              <w:spacing w:after="0"/>
              <w:rPr>
                <w:sz w:val="16"/>
                <w:szCs w:val="16"/>
                <w:color w:val="auto"/>
              </w:rPr>
            </w:pPr>
          </w:p>
        </w:tc>
        <w:tc>
          <w:tcPr>
            <w:tcW w:w="160" w:type="dxa"/>
            <w:vAlign w:val="bottom"/>
            <w:tcBorders>
              <w:top w:val="single" w:sz="8" w:color="0000FF"/>
            </w:tcBorders>
          </w:tcPr>
          <w:p>
            <w:pPr>
              <w:spacing w:after="0"/>
              <w:rPr>
                <w:sz w:val="16"/>
                <w:szCs w:val="16"/>
                <w:color w:val="auto"/>
              </w:rPr>
            </w:pPr>
          </w:p>
        </w:tc>
        <w:tc>
          <w:tcPr>
            <w:tcW w:w="22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180" w:type="dxa"/>
            <w:vAlign w:val="bottom"/>
            <w:tcBorders>
              <w:top w:val="single" w:sz="8" w:color="0000FF"/>
            </w:tcBorders>
          </w:tcPr>
          <w:p>
            <w:pPr>
              <w:spacing w:after="0"/>
              <w:rPr>
                <w:sz w:val="16"/>
                <w:szCs w:val="16"/>
                <w:color w:val="auto"/>
              </w:rPr>
            </w:pPr>
          </w:p>
        </w:tc>
        <w:tc>
          <w:tcPr>
            <w:tcW w:w="22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40" w:type="dxa"/>
            <w:vAlign w:val="bottom"/>
            <w:tcBorders>
              <w:top w:val="single" w:sz="8" w:color="0000FF"/>
            </w:tcBorders>
          </w:tcPr>
          <w:p>
            <w:pPr>
              <w:spacing w:after="0"/>
              <w:rPr>
                <w:sz w:val="16"/>
                <w:szCs w:val="16"/>
                <w:color w:val="auto"/>
              </w:rPr>
            </w:pPr>
          </w:p>
        </w:tc>
        <w:tc>
          <w:tcPr>
            <w:tcW w:w="18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60" w:type="dxa"/>
            <w:vAlign w:val="bottom"/>
            <w:tcBorders>
              <w:top w:val="single" w:sz="8" w:color="0000FF"/>
            </w:tcBorders>
          </w:tcPr>
          <w:p>
            <w:pPr>
              <w:spacing w:after="0"/>
              <w:rPr>
                <w:sz w:val="16"/>
                <w:szCs w:val="16"/>
                <w:color w:val="auto"/>
              </w:rPr>
            </w:pP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Arial" w:cs="Arial" w:eastAsia="Arial" w:hAnsi="Arial"/>
                <w:sz w:val="16"/>
                <w:szCs w:val="16"/>
                <w:color w:val="auto"/>
                <w:w w:val="89"/>
              </w:rPr>
              <w:t>2022</w:t>
            </w:r>
          </w:p>
        </w:tc>
        <w:tc>
          <w:tcPr>
            <w:tcW w:w="1260" w:type="dxa"/>
            <w:vAlign w:val="bottom"/>
          </w:tcPr>
          <w:p>
            <w:pPr>
              <w:spacing w:after="0"/>
              <w:rPr>
                <w:sz w:val="16"/>
                <w:szCs w:val="16"/>
                <w:color w:val="auto"/>
              </w:rPr>
            </w:pPr>
          </w:p>
        </w:tc>
      </w:tr>
      <w:tr>
        <w:trPr>
          <w:trHeight w:val="226"/>
        </w:trPr>
        <w:tc>
          <w:tcPr>
            <w:tcW w:w="760" w:type="dxa"/>
            <w:vAlign w:val="bottom"/>
          </w:tcPr>
          <w:p>
            <w:pPr>
              <w:jc w:val="center"/>
              <w:ind w:right="239"/>
              <w:spacing w:after="0"/>
              <w:rPr>
                <w:sz w:val="20"/>
                <w:szCs w:val="20"/>
                <w:color w:val="auto"/>
              </w:rPr>
            </w:pPr>
            <w:r>
              <w:rPr>
                <w:rFonts w:ascii="Arial" w:cs="Arial" w:eastAsia="Arial" w:hAnsi="Arial"/>
                <w:sz w:val="16"/>
                <w:szCs w:val="16"/>
                <w:color w:val="auto"/>
                <w:w w:val="89"/>
              </w:rPr>
              <w:t>10.27#</w:t>
            </w:r>
          </w:p>
        </w:tc>
        <w:tc>
          <w:tcPr>
            <w:tcW w:w="5880" w:type="dxa"/>
            <w:vAlign w:val="bottom"/>
            <w:gridSpan w:val="48"/>
          </w:tcPr>
          <w:p>
            <w:pPr>
              <w:spacing w:after="0"/>
              <w:rPr>
                <w:rFonts w:ascii="Arial" w:cs="Arial" w:eastAsia="Arial" w:hAnsi="Arial"/>
                <w:sz w:val="16"/>
                <w:szCs w:val="16"/>
                <w:color w:val="0000FF"/>
              </w:rPr>
            </w:pPr>
            <w:hyperlink r:id="rId205">
              <w:r>
                <w:rPr>
                  <w:rFonts w:ascii="Arial" w:cs="Arial" w:eastAsia="Arial" w:hAnsi="Arial"/>
                  <w:sz w:val="16"/>
                  <w:szCs w:val="16"/>
                  <w:color w:val="0000FF"/>
                </w:rPr>
                <w:t>Loan Agreement, dated as of February 27, 2022, between Lucid LLC and Saudi</w:t>
              </w:r>
            </w:hyperlink>
          </w:p>
        </w:tc>
        <w:tc>
          <w:tcPr>
            <w:tcW w:w="540" w:type="dxa"/>
            <w:vAlign w:val="bottom"/>
          </w:tcPr>
          <w:p>
            <w:pPr>
              <w:jc w:val="center"/>
              <w:spacing w:after="0"/>
              <w:rPr>
                <w:sz w:val="20"/>
                <w:szCs w:val="20"/>
                <w:color w:val="auto"/>
              </w:rPr>
            </w:pPr>
            <w:r>
              <w:rPr>
                <w:rFonts w:ascii="Arial" w:cs="Arial" w:eastAsia="Arial" w:hAnsi="Arial"/>
                <w:sz w:val="16"/>
                <w:szCs w:val="16"/>
                <w:color w:val="auto"/>
                <w:w w:val="95"/>
              </w:rPr>
              <w:t>10-Q</w:t>
            </w:r>
          </w:p>
        </w:tc>
        <w:tc>
          <w:tcPr>
            <w:tcW w:w="960" w:type="dxa"/>
            <w:vAlign w:val="bottom"/>
          </w:tcPr>
          <w:p>
            <w:pPr>
              <w:jc w:val="center"/>
              <w:spacing w:after="0"/>
              <w:rPr>
                <w:sz w:val="20"/>
                <w:szCs w:val="20"/>
                <w:color w:val="auto"/>
              </w:rPr>
            </w:pPr>
            <w:r>
              <w:rPr>
                <w:rFonts w:ascii="Arial" w:cs="Arial" w:eastAsia="Arial" w:hAnsi="Arial"/>
                <w:sz w:val="16"/>
                <w:szCs w:val="16"/>
                <w:color w:val="auto"/>
                <w:w w:val="91"/>
              </w:rPr>
              <w:t>001-39408</w:t>
            </w:r>
          </w:p>
        </w:tc>
        <w:tc>
          <w:tcPr>
            <w:tcW w:w="1280" w:type="dxa"/>
            <w:vAlign w:val="bottom"/>
          </w:tcPr>
          <w:p>
            <w:pPr>
              <w:jc w:val="center"/>
              <w:spacing w:after="0"/>
              <w:rPr>
                <w:sz w:val="20"/>
                <w:szCs w:val="20"/>
                <w:color w:val="auto"/>
              </w:rPr>
            </w:pPr>
            <w:r>
              <w:rPr>
                <w:rFonts w:ascii="Arial" w:cs="Arial" w:eastAsia="Arial" w:hAnsi="Arial"/>
                <w:sz w:val="16"/>
                <w:szCs w:val="16"/>
                <w:color w:val="auto"/>
                <w:w w:val="93"/>
              </w:rPr>
              <w:t>May 5, 2022</w:t>
            </w:r>
          </w:p>
        </w:tc>
        <w:tc>
          <w:tcPr>
            <w:tcW w:w="1260" w:type="dxa"/>
            <w:vAlign w:val="bottom"/>
          </w:tcPr>
          <w:p>
            <w:pPr>
              <w:jc w:val="center"/>
              <w:ind w:right="479"/>
              <w:spacing w:after="0"/>
              <w:rPr>
                <w:sz w:val="20"/>
                <w:szCs w:val="20"/>
                <w:color w:val="auto"/>
              </w:rPr>
            </w:pPr>
            <w:r>
              <w:rPr>
                <w:rFonts w:ascii="Arial" w:cs="Arial" w:eastAsia="Arial" w:hAnsi="Arial"/>
                <w:sz w:val="16"/>
                <w:szCs w:val="16"/>
                <w:color w:val="auto"/>
                <w:w w:val="96"/>
              </w:rPr>
              <w:t>10.1</w:t>
            </w:r>
          </w:p>
        </w:tc>
      </w:tr>
      <w:tr>
        <w:trPr>
          <w:trHeight w:val="142"/>
        </w:trPr>
        <w:tc>
          <w:tcPr>
            <w:tcW w:w="760" w:type="dxa"/>
            <w:vAlign w:val="bottom"/>
          </w:tcPr>
          <w:p>
            <w:pPr>
              <w:spacing w:after="0"/>
              <w:rPr>
                <w:sz w:val="12"/>
                <w:szCs w:val="12"/>
                <w:color w:val="auto"/>
              </w:rPr>
            </w:pPr>
          </w:p>
        </w:tc>
        <w:tc>
          <w:tcPr>
            <w:tcW w:w="3400" w:type="dxa"/>
            <w:vAlign w:val="bottom"/>
            <w:tcBorders>
              <w:top w:val="single" w:sz="8" w:color="0000FF"/>
              <w:bottom w:val="single" w:sz="8" w:color="0000FF"/>
            </w:tcBorders>
            <w:gridSpan w:val="13"/>
          </w:tcPr>
          <w:p>
            <w:pPr>
              <w:spacing w:after="0" w:line="142" w:lineRule="exact"/>
              <w:rPr>
                <w:rFonts w:ascii="Arial" w:cs="Arial" w:eastAsia="Arial" w:hAnsi="Arial"/>
                <w:sz w:val="16"/>
                <w:szCs w:val="16"/>
                <w:color w:val="0000FF"/>
                <w:w w:val="93"/>
              </w:rPr>
            </w:pPr>
            <w:hyperlink r:id="rId205">
              <w:r>
                <w:rPr>
                  <w:rFonts w:ascii="Arial" w:cs="Arial" w:eastAsia="Arial" w:hAnsi="Arial"/>
                  <w:sz w:val="16"/>
                  <w:szCs w:val="16"/>
                  <w:color w:val="0000FF"/>
                  <w:w w:val="93"/>
                </w:rPr>
                <w:t>Industrial Development Fund (English version only)</w:t>
              </w:r>
            </w:hyperlink>
          </w:p>
        </w:tc>
        <w:tc>
          <w:tcPr>
            <w:tcW w:w="1760" w:type="dxa"/>
            <w:vAlign w:val="bottom"/>
            <w:tcBorders>
              <w:top w:val="single" w:sz="8" w:color="0000FF"/>
            </w:tcBorders>
            <w:gridSpan w:val="15"/>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60" w:type="dxa"/>
            <w:vAlign w:val="bottom"/>
          </w:tcPr>
          <w:p>
            <w:pPr>
              <w:spacing w:after="0"/>
              <w:rPr>
                <w:sz w:val="12"/>
                <w:szCs w:val="12"/>
                <w:color w:val="auto"/>
              </w:rPr>
            </w:pPr>
          </w:p>
        </w:tc>
      </w:tr>
      <w:tr>
        <w:trPr>
          <w:trHeight w:val="250"/>
        </w:trPr>
        <w:tc>
          <w:tcPr>
            <w:tcW w:w="760" w:type="dxa"/>
            <w:vAlign w:val="bottom"/>
          </w:tcPr>
          <w:p>
            <w:pPr>
              <w:jc w:val="center"/>
              <w:ind w:right="239"/>
              <w:spacing w:after="0"/>
              <w:rPr>
                <w:sz w:val="20"/>
                <w:szCs w:val="20"/>
                <w:color w:val="auto"/>
              </w:rPr>
            </w:pPr>
            <w:r>
              <w:rPr>
                <w:rFonts w:ascii="Arial" w:cs="Arial" w:eastAsia="Arial" w:hAnsi="Arial"/>
                <w:sz w:val="16"/>
                <w:szCs w:val="16"/>
                <w:color w:val="auto"/>
                <w:w w:val="89"/>
              </w:rPr>
              <w:t>10.28#</w:t>
            </w:r>
          </w:p>
        </w:tc>
        <w:tc>
          <w:tcPr>
            <w:tcW w:w="5880" w:type="dxa"/>
            <w:vAlign w:val="bottom"/>
            <w:gridSpan w:val="48"/>
          </w:tcPr>
          <w:p>
            <w:pPr>
              <w:spacing w:after="0"/>
              <w:rPr>
                <w:rFonts w:ascii="Arial" w:cs="Arial" w:eastAsia="Arial" w:hAnsi="Arial"/>
                <w:sz w:val="16"/>
                <w:szCs w:val="16"/>
                <w:color w:val="0000FF"/>
                <w:w w:val="94"/>
              </w:rPr>
            </w:pPr>
            <w:hyperlink r:id="rId206">
              <w:r>
                <w:rPr>
                  <w:rFonts w:ascii="Arial" w:cs="Arial" w:eastAsia="Arial" w:hAnsi="Arial"/>
                  <w:sz w:val="16"/>
                  <w:szCs w:val="16"/>
                  <w:color w:val="0000FF"/>
                  <w:w w:val="94"/>
                </w:rPr>
                <w:t>Side Letter to Loan Agreement, dated as of February 27, 2022, between Lucid LLC and</w:t>
              </w:r>
            </w:hyperlink>
          </w:p>
        </w:tc>
        <w:tc>
          <w:tcPr>
            <w:tcW w:w="540" w:type="dxa"/>
            <w:vAlign w:val="bottom"/>
          </w:tcPr>
          <w:p>
            <w:pPr>
              <w:jc w:val="center"/>
              <w:spacing w:after="0"/>
              <w:rPr>
                <w:sz w:val="20"/>
                <w:szCs w:val="20"/>
                <w:color w:val="auto"/>
              </w:rPr>
            </w:pPr>
            <w:r>
              <w:rPr>
                <w:rFonts w:ascii="Arial" w:cs="Arial" w:eastAsia="Arial" w:hAnsi="Arial"/>
                <w:sz w:val="16"/>
                <w:szCs w:val="16"/>
                <w:color w:val="auto"/>
                <w:w w:val="95"/>
              </w:rPr>
              <w:t>10-Q</w:t>
            </w:r>
          </w:p>
        </w:tc>
        <w:tc>
          <w:tcPr>
            <w:tcW w:w="960" w:type="dxa"/>
            <w:vAlign w:val="bottom"/>
          </w:tcPr>
          <w:p>
            <w:pPr>
              <w:jc w:val="center"/>
              <w:spacing w:after="0"/>
              <w:rPr>
                <w:sz w:val="20"/>
                <w:szCs w:val="20"/>
                <w:color w:val="auto"/>
              </w:rPr>
            </w:pPr>
            <w:r>
              <w:rPr>
                <w:rFonts w:ascii="Arial" w:cs="Arial" w:eastAsia="Arial" w:hAnsi="Arial"/>
                <w:sz w:val="16"/>
                <w:szCs w:val="16"/>
                <w:color w:val="auto"/>
                <w:w w:val="91"/>
              </w:rPr>
              <w:t>001-39408</w:t>
            </w:r>
          </w:p>
        </w:tc>
        <w:tc>
          <w:tcPr>
            <w:tcW w:w="1280" w:type="dxa"/>
            <w:vAlign w:val="bottom"/>
          </w:tcPr>
          <w:p>
            <w:pPr>
              <w:jc w:val="center"/>
              <w:spacing w:after="0"/>
              <w:rPr>
                <w:sz w:val="20"/>
                <w:szCs w:val="20"/>
                <w:color w:val="auto"/>
              </w:rPr>
            </w:pPr>
            <w:r>
              <w:rPr>
                <w:rFonts w:ascii="Arial" w:cs="Arial" w:eastAsia="Arial" w:hAnsi="Arial"/>
                <w:sz w:val="16"/>
                <w:szCs w:val="16"/>
                <w:color w:val="auto"/>
                <w:w w:val="93"/>
              </w:rPr>
              <w:t>May 5, 2022</w:t>
            </w:r>
          </w:p>
        </w:tc>
        <w:tc>
          <w:tcPr>
            <w:tcW w:w="1260" w:type="dxa"/>
            <w:vAlign w:val="bottom"/>
          </w:tcPr>
          <w:p>
            <w:pPr>
              <w:jc w:val="center"/>
              <w:ind w:right="479"/>
              <w:spacing w:after="0"/>
              <w:rPr>
                <w:sz w:val="20"/>
                <w:szCs w:val="20"/>
                <w:color w:val="auto"/>
              </w:rPr>
            </w:pPr>
            <w:r>
              <w:rPr>
                <w:rFonts w:ascii="Arial" w:cs="Arial" w:eastAsia="Arial" w:hAnsi="Arial"/>
                <w:sz w:val="16"/>
                <w:szCs w:val="16"/>
                <w:color w:val="auto"/>
                <w:w w:val="96"/>
              </w:rPr>
              <w:t>10.2</w:t>
            </w:r>
          </w:p>
        </w:tc>
      </w:tr>
      <w:tr>
        <w:trPr>
          <w:trHeight w:val="142"/>
        </w:trPr>
        <w:tc>
          <w:tcPr>
            <w:tcW w:w="760" w:type="dxa"/>
            <w:vAlign w:val="bottom"/>
          </w:tcPr>
          <w:p>
            <w:pPr>
              <w:spacing w:after="0"/>
              <w:rPr>
                <w:sz w:val="12"/>
                <w:szCs w:val="12"/>
                <w:color w:val="auto"/>
              </w:rPr>
            </w:pPr>
          </w:p>
        </w:tc>
        <w:tc>
          <w:tcPr>
            <w:tcW w:w="3800" w:type="dxa"/>
            <w:vAlign w:val="bottom"/>
            <w:tcBorders>
              <w:top w:val="single" w:sz="8" w:color="0000FF"/>
              <w:bottom w:val="single" w:sz="8" w:color="0000FF"/>
            </w:tcBorders>
            <w:gridSpan w:val="15"/>
          </w:tcPr>
          <w:p>
            <w:pPr>
              <w:spacing w:after="0" w:line="142" w:lineRule="exact"/>
              <w:rPr>
                <w:rFonts w:ascii="Arial" w:cs="Arial" w:eastAsia="Arial" w:hAnsi="Arial"/>
                <w:sz w:val="16"/>
                <w:szCs w:val="16"/>
                <w:color w:val="0000FF"/>
                <w:w w:val="92"/>
              </w:rPr>
            </w:pPr>
            <w:hyperlink r:id="rId206">
              <w:r>
                <w:rPr>
                  <w:rFonts w:ascii="Arial" w:cs="Arial" w:eastAsia="Arial" w:hAnsi="Arial"/>
                  <w:sz w:val="16"/>
                  <w:szCs w:val="16"/>
                  <w:color w:val="0000FF"/>
                  <w:w w:val="92"/>
                </w:rPr>
                <w:t>Saudi Industrial Development Fund (English version only)</w:t>
              </w:r>
            </w:hyperlink>
          </w:p>
        </w:tc>
        <w:tc>
          <w:tcPr>
            <w:tcW w:w="1880" w:type="dxa"/>
            <w:vAlign w:val="bottom"/>
            <w:tcBorders>
              <w:top w:val="single" w:sz="8" w:color="0000FF"/>
            </w:tcBorders>
            <w:gridSpan w:val="25"/>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60" w:type="dxa"/>
            <w:vAlign w:val="bottom"/>
          </w:tcPr>
          <w:p>
            <w:pPr>
              <w:spacing w:after="0"/>
              <w:rPr>
                <w:sz w:val="12"/>
                <w:szCs w:val="12"/>
                <w:color w:val="auto"/>
              </w:rPr>
            </w:pPr>
          </w:p>
        </w:tc>
      </w:tr>
      <w:tr>
        <w:trPr>
          <w:trHeight w:val="250"/>
        </w:trPr>
        <w:tc>
          <w:tcPr>
            <w:tcW w:w="760" w:type="dxa"/>
            <w:vAlign w:val="bottom"/>
          </w:tcPr>
          <w:p>
            <w:pPr>
              <w:jc w:val="center"/>
              <w:ind w:right="239"/>
              <w:spacing w:after="0"/>
              <w:rPr>
                <w:sz w:val="20"/>
                <w:szCs w:val="20"/>
                <w:color w:val="auto"/>
              </w:rPr>
            </w:pPr>
            <w:r>
              <w:rPr>
                <w:rFonts w:ascii="Arial" w:cs="Arial" w:eastAsia="Arial" w:hAnsi="Arial"/>
                <w:sz w:val="16"/>
                <w:szCs w:val="16"/>
                <w:color w:val="auto"/>
                <w:w w:val="89"/>
              </w:rPr>
              <w:t>10.29</w:t>
            </w:r>
          </w:p>
        </w:tc>
        <w:tc>
          <w:tcPr>
            <w:tcW w:w="5880" w:type="dxa"/>
            <w:vAlign w:val="bottom"/>
            <w:gridSpan w:val="48"/>
          </w:tcPr>
          <w:p>
            <w:pPr>
              <w:spacing w:after="0"/>
              <w:rPr>
                <w:rFonts w:ascii="Arial" w:cs="Arial" w:eastAsia="Arial" w:hAnsi="Arial"/>
                <w:sz w:val="16"/>
                <w:szCs w:val="16"/>
                <w:color w:val="0000FF"/>
                <w:w w:val="98"/>
              </w:rPr>
            </w:pPr>
            <w:hyperlink r:id="rId207">
              <w:r>
                <w:rPr>
                  <w:rFonts w:ascii="Arial" w:cs="Arial" w:eastAsia="Arial" w:hAnsi="Arial"/>
                  <w:sz w:val="16"/>
                  <w:szCs w:val="16"/>
                  <w:color w:val="0000FF"/>
                  <w:w w:val="98"/>
                </w:rPr>
                <w:t>Letter of Undertaking, dated as of April 20, 2022, between Lucid LLC and Ministry of</w:t>
              </w:r>
            </w:hyperlink>
          </w:p>
        </w:tc>
        <w:tc>
          <w:tcPr>
            <w:tcW w:w="540" w:type="dxa"/>
            <w:vAlign w:val="bottom"/>
          </w:tcPr>
          <w:p>
            <w:pPr>
              <w:jc w:val="center"/>
              <w:spacing w:after="0"/>
              <w:rPr>
                <w:sz w:val="20"/>
                <w:szCs w:val="20"/>
                <w:color w:val="auto"/>
              </w:rPr>
            </w:pPr>
            <w:r>
              <w:rPr>
                <w:rFonts w:ascii="Arial" w:cs="Arial" w:eastAsia="Arial" w:hAnsi="Arial"/>
                <w:sz w:val="16"/>
                <w:szCs w:val="16"/>
                <w:color w:val="auto"/>
                <w:w w:val="95"/>
              </w:rPr>
              <w:t>10-Q</w:t>
            </w:r>
          </w:p>
        </w:tc>
        <w:tc>
          <w:tcPr>
            <w:tcW w:w="960" w:type="dxa"/>
            <w:vAlign w:val="bottom"/>
          </w:tcPr>
          <w:p>
            <w:pPr>
              <w:jc w:val="center"/>
              <w:spacing w:after="0"/>
              <w:rPr>
                <w:sz w:val="20"/>
                <w:szCs w:val="20"/>
                <w:color w:val="auto"/>
              </w:rPr>
            </w:pPr>
            <w:r>
              <w:rPr>
                <w:rFonts w:ascii="Arial" w:cs="Arial" w:eastAsia="Arial" w:hAnsi="Arial"/>
                <w:sz w:val="16"/>
                <w:szCs w:val="16"/>
                <w:color w:val="auto"/>
                <w:w w:val="91"/>
              </w:rPr>
              <w:t>001-39408</w:t>
            </w:r>
          </w:p>
        </w:tc>
        <w:tc>
          <w:tcPr>
            <w:tcW w:w="1280" w:type="dxa"/>
            <w:vAlign w:val="bottom"/>
          </w:tcPr>
          <w:p>
            <w:pPr>
              <w:jc w:val="center"/>
              <w:spacing w:after="0"/>
              <w:rPr>
                <w:sz w:val="20"/>
                <w:szCs w:val="20"/>
                <w:color w:val="auto"/>
              </w:rPr>
            </w:pPr>
            <w:r>
              <w:rPr>
                <w:rFonts w:ascii="Arial" w:cs="Arial" w:eastAsia="Arial" w:hAnsi="Arial"/>
                <w:sz w:val="16"/>
                <w:szCs w:val="16"/>
                <w:color w:val="auto"/>
                <w:w w:val="93"/>
              </w:rPr>
              <w:t>May 5, 2022</w:t>
            </w:r>
          </w:p>
        </w:tc>
        <w:tc>
          <w:tcPr>
            <w:tcW w:w="1260" w:type="dxa"/>
            <w:vAlign w:val="bottom"/>
          </w:tcPr>
          <w:p>
            <w:pPr>
              <w:jc w:val="center"/>
              <w:ind w:right="479"/>
              <w:spacing w:after="0"/>
              <w:rPr>
                <w:sz w:val="20"/>
                <w:szCs w:val="20"/>
                <w:color w:val="auto"/>
              </w:rPr>
            </w:pPr>
            <w:r>
              <w:rPr>
                <w:rFonts w:ascii="Arial" w:cs="Arial" w:eastAsia="Arial" w:hAnsi="Arial"/>
                <w:sz w:val="16"/>
                <w:szCs w:val="16"/>
                <w:color w:val="auto"/>
                <w:w w:val="96"/>
              </w:rPr>
              <w:t>10.3</w:t>
            </w:r>
          </w:p>
        </w:tc>
      </w:tr>
      <w:tr>
        <w:trPr>
          <w:trHeight w:val="142"/>
        </w:trPr>
        <w:tc>
          <w:tcPr>
            <w:tcW w:w="760" w:type="dxa"/>
            <w:vAlign w:val="bottom"/>
          </w:tcPr>
          <w:p>
            <w:pPr>
              <w:spacing w:after="0"/>
              <w:rPr>
                <w:sz w:val="12"/>
                <w:szCs w:val="12"/>
                <w:color w:val="auto"/>
              </w:rPr>
            </w:pPr>
          </w:p>
        </w:tc>
        <w:tc>
          <w:tcPr>
            <w:tcW w:w="5600" w:type="dxa"/>
            <w:vAlign w:val="bottom"/>
            <w:tcBorders>
              <w:top w:val="single" w:sz="8" w:color="0000FF"/>
            </w:tcBorders>
            <w:gridSpan w:val="39"/>
          </w:tcPr>
          <w:p>
            <w:pPr>
              <w:spacing w:after="0" w:line="142" w:lineRule="exact"/>
              <w:rPr>
                <w:rFonts w:ascii="Arial" w:cs="Arial" w:eastAsia="Arial" w:hAnsi="Arial"/>
                <w:sz w:val="16"/>
                <w:szCs w:val="16"/>
                <w:color w:val="0000FF"/>
              </w:rPr>
            </w:pPr>
            <w:hyperlink r:id="rId207">
              <w:r>
                <w:rPr>
                  <w:rFonts w:ascii="Arial" w:cs="Arial" w:eastAsia="Arial" w:hAnsi="Arial"/>
                  <w:sz w:val="16"/>
                  <w:szCs w:val="16"/>
                  <w:color w:val="0000FF"/>
                </w:rPr>
                <w:t>Finance of the Kingdom of Saudi Arabia (English version only)</w:t>
              </w:r>
            </w:hyperlink>
          </w:p>
        </w:tc>
        <w:tc>
          <w:tcPr>
            <w:tcW w:w="10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60" w:type="dxa"/>
            <w:vAlign w:val="bottom"/>
          </w:tcPr>
          <w:p>
            <w:pPr>
              <w:spacing w:after="0"/>
              <w:rPr>
                <w:sz w:val="12"/>
                <w:szCs w:val="12"/>
                <w:color w:val="auto"/>
              </w:rPr>
            </w:pPr>
          </w:p>
        </w:tc>
      </w:tr>
      <w:tr>
        <w:trPr>
          <w:trHeight w:val="20"/>
        </w:trPr>
        <w:tc>
          <w:tcPr>
            <w:tcW w:w="76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140" w:type="dxa"/>
            <w:vAlign w:val="bottom"/>
            <w:gridSpan w:val="4"/>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60" w:type="dxa"/>
            <w:vAlign w:val="bottom"/>
            <w:gridSpan w:val="3"/>
            <w:shd w:val="clear" w:color="auto" w:fill="0000FF"/>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50"/>
        </w:trPr>
        <w:tc>
          <w:tcPr>
            <w:tcW w:w="760" w:type="dxa"/>
            <w:vAlign w:val="bottom"/>
          </w:tcPr>
          <w:p>
            <w:pPr>
              <w:jc w:val="center"/>
              <w:ind w:right="239"/>
              <w:spacing w:after="0"/>
              <w:rPr>
                <w:sz w:val="20"/>
                <w:szCs w:val="20"/>
                <w:color w:val="auto"/>
              </w:rPr>
            </w:pPr>
            <w:r>
              <w:rPr>
                <w:rFonts w:ascii="Arial" w:cs="Arial" w:eastAsia="Arial" w:hAnsi="Arial"/>
                <w:sz w:val="16"/>
                <w:szCs w:val="16"/>
                <w:color w:val="auto"/>
                <w:w w:val="89"/>
              </w:rPr>
              <w:t>10.30</w:t>
            </w:r>
          </w:p>
        </w:tc>
        <w:tc>
          <w:tcPr>
            <w:tcW w:w="5880" w:type="dxa"/>
            <w:vAlign w:val="bottom"/>
            <w:gridSpan w:val="48"/>
          </w:tcPr>
          <w:p>
            <w:pPr>
              <w:spacing w:after="0"/>
              <w:rPr>
                <w:rFonts w:ascii="Arial" w:cs="Arial" w:eastAsia="Arial" w:hAnsi="Arial"/>
                <w:sz w:val="16"/>
                <w:szCs w:val="16"/>
                <w:color w:val="0000FF"/>
                <w:w w:val="97"/>
              </w:rPr>
            </w:pPr>
            <w:hyperlink r:id="rId208">
              <w:r>
                <w:rPr>
                  <w:rFonts w:ascii="Arial" w:cs="Arial" w:eastAsia="Arial" w:hAnsi="Arial"/>
                  <w:sz w:val="16"/>
                  <w:szCs w:val="16"/>
                  <w:color w:val="0000FF"/>
                  <w:w w:val="97"/>
                </w:rPr>
                <w:t>Credit Agreement, dated as of June 9, 2022, by and among Lucid Group, Inc., as the</w:t>
              </w:r>
            </w:hyperlink>
          </w:p>
        </w:tc>
        <w:tc>
          <w:tcPr>
            <w:tcW w:w="540" w:type="dxa"/>
            <w:vAlign w:val="bottom"/>
          </w:tcPr>
          <w:p>
            <w:pPr>
              <w:jc w:val="center"/>
              <w:spacing w:after="0"/>
              <w:rPr>
                <w:sz w:val="20"/>
                <w:szCs w:val="20"/>
                <w:color w:val="auto"/>
              </w:rPr>
            </w:pPr>
            <w:r>
              <w:rPr>
                <w:rFonts w:ascii="Arial" w:cs="Arial" w:eastAsia="Arial" w:hAnsi="Arial"/>
                <w:sz w:val="16"/>
                <w:szCs w:val="16"/>
                <w:color w:val="auto"/>
              </w:rPr>
              <w:t>8-K</w:t>
            </w:r>
          </w:p>
        </w:tc>
        <w:tc>
          <w:tcPr>
            <w:tcW w:w="960" w:type="dxa"/>
            <w:vAlign w:val="bottom"/>
          </w:tcPr>
          <w:p>
            <w:pPr>
              <w:jc w:val="center"/>
              <w:spacing w:after="0"/>
              <w:rPr>
                <w:sz w:val="20"/>
                <w:szCs w:val="20"/>
                <w:color w:val="auto"/>
              </w:rPr>
            </w:pPr>
            <w:r>
              <w:rPr>
                <w:rFonts w:ascii="Arial" w:cs="Arial" w:eastAsia="Arial" w:hAnsi="Arial"/>
                <w:sz w:val="16"/>
                <w:szCs w:val="16"/>
                <w:color w:val="auto"/>
                <w:w w:val="91"/>
              </w:rPr>
              <w:t>001-39408</w:t>
            </w:r>
          </w:p>
        </w:tc>
        <w:tc>
          <w:tcPr>
            <w:tcW w:w="1280" w:type="dxa"/>
            <w:vAlign w:val="bottom"/>
          </w:tcPr>
          <w:p>
            <w:pPr>
              <w:jc w:val="center"/>
              <w:spacing w:after="0"/>
              <w:rPr>
                <w:sz w:val="20"/>
                <w:szCs w:val="20"/>
                <w:color w:val="auto"/>
              </w:rPr>
            </w:pPr>
            <w:r>
              <w:rPr>
                <w:rFonts w:ascii="Arial" w:cs="Arial" w:eastAsia="Arial" w:hAnsi="Arial"/>
                <w:sz w:val="16"/>
                <w:szCs w:val="16"/>
                <w:color w:val="auto"/>
                <w:w w:val="88"/>
              </w:rPr>
              <w:t>June 15, 2022</w:t>
            </w:r>
          </w:p>
        </w:tc>
        <w:tc>
          <w:tcPr>
            <w:tcW w:w="1260" w:type="dxa"/>
            <w:vAlign w:val="bottom"/>
          </w:tcPr>
          <w:p>
            <w:pPr>
              <w:jc w:val="center"/>
              <w:ind w:right="479"/>
              <w:spacing w:after="0"/>
              <w:rPr>
                <w:sz w:val="20"/>
                <w:szCs w:val="20"/>
                <w:color w:val="auto"/>
              </w:rPr>
            </w:pPr>
            <w:r>
              <w:rPr>
                <w:rFonts w:ascii="Arial" w:cs="Arial" w:eastAsia="Arial" w:hAnsi="Arial"/>
                <w:sz w:val="16"/>
                <w:szCs w:val="16"/>
                <w:color w:val="auto"/>
                <w:w w:val="96"/>
              </w:rPr>
              <w:t>10.1</w:t>
            </w:r>
          </w:p>
        </w:tc>
      </w:tr>
      <w:tr>
        <w:trPr>
          <w:trHeight w:val="142"/>
        </w:trPr>
        <w:tc>
          <w:tcPr>
            <w:tcW w:w="760" w:type="dxa"/>
            <w:vAlign w:val="bottom"/>
          </w:tcPr>
          <w:p>
            <w:pPr>
              <w:spacing w:after="0"/>
              <w:rPr>
                <w:sz w:val="12"/>
                <w:szCs w:val="12"/>
                <w:color w:val="auto"/>
              </w:rPr>
            </w:pPr>
          </w:p>
        </w:tc>
        <w:tc>
          <w:tcPr>
            <w:tcW w:w="5460" w:type="dxa"/>
            <w:vAlign w:val="bottom"/>
            <w:tcBorders>
              <w:top w:val="single" w:sz="8" w:color="0000FF"/>
            </w:tcBorders>
            <w:gridSpan w:val="32"/>
          </w:tcPr>
          <w:p>
            <w:pPr>
              <w:spacing w:after="0" w:line="142" w:lineRule="exact"/>
              <w:rPr>
                <w:rFonts w:ascii="Arial" w:cs="Arial" w:eastAsia="Arial" w:hAnsi="Arial"/>
                <w:sz w:val="16"/>
                <w:szCs w:val="16"/>
                <w:color w:val="0000FF"/>
                <w:w w:val="94"/>
              </w:rPr>
            </w:pPr>
            <w:hyperlink r:id="rId208">
              <w:r>
                <w:rPr>
                  <w:rFonts w:ascii="Arial" w:cs="Arial" w:eastAsia="Arial" w:hAnsi="Arial"/>
                  <w:sz w:val="16"/>
                  <w:szCs w:val="16"/>
                  <w:color w:val="0000FF"/>
                  <w:w w:val="94"/>
                </w:rPr>
                <w:t>Borrower Representative, the other Borrowers party thereto from time to time, the</w:t>
              </w:r>
            </w:hyperlink>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60" w:type="dxa"/>
            <w:vAlign w:val="bottom"/>
          </w:tcPr>
          <w:p>
            <w:pPr>
              <w:spacing w:after="0"/>
              <w:rPr>
                <w:sz w:val="12"/>
                <w:szCs w:val="12"/>
                <w:color w:val="auto"/>
              </w:rPr>
            </w:pPr>
          </w:p>
        </w:tc>
      </w:tr>
      <w:tr>
        <w:trPr>
          <w:trHeight w:val="142"/>
        </w:trPr>
        <w:tc>
          <w:tcPr>
            <w:tcW w:w="760" w:type="dxa"/>
            <w:vAlign w:val="bottom"/>
          </w:tcPr>
          <w:p>
            <w:pPr>
              <w:spacing w:after="0"/>
              <w:rPr>
                <w:sz w:val="12"/>
                <w:szCs w:val="12"/>
                <w:color w:val="auto"/>
              </w:rPr>
            </w:pPr>
          </w:p>
        </w:tc>
        <w:tc>
          <w:tcPr>
            <w:tcW w:w="5320" w:type="dxa"/>
            <w:vAlign w:val="bottom"/>
            <w:tcBorders>
              <w:top w:val="single" w:sz="8" w:color="0000FF"/>
            </w:tcBorders>
            <w:gridSpan w:val="30"/>
          </w:tcPr>
          <w:p>
            <w:pPr>
              <w:spacing w:after="0" w:line="142" w:lineRule="exact"/>
              <w:rPr>
                <w:rFonts w:ascii="Arial" w:cs="Arial" w:eastAsia="Arial" w:hAnsi="Arial"/>
                <w:sz w:val="16"/>
                <w:szCs w:val="16"/>
                <w:color w:val="0000FF"/>
                <w:w w:val="93"/>
              </w:rPr>
            </w:pPr>
            <w:hyperlink r:id="rId208">
              <w:r>
                <w:rPr>
                  <w:rFonts w:ascii="Arial" w:cs="Arial" w:eastAsia="Arial" w:hAnsi="Arial"/>
                  <w:sz w:val="16"/>
                  <w:szCs w:val="16"/>
                  <w:color w:val="0000FF"/>
                  <w:w w:val="93"/>
                </w:rPr>
                <w:t>Lenders and Issuing Banks from time to time party thereto and Bank of America,</w:t>
              </w:r>
            </w:hyperlink>
          </w:p>
        </w:tc>
        <w:tc>
          <w:tcPr>
            <w:tcW w:w="560" w:type="dxa"/>
            <w:vAlign w:val="bottom"/>
            <w:gridSpan w:val="18"/>
          </w:tcPr>
          <w:p>
            <w:pPr>
              <w:spacing w:after="0" w:line="142" w:lineRule="exact"/>
              <w:rPr>
                <w:rFonts w:ascii="Arial" w:cs="Arial" w:eastAsia="Arial" w:hAnsi="Arial"/>
                <w:sz w:val="16"/>
                <w:szCs w:val="16"/>
                <w:color w:val="0000FF"/>
                <w:w w:val="94"/>
              </w:rPr>
            </w:pPr>
            <w:hyperlink r:id="rId208">
              <w:r>
                <w:rPr>
                  <w:rFonts w:ascii="Arial" w:cs="Arial" w:eastAsia="Arial" w:hAnsi="Arial"/>
                  <w:sz w:val="16"/>
                  <w:szCs w:val="16"/>
                  <w:color w:val="0000FF"/>
                  <w:w w:val="94"/>
                </w:rPr>
                <w:t>N.A., as</w:t>
              </w:r>
            </w:hyperlink>
          </w:p>
        </w:tc>
        <w:tc>
          <w:tcPr>
            <w:tcW w:w="5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60" w:type="dxa"/>
            <w:vAlign w:val="bottom"/>
          </w:tcPr>
          <w:p>
            <w:pPr>
              <w:spacing w:after="0"/>
              <w:rPr>
                <w:sz w:val="12"/>
                <w:szCs w:val="12"/>
                <w:color w:val="auto"/>
              </w:rPr>
            </w:pPr>
          </w:p>
        </w:tc>
      </w:tr>
      <w:tr>
        <w:trPr>
          <w:trHeight w:val="142"/>
        </w:trPr>
        <w:tc>
          <w:tcPr>
            <w:tcW w:w="760" w:type="dxa"/>
            <w:vAlign w:val="bottom"/>
          </w:tcPr>
          <w:p>
            <w:pPr>
              <w:spacing w:after="0"/>
              <w:rPr>
                <w:sz w:val="12"/>
                <w:szCs w:val="12"/>
                <w:color w:val="auto"/>
              </w:rPr>
            </w:pPr>
          </w:p>
        </w:tc>
        <w:tc>
          <w:tcPr>
            <w:tcW w:w="1400" w:type="dxa"/>
            <w:vAlign w:val="bottom"/>
            <w:tcBorders>
              <w:top w:val="single" w:sz="8" w:color="0000FF"/>
              <w:bottom w:val="single" w:sz="8" w:color="0000FF"/>
            </w:tcBorders>
            <w:gridSpan w:val="5"/>
          </w:tcPr>
          <w:p>
            <w:pPr>
              <w:spacing w:after="0" w:line="142" w:lineRule="exact"/>
              <w:rPr>
                <w:rFonts w:ascii="Arial" w:cs="Arial" w:eastAsia="Arial" w:hAnsi="Arial"/>
                <w:sz w:val="16"/>
                <w:szCs w:val="16"/>
                <w:color w:val="0000FF"/>
                <w:w w:val="94"/>
              </w:rPr>
            </w:pPr>
            <w:hyperlink r:id="rId208">
              <w:r>
                <w:rPr>
                  <w:rFonts w:ascii="Arial" w:cs="Arial" w:eastAsia="Arial" w:hAnsi="Arial"/>
                  <w:sz w:val="16"/>
                  <w:szCs w:val="16"/>
                  <w:color w:val="0000FF"/>
                  <w:w w:val="94"/>
                </w:rPr>
                <w:t>Administrative Agent</w:t>
              </w:r>
            </w:hyperlink>
          </w:p>
        </w:tc>
        <w:tc>
          <w:tcPr>
            <w:tcW w:w="4440" w:type="dxa"/>
            <w:vAlign w:val="bottom"/>
            <w:tcBorders>
              <w:top w:val="single" w:sz="8" w:color="0000FF"/>
            </w:tcBorders>
            <w:gridSpan w:val="42"/>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60" w:type="dxa"/>
            <w:vAlign w:val="bottom"/>
          </w:tcPr>
          <w:p>
            <w:pPr>
              <w:spacing w:after="0"/>
              <w:rPr>
                <w:sz w:val="12"/>
                <w:szCs w:val="12"/>
                <w:color w:val="auto"/>
              </w:rPr>
            </w:pPr>
          </w:p>
        </w:tc>
      </w:tr>
      <w:tr>
        <w:trPr>
          <w:trHeight w:val="250"/>
        </w:trPr>
        <w:tc>
          <w:tcPr>
            <w:tcW w:w="760" w:type="dxa"/>
            <w:vAlign w:val="bottom"/>
          </w:tcPr>
          <w:p>
            <w:pPr>
              <w:jc w:val="center"/>
              <w:ind w:right="239"/>
              <w:spacing w:after="0"/>
              <w:rPr>
                <w:sz w:val="20"/>
                <w:szCs w:val="20"/>
                <w:color w:val="auto"/>
              </w:rPr>
            </w:pPr>
            <w:r>
              <w:rPr>
                <w:rFonts w:ascii="Arial" w:cs="Arial" w:eastAsia="Arial" w:hAnsi="Arial"/>
                <w:sz w:val="16"/>
                <w:szCs w:val="16"/>
                <w:color w:val="auto"/>
                <w:w w:val="89"/>
              </w:rPr>
              <w:t>10.31</w:t>
            </w:r>
          </w:p>
        </w:tc>
        <w:tc>
          <w:tcPr>
            <w:tcW w:w="5880" w:type="dxa"/>
            <w:vAlign w:val="bottom"/>
            <w:gridSpan w:val="48"/>
          </w:tcPr>
          <w:p>
            <w:pPr>
              <w:spacing w:after="0"/>
              <w:rPr>
                <w:rFonts w:ascii="Arial" w:cs="Arial" w:eastAsia="Arial" w:hAnsi="Arial"/>
                <w:sz w:val="16"/>
                <w:szCs w:val="16"/>
                <w:color w:val="0000FF"/>
              </w:rPr>
            </w:pPr>
            <w:hyperlink r:id="rId209">
              <w:r>
                <w:rPr>
                  <w:rFonts w:ascii="Arial" w:cs="Arial" w:eastAsia="Arial" w:hAnsi="Arial"/>
                  <w:sz w:val="16"/>
                  <w:szCs w:val="16"/>
                  <w:color w:val="0000FF"/>
                </w:rPr>
                <w:t>Facilities Letter, entered into as of April 29, 2022, between Lucid LLC and Gulf</w:t>
              </w:r>
            </w:hyperlink>
          </w:p>
        </w:tc>
        <w:tc>
          <w:tcPr>
            <w:tcW w:w="540" w:type="dxa"/>
            <w:vAlign w:val="bottom"/>
          </w:tcPr>
          <w:p>
            <w:pPr>
              <w:jc w:val="center"/>
              <w:spacing w:after="0"/>
              <w:rPr>
                <w:sz w:val="20"/>
                <w:szCs w:val="20"/>
                <w:color w:val="auto"/>
              </w:rPr>
            </w:pPr>
            <w:r>
              <w:rPr>
                <w:rFonts w:ascii="Arial" w:cs="Arial" w:eastAsia="Arial" w:hAnsi="Arial"/>
                <w:sz w:val="16"/>
                <w:szCs w:val="16"/>
                <w:color w:val="auto"/>
                <w:w w:val="95"/>
              </w:rPr>
              <w:t>10-Q</w:t>
            </w:r>
          </w:p>
        </w:tc>
        <w:tc>
          <w:tcPr>
            <w:tcW w:w="960" w:type="dxa"/>
            <w:vAlign w:val="bottom"/>
          </w:tcPr>
          <w:p>
            <w:pPr>
              <w:jc w:val="center"/>
              <w:spacing w:after="0"/>
              <w:rPr>
                <w:sz w:val="20"/>
                <w:szCs w:val="20"/>
                <w:color w:val="auto"/>
              </w:rPr>
            </w:pPr>
            <w:r>
              <w:rPr>
                <w:rFonts w:ascii="Arial" w:cs="Arial" w:eastAsia="Arial" w:hAnsi="Arial"/>
                <w:sz w:val="16"/>
                <w:szCs w:val="16"/>
                <w:color w:val="auto"/>
                <w:w w:val="91"/>
              </w:rPr>
              <w:t>001-39408</w:t>
            </w:r>
          </w:p>
        </w:tc>
        <w:tc>
          <w:tcPr>
            <w:tcW w:w="1280" w:type="dxa"/>
            <w:vAlign w:val="bottom"/>
          </w:tcPr>
          <w:p>
            <w:pPr>
              <w:jc w:val="center"/>
              <w:spacing w:after="0"/>
              <w:rPr>
                <w:sz w:val="20"/>
                <w:szCs w:val="20"/>
                <w:color w:val="auto"/>
              </w:rPr>
            </w:pPr>
            <w:r>
              <w:rPr>
                <w:rFonts w:ascii="Arial" w:cs="Arial" w:eastAsia="Arial" w:hAnsi="Arial"/>
                <w:sz w:val="16"/>
                <w:szCs w:val="16"/>
                <w:color w:val="auto"/>
                <w:w w:val="92"/>
              </w:rPr>
              <w:t>August 3, 2022</w:t>
            </w:r>
          </w:p>
        </w:tc>
        <w:tc>
          <w:tcPr>
            <w:tcW w:w="1260" w:type="dxa"/>
            <w:vAlign w:val="bottom"/>
          </w:tcPr>
          <w:p>
            <w:pPr>
              <w:jc w:val="center"/>
              <w:ind w:right="479"/>
              <w:spacing w:after="0"/>
              <w:rPr>
                <w:sz w:val="20"/>
                <w:szCs w:val="20"/>
                <w:color w:val="auto"/>
              </w:rPr>
            </w:pPr>
            <w:r>
              <w:rPr>
                <w:rFonts w:ascii="Arial" w:cs="Arial" w:eastAsia="Arial" w:hAnsi="Arial"/>
                <w:sz w:val="16"/>
                <w:szCs w:val="16"/>
                <w:color w:val="auto"/>
                <w:w w:val="96"/>
              </w:rPr>
              <w:t>10.2</w:t>
            </w:r>
          </w:p>
        </w:tc>
      </w:tr>
      <w:tr>
        <w:trPr>
          <w:trHeight w:val="142"/>
        </w:trPr>
        <w:tc>
          <w:tcPr>
            <w:tcW w:w="760" w:type="dxa"/>
            <w:vAlign w:val="bottom"/>
          </w:tcPr>
          <w:p>
            <w:pPr>
              <w:spacing w:after="0"/>
              <w:rPr>
                <w:sz w:val="12"/>
                <w:szCs w:val="12"/>
                <w:color w:val="auto"/>
              </w:rPr>
            </w:pPr>
          </w:p>
        </w:tc>
        <w:tc>
          <w:tcPr>
            <w:tcW w:w="5200" w:type="dxa"/>
            <w:vAlign w:val="bottom"/>
            <w:tcBorders>
              <w:top w:val="single" w:sz="8" w:color="0000FF"/>
            </w:tcBorders>
            <w:gridSpan w:val="29"/>
          </w:tcPr>
          <w:p>
            <w:pPr>
              <w:spacing w:after="0" w:line="142" w:lineRule="exact"/>
              <w:rPr>
                <w:rFonts w:ascii="Arial" w:cs="Arial" w:eastAsia="Arial" w:hAnsi="Arial"/>
                <w:sz w:val="16"/>
                <w:szCs w:val="16"/>
                <w:color w:val="0000FF"/>
              </w:rPr>
            </w:pPr>
            <w:hyperlink r:id="rId209">
              <w:r>
                <w:rPr>
                  <w:rFonts w:ascii="Arial" w:cs="Arial" w:eastAsia="Arial" w:hAnsi="Arial"/>
                  <w:sz w:val="16"/>
                  <w:szCs w:val="16"/>
                  <w:color w:val="0000FF"/>
                </w:rPr>
                <w:t>International Bank Saudi Arabia (English version only)</w:t>
              </w:r>
            </w:hyperlink>
          </w:p>
        </w:tc>
        <w:tc>
          <w:tcPr>
            <w:tcW w:w="300" w:type="dxa"/>
            <w:vAlign w:val="bottom"/>
            <w:gridSpan w:val="5"/>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5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60" w:type="dxa"/>
            <w:vAlign w:val="bottom"/>
          </w:tcPr>
          <w:p>
            <w:pPr>
              <w:spacing w:after="0"/>
              <w:rPr>
                <w:sz w:val="12"/>
                <w:szCs w:val="12"/>
                <w:color w:val="auto"/>
              </w:rPr>
            </w:pPr>
          </w:p>
        </w:tc>
      </w:tr>
      <w:tr>
        <w:trPr>
          <w:trHeight w:val="20"/>
        </w:trPr>
        <w:tc>
          <w:tcPr>
            <w:tcW w:w="76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520" w:type="dxa"/>
            <w:vAlign w:val="bottom"/>
            <w:gridSpan w:val="5"/>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94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50"/>
        </w:trPr>
        <w:tc>
          <w:tcPr>
            <w:tcW w:w="760" w:type="dxa"/>
            <w:vAlign w:val="bottom"/>
          </w:tcPr>
          <w:p>
            <w:pPr>
              <w:jc w:val="center"/>
              <w:ind w:right="239"/>
              <w:spacing w:after="0"/>
              <w:rPr>
                <w:sz w:val="20"/>
                <w:szCs w:val="20"/>
                <w:color w:val="auto"/>
              </w:rPr>
            </w:pPr>
            <w:r>
              <w:rPr>
                <w:rFonts w:ascii="Arial" w:cs="Arial" w:eastAsia="Arial" w:hAnsi="Arial"/>
                <w:sz w:val="16"/>
                <w:szCs w:val="16"/>
                <w:color w:val="auto"/>
                <w:w w:val="89"/>
              </w:rPr>
              <w:t>10.32</w:t>
            </w:r>
          </w:p>
        </w:tc>
        <w:tc>
          <w:tcPr>
            <w:tcW w:w="5880" w:type="dxa"/>
            <w:vAlign w:val="bottom"/>
            <w:gridSpan w:val="48"/>
          </w:tcPr>
          <w:p>
            <w:pPr>
              <w:spacing w:after="0"/>
              <w:rPr>
                <w:rFonts w:ascii="Arial" w:cs="Arial" w:eastAsia="Arial" w:hAnsi="Arial"/>
                <w:sz w:val="16"/>
                <w:szCs w:val="16"/>
                <w:color w:val="0000FF"/>
                <w:w w:val="91"/>
              </w:rPr>
            </w:pPr>
            <w:hyperlink r:id="rId210">
              <w:r>
                <w:rPr>
                  <w:rFonts w:ascii="Arial" w:cs="Arial" w:eastAsia="Arial" w:hAnsi="Arial"/>
                  <w:sz w:val="16"/>
                  <w:szCs w:val="16"/>
                  <w:color w:val="0000FF"/>
                  <w:w w:val="91"/>
                </w:rPr>
                <w:t>Lease and Option to Purchase between Pinal County, as landlord, and Lucid USA, Inc., as</w:t>
              </w:r>
            </w:hyperlink>
          </w:p>
        </w:tc>
        <w:tc>
          <w:tcPr>
            <w:tcW w:w="540" w:type="dxa"/>
            <w:vAlign w:val="bottom"/>
          </w:tcPr>
          <w:p>
            <w:pPr>
              <w:jc w:val="center"/>
              <w:spacing w:after="0"/>
              <w:rPr>
                <w:sz w:val="20"/>
                <w:szCs w:val="20"/>
                <w:color w:val="auto"/>
              </w:rPr>
            </w:pPr>
            <w:r>
              <w:rPr>
                <w:rFonts w:ascii="Arial" w:cs="Arial" w:eastAsia="Arial" w:hAnsi="Arial"/>
                <w:sz w:val="16"/>
                <w:szCs w:val="16"/>
                <w:color w:val="auto"/>
                <w:w w:val="95"/>
              </w:rPr>
              <w:t>10-Q</w:t>
            </w:r>
          </w:p>
        </w:tc>
        <w:tc>
          <w:tcPr>
            <w:tcW w:w="960" w:type="dxa"/>
            <w:vAlign w:val="bottom"/>
          </w:tcPr>
          <w:p>
            <w:pPr>
              <w:jc w:val="center"/>
              <w:spacing w:after="0"/>
              <w:rPr>
                <w:sz w:val="20"/>
                <w:szCs w:val="20"/>
                <w:color w:val="auto"/>
              </w:rPr>
            </w:pPr>
            <w:r>
              <w:rPr>
                <w:rFonts w:ascii="Arial" w:cs="Arial" w:eastAsia="Arial" w:hAnsi="Arial"/>
                <w:sz w:val="16"/>
                <w:szCs w:val="16"/>
                <w:color w:val="auto"/>
                <w:w w:val="91"/>
              </w:rPr>
              <w:t>001-39408</w:t>
            </w:r>
          </w:p>
        </w:tc>
        <w:tc>
          <w:tcPr>
            <w:tcW w:w="1280" w:type="dxa"/>
            <w:vAlign w:val="bottom"/>
          </w:tcPr>
          <w:p>
            <w:pPr>
              <w:jc w:val="center"/>
              <w:spacing w:after="0"/>
              <w:rPr>
                <w:sz w:val="20"/>
                <w:szCs w:val="20"/>
                <w:color w:val="auto"/>
              </w:rPr>
            </w:pPr>
            <w:r>
              <w:rPr>
                <w:rFonts w:ascii="Arial" w:cs="Arial" w:eastAsia="Arial" w:hAnsi="Arial"/>
                <w:sz w:val="16"/>
                <w:szCs w:val="16"/>
                <w:color w:val="auto"/>
                <w:w w:val="91"/>
              </w:rPr>
              <w:t>November 8,</w:t>
            </w:r>
          </w:p>
        </w:tc>
        <w:tc>
          <w:tcPr>
            <w:tcW w:w="1260" w:type="dxa"/>
            <w:vAlign w:val="bottom"/>
          </w:tcPr>
          <w:p>
            <w:pPr>
              <w:jc w:val="center"/>
              <w:ind w:right="479"/>
              <w:spacing w:after="0"/>
              <w:rPr>
                <w:sz w:val="20"/>
                <w:szCs w:val="20"/>
                <w:color w:val="auto"/>
              </w:rPr>
            </w:pPr>
            <w:r>
              <w:rPr>
                <w:rFonts w:ascii="Arial" w:cs="Arial" w:eastAsia="Arial" w:hAnsi="Arial"/>
                <w:sz w:val="16"/>
                <w:szCs w:val="16"/>
                <w:color w:val="auto"/>
                <w:w w:val="96"/>
              </w:rPr>
              <w:t>10.1</w:t>
            </w:r>
          </w:p>
        </w:tc>
      </w:tr>
      <w:tr>
        <w:trPr>
          <w:trHeight w:val="142"/>
        </w:trPr>
        <w:tc>
          <w:tcPr>
            <w:tcW w:w="760" w:type="dxa"/>
            <w:vAlign w:val="bottom"/>
          </w:tcPr>
          <w:p>
            <w:pPr>
              <w:spacing w:after="0"/>
              <w:rPr>
                <w:sz w:val="12"/>
                <w:szCs w:val="12"/>
                <w:color w:val="auto"/>
              </w:rPr>
            </w:pPr>
          </w:p>
        </w:tc>
        <w:tc>
          <w:tcPr>
            <w:tcW w:w="1940" w:type="dxa"/>
            <w:vAlign w:val="bottom"/>
            <w:tcBorders>
              <w:top w:val="single" w:sz="8" w:color="0000FF"/>
              <w:bottom w:val="single" w:sz="8" w:color="0000FF"/>
            </w:tcBorders>
            <w:gridSpan w:val="8"/>
          </w:tcPr>
          <w:p>
            <w:pPr>
              <w:spacing w:after="0" w:line="142" w:lineRule="exact"/>
              <w:rPr>
                <w:rFonts w:ascii="Arial" w:cs="Arial" w:eastAsia="Arial" w:hAnsi="Arial"/>
                <w:sz w:val="16"/>
                <w:szCs w:val="16"/>
                <w:color w:val="0000FF"/>
                <w:w w:val="89"/>
              </w:rPr>
            </w:pPr>
            <w:hyperlink r:id="rId210">
              <w:r>
                <w:rPr>
                  <w:rFonts w:ascii="Arial" w:cs="Arial" w:eastAsia="Arial" w:hAnsi="Arial"/>
                  <w:sz w:val="16"/>
                  <w:szCs w:val="16"/>
                  <w:color w:val="0000FF"/>
                  <w:w w:val="89"/>
                </w:rPr>
                <w:t>tenant, dated August 10, 2022</w:t>
              </w:r>
            </w:hyperlink>
          </w:p>
        </w:tc>
        <w:tc>
          <w:tcPr>
            <w:tcW w:w="3880" w:type="dxa"/>
            <w:vAlign w:val="bottom"/>
            <w:tcBorders>
              <w:top w:val="single" w:sz="8" w:color="0000FF"/>
            </w:tcBorders>
            <w:gridSpan w:val="38"/>
          </w:tcPr>
          <w:p>
            <w:pPr>
              <w:spacing w:after="0"/>
              <w:rPr>
                <w:sz w:val="12"/>
                <w:szCs w:val="12"/>
                <w:color w:val="auto"/>
              </w:rPr>
            </w:pPr>
          </w:p>
        </w:tc>
        <w:tc>
          <w:tcPr>
            <w:tcW w:w="60" w:type="dxa"/>
            <w:vAlign w:val="bottom"/>
            <w:gridSpan w:val="2"/>
          </w:tcPr>
          <w:p>
            <w:pPr>
              <w:spacing w:after="0"/>
              <w:rPr>
                <w:sz w:val="12"/>
                <w:szCs w:val="12"/>
                <w:color w:val="auto"/>
              </w:rPr>
            </w:pPr>
          </w:p>
        </w:tc>
        <w:tc>
          <w:tcPr>
            <w:tcW w:w="5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80" w:type="dxa"/>
            <w:vAlign w:val="bottom"/>
          </w:tcPr>
          <w:p>
            <w:pPr>
              <w:jc w:val="center"/>
              <w:spacing w:after="0" w:line="142" w:lineRule="exact"/>
              <w:rPr>
                <w:sz w:val="20"/>
                <w:szCs w:val="20"/>
                <w:color w:val="auto"/>
              </w:rPr>
            </w:pPr>
            <w:r>
              <w:rPr>
                <w:rFonts w:ascii="Arial" w:cs="Arial" w:eastAsia="Arial" w:hAnsi="Arial"/>
                <w:sz w:val="16"/>
                <w:szCs w:val="16"/>
                <w:color w:val="auto"/>
                <w:w w:val="89"/>
              </w:rPr>
              <w:t>2022</w:t>
            </w:r>
          </w:p>
        </w:tc>
        <w:tc>
          <w:tcPr>
            <w:tcW w:w="1260" w:type="dxa"/>
            <w:vAlign w:val="bottom"/>
          </w:tcPr>
          <w:p>
            <w:pPr>
              <w:spacing w:after="0"/>
              <w:rPr>
                <w:sz w:val="12"/>
                <w:szCs w:val="12"/>
                <w:color w:val="auto"/>
              </w:rPr>
            </w:pPr>
          </w:p>
        </w:tc>
      </w:tr>
      <w:tr>
        <w:trPr>
          <w:trHeight w:val="250"/>
        </w:trPr>
        <w:tc>
          <w:tcPr>
            <w:tcW w:w="760" w:type="dxa"/>
            <w:vAlign w:val="bottom"/>
          </w:tcPr>
          <w:p>
            <w:pPr>
              <w:jc w:val="center"/>
              <w:ind w:right="239"/>
              <w:spacing w:after="0"/>
              <w:rPr>
                <w:sz w:val="20"/>
                <w:szCs w:val="20"/>
                <w:color w:val="auto"/>
              </w:rPr>
            </w:pPr>
            <w:r>
              <w:rPr>
                <w:rFonts w:ascii="Arial" w:cs="Arial" w:eastAsia="Arial" w:hAnsi="Arial"/>
                <w:sz w:val="16"/>
                <w:szCs w:val="16"/>
                <w:color w:val="auto"/>
                <w:w w:val="89"/>
              </w:rPr>
              <w:t>10.33</w:t>
            </w:r>
          </w:p>
        </w:tc>
        <w:tc>
          <w:tcPr>
            <w:tcW w:w="5880" w:type="dxa"/>
            <w:vAlign w:val="bottom"/>
            <w:gridSpan w:val="48"/>
          </w:tcPr>
          <w:p>
            <w:pPr>
              <w:spacing w:after="0"/>
              <w:rPr>
                <w:rFonts w:ascii="Arial" w:cs="Arial" w:eastAsia="Arial" w:hAnsi="Arial"/>
                <w:sz w:val="16"/>
                <w:szCs w:val="16"/>
                <w:color w:val="0000FF"/>
                <w:w w:val="94"/>
              </w:rPr>
            </w:pPr>
            <w:hyperlink r:id="rId211">
              <w:r>
                <w:rPr>
                  <w:rFonts w:ascii="Arial" w:cs="Arial" w:eastAsia="Arial" w:hAnsi="Arial"/>
                  <w:sz w:val="16"/>
                  <w:szCs w:val="16"/>
                  <w:color w:val="0000FF"/>
                  <w:w w:val="94"/>
                </w:rPr>
                <w:t>Subscription Agreement, dated November 8, 2022, between Lucid Group, Inc. and Ayar</w:t>
              </w:r>
            </w:hyperlink>
          </w:p>
        </w:tc>
        <w:tc>
          <w:tcPr>
            <w:tcW w:w="540" w:type="dxa"/>
            <w:vAlign w:val="bottom"/>
          </w:tcPr>
          <w:p>
            <w:pPr>
              <w:jc w:val="center"/>
              <w:spacing w:after="0"/>
              <w:rPr>
                <w:sz w:val="20"/>
                <w:szCs w:val="20"/>
                <w:color w:val="auto"/>
              </w:rPr>
            </w:pPr>
            <w:r>
              <w:rPr>
                <w:rFonts w:ascii="Arial" w:cs="Arial" w:eastAsia="Arial" w:hAnsi="Arial"/>
                <w:sz w:val="16"/>
                <w:szCs w:val="16"/>
                <w:color w:val="auto"/>
              </w:rPr>
              <w:t>8-K</w:t>
            </w:r>
          </w:p>
        </w:tc>
        <w:tc>
          <w:tcPr>
            <w:tcW w:w="960" w:type="dxa"/>
            <w:vAlign w:val="bottom"/>
          </w:tcPr>
          <w:p>
            <w:pPr>
              <w:jc w:val="center"/>
              <w:spacing w:after="0"/>
              <w:rPr>
                <w:sz w:val="20"/>
                <w:szCs w:val="20"/>
                <w:color w:val="auto"/>
              </w:rPr>
            </w:pPr>
            <w:r>
              <w:rPr>
                <w:rFonts w:ascii="Arial" w:cs="Arial" w:eastAsia="Arial" w:hAnsi="Arial"/>
                <w:sz w:val="16"/>
                <w:szCs w:val="16"/>
                <w:color w:val="auto"/>
                <w:w w:val="91"/>
              </w:rPr>
              <w:t>001-39408</w:t>
            </w:r>
          </w:p>
        </w:tc>
        <w:tc>
          <w:tcPr>
            <w:tcW w:w="1280" w:type="dxa"/>
            <w:vAlign w:val="bottom"/>
          </w:tcPr>
          <w:p>
            <w:pPr>
              <w:jc w:val="center"/>
              <w:spacing w:after="0"/>
              <w:rPr>
                <w:sz w:val="20"/>
                <w:szCs w:val="20"/>
                <w:color w:val="auto"/>
              </w:rPr>
            </w:pPr>
            <w:r>
              <w:rPr>
                <w:rFonts w:ascii="Arial" w:cs="Arial" w:eastAsia="Arial" w:hAnsi="Arial"/>
                <w:sz w:val="16"/>
                <w:szCs w:val="16"/>
                <w:color w:val="auto"/>
                <w:w w:val="91"/>
              </w:rPr>
              <w:t>November 8,</w:t>
            </w:r>
          </w:p>
        </w:tc>
        <w:tc>
          <w:tcPr>
            <w:tcW w:w="1260" w:type="dxa"/>
            <w:vAlign w:val="bottom"/>
          </w:tcPr>
          <w:p>
            <w:pPr>
              <w:jc w:val="center"/>
              <w:ind w:right="479"/>
              <w:spacing w:after="0"/>
              <w:rPr>
                <w:sz w:val="20"/>
                <w:szCs w:val="20"/>
                <w:color w:val="auto"/>
              </w:rPr>
            </w:pPr>
            <w:r>
              <w:rPr>
                <w:rFonts w:ascii="Arial" w:cs="Arial" w:eastAsia="Arial" w:hAnsi="Arial"/>
                <w:sz w:val="16"/>
                <w:szCs w:val="16"/>
                <w:color w:val="auto"/>
                <w:w w:val="96"/>
              </w:rPr>
              <w:t>10.1</w:t>
            </w:r>
          </w:p>
        </w:tc>
      </w:tr>
      <w:tr>
        <w:trPr>
          <w:trHeight w:val="142"/>
        </w:trPr>
        <w:tc>
          <w:tcPr>
            <w:tcW w:w="760" w:type="dxa"/>
            <w:vAlign w:val="bottom"/>
          </w:tcPr>
          <w:p>
            <w:pPr>
              <w:spacing w:after="0"/>
              <w:rPr>
                <w:sz w:val="12"/>
                <w:szCs w:val="12"/>
                <w:color w:val="auto"/>
              </w:rPr>
            </w:pPr>
          </w:p>
        </w:tc>
        <w:tc>
          <w:tcPr>
            <w:tcW w:w="5700" w:type="dxa"/>
            <w:vAlign w:val="bottom"/>
            <w:tcBorders>
              <w:top w:val="single" w:sz="8" w:color="0000FF"/>
            </w:tcBorders>
            <w:gridSpan w:val="41"/>
          </w:tcPr>
          <w:p>
            <w:pPr>
              <w:spacing w:after="0" w:line="142" w:lineRule="exact"/>
              <w:rPr>
                <w:rFonts w:ascii="Arial" w:cs="Arial" w:eastAsia="Arial" w:hAnsi="Arial"/>
                <w:sz w:val="16"/>
                <w:szCs w:val="16"/>
                <w:color w:val="0000FF"/>
              </w:rPr>
            </w:pPr>
            <w:hyperlink r:id="rId211">
              <w:r>
                <w:rPr>
                  <w:rFonts w:ascii="Arial" w:cs="Arial" w:eastAsia="Arial" w:hAnsi="Arial"/>
                  <w:sz w:val="16"/>
                  <w:szCs w:val="16"/>
                  <w:color w:val="0000FF"/>
                </w:rPr>
                <w:t>Third Investment Company</w:t>
              </w:r>
            </w:hyperlink>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gridSpan w:val="3"/>
          </w:tcPr>
          <w:p>
            <w:pPr>
              <w:spacing w:after="0"/>
              <w:rPr>
                <w:sz w:val="12"/>
                <w:szCs w:val="12"/>
                <w:color w:val="auto"/>
              </w:rPr>
            </w:pPr>
          </w:p>
        </w:tc>
        <w:tc>
          <w:tcPr>
            <w:tcW w:w="5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80" w:type="dxa"/>
            <w:vAlign w:val="bottom"/>
          </w:tcPr>
          <w:p>
            <w:pPr>
              <w:jc w:val="center"/>
              <w:spacing w:after="0" w:line="142" w:lineRule="exact"/>
              <w:rPr>
                <w:sz w:val="20"/>
                <w:szCs w:val="20"/>
                <w:color w:val="auto"/>
              </w:rPr>
            </w:pPr>
            <w:r>
              <w:rPr>
                <w:rFonts w:ascii="Arial" w:cs="Arial" w:eastAsia="Arial" w:hAnsi="Arial"/>
                <w:sz w:val="16"/>
                <w:szCs w:val="16"/>
                <w:color w:val="auto"/>
                <w:w w:val="89"/>
              </w:rPr>
              <w:t>2022</w:t>
            </w:r>
          </w:p>
        </w:tc>
        <w:tc>
          <w:tcPr>
            <w:tcW w:w="1260" w:type="dxa"/>
            <w:vAlign w:val="bottom"/>
          </w:tcPr>
          <w:p>
            <w:pPr>
              <w:spacing w:after="0"/>
              <w:rPr>
                <w:sz w:val="12"/>
                <w:szCs w:val="12"/>
                <w:color w:val="auto"/>
              </w:rPr>
            </w:pPr>
          </w:p>
        </w:tc>
      </w:tr>
      <w:tr>
        <w:trPr>
          <w:trHeight w:val="20"/>
        </w:trPr>
        <w:tc>
          <w:tcPr>
            <w:tcW w:w="76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520" w:type="dxa"/>
            <w:vAlign w:val="bottom"/>
            <w:gridSpan w:val="5"/>
            <w:shd w:val="clear" w:color="auto" w:fill="0000FF"/>
          </w:tcPr>
          <w:p>
            <w:pPr>
              <w:spacing w:after="0" w:line="20" w:lineRule="exact"/>
              <w:rPr>
                <w:sz w:val="1"/>
                <w:szCs w:val="1"/>
                <w:color w:val="auto"/>
              </w:rPr>
            </w:pPr>
          </w:p>
        </w:tc>
        <w:tc>
          <w:tcPr>
            <w:tcW w:w="122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94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50"/>
        </w:trPr>
        <w:tc>
          <w:tcPr>
            <w:tcW w:w="760" w:type="dxa"/>
            <w:vAlign w:val="bottom"/>
          </w:tcPr>
          <w:p>
            <w:pPr>
              <w:jc w:val="center"/>
              <w:ind w:right="239"/>
              <w:spacing w:after="0"/>
              <w:rPr>
                <w:sz w:val="20"/>
                <w:szCs w:val="20"/>
                <w:color w:val="auto"/>
              </w:rPr>
            </w:pPr>
            <w:r>
              <w:rPr>
                <w:rFonts w:ascii="Arial" w:cs="Arial" w:eastAsia="Arial" w:hAnsi="Arial"/>
                <w:sz w:val="16"/>
                <w:szCs w:val="16"/>
                <w:color w:val="auto"/>
                <w:w w:val="89"/>
              </w:rPr>
              <w:t>10.34#</w:t>
            </w:r>
          </w:p>
        </w:tc>
        <w:tc>
          <w:tcPr>
            <w:tcW w:w="5880" w:type="dxa"/>
            <w:vAlign w:val="bottom"/>
            <w:gridSpan w:val="48"/>
          </w:tcPr>
          <w:p>
            <w:pPr>
              <w:spacing w:after="0"/>
              <w:rPr>
                <w:sz w:val="20"/>
                <w:szCs w:val="20"/>
                <w:color w:val="auto"/>
              </w:rPr>
            </w:pPr>
            <w:r>
              <w:rPr>
                <w:rFonts w:ascii="Arial" w:cs="Arial" w:eastAsia="Arial" w:hAnsi="Arial"/>
                <w:sz w:val="16"/>
                <w:szCs w:val="16"/>
                <w:color w:val="0000FF"/>
                <w:w w:val="92"/>
              </w:rPr>
              <w:t>General Terms and Conditions for Prototype and Production Parts and Services, effective</w:t>
            </w:r>
          </w:p>
        </w:tc>
        <w:tc>
          <w:tcPr>
            <w:tcW w:w="5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60" w:type="dxa"/>
            <w:vAlign w:val="bottom"/>
          </w:tcPr>
          <w:p>
            <w:pPr>
              <w:ind w:left="1140"/>
              <w:spacing w:after="0"/>
              <w:rPr>
                <w:sz w:val="20"/>
                <w:szCs w:val="20"/>
                <w:color w:val="auto"/>
              </w:rPr>
            </w:pPr>
            <w:r>
              <w:rPr>
                <w:rFonts w:ascii="Arial" w:cs="Arial" w:eastAsia="Arial" w:hAnsi="Arial"/>
                <w:sz w:val="16"/>
                <w:szCs w:val="16"/>
                <w:color w:val="auto"/>
                <w:w w:val="93"/>
              </w:rPr>
              <w:t>X</w:t>
            </w:r>
          </w:p>
        </w:tc>
      </w:tr>
      <w:tr>
        <w:trPr>
          <w:trHeight w:val="142"/>
        </w:trPr>
        <w:tc>
          <w:tcPr>
            <w:tcW w:w="760" w:type="dxa"/>
            <w:vAlign w:val="bottom"/>
          </w:tcPr>
          <w:p>
            <w:pPr>
              <w:spacing w:after="0"/>
              <w:rPr>
                <w:sz w:val="12"/>
                <w:szCs w:val="12"/>
                <w:color w:val="auto"/>
              </w:rPr>
            </w:pPr>
          </w:p>
        </w:tc>
        <w:tc>
          <w:tcPr>
            <w:tcW w:w="5780" w:type="dxa"/>
            <w:vAlign w:val="bottom"/>
            <w:tcBorders>
              <w:top w:val="single" w:sz="8" w:color="0000FF"/>
            </w:tcBorders>
            <w:gridSpan w:val="45"/>
          </w:tcPr>
          <w:p>
            <w:pPr>
              <w:spacing w:after="0" w:line="142" w:lineRule="exact"/>
              <w:rPr>
                <w:sz w:val="20"/>
                <w:szCs w:val="20"/>
                <w:color w:val="auto"/>
              </w:rPr>
            </w:pPr>
            <w:r>
              <w:rPr>
                <w:rFonts w:ascii="Arial" w:cs="Arial" w:eastAsia="Arial" w:hAnsi="Arial"/>
                <w:sz w:val="16"/>
                <w:szCs w:val="16"/>
                <w:color w:val="0000FF"/>
                <w:w w:val="94"/>
              </w:rPr>
              <w:t>as of December 1, 2022, by and between Lucid USA, Inc. and Panasonic Energy Co.,</w:t>
            </w:r>
          </w:p>
        </w:tc>
        <w:tc>
          <w:tcPr>
            <w:tcW w:w="100" w:type="dxa"/>
            <w:vAlign w:val="bottom"/>
            <w:gridSpan w:val="3"/>
          </w:tcPr>
          <w:p>
            <w:pPr>
              <w:spacing w:after="0"/>
              <w:rPr>
                <w:sz w:val="12"/>
                <w:szCs w:val="12"/>
                <w:color w:val="auto"/>
              </w:rPr>
            </w:pPr>
          </w:p>
        </w:tc>
        <w:tc>
          <w:tcPr>
            <w:tcW w:w="5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60" w:type="dxa"/>
            <w:vAlign w:val="bottom"/>
          </w:tcPr>
          <w:p>
            <w:pPr>
              <w:spacing w:after="0"/>
              <w:rPr>
                <w:sz w:val="12"/>
                <w:szCs w:val="12"/>
                <w:color w:val="auto"/>
              </w:rPr>
            </w:pPr>
          </w:p>
        </w:tc>
      </w:tr>
      <w:tr>
        <w:trPr>
          <w:trHeight w:val="142"/>
        </w:trPr>
        <w:tc>
          <w:tcPr>
            <w:tcW w:w="760" w:type="dxa"/>
            <w:vAlign w:val="bottom"/>
          </w:tcPr>
          <w:p>
            <w:pPr>
              <w:spacing w:after="0"/>
              <w:rPr>
                <w:sz w:val="12"/>
                <w:szCs w:val="12"/>
                <w:color w:val="auto"/>
              </w:rPr>
            </w:pPr>
          </w:p>
        </w:tc>
        <w:tc>
          <w:tcPr>
            <w:tcW w:w="260" w:type="dxa"/>
            <w:vAlign w:val="bottom"/>
            <w:tcBorders>
              <w:top w:val="single" w:sz="8" w:color="0000FF"/>
              <w:bottom w:val="single" w:sz="8" w:color="0000FF"/>
            </w:tcBorders>
          </w:tcPr>
          <w:p>
            <w:pPr>
              <w:spacing w:after="0" w:line="142" w:lineRule="exact"/>
              <w:rPr>
                <w:sz w:val="20"/>
                <w:szCs w:val="20"/>
                <w:color w:val="auto"/>
              </w:rPr>
            </w:pPr>
            <w:r>
              <w:rPr>
                <w:rFonts w:ascii="Arial" w:cs="Arial" w:eastAsia="Arial" w:hAnsi="Arial"/>
                <w:sz w:val="16"/>
                <w:szCs w:val="16"/>
                <w:color w:val="0000FF"/>
                <w:w w:val="89"/>
              </w:rPr>
              <w:t>Ltd.</w:t>
            </w:r>
          </w:p>
        </w:tc>
        <w:tc>
          <w:tcPr>
            <w:tcW w:w="5300" w:type="dxa"/>
            <w:vAlign w:val="bottom"/>
            <w:tcBorders>
              <w:top w:val="single" w:sz="8" w:color="0000FF"/>
            </w:tcBorders>
            <w:gridSpan w:val="36"/>
          </w:tcPr>
          <w:p>
            <w:pPr>
              <w:spacing w:after="0"/>
              <w:rPr>
                <w:sz w:val="12"/>
                <w:szCs w:val="12"/>
                <w:color w:val="auto"/>
              </w:rPr>
            </w:pPr>
          </w:p>
        </w:tc>
        <w:tc>
          <w:tcPr>
            <w:tcW w:w="160" w:type="dxa"/>
            <w:vAlign w:val="bottom"/>
            <w:gridSpan w:val="5"/>
          </w:tcPr>
          <w:p>
            <w:pPr>
              <w:spacing w:after="0"/>
              <w:rPr>
                <w:sz w:val="12"/>
                <w:szCs w:val="12"/>
                <w:color w:val="auto"/>
              </w:rPr>
            </w:pPr>
          </w:p>
        </w:tc>
        <w:tc>
          <w:tcPr>
            <w:tcW w:w="40" w:type="dxa"/>
            <w:vAlign w:val="bottom"/>
            <w:gridSpan w:val="2"/>
          </w:tcPr>
          <w:p>
            <w:pPr>
              <w:spacing w:after="0"/>
              <w:rPr>
                <w:sz w:val="12"/>
                <w:szCs w:val="12"/>
                <w:color w:val="auto"/>
              </w:rPr>
            </w:pPr>
          </w:p>
        </w:tc>
        <w:tc>
          <w:tcPr>
            <w:tcW w:w="120" w:type="dxa"/>
            <w:vAlign w:val="bottom"/>
            <w:gridSpan w:val="4"/>
          </w:tcPr>
          <w:p>
            <w:pPr>
              <w:spacing w:after="0"/>
              <w:rPr>
                <w:sz w:val="12"/>
                <w:szCs w:val="12"/>
                <w:color w:val="auto"/>
              </w:rPr>
            </w:pPr>
          </w:p>
        </w:tc>
        <w:tc>
          <w:tcPr>
            <w:tcW w:w="5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60" w:type="dxa"/>
            <w:vAlign w:val="bottom"/>
          </w:tcPr>
          <w:p>
            <w:pPr>
              <w:spacing w:after="0"/>
              <w:rPr>
                <w:sz w:val="12"/>
                <w:szCs w:val="12"/>
                <w:color w:val="auto"/>
              </w:rPr>
            </w:pPr>
          </w:p>
        </w:tc>
      </w:tr>
      <w:tr>
        <w:trPr>
          <w:trHeight w:val="250"/>
        </w:trPr>
        <w:tc>
          <w:tcPr>
            <w:tcW w:w="760" w:type="dxa"/>
            <w:vAlign w:val="bottom"/>
          </w:tcPr>
          <w:p>
            <w:pPr>
              <w:jc w:val="center"/>
              <w:ind w:right="239"/>
              <w:spacing w:after="0"/>
              <w:rPr>
                <w:sz w:val="20"/>
                <w:szCs w:val="20"/>
                <w:color w:val="auto"/>
              </w:rPr>
            </w:pPr>
            <w:r>
              <w:rPr>
                <w:rFonts w:ascii="Arial" w:cs="Arial" w:eastAsia="Arial" w:hAnsi="Arial"/>
                <w:sz w:val="16"/>
                <w:szCs w:val="16"/>
                <w:color w:val="auto"/>
                <w:w w:val="89"/>
              </w:rPr>
              <w:t>10.35#</w:t>
            </w:r>
          </w:p>
        </w:tc>
        <w:tc>
          <w:tcPr>
            <w:tcW w:w="5880" w:type="dxa"/>
            <w:vAlign w:val="bottom"/>
            <w:gridSpan w:val="48"/>
          </w:tcPr>
          <w:p>
            <w:pPr>
              <w:spacing w:after="0"/>
              <w:rPr>
                <w:sz w:val="20"/>
                <w:szCs w:val="20"/>
                <w:color w:val="auto"/>
              </w:rPr>
            </w:pPr>
            <w:r>
              <w:rPr>
                <w:rFonts w:ascii="Arial" w:cs="Arial" w:eastAsia="Arial" w:hAnsi="Arial"/>
                <w:sz w:val="16"/>
                <w:szCs w:val="16"/>
                <w:color w:val="0000FF"/>
                <w:w w:val="94"/>
              </w:rPr>
              <w:t>Production Pricing Agreement, effective as of December 1, 2022, by and between Lucid</w:t>
            </w:r>
          </w:p>
        </w:tc>
        <w:tc>
          <w:tcPr>
            <w:tcW w:w="5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60" w:type="dxa"/>
            <w:vAlign w:val="bottom"/>
          </w:tcPr>
          <w:p>
            <w:pPr>
              <w:ind w:left="1140"/>
              <w:spacing w:after="0"/>
              <w:rPr>
                <w:sz w:val="20"/>
                <w:szCs w:val="20"/>
                <w:color w:val="auto"/>
              </w:rPr>
            </w:pPr>
            <w:r>
              <w:rPr>
                <w:rFonts w:ascii="Arial" w:cs="Arial" w:eastAsia="Arial" w:hAnsi="Arial"/>
                <w:sz w:val="16"/>
                <w:szCs w:val="16"/>
                <w:color w:val="auto"/>
                <w:w w:val="93"/>
              </w:rPr>
              <w:t>X</w:t>
            </w:r>
          </w:p>
        </w:tc>
      </w:tr>
      <w:tr>
        <w:trPr>
          <w:trHeight w:val="142"/>
        </w:trPr>
        <w:tc>
          <w:tcPr>
            <w:tcW w:w="760" w:type="dxa"/>
            <w:vAlign w:val="bottom"/>
          </w:tcPr>
          <w:p>
            <w:pPr>
              <w:spacing w:after="0"/>
              <w:rPr>
                <w:sz w:val="12"/>
                <w:szCs w:val="12"/>
                <w:color w:val="auto"/>
              </w:rPr>
            </w:pPr>
          </w:p>
        </w:tc>
        <w:tc>
          <w:tcPr>
            <w:tcW w:w="5720" w:type="dxa"/>
            <w:vAlign w:val="bottom"/>
            <w:tcBorders>
              <w:top w:val="single" w:sz="8" w:color="0000FF"/>
            </w:tcBorders>
            <w:gridSpan w:val="42"/>
          </w:tcPr>
          <w:p>
            <w:pPr>
              <w:spacing w:after="0" w:line="142" w:lineRule="exact"/>
              <w:rPr>
                <w:sz w:val="20"/>
                <w:szCs w:val="20"/>
                <w:color w:val="auto"/>
              </w:rPr>
            </w:pPr>
            <w:r>
              <w:rPr>
                <w:rFonts w:ascii="Arial" w:cs="Arial" w:eastAsia="Arial" w:hAnsi="Arial"/>
                <w:sz w:val="16"/>
                <w:szCs w:val="16"/>
                <w:color w:val="0000FF"/>
                <w:w w:val="94"/>
              </w:rPr>
              <w:t>USA, Inc. and Panasonic Corporation of North America doing business as Panasonic</w:t>
            </w:r>
          </w:p>
        </w:tc>
        <w:tc>
          <w:tcPr>
            <w:tcW w:w="40" w:type="dxa"/>
            <w:vAlign w:val="bottom"/>
            <w:gridSpan w:val="2"/>
          </w:tcPr>
          <w:p>
            <w:pPr>
              <w:spacing w:after="0"/>
              <w:rPr>
                <w:sz w:val="12"/>
                <w:szCs w:val="12"/>
                <w:color w:val="auto"/>
              </w:rPr>
            </w:pPr>
          </w:p>
        </w:tc>
        <w:tc>
          <w:tcPr>
            <w:tcW w:w="120" w:type="dxa"/>
            <w:vAlign w:val="bottom"/>
            <w:gridSpan w:val="4"/>
          </w:tcPr>
          <w:p>
            <w:pPr>
              <w:spacing w:after="0"/>
              <w:rPr>
                <w:sz w:val="12"/>
                <w:szCs w:val="12"/>
                <w:color w:val="auto"/>
              </w:rPr>
            </w:pPr>
          </w:p>
        </w:tc>
        <w:tc>
          <w:tcPr>
            <w:tcW w:w="5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60" w:type="dxa"/>
            <w:vAlign w:val="bottom"/>
          </w:tcPr>
          <w:p>
            <w:pPr>
              <w:spacing w:after="0"/>
              <w:rPr>
                <w:sz w:val="12"/>
                <w:szCs w:val="12"/>
                <w:color w:val="auto"/>
              </w:rPr>
            </w:pPr>
          </w:p>
        </w:tc>
      </w:tr>
      <w:tr>
        <w:trPr>
          <w:trHeight w:val="142"/>
        </w:trPr>
        <w:tc>
          <w:tcPr>
            <w:tcW w:w="760" w:type="dxa"/>
            <w:vAlign w:val="bottom"/>
          </w:tcPr>
          <w:p>
            <w:pPr>
              <w:spacing w:after="0"/>
              <w:rPr>
                <w:sz w:val="12"/>
                <w:szCs w:val="12"/>
                <w:color w:val="auto"/>
              </w:rPr>
            </w:pPr>
          </w:p>
        </w:tc>
        <w:tc>
          <w:tcPr>
            <w:tcW w:w="5540" w:type="dxa"/>
            <w:vAlign w:val="bottom"/>
            <w:tcBorders>
              <w:top w:val="single" w:sz="8" w:color="0000FF"/>
            </w:tcBorders>
            <w:gridSpan w:val="36"/>
          </w:tcPr>
          <w:p>
            <w:pPr>
              <w:spacing w:after="0" w:line="142" w:lineRule="exact"/>
              <w:rPr>
                <w:sz w:val="20"/>
                <w:szCs w:val="20"/>
                <w:color w:val="auto"/>
              </w:rPr>
            </w:pPr>
            <w:r>
              <w:rPr>
                <w:rFonts w:ascii="Arial" w:cs="Arial" w:eastAsia="Arial" w:hAnsi="Arial"/>
                <w:sz w:val="16"/>
                <w:szCs w:val="16"/>
                <w:color w:val="0000FF"/>
              </w:rPr>
              <w:t>Industrial Devices Sales Company of America</w:t>
            </w:r>
          </w:p>
        </w:tc>
        <w:tc>
          <w:tcPr>
            <w:tcW w:w="220" w:type="dxa"/>
            <w:vAlign w:val="bottom"/>
            <w:gridSpan w:val="8"/>
          </w:tcPr>
          <w:p>
            <w:pPr>
              <w:spacing w:after="0"/>
              <w:rPr>
                <w:sz w:val="12"/>
                <w:szCs w:val="12"/>
                <w:color w:val="auto"/>
              </w:rPr>
            </w:pPr>
          </w:p>
        </w:tc>
        <w:tc>
          <w:tcPr>
            <w:tcW w:w="120" w:type="dxa"/>
            <w:vAlign w:val="bottom"/>
            <w:gridSpan w:val="4"/>
          </w:tcPr>
          <w:p>
            <w:pPr>
              <w:spacing w:after="0"/>
              <w:rPr>
                <w:sz w:val="12"/>
                <w:szCs w:val="12"/>
                <w:color w:val="auto"/>
              </w:rPr>
            </w:pPr>
          </w:p>
        </w:tc>
        <w:tc>
          <w:tcPr>
            <w:tcW w:w="5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60" w:type="dxa"/>
            <w:vAlign w:val="bottom"/>
          </w:tcPr>
          <w:p>
            <w:pPr>
              <w:spacing w:after="0"/>
              <w:rPr>
                <w:sz w:val="12"/>
                <w:szCs w:val="12"/>
                <w:color w:val="auto"/>
              </w:rPr>
            </w:pPr>
          </w:p>
        </w:tc>
      </w:tr>
      <w:tr>
        <w:trPr>
          <w:trHeight w:val="20"/>
        </w:trPr>
        <w:tc>
          <w:tcPr>
            <w:tcW w:w="760" w:type="dxa"/>
            <w:vAlign w:val="bottom"/>
          </w:tcPr>
          <w:p>
            <w:pPr>
              <w:spacing w:after="0" w:line="20" w:lineRule="exact"/>
              <w:rPr>
                <w:sz w:val="1"/>
                <w:szCs w:val="1"/>
                <w:color w:val="auto"/>
              </w:rPr>
            </w:pPr>
          </w:p>
        </w:tc>
        <w:tc>
          <w:tcPr>
            <w:tcW w:w="3000" w:type="dxa"/>
            <w:vAlign w:val="bottom"/>
            <w:gridSpan w:val="10"/>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94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9"/>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50"/>
        </w:trPr>
        <w:tc>
          <w:tcPr>
            <w:tcW w:w="760" w:type="dxa"/>
            <w:vAlign w:val="bottom"/>
          </w:tcPr>
          <w:p>
            <w:pPr>
              <w:jc w:val="center"/>
              <w:ind w:right="239"/>
              <w:spacing w:after="0"/>
              <w:rPr>
                <w:sz w:val="20"/>
                <w:szCs w:val="20"/>
                <w:color w:val="auto"/>
              </w:rPr>
            </w:pPr>
            <w:r>
              <w:rPr>
                <w:rFonts w:ascii="Arial" w:cs="Arial" w:eastAsia="Arial" w:hAnsi="Arial"/>
                <w:sz w:val="16"/>
                <w:szCs w:val="16"/>
                <w:color w:val="auto"/>
                <w:w w:val="89"/>
              </w:rPr>
              <w:t>10.36#</w:t>
            </w:r>
          </w:p>
        </w:tc>
        <w:tc>
          <w:tcPr>
            <w:tcW w:w="5880" w:type="dxa"/>
            <w:vAlign w:val="bottom"/>
            <w:gridSpan w:val="48"/>
          </w:tcPr>
          <w:p>
            <w:pPr>
              <w:spacing w:after="0"/>
              <w:rPr>
                <w:sz w:val="20"/>
                <w:szCs w:val="20"/>
                <w:color w:val="auto"/>
              </w:rPr>
            </w:pPr>
            <w:r>
              <w:rPr>
                <w:rFonts w:ascii="Arial" w:cs="Arial" w:eastAsia="Arial" w:hAnsi="Arial"/>
                <w:sz w:val="16"/>
                <w:szCs w:val="16"/>
                <w:color w:val="0000FF"/>
                <w:w w:val="94"/>
              </w:rPr>
              <w:t>Production Pricing Agreement, effective as of December 1, 2022, by and between Lucid</w:t>
            </w:r>
          </w:p>
        </w:tc>
        <w:tc>
          <w:tcPr>
            <w:tcW w:w="5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60" w:type="dxa"/>
            <w:vAlign w:val="bottom"/>
          </w:tcPr>
          <w:p>
            <w:pPr>
              <w:ind w:left="1140"/>
              <w:spacing w:after="0"/>
              <w:rPr>
                <w:sz w:val="20"/>
                <w:szCs w:val="20"/>
                <w:color w:val="auto"/>
              </w:rPr>
            </w:pPr>
            <w:r>
              <w:rPr>
                <w:rFonts w:ascii="Arial" w:cs="Arial" w:eastAsia="Arial" w:hAnsi="Arial"/>
                <w:sz w:val="16"/>
                <w:szCs w:val="16"/>
                <w:color w:val="auto"/>
                <w:w w:val="93"/>
              </w:rPr>
              <w:t>X</w:t>
            </w:r>
          </w:p>
        </w:tc>
      </w:tr>
      <w:tr>
        <w:trPr>
          <w:trHeight w:val="142"/>
        </w:trPr>
        <w:tc>
          <w:tcPr>
            <w:tcW w:w="760" w:type="dxa"/>
            <w:vAlign w:val="bottom"/>
          </w:tcPr>
          <w:p>
            <w:pPr>
              <w:spacing w:after="0"/>
              <w:rPr>
                <w:sz w:val="12"/>
                <w:szCs w:val="12"/>
                <w:color w:val="auto"/>
              </w:rPr>
            </w:pPr>
          </w:p>
        </w:tc>
        <w:tc>
          <w:tcPr>
            <w:tcW w:w="4140" w:type="dxa"/>
            <w:vAlign w:val="bottom"/>
            <w:tcBorders>
              <w:top w:val="single" w:sz="8" w:color="0000FF"/>
              <w:bottom w:val="single" w:sz="8" w:color="0000FF"/>
            </w:tcBorders>
            <w:gridSpan w:val="23"/>
          </w:tcPr>
          <w:p>
            <w:pPr>
              <w:spacing w:after="0" w:line="142" w:lineRule="exact"/>
              <w:rPr>
                <w:sz w:val="20"/>
                <w:szCs w:val="20"/>
                <w:color w:val="auto"/>
              </w:rPr>
            </w:pPr>
            <w:r>
              <w:rPr>
                <w:rFonts w:ascii="Arial" w:cs="Arial" w:eastAsia="Arial" w:hAnsi="Arial"/>
                <w:sz w:val="16"/>
                <w:szCs w:val="16"/>
                <w:color w:val="0000FF"/>
                <w:w w:val="92"/>
              </w:rPr>
              <w:t>USA, Inc. and Panasonic Energy Corporation of North America</w:t>
            </w:r>
          </w:p>
        </w:tc>
        <w:tc>
          <w:tcPr>
            <w:tcW w:w="1580" w:type="dxa"/>
            <w:vAlign w:val="bottom"/>
            <w:tcBorders>
              <w:top w:val="single" w:sz="8" w:color="0000FF"/>
            </w:tcBorders>
            <w:gridSpan w:val="19"/>
          </w:tcPr>
          <w:p>
            <w:pPr>
              <w:spacing w:after="0"/>
              <w:rPr>
                <w:sz w:val="12"/>
                <w:szCs w:val="12"/>
                <w:color w:val="auto"/>
              </w:rPr>
            </w:pPr>
          </w:p>
        </w:tc>
        <w:tc>
          <w:tcPr>
            <w:tcW w:w="40" w:type="dxa"/>
            <w:vAlign w:val="bottom"/>
            <w:gridSpan w:val="2"/>
          </w:tcPr>
          <w:p>
            <w:pPr>
              <w:spacing w:after="0"/>
              <w:rPr>
                <w:sz w:val="12"/>
                <w:szCs w:val="12"/>
                <w:color w:val="auto"/>
              </w:rPr>
            </w:pPr>
          </w:p>
        </w:tc>
        <w:tc>
          <w:tcPr>
            <w:tcW w:w="120" w:type="dxa"/>
            <w:vAlign w:val="bottom"/>
            <w:gridSpan w:val="4"/>
          </w:tcPr>
          <w:p>
            <w:pPr>
              <w:spacing w:after="0"/>
              <w:rPr>
                <w:sz w:val="12"/>
                <w:szCs w:val="12"/>
                <w:color w:val="auto"/>
              </w:rPr>
            </w:pPr>
          </w:p>
        </w:tc>
        <w:tc>
          <w:tcPr>
            <w:tcW w:w="5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60" w:type="dxa"/>
            <w:vAlign w:val="bottom"/>
          </w:tcPr>
          <w:p>
            <w:pPr>
              <w:spacing w:after="0"/>
              <w:rPr>
                <w:sz w:val="12"/>
                <w:szCs w:val="12"/>
                <w:color w:val="auto"/>
              </w:rPr>
            </w:pPr>
          </w:p>
        </w:tc>
      </w:tr>
      <w:tr>
        <w:trPr>
          <w:trHeight w:val="250"/>
        </w:trPr>
        <w:tc>
          <w:tcPr>
            <w:tcW w:w="760" w:type="dxa"/>
            <w:vAlign w:val="bottom"/>
          </w:tcPr>
          <w:p>
            <w:pPr>
              <w:jc w:val="center"/>
              <w:ind w:right="239"/>
              <w:spacing w:after="0"/>
              <w:rPr>
                <w:sz w:val="20"/>
                <w:szCs w:val="20"/>
                <w:color w:val="auto"/>
              </w:rPr>
            </w:pPr>
            <w:r>
              <w:rPr>
                <w:rFonts w:ascii="Arial" w:cs="Arial" w:eastAsia="Arial" w:hAnsi="Arial"/>
                <w:sz w:val="16"/>
                <w:szCs w:val="16"/>
                <w:color w:val="auto"/>
                <w:w w:val="89"/>
              </w:rPr>
              <w:t>10.37</w:t>
            </w:r>
          </w:p>
        </w:tc>
        <w:tc>
          <w:tcPr>
            <w:tcW w:w="5520" w:type="dxa"/>
            <w:vAlign w:val="bottom"/>
            <w:tcBorders>
              <w:bottom w:val="single" w:sz="8" w:color="0000FF"/>
            </w:tcBorders>
            <w:gridSpan w:val="35"/>
          </w:tcPr>
          <w:p>
            <w:pPr>
              <w:spacing w:after="0"/>
              <w:rPr>
                <w:sz w:val="20"/>
                <w:szCs w:val="20"/>
                <w:color w:val="auto"/>
              </w:rPr>
            </w:pPr>
            <w:r>
              <w:rPr>
                <w:rFonts w:ascii="Arial" w:cs="Arial" w:eastAsia="Arial" w:hAnsi="Arial"/>
                <w:sz w:val="16"/>
                <w:szCs w:val="16"/>
                <w:color w:val="0000FF"/>
                <w:w w:val="92"/>
              </w:rPr>
              <w:t>Affiliate Participation Agreement, effective as of December 1, 2022, by and between</w:t>
            </w:r>
          </w:p>
        </w:tc>
        <w:tc>
          <w:tcPr>
            <w:tcW w:w="360" w:type="dxa"/>
            <w:vAlign w:val="bottom"/>
            <w:gridSpan w:val="13"/>
          </w:tcPr>
          <w:p>
            <w:pPr>
              <w:spacing w:after="0"/>
              <w:rPr>
                <w:sz w:val="21"/>
                <w:szCs w:val="21"/>
                <w:color w:val="auto"/>
              </w:rPr>
            </w:pPr>
          </w:p>
        </w:tc>
        <w:tc>
          <w:tcPr>
            <w:tcW w:w="5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60" w:type="dxa"/>
            <w:vAlign w:val="bottom"/>
          </w:tcPr>
          <w:p>
            <w:pPr>
              <w:ind w:left="1140"/>
              <w:spacing w:after="0"/>
              <w:rPr>
                <w:sz w:val="20"/>
                <w:szCs w:val="20"/>
                <w:color w:val="auto"/>
              </w:rPr>
            </w:pPr>
            <w:r>
              <w:rPr>
                <w:rFonts w:ascii="Arial" w:cs="Arial" w:eastAsia="Arial" w:hAnsi="Arial"/>
                <w:sz w:val="16"/>
                <w:szCs w:val="16"/>
                <w:color w:val="auto"/>
                <w:w w:val="93"/>
              </w:rPr>
              <w:t>X</w:t>
            </w:r>
          </w:p>
        </w:tc>
      </w:tr>
      <w:tr>
        <w:trPr>
          <w:trHeight w:val="142"/>
        </w:trPr>
        <w:tc>
          <w:tcPr>
            <w:tcW w:w="760" w:type="dxa"/>
            <w:vAlign w:val="bottom"/>
          </w:tcPr>
          <w:p>
            <w:pPr>
              <w:spacing w:after="0"/>
              <w:rPr>
                <w:sz w:val="12"/>
                <w:szCs w:val="12"/>
                <w:color w:val="auto"/>
              </w:rPr>
            </w:pPr>
          </w:p>
        </w:tc>
        <w:tc>
          <w:tcPr>
            <w:tcW w:w="5880" w:type="dxa"/>
            <w:vAlign w:val="bottom"/>
            <w:gridSpan w:val="48"/>
          </w:tcPr>
          <w:p>
            <w:pPr>
              <w:spacing w:after="0" w:line="142" w:lineRule="exact"/>
              <w:rPr>
                <w:sz w:val="20"/>
                <w:szCs w:val="20"/>
                <w:color w:val="auto"/>
              </w:rPr>
            </w:pPr>
            <w:r>
              <w:rPr>
                <w:rFonts w:ascii="Arial" w:cs="Arial" w:eastAsia="Arial" w:hAnsi="Arial"/>
                <w:sz w:val="16"/>
                <w:szCs w:val="16"/>
                <w:color w:val="0000FF"/>
                <w:w w:val="93"/>
              </w:rPr>
              <w:t>Panasonic Corporation of North America doing business as Panasonic Industrial Devices</w:t>
            </w:r>
          </w:p>
        </w:tc>
        <w:tc>
          <w:tcPr>
            <w:tcW w:w="5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60" w:type="dxa"/>
            <w:vAlign w:val="bottom"/>
          </w:tcPr>
          <w:p>
            <w:pPr>
              <w:spacing w:after="0"/>
              <w:rPr>
                <w:sz w:val="12"/>
                <w:szCs w:val="12"/>
                <w:color w:val="auto"/>
              </w:rPr>
            </w:pPr>
          </w:p>
        </w:tc>
      </w:tr>
      <w:tr>
        <w:trPr>
          <w:trHeight w:val="142"/>
        </w:trPr>
        <w:tc>
          <w:tcPr>
            <w:tcW w:w="760" w:type="dxa"/>
            <w:vAlign w:val="bottom"/>
          </w:tcPr>
          <w:p>
            <w:pPr>
              <w:spacing w:after="0"/>
              <w:rPr>
                <w:sz w:val="12"/>
                <w:szCs w:val="12"/>
                <w:color w:val="auto"/>
              </w:rPr>
            </w:pPr>
          </w:p>
        </w:tc>
        <w:tc>
          <w:tcPr>
            <w:tcW w:w="5760" w:type="dxa"/>
            <w:vAlign w:val="bottom"/>
            <w:tcBorders>
              <w:top w:val="single" w:sz="8" w:color="0000FF"/>
            </w:tcBorders>
            <w:gridSpan w:val="44"/>
          </w:tcPr>
          <w:p>
            <w:pPr>
              <w:spacing w:after="0" w:line="142" w:lineRule="exact"/>
              <w:rPr>
                <w:sz w:val="20"/>
                <w:szCs w:val="20"/>
                <w:color w:val="auto"/>
              </w:rPr>
            </w:pPr>
            <w:r>
              <w:rPr>
                <w:rFonts w:ascii="Arial" w:cs="Arial" w:eastAsia="Arial" w:hAnsi="Arial"/>
                <w:sz w:val="16"/>
                <w:szCs w:val="16"/>
                <w:color w:val="0000FF"/>
              </w:rPr>
              <w:t>Sales Company of America and Lucid USA, Inc.</w:t>
            </w:r>
          </w:p>
        </w:tc>
        <w:tc>
          <w:tcPr>
            <w:tcW w:w="120" w:type="dxa"/>
            <w:vAlign w:val="bottom"/>
            <w:gridSpan w:val="4"/>
          </w:tcPr>
          <w:p>
            <w:pPr>
              <w:spacing w:after="0"/>
              <w:rPr>
                <w:sz w:val="12"/>
                <w:szCs w:val="12"/>
                <w:color w:val="auto"/>
              </w:rPr>
            </w:pPr>
          </w:p>
        </w:tc>
        <w:tc>
          <w:tcPr>
            <w:tcW w:w="5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60" w:type="dxa"/>
            <w:vAlign w:val="bottom"/>
          </w:tcPr>
          <w:p>
            <w:pPr>
              <w:spacing w:after="0"/>
              <w:rPr>
                <w:sz w:val="12"/>
                <w:szCs w:val="12"/>
                <w:color w:val="auto"/>
              </w:rPr>
            </w:pPr>
          </w:p>
        </w:tc>
      </w:tr>
      <w:tr>
        <w:trPr>
          <w:trHeight w:val="20"/>
        </w:trPr>
        <w:tc>
          <w:tcPr>
            <w:tcW w:w="760" w:type="dxa"/>
            <w:vAlign w:val="bottom"/>
          </w:tcPr>
          <w:p>
            <w:pPr>
              <w:spacing w:after="0" w:line="20" w:lineRule="exact"/>
              <w:rPr>
                <w:sz w:val="1"/>
                <w:szCs w:val="1"/>
                <w:color w:val="auto"/>
              </w:rPr>
            </w:pPr>
          </w:p>
        </w:tc>
        <w:tc>
          <w:tcPr>
            <w:tcW w:w="3160" w:type="dxa"/>
            <w:vAlign w:val="bottom"/>
            <w:gridSpan w:val="11"/>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80" w:type="dxa"/>
            <w:vAlign w:val="bottom"/>
            <w:gridSpan w:val="6"/>
          </w:tcPr>
          <w:p>
            <w:pPr>
              <w:spacing w:after="0" w:line="20" w:lineRule="exact"/>
              <w:rPr>
                <w:sz w:val="1"/>
                <w:szCs w:val="1"/>
                <w:color w:val="auto"/>
              </w:rPr>
            </w:pPr>
          </w:p>
        </w:tc>
        <w:tc>
          <w:tcPr>
            <w:tcW w:w="940" w:type="dxa"/>
            <w:vAlign w:val="bottom"/>
            <w:gridSpan w:val="9"/>
          </w:tcPr>
          <w:p>
            <w:pPr>
              <w:spacing w:after="0" w:line="20" w:lineRule="exact"/>
              <w:rPr>
                <w:sz w:val="1"/>
                <w:szCs w:val="1"/>
                <w:color w:val="auto"/>
              </w:rPr>
            </w:pPr>
          </w:p>
        </w:tc>
        <w:tc>
          <w:tcPr>
            <w:tcW w:w="380" w:type="dxa"/>
            <w:vAlign w:val="bottom"/>
            <w:gridSpan w:val="14"/>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50"/>
        </w:trPr>
        <w:tc>
          <w:tcPr>
            <w:tcW w:w="760" w:type="dxa"/>
            <w:vAlign w:val="bottom"/>
          </w:tcPr>
          <w:p>
            <w:pPr>
              <w:jc w:val="center"/>
              <w:ind w:right="239"/>
              <w:spacing w:after="0"/>
              <w:rPr>
                <w:sz w:val="20"/>
                <w:szCs w:val="20"/>
                <w:color w:val="auto"/>
              </w:rPr>
            </w:pPr>
            <w:r>
              <w:rPr>
                <w:rFonts w:ascii="Arial" w:cs="Arial" w:eastAsia="Arial" w:hAnsi="Arial"/>
                <w:sz w:val="16"/>
                <w:szCs w:val="16"/>
                <w:color w:val="auto"/>
                <w:w w:val="89"/>
              </w:rPr>
              <w:t>10.38</w:t>
            </w:r>
          </w:p>
        </w:tc>
        <w:tc>
          <w:tcPr>
            <w:tcW w:w="5880" w:type="dxa"/>
            <w:vAlign w:val="bottom"/>
            <w:gridSpan w:val="48"/>
          </w:tcPr>
          <w:p>
            <w:pPr>
              <w:spacing w:after="0"/>
              <w:rPr>
                <w:sz w:val="20"/>
                <w:szCs w:val="20"/>
                <w:color w:val="auto"/>
              </w:rPr>
            </w:pPr>
            <w:r>
              <w:rPr>
                <w:rFonts w:ascii="Arial" w:cs="Arial" w:eastAsia="Arial" w:hAnsi="Arial"/>
                <w:sz w:val="16"/>
                <w:szCs w:val="16"/>
                <w:color w:val="0000FF"/>
                <w:w w:val="98"/>
              </w:rPr>
              <w:t>Affiliate Participation Agreement, effective as of December 1, 2022, by and between</w:t>
            </w:r>
          </w:p>
        </w:tc>
        <w:tc>
          <w:tcPr>
            <w:tcW w:w="5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60" w:type="dxa"/>
            <w:vAlign w:val="bottom"/>
          </w:tcPr>
          <w:p>
            <w:pPr>
              <w:ind w:left="1140"/>
              <w:spacing w:after="0"/>
              <w:rPr>
                <w:sz w:val="20"/>
                <w:szCs w:val="20"/>
                <w:color w:val="auto"/>
              </w:rPr>
            </w:pPr>
            <w:r>
              <w:rPr>
                <w:rFonts w:ascii="Arial" w:cs="Arial" w:eastAsia="Arial" w:hAnsi="Arial"/>
                <w:sz w:val="16"/>
                <w:szCs w:val="16"/>
                <w:color w:val="auto"/>
                <w:w w:val="93"/>
              </w:rPr>
              <w:t>X</w:t>
            </w:r>
          </w:p>
        </w:tc>
      </w:tr>
      <w:tr>
        <w:trPr>
          <w:trHeight w:val="142"/>
        </w:trPr>
        <w:tc>
          <w:tcPr>
            <w:tcW w:w="760" w:type="dxa"/>
            <w:vAlign w:val="bottom"/>
          </w:tcPr>
          <w:p>
            <w:pPr>
              <w:spacing w:after="0"/>
              <w:rPr>
                <w:sz w:val="12"/>
                <w:szCs w:val="12"/>
                <w:color w:val="auto"/>
              </w:rPr>
            </w:pPr>
          </w:p>
        </w:tc>
        <w:tc>
          <w:tcPr>
            <w:tcW w:w="4560" w:type="dxa"/>
            <w:vAlign w:val="bottom"/>
            <w:tcBorders>
              <w:top w:val="single" w:sz="8" w:color="0000FF"/>
              <w:bottom w:val="single" w:sz="8" w:color="0000FF"/>
            </w:tcBorders>
            <w:gridSpan w:val="25"/>
          </w:tcPr>
          <w:p>
            <w:pPr>
              <w:spacing w:after="0" w:line="142" w:lineRule="exact"/>
              <w:rPr>
                <w:sz w:val="20"/>
                <w:szCs w:val="20"/>
                <w:color w:val="auto"/>
              </w:rPr>
            </w:pPr>
            <w:r>
              <w:rPr>
                <w:rFonts w:ascii="Arial" w:cs="Arial" w:eastAsia="Arial" w:hAnsi="Arial"/>
                <w:sz w:val="16"/>
                <w:szCs w:val="16"/>
                <w:color w:val="0000FF"/>
                <w:w w:val="92"/>
              </w:rPr>
              <w:t>Panasonic Energy Corporation of North America and Lucid USA, Inc.</w:t>
            </w:r>
          </w:p>
        </w:tc>
        <w:tc>
          <w:tcPr>
            <w:tcW w:w="940" w:type="dxa"/>
            <w:vAlign w:val="bottom"/>
            <w:tcBorders>
              <w:top w:val="single" w:sz="8" w:color="0000FF"/>
            </w:tcBorders>
            <w:gridSpan w:val="9"/>
          </w:tcPr>
          <w:p>
            <w:pPr>
              <w:spacing w:after="0"/>
              <w:rPr>
                <w:sz w:val="12"/>
                <w:szCs w:val="12"/>
                <w:color w:val="auto"/>
              </w:rPr>
            </w:pPr>
          </w:p>
        </w:tc>
        <w:tc>
          <w:tcPr>
            <w:tcW w:w="380" w:type="dxa"/>
            <w:vAlign w:val="bottom"/>
            <w:gridSpan w:val="14"/>
          </w:tcPr>
          <w:p>
            <w:pPr>
              <w:spacing w:after="0"/>
              <w:rPr>
                <w:sz w:val="12"/>
                <w:szCs w:val="12"/>
                <w:color w:val="auto"/>
              </w:rPr>
            </w:pPr>
          </w:p>
        </w:tc>
        <w:tc>
          <w:tcPr>
            <w:tcW w:w="5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60" w:type="dxa"/>
            <w:vAlign w:val="bottom"/>
          </w:tcPr>
          <w:p>
            <w:pPr>
              <w:spacing w:after="0"/>
              <w:rPr>
                <w:sz w:val="12"/>
                <w:szCs w:val="12"/>
                <w:color w:val="auto"/>
              </w:rPr>
            </w:pPr>
          </w:p>
        </w:tc>
      </w:tr>
      <w:tr>
        <w:trPr>
          <w:trHeight w:val="250"/>
        </w:trPr>
        <w:tc>
          <w:tcPr>
            <w:tcW w:w="760" w:type="dxa"/>
            <w:vAlign w:val="bottom"/>
          </w:tcPr>
          <w:p>
            <w:pPr>
              <w:jc w:val="center"/>
              <w:ind w:right="239"/>
              <w:spacing w:after="0"/>
              <w:rPr>
                <w:sz w:val="20"/>
                <w:szCs w:val="20"/>
                <w:color w:val="auto"/>
              </w:rPr>
            </w:pPr>
            <w:r>
              <w:rPr>
                <w:rFonts w:ascii="Arial" w:cs="Arial" w:eastAsia="Arial" w:hAnsi="Arial"/>
                <w:sz w:val="16"/>
                <w:szCs w:val="16"/>
                <w:color w:val="auto"/>
                <w:w w:val="89"/>
              </w:rPr>
              <w:t>14.1</w:t>
            </w:r>
          </w:p>
        </w:tc>
        <w:tc>
          <w:tcPr>
            <w:tcW w:w="3820" w:type="dxa"/>
            <w:vAlign w:val="bottom"/>
            <w:tcBorders>
              <w:bottom w:val="single" w:sz="8" w:color="0000FF"/>
            </w:tcBorders>
            <w:gridSpan w:val="16"/>
          </w:tcPr>
          <w:p>
            <w:pPr>
              <w:spacing w:after="0"/>
              <w:rPr>
                <w:rFonts w:ascii="Arial" w:cs="Arial" w:eastAsia="Arial" w:hAnsi="Arial"/>
                <w:sz w:val="16"/>
                <w:szCs w:val="16"/>
                <w:color w:val="0000FF"/>
                <w:w w:val="92"/>
              </w:rPr>
            </w:pPr>
            <w:hyperlink r:id="rId212">
              <w:r>
                <w:rPr>
                  <w:rFonts w:ascii="Arial" w:cs="Arial" w:eastAsia="Arial" w:hAnsi="Arial"/>
                  <w:sz w:val="16"/>
                  <w:szCs w:val="16"/>
                  <w:color w:val="0000FF"/>
                  <w:w w:val="92"/>
                </w:rPr>
                <w:t>Code of Business Conduct and Ethics of Lucid Group, Inc.</w:t>
              </w:r>
            </w:hyperlink>
          </w:p>
        </w:tc>
        <w:tc>
          <w:tcPr>
            <w:tcW w:w="2060" w:type="dxa"/>
            <w:vAlign w:val="bottom"/>
            <w:gridSpan w:val="32"/>
          </w:tcPr>
          <w:p>
            <w:pPr>
              <w:spacing w:after="0"/>
              <w:rPr>
                <w:sz w:val="21"/>
                <w:szCs w:val="21"/>
                <w:color w:val="auto"/>
              </w:rPr>
            </w:pPr>
          </w:p>
        </w:tc>
        <w:tc>
          <w:tcPr>
            <w:tcW w:w="540" w:type="dxa"/>
            <w:vAlign w:val="bottom"/>
          </w:tcPr>
          <w:p>
            <w:pPr>
              <w:jc w:val="center"/>
              <w:spacing w:after="0"/>
              <w:rPr>
                <w:sz w:val="20"/>
                <w:szCs w:val="20"/>
                <w:color w:val="auto"/>
              </w:rPr>
            </w:pPr>
            <w:r>
              <w:rPr>
                <w:rFonts w:ascii="Arial" w:cs="Arial" w:eastAsia="Arial" w:hAnsi="Arial"/>
                <w:sz w:val="16"/>
                <w:szCs w:val="16"/>
                <w:color w:val="auto"/>
              </w:rPr>
              <w:t>8-K</w:t>
            </w:r>
          </w:p>
        </w:tc>
        <w:tc>
          <w:tcPr>
            <w:tcW w:w="960" w:type="dxa"/>
            <w:vAlign w:val="bottom"/>
          </w:tcPr>
          <w:p>
            <w:pPr>
              <w:jc w:val="center"/>
              <w:spacing w:after="0"/>
              <w:rPr>
                <w:sz w:val="20"/>
                <w:szCs w:val="20"/>
                <w:color w:val="auto"/>
              </w:rPr>
            </w:pPr>
            <w:r>
              <w:rPr>
                <w:rFonts w:ascii="Arial" w:cs="Arial" w:eastAsia="Arial" w:hAnsi="Arial"/>
                <w:sz w:val="16"/>
                <w:szCs w:val="16"/>
                <w:color w:val="auto"/>
                <w:w w:val="91"/>
              </w:rPr>
              <w:t>001-39408</w:t>
            </w:r>
          </w:p>
        </w:tc>
        <w:tc>
          <w:tcPr>
            <w:tcW w:w="1280" w:type="dxa"/>
            <w:vAlign w:val="bottom"/>
          </w:tcPr>
          <w:p>
            <w:pPr>
              <w:jc w:val="center"/>
              <w:spacing w:after="0"/>
              <w:rPr>
                <w:sz w:val="20"/>
                <w:szCs w:val="20"/>
                <w:color w:val="auto"/>
              </w:rPr>
            </w:pPr>
            <w:r>
              <w:rPr>
                <w:rFonts w:ascii="Arial" w:cs="Arial" w:eastAsia="Arial" w:hAnsi="Arial"/>
                <w:sz w:val="16"/>
                <w:szCs w:val="16"/>
                <w:color w:val="auto"/>
                <w:w w:val="92"/>
              </w:rPr>
              <w:t>July 26, 2021</w:t>
            </w:r>
          </w:p>
        </w:tc>
        <w:tc>
          <w:tcPr>
            <w:tcW w:w="1260" w:type="dxa"/>
            <w:vAlign w:val="bottom"/>
          </w:tcPr>
          <w:p>
            <w:pPr>
              <w:jc w:val="center"/>
              <w:ind w:right="479"/>
              <w:spacing w:after="0"/>
              <w:rPr>
                <w:sz w:val="20"/>
                <w:szCs w:val="20"/>
                <w:color w:val="auto"/>
              </w:rPr>
            </w:pPr>
            <w:r>
              <w:rPr>
                <w:rFonts w:ascii="Arial" w:cs="Arial" w:eastAsia="Arial" w:hAnsi="Arial"/>
                <w:sz w:val="16"/>
                <w:szCs w:val="16"/>
                <w:color w:val="auto"/>
                <w:w w:val="96"/>
              </w:rPr>
              <w:t>14.1</w:t>
            </w:r>
          </w:p>
        </w:tc>
      </w:tr>
      <w:tr>
        <w:trPr>
          <w:trHeight w:val="250"/>
        </w:trPr>
        <w:tc>
          <w:tcPr>
            <w:tcW w:w="760" w:type="dxa"/>
            <w:vAlign w:val="bottom"/>
          </w:tcPr>
          <w:p>
            <w:pPr>
              <w:jc w:val="center"/>
              <w:ind w:right="239"/>
              <w:spacing w:after="0"/>
              <w:rPr>
                <w:sz w:val="20"/>
                <w:szCs w:val="20"/>
                <w:color w:val="auto"/>
              </w:rPr>
            </w:pPr>
            <w:r>
              <w:rPr>
                <w:rFonts w:ascii="Arial" w:cs="Arial" w:eastAsia="Arial" w:hAnsi="Arial"/>
                <w:sz w:val="16"/>
                <w:szCs w:val="16"/>
                <w:color w:val="auto"/>
                <w:w w:val="89"/>
              </w:rPr>
              <w:t>21.1</w:t>
            </w:r>
          </w:p>
        </w:tc>
        <w:tc>
          <w:tcPr>
            <w:tcW w:w="3380" w:type="dxa"/>
            <w:vAlign w:val="bottom"/>
            <w:tcBorders>
              <w:bottom w:val="single" w:sz="8" w:color="0000FF"/>
            </w:tcBorders>
            <w:gridSpan w:val="12"/>
          </w:tcPr>
          <w:p>
            <w:pPr>
              <w:spacing w:after="0"/>
              <w:rPr>
                <w:sz w:val="20"/>
                <w:szCs w:val="20"/>
                <w:color w:val="auto"/>
              </w:rPr>
            </w:pPr>
            <w:r>
              <w:rPr>
                <w:rFonts w:ascii="Arial" w:cs="Arial" w:eastAsia="Arial" w:hAnsi="Arial"/>
                <w:sz w:val="16"/>
                <w:szCs w:val="16"/>
                <w:color w:val="0000FF"/>
                <w:w w:val="94"/>
              </w:rPr>
              <w:t>List of Significant Subsidiaries of Lucid Group, Inc.</w:t>
            </w:r>
          </w:p>
        </w:tc>
        <w:tc>
          <w:tcPr>
            <w:tcW w:w="2500" w:type="dxa"/>
            <w:vAlign w:val="bottom"/>
            <w:gridSpan w:val="36"/>
          </w:tcPr>
          <w:p>
            <w:pPr>
              <w:spacing w:after="0"/>
              <w:rPr>
                <w:sz w:val="21"/>
                <w:szCs w:val="21"/>
                <w:color w:val="auto"/>
              </w:rPr>
            </w:pPr>
          </w:p>
        </w:tc>
        <w:tc>
          <w:tcPr>
            <w:tcW w:w="5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60" w:type="dxa"/>
            <w:vAlign w:val="bottom"/>
          </w:tcPr>
          <w:p>
            <w:pPr>
              <w:ind w:left="1140"/>
              <w:spacing w:after="0"/>
              <w:rPr>
                <w:sz w:val="20"/>
                <w:szCs w:val="20"/>
                <w:color w:val="auto"/>
              </w:rPr>
            </w:pPr>
            <w:r>
              <w:rPr>
                <w:rFonts w:ascii="Arial" w:cs="Arial" w:eastAsia="Arial" w:hAnsi="Arial"/>
                <w:sz w:val="16"/>
                <w:szCs w:val="16"/>
                <w:color w:val="auto"/>
                <w:w w:val="93"/>
              </w:rPr>
              <w:t>X</w:t>
            </w:r>
          </w:p>
        </w:tc>
      </w:tr>
      <w:tr>
        <w:trPr>
          <w:trHeight w:val="250"/>
        </w:trPr>
        <w:tc>
          <w:tcPr>
            <w:tcW w:w="760" w:type="dxa"/>
            <w:vAlign w:val="bottom"/>
          </w:tcPr>
          <w:p>
            <w:pPr>
              <w:jc w:val="center"/>
              <w:ind w:right="239"/>
              <w:spacing w:after="0"/>
              <w:rPr>
                <w:sz w:val="20"/>
                <w:szCs w:val="20"/>
                <w:color w:val="auto"/>
              </w:rPr>
            </w:pPr>
            <w:r>
              <w:rPr>
                <w:rFonts w:ascii="Arial" w:cs="Arial" w:eastAsia="Arial" w:hAnsi="Arial"/>
                <w:sz w:val="16"/>
                <w:szCs w:val="16"/>
                <w:color w:val="auto"/>
                <w:w w:val="89"/>
              </w:rPr>
              <w:t>23.1</w:t>
            </w:r>
          </w:p>
        </w:tc>
        <w:tc>
          <w:tcPr>
            <w:tcW w:w="3880" w:type="dxa"/>
            <w:vAlign w:val="bottom"/>
            <w:tcBorders>
              <w:bottom w:val="single" w:sz="8" w:color="0000FF"/>
            </w:tcBorders>
            <w:gridSpan w:val="19"/>
          </w:tcPr>
          <w:p>
            <w:pPr>
              <w:spacing w:after="0"/>
              <w:rPr>
                <w:sz w:val="20"/>
                <w:szCs w:val="20"/>
                <w:color w:val="auto"/>
              </w:rPr>
            </w:pPr>
            <w:r>
              <w:rPr>
                <w:rFonts w:ascii="Arial" w:cs="Arial" w:eastAsia="Arial" w:hAnsi="Arial"/>
                <w:sz w:val="16"/>
                <w:szCs w:val="16"/>
                <w:color w:val="0000FF"/>
                <w:w w:val="91"/>
              </w:rPr>
              <w:t>Consent of Independent Registered Public Accounting Firm</w:t>
            </w:r>
          </w:p>
        </w:tc>
        <w:tc>
          <w:tcPr>
            <w:tcW w:w="2000" w:type="dxa"/>
            <w:vAlign w:val="bottom"/>
            <w:gridSpan w:val="29"/>
          </w:tcPr>
          <w:p>
            <w:pPr>
              <w:spacing w:after="0"/>
              <w:rPr>
                <w:sz w:val="21"/>
                <w:szCs w:val="21"/>
                <w:color w:val="auto"/>
              </w:rPr>
            </w:pPr>
          </w:p>
        </w:tc>
        <w:tc>
          <w:tcPr>
            <w:tcW w:w="5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60" w:type="dxa"/>
            <w:vAlign w:val="bottom"/>
          </w:tcPr>
          <w:p>
            <w:pPr>
              <w:ind w:left="1140"/>
              <w:spacing w:after="0"/>
              <w:rPr>
                <w:sz w:val="20"/>
                <w:szCs w:val="20"/>
                <w:color w:val="auto"/>
              </w:rPr>
            </w:pPr>
            <w:r>
              <w:rPr>
                <w:rFonts w:ascii="Arial" w:cs="Arial" w:eastAsia="Arial" w:hAnsi="Arial"/>
                <w:sz w:val="16"/>
                <w:szCs w:val="16"/>
                <w:color w:val="auto"/>
                <w:w w:val="93"/>
              </w:rPr>
              <w:t>X</w:t>
            </w:r>
          </w:p>
        </w:tc>
      </w:tr>
    </w:tbl>
    <w:p>
      <w:pPr>
        <w:spacing w:after="0" w:line="35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87630</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80"/>
          </w:cols>
          <w:pgMar w:left="540" w:top="1022" w:right="679" w:bottom="1440" w:gutter="0" w:footer="0" w:header="0"/>
        </w:sectPr>
      </w:pPr>
    </w:p>
    <w:bookmarkStart w:id="132" w:name="page133"/>
    <w:bookmarkEnd w:id="132"/>
    <w:tbl>
      <w:tblPr>
        <w:tblLayout w:type="fixed"/>
        <w:tblInd w:w="140" w:type="dxa"/>
        <w:tblCellMar>
          <w:top w:w="0" w:type="dxa"/>
          <w:left w:w="0" w:type="dxa"/>
          <w:bottom w:w="0" w:type="dxa"/>
          <w:right w:w="0" w:type="dxa"/>
        </w:tblCellMar>
      </w:tblPr>
      <w:tr>
        <w:trPr>
          <w:trHeight w:val="184"/>
        </w:trPr>
        <w:tc>
          <w:tcPr>
            <w:tcW w:w="840" w:type="dxa"/>
            <w:vAlign w:val="bottom"/>
          </w:tcPr>
          <w:p>
            <w:pPr>
              <w:jc w:val="center"/>
              <w:ind w:right="159"/>
              <w:spacing w:after="0"/>
              <w:rPr>
                <w:sz w:val="20"/>
                <w:szCs w:val="20"/>
                <w:color w:val="auto"/>
              </w:rPr>
            </w:pPr>
            <w:r>
              <w:rPr>
                <w:rFonts w:ascii="Arial" w:cs="Arial" w:eastAsia="Arial" w:hAnsi="Arial"/>
                <w:sz w:val="16"/>
                <w:szCs w:val="16"/>
                <w:color w:val="auto"/>
                <w:w w:val="89"/>
              </w:rPr>
              <w:t>31.1</w:t>
            </w:r>
          </w:p>
        </w:tc>
        <w:tc>
          <w:tcPr>
            <w:tcW w:w="7780" w:type="dxa"/>
            <w:vAlign w:val="bottom"/>
            <w:gridSpan w:val="9"/>
          </w:tcPr>
          <w:p>
            <w:pPr>
              <w:spacing w:after="0"/>
              <w:rPr>
                <w:sz w:val="20"/>
                <w:szCs w:val="20"/>
                <w:color w:val="auto"/>
              </w:rPr>
            </w:pPr>
            <w:r>
              <w:rPr>
                <w:rFonts w:ascii="Arial" w:cs="Arial" w:eastAsia="Arial" w:hAnsi="Arial"/>
                <w:sz w:val="16"/>
                <w:szCs w:val="16"/>
                <w:color w:val="0000FF"/>
              </w:rPr>
              <w:t>Certification of Principal Executive Officer Required Under Rule 13a-14(a) and 15d-</w:t>
            </w:r>
          </w:p>
        </w:tc>
        <w:tc>
          <w:tcPr>
            <w:tcW w:w="2140" w:type="dxa"/>
            <w:vAlign w:val="bottom"/>
          </w:tcPr>
          <w:p>
            <w:pPr>
              <w:ind w:left="2020"/>
              <w:spacing w:after="0"/>
              <w:rPr>
                <w:sz w:val="20"/>
                <w:szCs w:val="20"/>
                <w:color w:val="auto"/>
              </w:rPr>
            </w:pPr>
            <w:r>
              <w:rPr>
                <w:rFonts w:ascii="Arial" w:cs="Arial" w:eastAsia="Arial" w:hAnsi="Arial"/>
                <w:sz w:val="16"/>
                <w:szCs w:val="16"/>
                <w:color w:val="auto"/>
                <w:w w:val="93"/>
              </w:rPr>
              <w:t>X</w:t>
            </w:r>
          </w:p>
        </w:tc>
      </w:tr>
      <w:tr>
        <w:trPr>
          <w:trHeight w:val="142"/>
        </w:trPr>
        <w:tc>
          <w:tcPr>
            <w:tcW w:w="840" w:type="dxa"/>
            <w:vAlign w:val="bottom"/>
          </w:tcPr>
          <w:p>
            <w:pPr>
              <w:spacing w:after="0"/>
              <w:rPr>
                <w:sz w:val="12"/>
                <w:szCs w:val="12"/>
                <w:color w:val="auto"/>
              </w:rPr>
            </w:pPr>
          </w:p>
        </w:tc>
        <w:tc>
          <w:tcPr>
            <w:tcW w:w="5520" w:type="dxa"/>
            <w:vAlign w:val="bottom"/>
            <w:tcBorders>
              <w:top w:val="single" w:sz="8" w:color="0000FF"/>
            </w:tcBorders>
            <w:gridSpan w:val="6"/>
          </w:tcPr>
          <w:p>
            <w:pPr>
              <w:spacing w:after="0" w:line="142" w:lineRule="exact"/>
              <w:rPr>
                <w:sz w:val="20"/>
                <w:szCs w:val="20"/>
                <w:color w:val="auto"/>
              </w:rPr>
            </w:pPr>
            <w:r>
              <w:rPr>
                <w:rFonts w:ascii="Arial" w:cs="Arial" w:eastAsia="Arial" w:hAnsi="Arial"/>
                <w:sz w:val="16"/>
                <w:szCs w:val="16"/>
                <w:color w:val="0000FF"/>
              </w:rPr>
              <w:t>14(a) of the Securities Exchange Act of 1934, as amended</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2140" w:type="dxa"/>
            <w:vAlign w:val="bottom"/>
          </w:tcPr>
          <w:p>
            <w:pPr>
              <w:spacing w:after="0"/>
              <w:rPr>
                <w:sz w:val="12"/>
                <w:szCs w:val="12"/>
                <w:color w:val="auto"/>
              </w:rPr>
            </w:pPr>
          </w:p>
        </w:tc>
      </w:tr>
      <w:tr>
        <w:trPr>
          <w:trHeight w:val="20"/>
        </w:trPr>
        <w:tc>
          <w:tcPr>
            <w:tcW w:w="840" w:type="dxa"/>
            <w:vAlign w:val="bottom"/>
          </w:tcPr>
          <w:p>
            <w:pPr>
              <w:spacing w:after="0" w:line="20" w:lineRule="exact"/>
              <w:rPr>
                <w:sz w:val="1"/>
                <w:szCs w:val="1"/>
                <w:color w:val="auto"/>
              </w:rPr>
            </w:pPr>
          </w:p>
        </w:tc>
        <w:tc>
          <w:tcPr>
            <w:tcW w:w="32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r>
      <w:tr>
        <w:trPr>
          <w:trHeight w:val="250"/>
        </w:trPr>
        <w:tc>
          <w:tcPr>
            <w:tcW w:w="840" w:type="dxa"/>
            <w:vAlign w:val="bottom"/>
          </w:tcPr>
          <w:p>
            <w:pPr>
              <w:jc w:val="center"/>
              <w:ind w:right="159"/>
              <w:spacing w:after="0"/>
              <w:rPr>
                <w:sz w:val="20"/>
                <w:szCs w:val="20"/>
                <w:color w:val="auto"/>
              </w:rPr>
            </w:pPr>
            <w:r>
              <w:rPr>
                <w:rFonts w:ascii="Arial" w:cs="Arial" w:eastAsia="Arial" w:hAnsi="Arial"/>
                <w:sz w:val="16"/>
                <w:szCs w:val="16"/>
                <w:color w:val="auto"/>
                <w:w w:val="89"/>
              </w:rPr>
              <w:t>31.2</w:t>
            </w:r>
          </w:p>
        </w:tc>
        <w:tc>
          <w:tcPr>
            <w:tcW w:w="7780" w:type="dxa"/>
            <w:vAlign w:val="bottom"/>
            <w:gridSpan w:val="9"/>
          </w:tcPr>
          <w:p>
            <w:pPr>
              <w:spacing w:after="0"/>
              <w:rPr>
                <w:sz w:val="20"/>
                <w:szCs w:val="20"/>
                <w:color w:val="auto"/>
              </w:rPr>
            </w:pPr>
            <w:r>
              <w:rPr>
                <w:rFonts w:ascii="Arial" w:cs="Arial" w:eastAsia="Arial" w:hAnsi="Arial"/>
                <w:sz w:val="16"/>
                <w:szCs w:val="16"/>
                <w:color w:val="0000FF"/>
              </w:rPr>
              <w:t>Certification of Chief Financial Officer Required Under Rule 13a-14(a) and 15d-14(a) of</w:t>
            </w:r>
          </w:p>
        </w:tc>
        <w:tc>
          <w:tcPr>
            <w:tcW w:w="2140" w:type="dxa"/>
            <w:vAlign w:val="bottom"/>
          </w:tcPr>
          <w:p>
            <w:pPr>
              <w:ind w:left="2020"/>
              <w:spacing w:after="0"/>
              <w:rPr>
                <w:sz w:val="20"/>
                <w:szCs w:val="20"/>
                <w:color w:val="auto"/>
              </w:rPr>
            </w:pPr>
            <w:r>
              <w:rPr>
                <w:rFonts w:ascii="Arial" w:cs="Arial" w:eastAsia="Arial" w:hAnsi="Arial"/>
                <w:sz w:val="16"/>
                <w:szCs w:val="16"/>
                <w:color w:val="auto"/>
                <w:w w:val="93"/>
              </w:rPr>
              <w:t>X</w:t>
            </w:r>
          </w:p>
        </w:tc>
      </w:tr>
      <w:tr>
        <w:trPr>
          <w:trHeight w:val="142"/>
        </w:trPr>
        <w:tc>
          <w:tcPr>
            <w:tcW w:w="840" w:type="dxa"/>
            <w:vAlign w:val="bottom"/>
          </w:tcPr>
          <w:p>
            <w:pPr>
              <w:spacing w:after="0"/>
              <w:rPr>
                <w:sz w:val="12"/>
                <w:szCs w:val="12"/>
                <w:color w:val="auto"/>
              </w:rPr>
            </w:pPr>
          </w:p>
        </w:tc>
        <w:tc>
          <w:tcPr>
            <w:tcW w:w="5760" w:type="dxa"/>
            <w:vAlign w:val="bottom"/>
            <w:tcBorders>
              <w:top w:val="single" w:sz="8" w:color="0000FF"/>
            </w:tcBorders>
            <w:gridSpan w:val="8"/>
          </w:tcPr>
          <w:p>
            <w:pPr>
              <w:spacing w:after="0" w:line="142" w:lineRule="exact"/>
              <w:rPr>
                <w:sz w:val="20"/>
                <w:szCs w:val="20"/>
                <w:color w:val="auto"/>
              </w:rPr>
            </w:pPr>
            <w:r>
              <w:rPr>
                <w:rFonts w:ascii="Arial" w:cs="Arial" w:eastAsia="Arial" w:hAnsi="Arial"/>
                <w:sz w:val="16"/>
                <w:szCs w:val="16"/>
                <w:color w:val="0000FF"/>
              </w:rPr>
              <w:t>the Securities Exchange Act of 1934, as amended</w:t>
            </w:r>
          </w:p>
        </w:tc>
        <w:tc>
          <w:tcPr>
            <w:tcW w:w="2020" w:type="dxa"/>
            <w:vAlign w:val="bottom"/>
          </w:tcPr>
          <w:p>
            <w:pPr>
              <w:spacing w:after="0"/>
              <w:rPr>
                <w:sz w:val="12"/>
                <w:szCs w:val="12"/>
                <w:color w:val="auto"/>
              </w:rPr>
            </w:pPr>
          </w:p>
        </w:tc>
        <w:tc>
          <w:tcPr>
            <w:tcW w:w="2140" w:type="dxa"/>
            <w:vAlign w:val="bottom"/>
          </w:tcPr>
          <w:p>
            <w:pPr>
              <w:spacing w:after="0"/>
              <w:rPr>
                <w:sz w:val="12"/>
                <w:szCs w:val="12"/>
                <w:color w:val="auto"/>
              </w:rPr>
            </w:pPr>
          </w:p>
        </w:tc>
      </w:tr>
      <w:tr>
        <w:trPr>
          <w:trHeight w:val="20"/>
        </w:trPr>
        <w:tc>
          <w:tcPr>
            <w:tcW w:w="840" w:type="dxa"/>
            <w:vAlign w:val="bottom"/>
          </w:tcPr>
          <w:p>
            <w:pPr>
              <w:spacing w:after="0" w:line="20" w:lineRule="exact"/>
              <w:rPr>
                <w:sz w:val="1"/>
                <w:szCs w:val="1"/>
                <w:color w:val="auto"/>
              </w:rPr>
            </w:pPr>
          </w:p>
        </w:tc>
        <w:tc>
          <w:tcPr>
            <w:tcW w:w="3200" w:type="dxa"/>
            <w:vAlign w:val="bottom"/>
            <w:shd w:val="clear" w:color="auto" w:fill="0000FF"/>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r>
      <w:tr>
        <w:trPr>
          <w:trHeight w:val="250"/>
        </w:trPr>
        <w:tc>
          <w:tcPr>
            <w:tcW w:w="840" w:type="dxa"/>
            <w:vAlign w:val="bottom"/>
          </w:tcPr>
          <w:p>
            <w:pPr>
              <w:jc w:val="center"/>
              <w:ind w:right="159"/>
              <w:spacing w:after="0"/>
              <w:rPr>
                <w:sz w:val="20"/>
                <w:szCs w:val="20"/>
                <w:color w:val="auto"/>
              </w:rPr>
            </w:pPr>
            <w:r>
              <w:rPr>
                <w:rFonts w:ascii="Arial" w:cs="Arial" w:eastAsia="Arial" w:hAnsi="Arial"/>
                <w:sz w:val="16"/>
                <w:szCs w:val="16"/>
                <w:color w:val="auto"/>
                <w:w w:val="89"/>
              </w:rPr>
              <w:t>32.1</w:t>
            </w:r>
          </w:p>
        </w:tc>
        <w:tc>
          <w:tcPr>
            <w:tcW w:w="7780" w:type="dxa"/>
            <w:vAlign w:val="bottom"/>
            <w:gridSpan w:val="9"/>
          </w:tcPr>
          <w:p>
            <w:pPr>
              <w:spacing w:after="0"/>
              <w:rPr>
                <w:sz w:val="20"/>
                <w:szCs w:val="20"/>
                <w:color w:val="auto"/>
              </w:rPr>
            </w:pPr>
            <w:r>
              <w:rPr>
                <w:rFonts w:ascii="Arial" w:cs="Arial" w:eastAsia="Arial" w:hAnsi="Arial"/>
                <w:sz w:val="16"/>
                <w:szCs w:val="16"/>
                <w:color w:val="0000FF"/>
              </w:rPr>
              <w:t>Certification of Principal Executive Officer pursuant to 18 U.S.C. Section 1350, as</w:t>
            </w:r>
          </w:p>
        </w:tc>
        <w:tc>
          <w:tcPr>
            <w:tcW w:w="2140" w:type="dxa"/>
            <w:vAlign w:val="bottom"/>
          </w:tcPr>
          <w:p>
            <w:pPr>
              <w:ind w:left="2020"/>
              <w:spacing w:after="0"/>
              <w:rPr>
                <w:sz w:val="20"/>
                <w:szCs w:val="20"/>
                <w:color w:val="auto"/>
              </w:rPr>
            </w:pPr>
            <w:r>
              <w:rPr>
                <w:rFonts w:ascii="Arial" w:cs="Arial" w:eastAsia="Arial" w:hAnsi="Arial"/>
                <w:sz w:val="16"/>
                <w:szCs w:val="16"/>
                <w:color w:val="auto"/>
                <w:w w:val="93"/>
              </w:rPr>
              <w:t>X</w:t>
            </w:r>
          </w:p>
        </w:tc>
      </w:tr>
      <w:tr>
        <w:trPr>
          <w:trHeight w:val="142"/>
        </w:trPr>
        <w:tc>
          <w:tcPr>
            <w:tcW w:w="840" w:type="dxa"/>
            <w:vAlign w:val="bottom"/>
          </w:tcPr>
          <w:p>
            <w:pPr>
              <w:spacing w:after="0"/>
              <w:rPr>
                <w:sz w:val="12"/>
                <w:szCs w:val="12"/>
                <w:color w:val="auto"/>
              </w:rPr>
            </w:pPr>
          </w:p>
        </w:tc>
        <w:tc>
          <w:tcPr>
            <w:tcW w:w="5360" w:type="dxa"/>
            <w:vAlign w:val="bottom"/>
            <w:tcBorders>
              <w:top w:val="single" w:sz="8" w:color="0000FF"/>
            </w:tcBorders>
            <w:gridSpan w:val="5"/>
          </w:tcPr>
          <w:p>
            <w:pPr>
              <w:spacing w:after="0" w:line="142" w:lineRule="exact"/>
              <w:rPr>
                <w:sz w:val="20"/>
                <w:szCs w:val="20"/>
                <w:color w:val="auto"/>
              </w:rPr>
            </w:pPr>
            <w:r>
              <w:rPr>
                <w:rFonts w:ascii="Arial" w:cs="Arial" w:eastAsia="Arial" w:hAnsi="Arial"/>
                <w:sz w:val="16"/>
                <w:szCs w:val="16"/>
                <w:color w:val="0000FF"/>
              </w:rPr>
              <w:t>adopted pursuant to Section 906 of the Sarbanes-Oxley Act of 2002</w:t>
            </w:r>
          </w:p>
        </w:tc>
        <w:tc>
          <w:tcPr>
            <w:tcW w:w="280" w:type="dxa"/>
            <w:vAlign w:val="bottom"/>
            <w:gridSpan w:val="2"/>
          </w:tcPr>
          <w:p>
            <w:pPr>
              <w:spacing w:after="0"/>
              <w:rPr>
                <w:sz w:val="12"/>
                <w:szCs w:val="12"/>
                <w:color w:val="auto"/>
              </w:rPr>
            </w:pPr>
          </w:p>
        </w:tc>
        <w:tc>
          <w:tcPr>
            <w:tcW w:w="2140" w:type="dxa"/>
            <w:vAlign w:val="bottom"/>
            <w:gridSpan w:val="2"/>
          </w:tcPr>
          <w:p>
            <w:pPr>
              <w:spacing w:after="0"/>
              <w:rPr>
                <w:sz w:val="12"/>
                <w:szCs w:val="12"/>
                <w:color w:val="auto"/>
              </w:rPr>
            </w:pPr>
          </w:p>
        </w:tc>
        <w:tc>
          <w:tcPr>
            <w:tcW w:w="2140" w:type="dxa"/>
            <w:vAlign w:val="bottom"/>
          </w:tcPr>
          <w:p>
            <w:pPr>
              <w:spacing w:after="0"/>
              <w:rPr>
                <w:sz w:val="12"/>
                <w:szCs w:val="12"/>
                <w:color w:val="auto"/>
              </w:rPr>
            </w:pPr>
          </w:p>
        </w:tc>
      </w:tr>
      <w:tr>
        <w:trPr>
          <w:trHeight w:val="20"/>
        </w:trPr>
        <w:tc>
          <w:tcPr>
            <w:tcW w:w="840" w:type="dxa"/>
            <w:vAlign w:val="bottom"/>
          </w:tcPr>
          <w:p>
            <w:pPr>
              <w:spacing w:after="0" w:line="20" w:lineRule="exact"/>
              <w:rPr>
                <w:sz w:val="1"/>
                <w:szCs w:val="1"/>
                <w:color w:val="auto"/>
              </w:rPr>
            </w:pPr>
          </w:p>
        </w:tc>
        <w:tc>
          <w:tcPr>
            <w:tcW w:w="3820" w:type="dxa"/>
            <w:vAlign w:val="bottom"/>
            <w:gridSpan w:val="3"/>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r>
      <w:tr>
        <w:trPr>
          <w:trHeight w:val="250"/>
        </w:trPr>
        <w:tc>
          <w:tcPr>
            <w:tcW w:w="840" w:type="dxa"/>
            <w:vAlign w:val="bottom"/>
          </w:tcPr>
          <w:p>
            <w:pPr>
              <w:jc w:val="center"/>
              <w:ind w:right="159"/>
              <w:spacing w:after="0"/>
              <w:rPr>
                <w:sz w:val="20"/>
                <w:szCs w:val="20"/>
                <w:color w:val="auto"/>
              </w:rPr>
            </w:pPr>
            <w:r>
              <w:rPr>
                <w:rFonts w:ascii="Arial" w:cs="Arial" w:eastAsia="Arial" w:hAnsi="Arial"/>
                <w:sz w:val="16"/>
                <w:szCs w:val="16"/>
                <w:color w:val="auto"/>
                <w:w w:val="89"/>
              </w:rPr>
              <w:t>32.2</w:t>
            </w:r>
          </w:p>
        </w:tc>
        <w:tc>
          <w:tcPr>
            <w:tcW w:w="7780" w:type="dxa"/>
            <w:vAlign w:val="bottom"/>
            <w:gridSpan w:val="9"/>
          </w:tcPr>
          <w:p>
            <w:pPr>
              <w:spacing w:after="0"/>
              <w:rPr>
                <w:sz w:val="20"/>
                <w:szCs w:val="20"/>
                <w:color w:val="auto"/>
              </w:rPr>
            </w:pPr>
            <w:r>
              <w:rPr>
                <w:rFonts w:ascii="Arial" w:cs="Arial" w:eastAsia="Arial" w:hAnsi="Arial"/>
                <w:sz w:val="16"/>
                <w:szCs w:val="16"/>
                <w:color w:val="0000FF"/>
              </w:rPr>
              <w:t>Certification of Chief Financial Officer pursuant to 18 U.S.C. Section 1350, as adopted</w:t>
            </w:r>
          </w:p>
        </w:tc>
        <w:tc>
          <w:tcPr>
            <w:tcW w:w="2140" w:type="dxa"/>
            <w:vAlign w:val="bottom"/>
          </w:tcPr>
          <w:p>
            <w:pPr>
              <w:ind w:left="2020"/>
              <w:spacing w:after="0"/>
              <w:rPr>
                <w:sz w:val="20"/>
                <w:szCs w:val="20"/>
                <w:color w:val="auto"/>
              </w:rPr>
            </w:pPr>
            <w:r>
              <w:rPr>
                <w:rFonts w:ascii="Arial" w:cs="Arial" w:eastAsia="Arial" w:hAnsi="Arial"/>
                <w:sz w:val="16"/>
                <w:szCs w:val="16"/>
                <w:color w:val="auto"/>
                <w:w w:val="93"/>
              </w:rPr>
              <w:t>X</w:t>
            </w:r>
          </w:p>
        </w:tc>
      </w:tr>
      <w:tr>
        <w:trPr>
          <w:trHeight w:val="142"/>
        </w:trPr>
        <w:tc>
          <w:tcPr>
            <w:tcW w:w="840" w:type="dxa"/>
            <w:vAlign w:val="bottom"/>
          </w:tcPr>
          <w:p>
            <w:pPr>
              <w:spacing w:after="0"/>
              <w:rPr>
                <w:sz w:val="12"/>
                <w:szCs w:val="12"/>
                <w:color w:val="auto"/>
              </w:rPr>
            </w:pPr>
          </w:p>
        </w:tc>
        <w:tc>
          <w:tcPr>
            <w:tcW w:w="5640" w:type="dxa"/>
            <w:vAlign w:val="bottom"/>
            <w:tcBorders>
              <w:top w:val="single" w:sz="8" w:color="0000FF"/>
            </w:tcBorders>
            <w:gridSpan w:val="7"/>
          </w:tcPr>
          <w:p>
            <w:pPr>
              <w:spacing w:after="0" w:line="142" w:lineRule="exact"/>
              <w:rPr>
                <w:sz w:val="20"/>
                <w:szCs w:val="20"/>
                <w:color w:val="auto"/>
              </w:rPr>
            </w:pPr>
            <w:r>
              <w:rPr>
                <w:rFonts w:ascii="Arial" w:cs="Arial" w:eastAsia="Arial" w:hAnsi="Arial"/>
                <w:sz w:val="16"/>
                <w:szCs w:val="16"/>
                <w:color w:val="0000FF"/>
              </w:rPr>
              <w:t>pursuant to Section 906 of the Sarbanes-Oxley Act of 2002</w:t>
            </w:r>
          </w:p>
        </w:tc>
        <w:tc>
          <w:tcPr>
            <w:tcW w:w="2140" w:type="dxa"/>
            <w:vAlign w:val="bottom"/>
            <w:gridSpan w:val="2"/>
          </w:tcPr>
          <w:p>
            <w:pPr>
              <w:spacing w:after="0"/>
              <w:rPr>
                <w:sz w:val="12"/>
                <w:szCs w:val="12"/>
                <w:color w:val="auto"/>
              </w:rPr>
            </w:pPr>
          </w:p>
        </w:tc>
        <w:tc>
          <w:tcPr>
            <w:tcW w:w="2140" w:type="dxa"/>
            <w:vAlign w:val="bottom"/>
          </w:tcPr>
          <w:p>
            <w:pPr>
              <w:spacing w:after="0"/>
              <w:rPr>
                <w:sz w:val="12"/>
                <w:szCs w:val="12"/>
                <w:color w:val="auto"/>
              </w:rPr>
            </w:pPr>
          </w:p>
        </w:tc>
      </w:tr>
      <w:tr>
        <w:trPr>
          <w:trHeight w:val="20"/>
        </w:trPr>
        <w:tc>
          <w:tcPr>
            <w:tcW w:w="840" w:type="dxa"/>
            <w:vAlign w:val="bottom"/>
          </w:tcPr>
          <w:p>
            <w:pPr>
              <w:spacing w:after="0" w:line="20" w:lineRule="exact"/>
              <w:rPr>
                <w:sz w:val="1"/>
                <w:szCs w:val="1"/>
                <w:color w:val="auto"/>
              </w:rPr>
            </w:pPr>
          </w:p>
        </w:tc>
        <w:tc>
          <w:tcPr>
            <w:tcW w:w="3820" w:type="dxa"/>
            <w:vAlign w:val="bottom"/>
            <w:gridSpan w:val="3"/>
            <w:shd w:val="clear" w:color="auto" w:fill="0000FF"/>
          </w:tcPr>
          <w:p>
            <w:pPr>
              <w:spacing w:after="0" w:line="20" w:lineRule="exact"/>
              <w:rPr>
                <w:sz w:val="1"/>
                <w:szCs w:val="1"/>
                <w:color w:val="auto"/>
              </w:rPr>
            </w:pPr>
          </w:p>
        </w:tc>
        <w:tc>
          <w:tcPr>
            <w:tcW w:w="3960" w:type="dxa"/>
            <w:vAlign w:val="bottom"/>
            <w:gridSpan w:val="6"/>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r>
      <w:tr>
        <w:trPr>
          <w:trHeight w:val="240"/>
        </w:trPr>
        <w:tc>
          <w:tcPr>
            <w:tcW w:w="840" w:type="dxa"/>
            <w:vAlign w:val="bottom"/>
          </w:tcPr>
          <w:p>
            <w:pPr>
              <w:jc w:val="center"/>
              <w:ind w:right="159"/>
              <w:spacing w:after="0"/>
              <w:rPr>
                <w:sz w:val="20"/>
                <w:szCs w:val="20"/>
                <w:color w:val="auto"/>
              </w:rPr>
            </w:pPr>
            <w:r>
              <w:rPr>
                <w:rFonts w:ascii="Arial" w:cs="Arial" w:eastAsia="Arial" w:hAnsi="Arial"/>
                <w:sz w:val="16"/>
                <w:szCs w:val="16"/>
                <w:color w:val="auto"/>
                <w:w w:val="96"/>
              </w:rPr>
              <w:t>101.INS</w:t>
            </w:r>
          </w:p>
        </w:tc>
        <w:tc>
          <w:tcPr>
            <w:tcW w:w="7780" w:type="dxa"/>
            <w:vAlign w:val="bottom"/>
            <w:gridSpan w:val="9"/>
          </w:tcPr>
          <w:p>
            <w:pPr>
              <w:spacing w:after="0"/>
              <w:rPr>
                <w:sz w:val="20"/>
                <w:szCs w:val="20"/>
                <w:color w:val="auto"/>
              </w:rPr>
            </w:pPr>
            <w:r>
              <w:rPr>
                <w:rFonts w:ascii="Arial" w:cs="Arial" w:eastAsia="Arial" w:hAnsi="Arial"/>
                <w:sz w:val="16"/>
                <w:szCs w:val="16"/>
                <w:color w:val="auto"/>
              </w:rPr>
              <w:t>Inline XBRL Instance Document (the instance document does not appear in the</w:t>
            </w:r>
          </w:p>
        </w:tc>
        <w:tc>
          <w:tcPr>
            <w:tcW w:w="2140" w:type="dxa"/>
            <w:vAlign w:val="bottom"/>
          </w:tcPr>
          <w:p>
            <w:pPr>
              <w:ind w:left="2020"/>
              <w:spacing w:after="0"/>
              <w:rPr>
                <w:sz w:val="20"/>
                <w:szCs w:val="20"/>
                <w:color w:val="auto"/>
              </w:rPr>
            </w:pPr>
            <w:r>
              <w:rPr>
                <w:rFonts w:ascii="Arial" w:cs="Arial" w:eastAsia="Arial" w:hAnsi="Arial"/>
                <w:sz w:val="16"/>
                <w:szCs w:val="16"/>
                <w:color w:val="auto"/>
                <w:w w:val="93"/>
              </w:rPr>
              <w:t>X</w:t>
            </w:r>
          </w:p>
        </w:tc>
      </w:tr>
      <w:tr>
        <w:trPr>
          <w:trHeight w:val="162"/>
        </w:trPr>
        <w:tc>
          <w:tcPr>
            <w:tcW w:w="840" w:type="dxa"/>
            <w:vAlign w:val="bottom"/>
          </w:tcPr>
          <w:p>
            <w:pPr>
              <w:spacing w:after="0"/>
              <w:rPr>
                <w:sz w:val="14"/>
                <w:szCs w:val="14"/>
                <w:color w:val="auto"/>
              </w:rPr>
            </w:pPr>
          </w:p>
        </w:tc>
        <w:tc>
          <w:tcPr>
            <w:tcW w:w="7780" w:type="dxa"/>
            <w:vAlign w:val="bottom"/>
            <w:gridSpan w:val="9"/>
          </w:tcPr>
          <w:p>
            <w:pPr>
              <w:spacing w:after="0" w:line="162" w:lineRule="exact"/>
              <w:rPr>
                <w:sz w:val="20"/>
                <w:szCs w:val="20"/>
                <w:color w:val="auto"/>
              </w:rPr>
            </w:pPr>
            <w:r>
              <w:rPr>
                <w:rFonts w:ascii="Arial" w:cs="Arial" w:eastAsia="Arial" w:hAnsi="Arial"/>
                <w:sz w:val="16"/>
                <w:szCs w:val="16"/>
                <w:color w:val="auto"/>
              </w:rPr>
              <w:t>Interactive Data File because its XBRL tags are embedded within the Inline XBRL</w:t>
            </w:r>
          </w:p>
        </w:tc>
        <w:tc>
          <w:tcPr>
            <w:tcW w:w="2140" w:type="dxa"/>
            <w:vAlign w:val="bottom"/>
          </w:tcPr>
          <w:p>
            <w:pPr>
              <w:spacing w:after="0"/>
              <w:rPr>
                <w:sz w:val="14"/>
                <w:szCs w:val="14"/>
                <w:color w:val="auto"/>
              </w:rPr>
            </w:pPr>
          </w:p>
        </w:tc>
      </w:tr>
      <w:tr>
        <w:trPr>
          <w:trHeight w:val="206"/>
        </w:trPr>
        <w:tc>
          <w:tcPr>
            <w:tcW w:w="840" w:type="dxa"/>
            <w:vAlign w:val="bottom"/>
          </w:tcPr>
          <w:p>
            <w:pPr>
              <w:spacing w:after="0"/>
              <w:rPr>
                <w:sz w:val="17"/>
                <w:szCs w:val="17"/>
                <w:color w:val="auto"/>
              </w:rPr>
            </w:pPr>
          </w:p>
        </w:tc>
        <w:tc>
          <w:tcPr>
            <w:tcW w:w="7780" w:type="dxa"/>
            <w:vAlign w:val="bottom"/>
            <w:gridSpan w:val="9"/>
          </w:tcPr>
          <w:p>
            <w:pPr>
              <w:spacing w:after="0"/>
              <w:rPr>
                <w:sz w:val="20"/>
                <w:szCs w:val="20"/>
                <w:color w:val="auto"/>
              </w:rPr>
            </w:pPr>
            <w:r>
              <w:rPr>
                <w:rFonts w:ascii="Arial" w:cs="Arial" w:eastAsia="Arial" w:hAnsi="Arial"/>
                <w:sz w:val="16"/>
                <w:szCs w:val="16"/>
                <w:color w:val="auto"/>
              </w:rPr>
              <w:t>document)</w:t>
            </w:r>
          </w:p>
        </w:tc>
        <w:tc>
          <w:tcPr>
            <w:tcW w:w="2140" w:type="dxa"/>
            <w:vAlign w:val="bottom"/>
          </w:tcPr>
          <w:p>
            <w:pPr>
              <w:spacing w:after="0"/>
              <w:rPr>
                <w:sz w:val="17"/>
                <w:szCs w:val="17"/>
                <w:color w:val="auto"/>
              </w:rPr>
            </w:pPr>
          </w:p>
        </w:tc>
      </w:tr>
      <w:tr>
        <w:trPr>
          <w:trHeight w:val="270"/>
        </w:trPr>
        <w:tc>
          <w:tcPr>
            <w:tcW w:w="840" w:type="dxa"/>
            <w:vAlign w:val="bottom"/>
          </w:tcPr>
          <w:p>
            <w:pPr>
              <w:jc w:val="center"/>
              <w:ind w:right="159"/>
              <w:spacing w:after="0"/>
              <w:rPr>
                <w:sz w:val="20"/>
                <w:szCs w:val="20"/>
                <w:color w:val="auto"/>
              </w:rPr>
            </w:pPr>
            <w:r>
              <w:rPr>
                <w:rFonts w:ascii="Arial" w:cs="Arial" w:eastAsia="Arial" w:hAnsi="Arial"/>
                <w:sz w:val="16"/>
                <w:szCs w:val="16"/>
                <w:color w:val="auto"/>
                <w:w w:val="92"/>
              </w:rPr>
              <w:t>101.SCH</w:t>
            </w:r>
          </w:p>
        </w:tc>
        <w:tc>
          <w:tcPr>
            <w:tcW w:w="7780" w:type="dxa"/>
            <w:vAlign w:val="bottom"/>
            <w:gridSpan w:val="9"/>
          </w:tcPr>
          <w:p>
            <w:pPr>
              <w:spacing w:after="0"/>
              <w:rPr>
                <w:sz w:val="20"/>
                <w:szCs w:val="20"/>
                <w:color w:val="auto"/>
              </w:rPr>
            </w:pPr>
            <w:r>
              <w:rPr>
                <w:rFonts w:ascii="Arial" w:cs="Arial" w:eastAsia="Arial" w:hAnsi="Arial"/>
                <w:sz w:val="16"/>
                <w:szCs w:val="16"/>
                <w:color w:val="auto"/>
              </w:rPr>
              <w:t>Inline XBRL Taxonomy Schema Linkbase Document</w:t>
            </w:r>
          </w:p>
        </w:tc>
        <w:tc>
          <w:tcPr>
            <w:tcW w:w="2140" w:type="dxa"/>
            <w:vAlign w:val="bottom"/>
          </w:tcPr>
          <w:p>
            <w:pPr>
              <w:ind w:left="2020"/>
              <w:spacing w:after="0"/>
              <w:rPr>
                <w:sz w:val="20"/>
                <w:szCs w:val="20"/>
                <w:color w:val="auto"/>
              </w:rPr>
            </w:pPr>
            <w:r>
              <w:rPr>
                <w:rFonts w:ascii="Arial" w:cs="Arial" w:eastAsia="Arial" w:hAnsi="Arial"/>
                <w:sz w:val="16"/>
                <w:szCs w:val="16"/>
                <w:color w:val="auto"/>
                <w:w w:val="93"/>
              </w:rPr>
              <w:t>X</w:t>
            </w:r>
          </w:p>
        </w:tc>
      </w:tr>
      <w:tr>
        <w:trPr>
          <w:trHeight w:val="270"/>
        </w:trPr>
        <w:tc>
          <w:tcPr>
            <w:tcW w:w="840" w:type="dxa"/>
            <w:vAlign w:val="bottom"/>
          </w:tcPr>
          <w:p>
            <w:pPr>
              <w:jc w:val="center"/>
              <w:ind w:right="159"/>
              <w:spacing w:after="0"/>
              <w:rPr>
                <w:sz w:val="20"/>
                <w:szCs w:val="20"/>
                <w:color w:val="auto"/>
              </w:rPr>
            </w:pPr>
            <w:r>
              <w:rPr>
                <w:rFonts w:ascii="Arial" w:cs="Arial" w:eastAsia="Arial" w:hAnsi="Arial"/>
                <w:sz w:val="16"/>
                <w:szCs w:val="16"/>
                <w:color w:val="auto"/>
                <w:w w:val="96"/>
              </w:rPr>
              <w:t>101.CAL</w:t>
            </w:r>
          </w:p>
        </w:tc>
        <w:tc>
          <w:tcPr>
            <w:tcW w:w="7780" w:type="dxa"/>
            <w:vAlign w:val="bottom"/>
            <w:gridSpan w:val="9"/>
          </w:tcPr>
          <w:p>
            <w:pPr>
              <w:spacing w:after="0"/>
              <w:rPr>
                <w:sz w:val="20"/>
                <w:szCs w:val="20"/>
                <w:color w:val="auto"/>
              </w:rPr>
            </w:pPr>
            <w:r>
              <w:rPr>
                <w:rFonts w:ascii="Arial" w:cs="Arial" w:eastAsia="Arial" w:hAnsi="Arial"/>
                <w:sz w:val="16"/>
                <w:szCs w:val="16"/>
                <w:color w:val="auto"/>
              </w:rPr>
              <w:t>Inline XBRL Taxonomy Calculation Linkbase Document</w:t>
            </w:r>
          </w:p>
        </w:tc>
        <w:tc>
          <w:tcPr>
            <w:tcW w:w="2140" w:type="dxa"/>
            <w:vAlign w:val="bottom"/>
          </w:tcPr>
          <w:p>
            <w:pPr>
              <w:ind w:left="2020"/>
              <w:spacing w:after="0"/>
              <w:rPr>
                <w:sz w:val="20"/>
                <w:szCs w:val="20"/>
                <w:color w:val="auto"/>
              </w:rPr>
            </w:pPr>
            <w:r>
              <w:rPr>
                <w:rFonts w:ascii="Arial" w:cs="Arial" w:eastAsia="Arial" w:hAnsi="Arial"/>
                <w:sz w:val="16"/>
                <w:szCs w:val="16"/>
                <w:color w:val="auto"/>
                <w:w w:val="93"/>
              </w:rPr>
              <w:t>X</w:t>
            </w:r>
          </w:p>
        </w:tc>
      </w:tr>
      <w:tr>
        <w:trPr>
          <w:trHeight w:val="270"/>
        </w:trPr>
        <w:tc>
          <w:tcPr>
            <w:tcW w:w="840" w:type="dxa"/>
            <w:vAlign w:val="bottom"/>
          </w:tcPr>
          <w:p>
            <w:pPr>
              <w:jc w:val="center"/>
              <w:ind w:right="159"/>
              <w:spacing w:after="0"/>
              <w:rPr>
                <w:sz w:val="20"/>
                <w:szCs w:val="20"/>
                <w:color w:val="auto"/>
              </w:rPr>
            </w:pPr>
            <w:r>
              <w:rPr>
                <w:rFonts w:ascii="Arial" w:cs="Arial" w:eastAsia="Arial" w:hAnsi="Arial"/>
                <w:sz w:val="16"/>
                <w:szCs w:val="16"/>
                <w:color w:val="auto"/>
                <w:w w:val="94"/>
              </w:rPr>
              <w:t>101.DEF</w:t>
            </w:r>
          </w:p>
        </w:tc>
        <w:tc>
          <w:tcPr>
            <w:tcW w:w="7780" w:type="dxa"/>
            <w:vAlign w:val="bottom"/>
            <w:gridSpan w:val="9"/>
          </w:tcPr>
          <w:p>
            <w:pPr>
              <w:spacing w:after="0"/>
              <w:rPr>
                <w:sz w:val="20"/>
                <w:szCs w:val="20"/>
                <w:color w:val="auto"/>
              </w:rPr>
            </w:pPr>
            <w:r>
              <w:rPr>
                <w:rFonts w:ascii="Arial" w:cs="Arial" w:eastAsia="Arial" w:hAnsi="Arial"/>
                <w:sz w:val="16"/>
                <w:szCs w:val="16"/>
                <w:color w:val="auto"/>
              </w:rPr>
              <w:t>Inline XBRL Taxonomy Definition Linkbase Document</w:t>
            </w:r>
          </w:p>
        </w:tc>
        <w:tc>
          <w:tcPr>
            <w:tcW w:w="2140" w:type="dxa"/>
            <w:vAlign w:val="bottom"/>
          </w:tcPr>
          <w:p>
            <w:pPr>
              <w:ind w:left="2020"/>
              <w:spacing w:after="0"/>
              <w:rPr>
                <w:sz w:val="20"/>
                <w:szCs w:val="20"/>
                <w:color w:val="auto"/>
              </w:rPr>
            </w:pPr>
            <w:r>
              <w:rPr>
                <w:rFonts w:ascii="Arial" w:cs="Arial" w:eastAsia="Arial" w:hAnsi="Arial"/>
                <w:sz w:val="16"/>
                <w:szCs w:val="16"/>
                <w:color w:val="auto"/>
                <w:w w:val="93"/>
              </w:rPr>
              <w:t>X</w:t>
            </w:r>
          </w:p>
        </w:tc>
      </w:tr>
      <w:tr>
        <w:trPr>
          <w:trHeight w:val="270"/>
        </w:trPr>
        <w:tc>
          <w:tcPr>
            <w:tcW w:w="840" w:type="dxa"/>
            <w:vAlign w:val="bottom"/>
          </w:tcPr>
          <w:p>
            <w:pPr>
              <w:jc w:val="center"/>
              <w:ind w:right="159"/>
              <w:spacing w:after="0"/>
              <w:rPr>
                <w:sz w:val="20"/>
                <w:szCs w:val="20"/>
                <w:color w:val="auto"/>
              </w:rPr>
            </w:pPr>
            <w:r>
              <w:rPr>
                <w:rFonts w:ascii="Arial" w:cs="Arial" w:eastAsia="Arial" w:hAnsi="Arial"/>
                <w:sz w:val="16"/>
                <w:szCs w:val="16"/>
                <w:color w:val="auto"/>
                <w:w w:val="97"/>
              </w:rPr>
              <w:t>101.LAB</w:t>
            </w:r>
          </w:p>
        </w:tc>
        <w:tc>
          <w:tcPr>
            <w:tcW w:w="7780" w:type="dxa"/>
            <w:vAlign w:val="bottom"/>
            <w:gridSpan w:val="9"/>
          </w:tcPr>
          <w:p>
            <w:pPr>
              <w:spacing w:after="0"/>
              <w:rPr>
                <w:sz w:val="20"/>
                <w:szCs w:val="20"/>
                <w:color w:val="auto"/>
              </w:rPr>
            </w:pPr>
            <w:r>
              <w:rPr>
                <w:rFonts w:ascii="Arial" w:cs="Arial" w:eastAsia="Arial" w:hAnsi="Arial"/>
                <w:sz w:val="16"/>
                <w:szCs w:val="16"/>
                <w:color w:val="auto"/>
              </w:rPr>
              <w:t>Inline XBRL Taxonomy Labels Linkbase Document</w:t>
            </w:r>
          </w:p>
        </w:tc>
        <w:tc>
          <w:tcPr>
            <w:tcW w:w="2140" w:type="dxa"/>
            <w:vAlign w:val="bottom"/>
          </w:tcPr>
          <w:p>
            <w:pPr>
              <w:ind w:left="2020"/>
              <w:spacing w:after="0"/>
              <w:rPr>
                <w:sz w:val="20"/>
                <w:szCs w:val="20"/>
                <w:color w:val="auto"/>
              </w:rPr>
            </w:pPr>
            <w:r>
              <w:rPr>
                <w:rFonts w:ascii="Arial" w:cs="Arial" w:eastAsia="Arial" w:hAnsi="Arial"/>
                <w:sz w:val="16"/>
                <w:szCs w:val="16"/>
                <w:color w:val="auto"/>
                <w:w w:val="93"/>
              </w:rPr>
              <w:t>X</w:t>
            </w:r>
          </w:p>
        </w:tc>
      </w:tr>
      <w:tr>
        <w:trPr>
          <w:trHeight w:val="270"/>
        </w:trPr>
        <w:tc>
          <w:tcPr>
            <w:tcW w:w="840" w:type="dxa"/>
            <w:vAlign w:val="bottom"/>
          </w:tcPr>
          <w:p>
            <w:pPr>
              <w:jc w:val="center"/>
              <w:ind w:right="159"/>
              <w:spacing w:after="0"/>
              <w:rPr>
                <w:sz w:val="20"/>
                <w:szCs w:val="20"/>
                <w:color w:val="auto"/>
              </w:rPr>
            </w:pPr>
            <w:r>
              <w:rPr>
                <w:rFonts w:ascii="Arial" w:cs="Arial" w:eastAsia="Arial" w:hAnsi="Arial"/>
                <w:sz w:val="16"/>
                <w:szCs w:val="16"/>
                <w:color w:val="auto"/>
                <w:w w:val="93"/>
              </w:rPr>
              <w:t>101.PRE</w:t>
            </w:r>
          </w:p>
        </w:tc>
        <w:tc>
          <w:tcPr>
            <w:tcW w:w="7780" w:type="dxa"/>
            <w:vAlign w:val="bottom"/>
            <w:gridSpan w:val="9"/>
          </w:tcPr>
          <w:p>
            <w:pPr>
              <w:spacing w:after="0"/>
              <w:rPr>
                <w:sz w:val="20"/>
                <w:szCs w:val="20"/>
                <w:color w:val="auto"/>
              </w:rPr>
            </w:pPr>
            <w:r>
              <w:rPr>
                <w:rFonts w:ascii="Arial" w:cs="Arial" w:eastAsia="Arial" w:hAnsi="Arial"/>
                <w:sz w:val="16"/>
                <w:szCs w:val="16"/>
                <w:color w:val="auto"/>
              </w:rPr>
              <w:t>Inline XBRL Taxonomy Presentation Linkbase Document</w:t>
            </w:r>
          </w:p>
        </w:tc>
        <w:tc>
          <w:tcPr>
            <w:tcW w:w="2140" w:type="dxa"/>
            <w:vAlign w:val="bottom"/>
          </w:tcPr>
          <w:p>
            <w:pPr>
              <w:ind w:left="2020"/>
              <w:spacing w:after="0"/>
              <w:rPr>
                <w:sz w:val="20"/>
                <w:szCs w:val="20"/>
                <w:color w:val="auto"/>
              </w:rPr>
            </w:pPr>
            <w:r>
              <w:rPr>
                <w:rFonts w:ascii="Arial" w:cs="Arial" w:eastAsia="Arial" w:hAnsi="Arial"/>
                <w:sz w:val="16"/>
                <w:szCs w:val="16"/>
                <w:color w:val="auto"/>
                <w:w w:val="93"/>
              </w:rPr>
              <w:t>X</w:t>
            </w:r>
          </w:p>
        </w:tc>
      </w:tr>
      <w:tr>
        <w:trPr>
          <w:trHeight w:val="226"/>
        </w:trPr>
        <w:tc>
          <w:tcPr>
            <w:tcW w:w="840" w:type="dxa"/>
            <w:vAlign w:val="bottom"/>
          </w:tcPr>
          <w:p>
            <w:pPr>
              <w:jc w:val="center"/>
              <w:ind w:right="159"/>
              <w:spacing w:after="0"/>
              <w:rPr>
                <w:sz w:val="20"/>
                <w:szCs w:val="20"/>
                <w:color w:val="auto"/>
              </w:rPr>
            </w:pPr>
            <w:r>
              <w:rPr>
                <w:rFonts w:ascii="Arial" w:cs="Arial" w:eastAsia="Arial" w:hAnsi="Arial"/>
                <w:sz w:val="16"/>
                <w:szCs w:val="16"/>
                <w:color w:val="auto"/>
                <w:w w:val="89"/>
              </w:rPr>
              <w:t>104</w:t>
            </w:r>
          </w:p>
        </w:tc>
        <w:tc>
          <w:tcPr>
            <w:tcW w:w="7780" w:type="dxa"/>
            <w:vAlign w:val="bottom"/>
            <w:gridSpan w:val="9"/>
          </w:tcPr>
          <w:p>
            <w:pPr>
              <w:spacing w:after="0"/>
              <w:rPr>
                <w:sz w:val="20"/>
                <w:szCs w:val="20"/>
                <w:color w:val="auto"/>
              </w:rPr>
            </w:pPr>
            <w:r>
              <w:rPr>
                <w:rFonts w:ascii="Arial" w:cs="Arial" w:eastAsia="Arial" w:hAnsi="Arial"/>
                <w:sz w:val="16"/>
                <w:szCs w:val="16"/>
                <w:color w:val="auto"/>
              </w:rPr>
              <w:t>Cover Page Interactive Data File (formatted as inline XBRL and contained in Exhibit</w:t>
            </w:r>
          </w:p>
        </w:tc>
        <w:tc>
          <w:tcPr>
            <w:tcW w:w="2140" w:type="dxa"/>
            <w:vAlign w:val="bottom"/>
          </w:tcPr>
          <w:p>
            <w:pPr>
              <w:ind w:left="2020"/>
              <w:spacing w:after="0"/>
              <w:rPr>
                <w:sz w:val="20"/>
                <w:szCs w:val="20"/>
                <w:color w:val="auto"/>
              </w:rPr>
            </w:pPr>
            <w:r>
              <w:rPr>
                <w:rFonts w:ascii="Arial" w:cs="Arial" w:eastAsia="Arial" w:hAnsi="Arial"/>
                <w:sz w:val="16"/>
                <w:szCs w:val="16"/>
                <w:color w:val="auto"/>
                <w:w w:val="93"/>
              </w:rPr>
              <w:t>X</w:t>
            </w:r>
          </w:p>
        </w:tc>
      </w:tr>
      <w:tr>
        <w:trPr>
          <w:trHeight w:val="206"/>
        </w:trPr>
        <w:tc>
          <w:tcPr>
            <w:tcW w:w="840" w:type="dxa"/>
            <w:vAlign w:val="bottom"/>
          </w:tcPr>
          <w:p>
            <w:pPr>
              <w:spacing w:after="0"/>
              <w:rPr>
                <w:sz w:val="17"/>
                <w:szCs w:val="17"/>
                <w:color w:val="auto"/>
              </w:rPr>
            </w:pPr>
          </w:p>
        </w:tc>
        <w:tc>
          <w:tcPr>
            <w:tcW w:w="3200" w:type="dxa"/>
            <w:vAlign w:val="bottom"/>
          </w:tcPr>
          <w:p>
            <w:pPr>
              <w:spacing w:after="0"/>
              <w:rPr>
                <w:sz w:val="20"/>
                <w:szCs w:val="20"/>
                <w:color w:val="auto"/>
              </w:rPr>
            </w:pPr>
            <w:r>
              <w:rPr>
                <w:rFonts w:ascii="Arial" w:cs="Arial" w:eastAsia="Arial" w:hAnsi="Arial"/>
                <w:sz w:val="16"/>
                <w:szCs w:val="16"/>
                <w:color w:val="auto"/>
              </w:rPr>
              <w:t>101)</w:t>
            </w: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2140" w:type="dxa"/>
            <w:vAlign w:val="bottom"/>
          </w:tcPr>
          <w:p>
            <w:pPr>
              <w:spacing w:after="0"/>
              <w:rPr>
                <w:sz w:val="17"/>
                <w:szCs w:val="17"/>
                <w:color w:val="auto"/>
              </w:rPr>
            </w:pPr>
          </w:p>
        </w:tc>
      </w:tr>
    </w:tbl>
    <w:p>
      <w:pPr>
        <w:spacing w:after="0" w:line="140" w:lineRule="exact"/>
        <w:rPr>
          <w:sz w:val="20"/>
          <w:szCs w:val="20"/>
          <w:color w:val="auto"/>
        </w:rPr>
      </w:pPr>
    </w:p>
    <w:p>
      <w:pPr>
        <w:ind w:left="280" w:hanging="272"/>
        <w:spacing w:after="0"/>
        <w:tabs>
          <w:tab w:leader="none" w:pos="2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w:t>
      </w:r>
    </w:p>
    <w:p>
      <w:pPr>
        <w:spacing w:after="0" w:line="63" w:lineRule="exact"/>
        <w:rPr>
          <w:sz w:val="20"/>
          <w:szCs w:val="20"/>
          <w:color w:val="auto"/>
        </w:rPr>
      </w:pPr>
    </w:p>
    <w:p>
      <w:pPr>
        <w:spacing w:after="0"/>
        <w:tabs>
          <w:tab w:leader="none" w:pos="2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Portions of this exhibit have been redacted in compliance with Regulation S-K Item 601(b)(10)(iv).</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95"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320" w:top="1076" w:right="679" w:bottom="1440" w:gutter="0" w:footer="0" w:header="0"/>
        </w:sectPr>
      </w:pPr>
    </w:p>
    <w:bookmarkStart w:id="133" w:name="page134"/>
    <w:bookmarkEnd w:id="133"/>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0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200" w:type="dxa"/>
            <w:vAlign w:val="bottom"/>
          </w:tcPr>
          <w:p>
            <w:pPr>
              <w:spacing w:after="0"/>
              <w:rPr>
                <w:sz w:val="20"/>
                <w:szCs w:val="20"/>
                <w:color w:val="auto"/>
              </w:rPr>
            </w:pPr>
          </w:p>
        </w:tc>
        <w:tc>
          <w:tcPr>
            <w:tcW w:w="7000" w:type="dxa"/>
            <w:vAlign w:val="bottom"/>
            <w:gridSpan w:val="2"/>
          </w:tcPr>
          <w:p>
            <w:pPr>
              <w:ind w:left="1420"/>
              <w:spacing w:after="0"/>
              <w:rPr>
                <w:sz w:val="20"/>
                <w:szCs w:val="20"/>
                <w:color w:val="auto"/>
              </w:rPr>
            </w:pPr>
            <w:r>
              <w:rPr>
                <w:rFonts w:ascii="Arial" w:cs="Arial" w:eastAsia="Arial" w:hAnsi="Arial"/>
                <w:sz w:val="18"/>
                <w:szCs w:val="18"/>
                <w:b w:val="1"/>
                <w:bCs w:val="1"/>
                <w:color w:val="auto"/>
              </w:rPr>
              <w:t>LUCID GROUP, INC.</w:t>
            </w:r>
          </w:p>
        </w:tc>
      </w:tr>
      <w:tr>
        <w:trPr>
          <w:trHeight w:val="486"/>
        </w:trPr>
        <w:tc>
          <w:tcPr>
            <w:tcW w:w="3200" w:type="dxa"/>
            <w:vAlign w:val="bottom"/>
          </w:tcPr>
          <w:p>
            <w:pPr>
              <w:spacing w:after="0"/>
              <w:rPr>
                <w:sz w:val="20"/>
                <w:szCs w:val="20"/>
                <w:color w:val="auto"/>
              </w:rPr>
            </w:pPr>
            <w:r>
              <w:rPr>
                <w:rFonts w:ascii="Arial" w:cs="Arial" w:eastAsia="Arial" w:hAnsi="Arial"/>
                <w:sz w:val="18"/>
                <w:szCs w:val="18"/>
                <w:color w:val="242424"/>
              </w:rPr>
              <w:t>Date: February 28, 2023</w:t>
            </w:r>
          </w:p>
        </w:tc>
        <w:tc>
          <w:tcPr>
            <w:tcW w:w="7000" w:type="dxa"/>
            <w:vAlign w:val="bottom"/>
            <w:gridSpan w:val="2"/>
          </w:tcPr>
          <w:p>
            <w:pPr>
              <w:ind w:left="1420"/>
              <w:spacing w:after="0"/>
              <w:rPr>
                <w:sz w:val="20"/>
                <w:szCs w:val="20"/>
                <w:color w:val="auto"/>
              </w:rPr>
            </w:pPr>
            <w:r>
              <w:rPr>
                <w:rFonts w:ascii="Arial" w:cs="Arial" w:eastAsia="Arial" w:hAnsi="Arial"/>
                <w:sz w:val="18"/>
                <w:szCs w:val="18"/>
                <w:color w:val="auto"/>
              </w:rPr>
              <w:t>By:  /s/ Sherry House</w:t>
            </w:r>
          </w:p>
        </w:tc>
      </w:tr>
      <w:tr>
        <w:trPr>
          <w:trHeight w:val="222"/>
        </w:trPr>
        <w:tc>
          <w:tcPr>
            <w:tcW w:w="32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52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Sherry House</w:t>
            </w:r>
          </w:p>
        </w:tc>
      </w:tr>
      <w:tr>
        <w:trPr>
          <w:trHeight w:val="230"/>
        </w:trPr>
        <w:tc>
          <w:tcPr>
            <w:tcW w:w="32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520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bl>
    <w:p>
      <w:pPr>
        <w:spacing w:after="0" w:line="29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211"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200" w:type="dxa"/>
            <w:vAlign w:val="bottom"/>
          </w:tcPr>
          <w:p>
            <w:pPr>
              <w:spacing w:after="0"/>
              <w:rPr>
                <w:sz w:val="20"/>
                <w:szCs w:val="20"/>
                <w:color w:val="auto"/>
              </w:rPr>
            </w:pPr>
            <w:r>
              <w:rPr>
                <w:rFonts w:ascii="Arial" w:cs="Arial" w:eastAsia="Arial" w:hAnsi="Arial"/>
                <w:sz w:val="18"/>
                <w:szCs w:val="18"/>
                <w:color w:val="242424"/>
              </w:rPr>
              <w:t>Date: February 28, 2023</w:t>
            </w:r>
          </w:p>
        </w:tc>
        <w:tc>
          <w:tcPr>
            <w:tcW w:w="1800" w:type="dxa"/>
            <w:vAlign w:val="bottom"/>
          </w:tcPr>
          <w:p>
            <w:pPr>
              <w:ind w:left="1420"/>
              <w:spacing w:after="0"/>
              <w:rPr>
                <w:sz w:val="20"/>
                <w:szCs w:val="20"/>
                <w:color w:val="auto"/>
              </w:rPr>
            </w:pPr>
            <w:r>
              <w:rPr>
                <w:rFonts w:ascii="Arial" w:cs="Arial" w:eastAsia="Arial" w:hAnsi="Arial"/>
                <w:sz w:val="18"/>
                <w:szCs w:val="18"/>
                <w:color w:val="auto"/>
              </w:rPr>
              <w:t>By:</w:t>
            </w:r>
          </w:p>
        </w:tc>
        <w:tc>
          <w:tcPr>
            <w:tcW w:w="52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Peter Rawlinson</w:t>
            </w:r>
          </w:p>
        </w:tc>
      </w:tr>
      <w:tr>
        <w:trPr>
          <w:trHeight w:val="222"/>
        </w:trPr>
        <w:tc>
          <w:tcPr>
            <w:tcW w:w="32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5200" w:type="dxa"/>
            <w:vAlign w:val="bottom"/>
          </w:tcPr>
          <w:p>
            <w:pPr>
              <w:ind w:left="20"/>
              <w:spacing w:after="0"/>
              <w:rPr>
                <w:sz w:val="20"/>
                <w:szCs w:val="20"/>
                <w:color w:val="auto"/>
              </w:rPr>
            </w:pPr>
            <w:r>
              <w:rPr>
                <w:rFonts w:ascii="Arial" w:cs="Arial" w:eastAsia="Arial" w:hAnsi="Arial"/>
                <w:sz w:val="18"/>
                <w:szCs w:val="18"/>
                <w:color w:val="auto"/>
              </w:rPr>
              <w:t>Peter Rawlinson</w:t>
            </w:r>
          </w:p>
        </w:tc>
      </w:tr>
      <w:tr>
        <w:trPr>
          <w:trHeight w:val="230"/>
        </w:trPr>
        <w:tc>
          <w:tcPr>
            <w:tcW w:w="32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5200" w:type="dxa"/>
            <w:vAlign w:val="bottom"/>
          </w:tcPr>
          <w:p>
            <w:pPr>
              <w:ind w:left="20"/>
              <w:spacing w:after="0"/>
              <w:rPr>
                <w:sz w:val="20"/>
                <w:szCs w:val="20"/>
                <w:color w:val="auto"/>
              </w:rPr>
            </w:pPr>
            <w:r>
              <w:rPr>
                <w:rFonts w:ascii="Arial" w:cs="Arial" w:eastAsia="Arial" w:hAnsi="Arial"/>
                <w:sz w:val="18"/>
                <w:szCs w:val="18"/>
                <w:color w:val="auto"/>
              </w:rPr>
              <w:t>Chief Executive Officer (Principal Executive Officer)</w:t>
            </w:r>
          </w:p>
        </w:tc>
      </w:tr>
      <w:tr>
        <w:trPr>
          <w:trHeight w:val="553"/>
        </w:trPr>
        <w:tc>
          <w:tcPr>
            <w:tcW w:w="3200" w:type="dxa"/>
            <w:vAlign w:val="bottom"/>
          </w:tcPr>
          <w:p>
            <w:pPr>
              <w:spacing w:after="0"/>
              <w:rPr>
                <w:sz w:val="20"/>
                <w:szCs w:val="20"/>
                <w:color w:val="auto"/>
              </w:rPr>
            </w:pPr>
            <w:r>
              <w:rPr>
                <w:rFonts w:ascii="Arial" w:cs="Arial" w:eastAsia="Arial" w:hAnsi="Arial"/>
                <w:sz w:val="18"/>
                <w:szCs w:val="18"/>
                <w:color w:val="242424"/>
              </w:rPr>
              <w:t>Date: February 28, 2023</w:t>
            </w:r>
          </w:p>
        </w:tc>
        <w:tc>
          <w:tcPr>
            <w:tcW w:w="1800" w:type="dxa"/>
            <w:vAlign w:val="bottom"/>
          </w:tcPr>
          <w:p>
            <w:pPr>
              <w:ind w:left="1420"/>
              <w:spacing w:after="0"/>
              <w:rPr>
                <w:sz w:val="20"/>
                <w:szCs w:val="20"/>
                <w:color w:val="auto"/>
              </w:rPr>
            </w:pPr>
            <w:r>
              <w:rPr>
                <w:rFonts w:ascii="Arial" w:cs="Arial" w:eastAsia="Arial" w:hAnsi="Arial"/>
                <w:sz w:val="18"/>
                <w:szCs w:val="18"/>
                <w:color w:val="auto"/>
              </w:rPr>
              <w:t>By:</w:t>
            </w:r>
          </w:p>
        </w:tc>
        <w:tc>
          <w:tcPr>
            <w:tcW w:w="52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Sherry House</w:t>
            </w:r>
          </w:p>
        </w:tc>
      </w:tr>
      <w:tr>
        <w:trPr>
          <w:trHeight w:val="222"/>
        </w:trPr>
        <w:tc>
          <w:tcPr>
            <w:tcW w:w="32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5200" w:type="dxa"/>
            <w:vAlign w:val="bottom"/>
          </w:tcPr>
          <w:p>
            <w:pPr>
              <w:ind w:left="20"/>
              <w:spacing w:after="0"/>
              <w:rPr>
                <w:sz w:val="20"/>
                <w:szCs w:val="20"/>
                <w:color w:val="auto"/>
              </w:rPr>
            </w:pPr>
            <w:r>
              <w:rPr>
                <w:rFonts w:ascii="Arial" w:cs="Arial" w:eastAsia="Arial" w:hAnsi="Arial"/>
                <w:sz w:val="18"/>
                <w:szCs w:val="18"/>
                <w:color w:val="auto"/>
              </w:rPr>
              <w:t>Sherry House</w:t>
            </w:r>
          </w:p>
        </w:tc>
      </w:tr>
      <w:tr>
        <w:trPr>
          <w:trHeight w:val="230"/>
        </w:trPr>
        <w:tc>
          <w:tcPr>
            <w:tcW w:w="32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5200" w:type="dxa"/>
            <w:vAlign w:val="bottom"/>
          </w:tcPr>
          <w:p>
            <w:pPr>
              <w:ind w:left="20"/>
              <w:spacing w:after="0"/>
              <w:rPr>
                <w:sz w:val="20"/>
                <w:szCs w:val="20"/>
                <w:color w:val="auto"/>
              </w:rPr>
            </w:pPr>
            <w:r>
              <w:rPr>
                <w:rFonts w:ascii="Arial" w:cs="Arial" w:eastAsia="Arial" w:hAnsi="Arial"/>
                <w:sz w:val="18"/>
                <w:szCs w:val="18"/>
                <w:color w:val="auto"/>
              </w:rPr>
              <w:t>Chief Financial Officer (Principal Financial Officer)</w:t>
            </w:r>
          </w:p>
        </w:tc>
      </w:tr>
      <w:tr>
        <w:trPr>
          <w:trHeight w:val="567"/>
        </w:trPr>
        <w:tc>
          <w:tcPr>
            <w:tcW w:w="3200" w:type="dxa"/>
            <w:vAlign w:val="bottom"/>
          </w:tcPr>
          <w:p>
            <w:pPr>
              <w:spacing w:after="0"/>
              <w:rPr>
                <w:sz w:val="20"/>
                <w:szCs w:val="20"/>
                <w:color w:val="auto"/>
              </w:rPr>
            </w:pPr>
            <w:r>
              <w:rPr>
                <w:rFonts w:ascii="Arial" w:cs="Arial" w:eastAsia="Arial" w:hAnsi="Arial"/>
                <w:sz w:val="18"/>
                <w:szCs w:val="18"/>
                <w:color w:val="242424"/>
              </w:rPr>
              <w:t>Date: February 28, 2023</w:t>
            </w:r>
          </w:p>
        </w:tc>
        <w:tc>
          <w:tcPr>
            <w:tcW w:w="1800" w:type="dxa"/>
            <w:vAlign w:val="bottom"/>
          </w:tcPr>
          <w:p>
            <w:pPr>
              <w:ind w:left="1420"/>
              <w:spacing w:after="0"/>
              <w:rPr>
                <w:sz w:val="20"/>
                <w:szCs w:val="20"/>
                <w:color w:val="auto"/>
              </w:rPr>
            </w:pPr>
            <w:r>
              <w:rPr>
                <w:rFonts w:ascii="Arial" w:cs="Arial" w:eastAsia="Arial" w:hAnsi="Arial"/>
                <w:sz w:val="18"/>
                <w:szCs w:val="18"/>
                <w:color w:val="auto"/>
              </w:rPr>
              <w:t>By:</w:t>
            </w:r>
          </w:p>
        </w:tc>
        <w:tc>
          <w:tcPr>
            <w:tcW w:w="52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Gagan Dhingra</w:t>
            </w:r>
          </w:p>
        </w:tc>
      </w:tr>
      <w:tr>
        <w:trPr>
          <w:trHeight w:val="222"/>
        </w:trPr>
        <w:tc>
          <w:tcPr>
            <w:tcW w:w="32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5200" w:type="dxa"/>
            <w:vAlign w:val="bottom"/>
          </w:tcPr>
          <w:p>
            <w:pPr>
              <w:ind w:left="20"/>
              <w:spacing w:after="0"/>
              <w:rPr>
                <w:sz w:val="20"/>
                <w:szCs w:val="20"/>
                <w:color w:val="auto"/>
              </w:rPr>
            </w:pPr>
            <w:r>
              <w:rPr>
                <w:rFonts w:ascii="Arial" w:cs="Arial" w:eastAsia="Arial" w:hAnsi="Arial"/>
                <w:sz w:val="18"/>
                <w:szCs w:val="18"/>
                <w:color w:val="auto"/>
              </w:rPr>
              <w:t>Gagan Dhingra</w:t>
            </w:r>
          </w:p>
        </w:tc>
      </w:tr>
      <w:tr>
        <w:trPr>
          <w:trHeight w:val="230"/>
        </w:trPr>
        <w:tc>
          <w:tcPr>
            <w:tcW w:w="32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5200" w:type="dxa"/>
            <w:vAlign w:val="bottom"/>
          </w:tcPr>
          <w:p>
            <w:pPr>
              <w:ind w:left="20"/>
              <w:spacing w:after="0"/>
              <w:rPr>
                <w:sz w:val="20"/>
                <w:szCs w:val="20"/>
                <w:color w:val="auto"/>
              </w:rPr>
            </w:pPr>
            <w:r>
              <w:rPr>
                <w:rFonts w:ascii="Arial" w:cs="Arial" w:eastAsia="Arial" w:hAnsi="Arial"/>
                <w:sz w:val="18"/>
                <w:szCs w:val="18"/>
                <w:color w:val="auto"/>
              </w:rPr>
              <w:t>Principal Accounting Officer</w:t>
            </w:r>
          </w:p>
        </w:tc>
      </w:tr>
      <w:tr>
        <w:trPr>
          <w:trHeight w:val="567"/>
        </w:trPr>
        <w:tc>
          <w:tcPr>
            <w:tcW w:w="3200" w:type="dxa"/>
            <w:vAlign w:val="bottom"/>
          </w:tcPr>
          <w:p>
            <w:pPr>
              <w:spacing w:after="0"/>
              <w:rPr>
                <w:sz w:val="20"/>
                <w:szCs w:val="20"/>
                <w:color w:val="auto"/>
              </w:rPr>
            </w:pPr>
            <w:r>
              <w:rPr>
                <w:rFonts w:ascii="Arial" w:cs="Arial" w:eastAsia="Arial" w:hAnsi="Arial"/>
                <w:sz w:val="18"/>
                <w:szCs w:val="18"/>
                <w:color w:val="242424"/>
              </w:rPr>
              <w:t>Date: February 28, 2023</w:t>
            </w:r>
          </w:p>
        </w:tc>
        <w:tc>
          <w:tcPr>
            <w:tcW w:w="1800" w:type="dxa"/>
            <w:vAlign w:val="bottom"/>
          </w:tcPr>
          <w:p>
            <w:pPr>
              <w:ind w:left="1420"/>
              <w:spacing w:after="0"/>
              <w:rPr>
                <w:sz w:val="20"/>
                <w:szCs w:val="20"/>
                <w:color w:val="auto"/>
              </w:rPr>
            </w:pPr>
            <w:r>
              <w:rPr>
                <w:rFonts w:ascii="Arial" w:cs="Arial" w:eastAsia="Arial" w:hAnsi="Arial"/>
                <w:sz w:val="18"/>
                <w:szCs w:val="18"/>
                <w:color w:val="auto"/>
              </w:rPr>
              <w:t>By:</w:t>
            </w:r>
          </w:p>
        </w:tc>
        <w:tc>
          <w:tcPr>
            <w:tcW w:w="52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Andrew Liveris</w:t>
            </w:r>
          </w:p>
        </w:tc>
      </w:tr>
      <w:tr>
        <w:trPr>
          <w:trHeight w:val="222"/>
        </w:trPr>
        <w:tc>
          <w:tcPr>
            <w:tcW w:w="32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5200" w:type="dxa"/>
            <w:vAlign w:val="bottom"/>
          </w:tcPr>
          <w:p>
            <w:pPr>
              <w:ind w:left="20"/>
              <w:spacing w:after="0"/>
              <w:rPr>
                <w:sz w:val="20"/>
                <w:szCs w:val="20"/>
                <w:color w:val="auto"/>
              </w:rPr>
            </w:pPr>
            <w:r>
              <w:rPr>
                <w:rFonts w:ascii="Arial" w:cs="Arial" w:eastAsia="Arial" w:hAnsi="Arial"/>
                <w:sz w:val="18"/>
                <w:szCs w:val="18"/>
                <w:color w:val="auto"/>
              </w:rPr>
              <w:t>Andrew Liveris</w:t>
            </w:r>
          </w:p>
        </w:tc>
      </w:tr>
      <w:tr>
        <w:trPr>
          <w:trHeight w:val="230"/>
        </w:trPr>
        <w:tc>
          <w:tcPr>
            <w:tcW w:w="32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520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553"/>
        </w:trPr>
        <w:tc>
          <w:tcPr>
            <w:tcW w:w="3200" w:type="dxa"/>
            <w:vAlign w:val="bottom"/>
          </w:tcPr>
          <w:p>
            <w:pPr>
              <w:spacing w:after="0"/>
              <w:rPr>
                <w:sz w:val="20"/>
                <w:szCs w:val="20"/>
                <w:color w:val="auto"/>
              </w:rPr>
            </w:pPr>
            <w:r>
              <w:rPr>
                <w:rFonts w:ascii="Arial" w:cs="Arial" w:eastAsia="Arial" w:hAnsi="Arial"/>
                <w:sz w:val="18"/>
                <w:szCs w:val="18"/>
                <w:color w:val="242424"/>
              </w:rPr>
              <w:t>Date: February 28, 2023</w:t>
            </w:r>
          </w:p>
        </w:tc>
        <w:tc>
          <w:tcPr>
            <w:tcW w:w="1800" w:type="dxa"/>
            <w:vAlign w:val="bottom"/>
          </w:tcPr>
          <w:p>
            <w:pPr>
              <w:ind w:left="1420"/>
              <w:spacing w:after="0"/>
              <w:rPr>
                <w:sz w:val="20"/>
                <w:szCs w:val="20"/>
                <w:color w:val="auto"/>
              </w:rPr>
            </w:pPr>
            <w:r>
              <w:rPr>
                <w:rFonts w:ascii="Arial" w:cs="Arial" w:eastAsia="Arial" w:hAnsi="Arial"/>
                <w:sz w:val="18"/>
                <w:szCs w:val="18"/>
                <w:color w:val="auto"/>
              </w:rPr>
              <w:t>By:</w:t>
            </w:r>
          </w:p>
        </w:tc>
        <w:tc>
          <w:tcPr>
            <w:tcW w:w="52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Turqi Alnowaiser</w:t>
            </w:r>
          </w:p>
        </w:tc>
      </w:tr>
      <w:tr>
        <w:trPr>
          <w:trHeight w:val="222"/>
        </w:trPr>
        <w:tc>
          <w:tcPr>
            <w:tcW w:w="32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5200" w:type="dxa"/>
            <w:vAlign w:val="bottom"/>
          </w:tcPr>
          <w:p>
            <w:pPr>
              <w:ind w:left="20"/>
              <w:spacing w:after="0"/>
              <w:rPr>
                <w:sz w:val="20"/>
                <w:szCs w:val="20"/>
                <w:color w:val="auto"/>
              </w:rPr>
            </w:pPr>
            <w:r>
              <w:rPr>
                <w:rFonts w:ascii="Arial" w:cs="Arial" w:eastAsia="Arial" w:hAnsi="Arial"/>
                <w:sz w:val="18"/>
                <w:szCs w:val="18"/>
                <w:color w:val="auto"/>
              </w:rPr>
              <w:t>Turqi Alnowaiser</w:t>
            </w:r>
          </w:p>
        </w:tc>
      </w:tr>
      <w:tr>
        <w:trPr>
          <w:trHeight w:val="230"/>
        </w:trPr>
        <w:tc>
          <w:tcPr>
            <w:tcW w:w="32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520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567"/>
        </w:trPr>
        <w:tc>
          <w:tcPr>
            <w:tcW w:w="3200" w:type="dxa"/>
            <w:vAlign w:val="bottom"/>
          </w:tcPr>
          <w:p>
            <w:pPr>
              <w:spacing w:after="0"/>
              <w:rPr>
                <w:sz w:val="20"/>
                <w:szCs w:val="20"/>
                <w:color w:val="auto"/>
              </w:rPr>
            </w:pPr>
            <w:r>
              <w:rPr>
                <w:rFonts w:ascii="Arial" w:cs="Arial" w:eastAsia="Arial" w:hAnsi="Arial"/>
                <w:sz w:val="18"/>
                <w:szCs w:val="18"/>
                <w:color w:val="242424"/>
              </w:rPr>
              <w:t>Date: February 28, 2023</w:t>
            </w:r>
          </w:p>
        </w:tc>
        <w:tc>
          <w:tcPr>
            <w:tcW w:w="1800" w:type="dxa"/>
            <w:vAlign w:val="bottom"/>
          </w:tcPr>
          <w:p>
            <w:pPr>
              <w:ind w:left="1420"/>
              <w:spacing w:after="0"/>
              <w:rPr>
                <w:sz w:val="20"/>
                <w:szCs w:val="20"/>
                <w:color w:val="auto"/>
              </w:rPr>
            </w:pPr>
            <w:r>
              <w:rPr>
                <w:rFonts w:ascii="Arial" w:cs="Arial" w:eastAsia="Arial" w:hAnsi="Arial"/>
                <w:sz w:val="18"/>
                <w:szCs w:val="18"/>
                <w:color w:val="auto"/>
              </w:rPr>
              <w:t>By:</w:t>
            </w:r>
          </w:p>
        </w:tc>
        <w:tc>
          <w:tcPr>
            <w:tcW w:w="52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Glenn R. August</w:t>
            </w:r>
          </w:p>
        </w:tc>
      </w:tr>
      <w:tr>
        <w:trPr>
          <w:trHeight w:val="222"/>
        </w:trPr>
        <w:tc>
          <w:tcPr>
            <w:tcW w:w="32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5200" w:type="dxa"/>
            <w:vAlign w:val="bottom"/>
          </w:tcPr>
          <w:p>
            <w:pPr>
              <w:ind w:left="20"/>
              <w:spacing w:after="0"/>
              <w:rPr>
                <w:sz w:val="20"/>
                <w:szCs w:val="20"/>
                <w:color w:val="auto"/>
              </w:rPr>
            </w:pPr>
            <w:r>
              <w:rPr>
                <w:rFonts w:ascii="Arial" w:cs="Arial" w:eastAsia="Arial" w:hAnsi="Arial"/>
                <w:sz w:val="18"/>
                <w:szCs w:val="18"/>
                <w:color w:val="auto"/>
              </w:rPr>
              <w:t>Glenn R. August</w:t>
            </w:r>
          </w:p>
        </w:tc>
      </w:tr>
      <w:tr>
        <w:trPr>
          <w:trHeight w:val="230"/>
        </w:trPr>
        <w:tc>
          <w:tcPr>
            <w:tcW w:w="32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520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567"/>
        </w:trPr>
        <w:tc>
          <w:tcPr>
            <w:tcW w:w="3200" w:type="dxa"/>
            <w:vAlign w:val="bottom"/>
          </w:tcPr>
          <w:p>
            <w:pPr>
              <w:spacing w:after="0"/>
              <w:rPr>
                <w:sz w:val="20"/>
                <w:szCs w:val="20"/>
                <w:color w:val="auto"/>
              </w:rPr>
            </w:pPr>
            <w:r>
              <w:rPr>
                <w:rFonts w:ascii="Arial" w:cs="Arial" w:eastAsia="Arial" w:hAnsi="Arial"/>
                <w:sz w:val="18"/>
                <w:szCs w:val="18"/>
                <w:color w:val="242424"/>
              </w:rPr>
              <w:t>Date: February 28, 2023</w:t>
            </w:r>
          </w:p>
        </w:tc>
        <w:tc>
          <w:tcPr>
            <w:tcW w:w="1800" w:type="dxa"/>
            <w:vAlign w:val="bottom"/>
          </w:tcPr>
          <w:p>
            <w:pPr>
              <w:ind w:left="1420"/>
              <w:spacing w:after="0"/>
              <w:rPr>
                <w:sz w:val="20"/>
                <w:szCs w:val="20"/>
                <w:color w:val="auto"/>
              </w:rPr>
            </w:pPr>
            <w:r>
              <w:rPr>
                <w:rFonts w:ascii="Arial" w:cs="Arial" w:eastAsia="Arial" w:hAnsi="Arial"/>
                <w:sz w:val="18"/>
                <w:szCs w:val="18"/>
                <w:color w:val="auto"/>
              </w:rPr>
              <w:t>By:</w:t>
            </w:r>
          </w:p>
        </w:tc>
        <w:tc>
          <w:tcPr>
            <w:tcW w:w="52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Nancy Gioia</w:t>
            </w:r>
          </w:p>
        </w:tc>
      </w:tr>
      <w:tr>
        <w:trPr>
          <w:trHeight w:val="222"/>
        </w:trPr>
        <w:tc>
          <w:tcPr>
            <w:tcW w:w="32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5200" w:type="dxa"/>
            <w:vAlign w:val="bottom"/>
          </w:tcPr>
          <w:p>
            <w:pPr>
              <w:ind w:left="20"/>
              <w:spacing w:after="0"/>
              <w:rPr>
                <w:sz w:val="20"/>
                <w:szCs w:val="20"/>
                <w:color w:val="auto"/>
              </w:rPr>
            </w:pPr>
            <w:r>
              <w:rPr>
                <w:rFonts w:ascii="Arial" w:cs="Arial" w:eastAsia="Arial" w:hAnsi="Arial"/>
                <w:sz w:val="18"/>
                <w:szCs w:val="18"/>
                <w:color w:val="auto"/>
              </w:rPr>
              <w:t>Nancy Gioia</w:t>
            </w:r>
          </w:p>
        </w:tc>
      </w:tr>
      <w:tr>
        <w:trPr>
          <w:trHeight w:val="230"/>
        </w:trPr>
        <w:tc>
          <w:tcPr>
            <w:tcW w:w="32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520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553"/>
        </w:trPr>
        <w:tc>
          <w:tcPr>
            <w:tcW w:w="3200" w:type="dxa"/>
            <w:vAlign w:val="bottom"/>
          </w:tcPr>
          <w:p>
            <w:pPr>
              <w:spacing w:after="0"/>
              <w:rPr>
                <w:sz w:val="20"/>
                <w:szCs w:val="20"/>
                <w:color w:val="auto"/>
              </w:rPr>
            </w:pPr>
            <w:r>
              <w:rPr>
                <w:rFonts w:ascii="Arial" w:cs="Arial" w:eastAsia="Arial" w:hAnsi="Arial"/>
                <w:sz w:val="18"/>
                <w:szCs w:val="18"/>
                <w:color w:val="242424"/>
              </w:rPr>
              <w:t>Date: February 28, 2023</w:t>
            </w:r>
          </w:p>
        </w:tc>
        <w:tc>
          <w:tcPr>
            <w:tcW w:w="1800" w:type="dxa"/>
            <w:vAlign w:val="bottom"/>
          </w:tcPr>
          <w:p>
            <w:pPr>
              <w:ind w:left="1420"/>
              <w:spacing w:after="0"/>
              <w:rPr>
                <w:sz w:val="20"/>
                <w:szCs w:val="20"/>
                <w:color w:val="auto"/>
              </w:rPr>
            </w:pPr>
            <w:r>
              <w:rPr>
                <w:rFonts w:ascii="Arial" w:cs="Arial" w:eastAsia="Arial" w:hAnsi="Arial"/>
                <w:sz w:val="18"/>
                <w:szCs w:val="18"/>
                <w:color w:val="auto"/>
              </w:rPr>
              <w:t>By:</w:t>
            </w:r>
          </w:p>
        </w:tc>
        <w:tc>
          <w:tcPr>
            <w:tcW w:w="52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Frank Lindenberg</w:t>
            </w:r>
          </w:p>
        </w:tc>
      </w:tr>
      <w:tr>
        <w:trPr>
          <w:trHeight w:val="222"/>
        </w:trPr>
        <w:tc>
          <w:tcPr>
            <w:tcW w:w="32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5200" w:type="dxa"/>
            <w:vAlign w:val="bottom"/>
          </w:tcPr>
          <w:p>
            <w:pPr>
              <w:ind w:left="20"/>
              <w:spacing w:after="0"/>
              <w:rPr>
                <w:sz w:val="20"/>
                <w:szCs w:val="20"/>
                <w:color w:val="auto"/>
              </w:rPr>
            </w:pPr>
            <w:r>
              <w:rPr>
                <w:rFonts w:ascii="Arial" w:cs="Arial" w:eastAsia="Arial" w:hAnsi="Arial"/>
                <w:sz w:val="18"/>
                <w:szCs w:val="18"/>
                <w:color w:val="auto"/>
              </w:rPr>
              <w:t>Frank Lindenberg</w:t>
            </w:r>
          </w:p>
        </w:tc>
      </w:tr>
      <w:tr>
        <w:trPr>
          <w:trHeight w:val="230"/>
        </w:trPr>
        <w:tc>
          <w:tcPr>
            <w:tcW w:w="32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520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567"/>
        </w:trPr>
        <w:tc>
          <w:tcPr>
            <w:tcW w:w="3200" w:type="dxa"/>
            <w:vAlign w:val="bottom"/>
          </w:tcPr>
          <w:p>
            <w:pPr>
              <w:spacing w:after="0"/>
              <w:rPr>
                <w:sz w:val="20"/>
                <w:szCs w:val="20"/>
                <w:color w:val="auto"/>
              </w:rPr>
            </w:pPr>
            <w:r>
              <w:rPr>
                <w:rFonts w:ascii="Arial" w:cs="Arial" w:eastAsia="Arial" w:hAnsi="Arial"/>
                <w:sz w:val="18"/>
                <w:szCs w:val="18"/>
                <w:color w:val="242424"/>
              </w:rPr>
              <w:t>Date: February 28, 2023</w:t>
            </w:r>
          </w:p>
        </w:tc>
        <w:tc>
          <w:tcPr>
            <w:tcW w:w="1800" w:type="dxa"/>
            <w:vAlign w:val="bottom"/>
          </w:tcPr>
          <w:p>
            <w:pPr>
              <w:ind w:left="1420"/>
              <w:spacing w:after="0"/>
              <w:rPr>
                <w:sz w:val="20"/>
                <w:szCs w:val="20"/>
                <w:color w:val="auto"/>
              </w:rPr>
            </w:pPr>
            <w:r>
              <w:rPr>
                <w:rFonts w:ascii="Arial" w:cs="Arial" w:eastAsia="Arial" w:hAnsi="Arial"/>
                <w:sz w:val="18"/>
                <w:szCs w:val="18"/>
                <w:color w:val="auto"/>
              </w:rPr>
              <w:t>By:</w:t>
            </w:r>
          </w:p>
        </w:tc>
        <w:tc>
          <w:tcPr>
            <w:tcW w:w="52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Nichelle Maynard-Elliott</w:t>
            </w:r>
          </w:p>
        </w:tc>
      </w:tr>
      <w:tr>
        <w:trPr>
          <w:trHeight w:val="222"/>
        </w:trPr>
        <w:tc>
          <w:tcPr>
            <w:tcW w:w="32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5200" w:type="dxa"/>
            <w:vAlign w:val="bottom"/>
          </w:tcPr>
          <w:p>
            <w:pPr>
              <w:ind w:left="20"/>
              <w:spacing w:after="0"/>
              <w:rPr>
                <w:sz w:val="20"/>
                <w:szCs w:val="20"/>
                <w:color w:val="auto"/>
              </w:rPr>
            </w:pPr>
            <w:r>
              <w:rPr>
                <w:rFonts w:ascii="Arial" w:cs="Arial" w:eastAsia="Arial" w:hAnsi="Arial"/>
                <w:sz w:val="18"/>
                <w:szCs w:val="18"/>
                <w:color w:val="auto"/>
              </w:rPr>
              <w:t>Nichelle Maynard-Elliott</w:t>
            </w:r>
          </w:p>
        </w:tc>
      </w:tr>
      <w:tr>
        <w:trPr>
          <w:trHeight w:val="230"/>
        </w:trPr>
        <w:tc>
          <w:tcPr>
            <w:tcW w:w="32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5200" w:type="dxa"/>
            <w:vAlign w:val="bottom"/>
          </w:tcPr>
          <w:p>
            <w:pPr>
              <w:ind w:left="20"/>
              <w:spacing w:after="0"/>
              <w:rPr>
                <w:sz w:val="20"/>
                <w:szCs w:val="20"/>
                <w:color w:val="auto"/>
              </w:rPr>
            </w:pPr>
            <w:r>
              <w:rPr>
                <w:rFonts w:ascii="Arial" w:cs="Arial" w:eastAsia="Arial" w:hAnsi="Arial"/>
                <w:sz w:val="18"/>
                <w:szCs w:val="18"/>
                <w:color w:val="auto"/>
              </w:rPr>
              <w:t>Director</w:t>
            </w:r>
          </w:p>
        </w:tc>
      </w:tr>
    </w:tbl>
    <w:p>
      <w:pPr>
        <w:spacing w:after="0" w:line="200" w:lineRule="exact"/>
        <w:rPr>
          <w:sz w:val="20"/>
          <w:szCs w:val="20"/>
          <w:color w:val="auto"/>
        </w:rPr>
      </w:pPr>
    </w:p>
    <w:p>
      <w:pPr>
        <w:sectPr>
          <w:pgSz w:w="11900" w:h="16838" w:orient="portrait"/>
          <w:cols w:equalWidth="0" w:num="1">
            <w:col w:w="11240"/>
          </w:cols>
          <w:pgMar w:left="320" w:top="985" w:right="339" w:bottom="1440" w:gutter="0" w:footer="0" w:header="0"/>
        </w:sectPr>
      </w:pP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type w:val="continuous"/>
        </w:sectPr>
      </w:pPr>
    </w:p>
    <w:bookmarkStart w:id="134" w:name="page135"/>
    <w:bookmarkEnd w:id="134"/>
    <w:tbl>
      <w:tblPr>
        <w:tblLayout w:type="fixed"/>
        <w:tblInd w:w="0" w:type="dxa"/>
        <w:tblCellMar>
          <w:top w:w="0" w:type="dxa"/>
          <w:left w:w="0" w:type="dxa"/>
          <w:bottom w:w="0" w:type="dxa"/>
          <w:right w:w="0" w:type="dxa"/>
        </w:tblCellMar>
      </w:tblPr>
      <w:tr>
        <w:trPr>
          <w:trHeight w:val="230"/>
        </w:trPr>
        <w:tc>
          <w:tcPr>
            <w:tcW w:w="3200" w:type="dxa"/>
            <w:vAlign w:val="bottom"/>
          </w:tcPr>
          <w:p>
            <w:pPr>
              <w:spacing w:after="0"/>
              <w:rPr>
                <w:sz w:val="20"/>
                <w:szCs w:val="20"/>
                <w:color w:val="auto"/>
              </w:rPr>
            </w:pPr>
            <w:r>
              <w:rPr>
                <w:rFonts w:ascii="Arial" w:cs="Arial" w:eastAsia="Arial" w:hAnsi="Arial"/>
                <w:sz w:val="18"/>
                <w:szCs w:val="18"/>
                <w:color w:val="242424"/>
              </w:rPr>
              <w:t>Date: February 28, 2023</w:t>
            </w:r>
          </w:p>
        </w:tc>
        <w:tc>
          <w:tcPr>
            <w:tcW w:w="1800" w:type="dxa"/>
            <w:vAlign w:val="bottom"/>
          </w:tcPr>
          <w:p>
            <w:pPr>
              <w:ind w:left="1420"/>
              <w:spacing w:after="0"/>
              <w:rPr>
                <w:sz w:val="20"/>
                <w:szCs w:val="20"/>
                <w:color w:val="auto"/>
              </w:rPr>
            </w:pPr>
            <w:r>
              <w:rPr>
                <w:rFonts w:ascii="Arial" w:cs="Arial" w:eastAsia="Arial" w:hAnsi="Arial"/>
                <w:sz w:val="18"/>
                <w:szCs w:val="18"/>
                <w:color w:val="auto"/>
              </w:rPr>
              <w:t>By:</w:t>
            </w:r>
          </w:p>
        </w:tc>
        <w:tc>
          <w:tcPr>
            <w:tcW w:w="52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Anthony Posawatz</w:t>
            </w:r>
          </w:p>
        </w:tc>
      </w:tr>
      <w:tr>
        <w:trPr>
          <w:trHeight w:val="222"/>
        </w:trPr>
        <w:tc>
          <w:tcPr>
            <w:tcW w:w="32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5200" w:type="dxa"/>
            <w:vAlign w:val="bottom"/>
          </w:tcPr>
          <w:p>
            <w:pPr>
              <w:ind w:left="20"/>
              <w:spacing w:after="0"/>
              <w:rPr>
                <w:sz w:val="20"/>
                <w:szCs w:val="20"/>
                <w:color w:val="auto"/>
              </w:rPr>
            </w:pPr>
            <w:r>
              <w:rPr>
                <w:rFonts w:ascii="Arial" w:cs="Arial" w:eastAsia="Arial" w:hAnsi="Arial"/>
                <w:sz w:val="18"/>
                <w:szCs w:val="18"/>
                <w:color w:val="auto"/>
              </w:rPr>
              <w:t>Anthony Posawatz</w:t>
            </w:r>
          </w:p>
        </w:tc>
      </w:tr>
      <w:tr>
        <w:trPr>
          <w:trHeight w:val="230"/>
        </w:trPr>
        <w:tc>
          <w:tcPr>
            <w:tcW w:w="32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520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567"/>
        </w:trPr>
        <w:tc>
          <w:tcPr>
            <w:tcW w:w="3200" w:type="dxa"/>
            <w:vAlign w:val="bottom"/>
          </w:tcPr>
          <w:p>
            <w:pPr>
              <w:spacing w:after="0"/>
              <w:rPr>
                <w:sz w:val="20"/>
                <w:szCs w:val="20"/>
                <w:color w:val="auto"/>
              </w:rPr>
            </w:pPr>
            <w:r>
              <w:rPr>
                <w:rFonts w:ascii="Arial" w:cs="Arial" w:eastAsia="Arial" w:hAnsi="Arial"/>
                <w:sz w:val="18"/>
                <w:szCs w:val="18"/>
                <w:color w:val="242424"/>
              </w:rPr>
              <w:t>Date: February 28, 2023</w:t>
            </w:r>
          </w:p>
        </w:tc>
        <w:tc>
          <w:tcPr>
            <w:tcW w:w="1800" w:type="dxa"/>
            <w:vAlign w:val="bottom"/>
          </w:tcPr>
          <w:p>
            <w:pPr>
              <w:ind w:left="1420"/>
              <w:spacing w:after="0"/>
              <w:rPr>
                <w:sz w:val="20"/>
                <w:szCs w:val="20"/>
                <w:color w:val="auto"/>
              </w:rPr>
            </w:pPr>
            <w:r>
              <w:rPr>
                <w:rFonts w:ascii="Arial" w:cs="Arial" w:eastAsia="Arial" w:hAnsi="Arial"/>
                <w:sz w:val="18"/>
                <w:szCs w:val="18"/>
                <w:color w:val="auto"/>
              </w:rPr>
              <w:t>By:</w:t>
            </w:r>
          </w:p>
        </w:tc>
        <w:tc>
          <w:tcPr>
            <w:tcW w:w="52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Janet S. Wong</w:t>
            </w:r>
          </w:p>
        </w:tc>
      </w:tr>
      <w:tr>
        <w:trPr>
          <w:trHeight w:val="222"/>
        </w:trPr>
        <w:tc>
          <w:tcPr>
            <w:tcW w:w="32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5200" w:type="dxa"/>
            <w:vAlign w:val="bottom"/>
          </w:tcPr>
          <w:p>
            <w:pPr>
              <w:ind w:left="20"/>
              <w:spacing w:after="0"/>
              <w:rPr>
                <w:sz w:val="20"/>
                <w:szCs w:val="20"/>
                <w:color w:val="auto"/>
              </w:rPr>
            </w:pPr>
            <w:r>
              <w:rPr>
                <w:rFonts w:ascii="Arial" w:cs="Arial" w:eastAsia="Arial" w:hAnsi="Arial"/>
                <w:sz w:val="18"/>
                <w:szCs w:val="18"/>
                <w:color w:val="auto"/>
              </w:rPr>
              <w:t>Janet S. Wong</w:t>
            </w:r>
          </w:p>
        </w:tc>
      </w:tr>
      <w:tr>
        <w:trPr>
          <w:trHeight w:val="230"/>
        </w:trPr>
        <w:tc>
          <w:tcPr>
            <w:tcW w:w="32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520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553"/>
        </w:trPr>
        <w:tc>
          <w:tcPr>
            <w:tcW w:w="32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5200" w:type="dxa"/>
            <w:vAlign w:val="bottom"/>
          </w:tcPr>
          <w:p>
            <w:pPr>
              <w:ind w:left="460"/>
              <w:spacing w:after="0"/>
              <w:rPr>
                <w:sz w:val="20"/>
                <w:szCs w:val="20"/>
                <w:color w:val="auto"/>
              </w:rPr>
            </w:pPr>
            <w:r>
              <w:rPr>
                <w:rFonts w:ascii="Arial" w:cs="Arial" w:eastAsia="Arial" w:hAnsi="Arial"/>
                <w:sz w:val="18"/>
                <w:szCs w:val="18"/>
                <w:color w:val="auto"/>
              </w:rPr>
              <w:t>134</w:t>
            </w:r>
          </w:p>
        </w:tc>
      </w:tr>
    </w:tbl>
    <w:p>
      <w:pPr>
        <w:sectPr>
          <w:pgSz w:w="11900" w:h="16838" w:orient="portrait"/>
          <w:cols w:equalWidth="0" w:num="1">
            <w:col w:w="10200"/>
          </w:cols>
          <w:pgMar w:left="340" w:top="1030" w:right="1359" w:bottom="1440" w:gutter="0" w:footer="0" w:header="0"/>
        </w:sectPr>
      </w:pPr>
    </w:p>
    <w:bookmarkStart w:id="135" w:name="page136"/>
    <w:bookmarkEnd w:id="135"/>
    <w:p>
      <w:pPr>
        <w:spacing w:after="0" w:line="203" w:lineRule="exact"/>
        <w:rPr>
          <w:sz w:val="20"/>
          <w:szCs w:val="20"/>
          <w:color w:val="auto"/>
        </w:rPr>
      </w:pPr>
    </w:p>
    <w:p>
      <w:pPr>
        <w:ind w:left="10120"/>
        <w:spacing w:after="0"/>
        <w:rPr>
          <w:sz w:val="20"/>
          <w:szCs w:val="20"/>
          <w:color w:val="auto"/>
        </w:rPr>
      </w:pPr>
      <w:r>
        <w:rPr>
          <w:rFonts w:ascii="Arial" w:cs="Arial" w:eastAsia="Arial" w:hAnsi="Arial"/>
          <w:sz w:val="18"/>
          <w:szCs w:val="18"/>
          <w:b w:val="1"/>
          <w:bCs w:val="1"/>
          <w:color w:val="auto"/>
        </w:rPr>
        <w:t>Exhibit 10.34</w:t>
      </w:r>
    </w:p>
    <w:p>
      <w:pPr>
        <w:spacing w:after="0" w:line="239" w:lineRule="exact"/>
        <w:rPr>
          <w:sz w:val="20"/>
          <w:szCs w:val="20"/>
          <w:color w:val="auto"/>
        </w:rPr>
      </w:pPr>
    </w:p>
    <w:p>
      <w:pPr>
        <w:ind w:right="200"/>
        <w:spacing w:after="0" w:line="269" w:lineRule="auto"/>
        <w:rPr>
          <w:sz w:val="20"/>
          <w:szCs w:val="20"/>
          <w:color w:val="auto"/>
        </w:rPr>
      </w:pPr>
      <w:r>
        <w:rPr>
          <w:rFonts w:ascii="Arial" w:cs="Arial" w:eastAsia="Arial" w:hAnsi="Arial"/>
          <w:sz w:val="16"/>
          <w:szCs w:val="16"/>
          <w:b w:val="1"/>
          <w:bCs w:val="1"/>
          <w:color w:val="auto"/>
        </w:rPr>
        <w:t>Certain identified information has been omitted from this document because it is not material and is the type that the Company customarily and actually treats as private or confidential, and has been marked with “[***]” to indicate where omissions have been</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made.</w:t>
      </w:r>
    </w:p>
    <w:p>
      <w:pPr>
        <w:spacing w:after="0" w:line="200" w:lineRule="exact"/>
        <w:rPr>
          <w:sz w:val="20"/>
          <w:szCs w:val="20"/>
          <w:color w:val="auto"/>
        </w:rPr>
      </w:pPr>
    </w:p>
    <w:p>
      <w:pPr>
        <w:spacing w:after="0" w:line="205" w:lineRule="exact"/>
        <w:rPr>
          <w:sz w:val="20"/>
          <w:szCs w:val="20"/>
          <w:color w:val="auto"/>
        </w:rPr>
      </w:pPr>
    </w:p>
    <w:p>
      <w:pPr>
        <w:ind w:left="3380" w:right="2900" w:hanging="690"/>
        <w:spacing w:after="0" w:line="253" w:lineRule="auto"/>
        <w:rPr>
          <w:sz w:val="20"/>
          <w:szCs w:val="20"/>
          <w:color w:val="auto"/>
        </w:rPr>
      </w:pPr>
      <w:r>
        <w:rPr>
          <w:rFonts w:ascii="Arial" w:cs="Arial" w:eastAsia="Arial" w:hAnsi="Arial"/>
          <w:sz w:val="21"/>
          <w:szCs w:val="21"/>
          <w:b w:val="1"/>
          <w:bCs w:val="1"/>
          <w:color w:val="auto"/>
        </w:rPr>
        <w:t>LUCID USA, INC. GENERAL TERMS AND CONDITIONS for Prototype and Production Parts and Services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 xml:space="preserve">These </w:t>
      </w:r>
      <w:r>
        <w:rPr>
          <w:rFonts w:ascii="Arial" w:cs="Arial" w:eastAsia="Arial" w:hAnsi="Arial"/>
          <w:sz w:val="18"/>
          <w:szCs w:val="18"/>
          <w:b w:val="1"/>
          <w:bCs w:val="1"/>
          <w:color w:val="auto"/>
        </w:rPr>
        <w:t>General Terms and Conditions for Prototype and Production Parts and Services</w:t>
      </w:r>
      <w:r>
        <w:rPr>
          <w:rFonts w:ascii="Arial" w:cs="Arial" w:eastAsia="Arial" w:hAnsi="Arial"/>
          <w:sz w:val="18"/>
          <w:szCs w:val="18"/>
          <w:color w:val="auto"/>
        </w:rPr>
        <w:t xml:space="preserve"> (the “</w:t>
      </w:r>
      <w:r>
        <w:rPr>
          <w:rFonts w:ascii="Arial" w:cs="Arial" w:eastAsia="Arial" w:hAnsi="Arial"/>
          <w:sz w:val="18"/>
          <w:szCs w:val="18"/>
          <w:b w:val="1"/>
          <w:bCs w:val="1"/>
          <w:color w:val="auto"/>
        </w:rPr>
        <w:t>GTC</w:t>
      </w:r>
      <w:r>
        <w:rPr>
          <w:rFonts w:ascii="Arial" w:cs="Arial" w:eastAsia="Arial" w:hAnsi="Arial"/>
          <w:sz w:val="18"/>
          <w:szCs w:val="18"/>
          <w:color w:val="auto"/>
        </w:rPr>
        <w:t>” or this “</w:t>
      </w:r>
      <w:r>
        <w:rPr>
          <w:rFonts w:ascii="Arial" w:cs="Arial" w:eastAsia="Arial" w:hAnsi="Arial"/>
          <w:sz w:val="18"/>
          <w:szCs w:val="18"/>
          <w:b w:val="1"/>
          <w:bCs w:val="1"/>
          <w:color w:val="auto"/>
        </w:rPr>
        <w:t>Agreement</w:t>
      </w:r>
      <w:r>
        <w:rPr>
          <w:rFonts w:ascii="Arial" w:cs="Arial" w:eastAsia="Arial" w:hAnsi="Arial"/>
          <w:sz w:val="18"/>
          <w:szCs w:val="18"/>
          <w:color w:val="auto"/>
        </w:rPr>
        <w:t>”) are entered into as of December 1, 2022 (the “</w:t>
      </w:r>
      <w:r>
        <w:rPr>
          <w:rFonts w:ascii="Arial" w:cs="Arial" w:eastAsia="Arial" w:hAnsi="Arial"/>
          <w:sz w:val="18"/>
          <w:szCs w:val="18"/>
          <w:b w:val="1"/>
          <w:bCs w:val="1"/>
          <w:color w:val="auto"/>
        </w:rPr>
        <w:t>Effective Date</w:t>
      </w:r>
      <w:r>
        <w:rPr>
          <w:rFonts w:ascii="Arial" w:cs="Arial" w:eastAsia="Arial" w:hAnsi="Arial"/>
          <w:sz w:val="18"/>
          <w:szCs w:val="18"/>
          <w:color w:val="auto"/>
        </w:rPr>
        <w:t>”) by and between (i) LUCID USA, Inc., a corporation duly organized and existing under</w:t>
      </w:r>
    </w:p>
    <w:p>
      <w:pPr>
        <w:spacing w:after="0" w:line="236" w:lineRule="auto"/>
        <w:rPr>
          <w:sz w:val="20"/>
          <w:szCs w:val="20"/>
          <w:color w:val="auto"/>
        </w:rPr>
      </w:pPr>
      <w:r>
        <w:rPr>
          <w:rFonts w:ascii="Arial" w:cs="Arial" w:eastAsia="Arial" w:hAnsi="Arial"/>
          <w:sz w:val="18"/>
          <w:szCs w:val="18"/>
          <w:color w:val="auto"/>
        </w:rPr>
        <w:t>the laws of the State of Delaware, USA, having its principal place of business at 7373 Gateway Blvd Newark, CA 94560 USA (“</w:t>
      </w:r>
      <w:r>
        <w:rPr>
          <w:rFonts w:ascii="Arial" w:cs="Arial" w:eastAsia="Arial" w:hAnsi="Arial"/>
          <w:sz w:val="18"/>
          <w:szCs w:val="18"/>
          <w:b w:val="1"/>
          <w:bCs w:val="1"/>
          <w:color w:val="auto"/>
        </w:rPr>
        <w:t>Lucid</w:t>
      </w:r>
      <w:r>
        <w:rPr>
          <w:rFonts w:ascii="Arial" w:cs="Arial" w:eastAsia="Arial" w:hAnsi="Arial"/>
          <w:sz w:val="18"/>
          <w:szCs w:val="18"/>
          <w:color w:val="auto"/>
        </w:rPr>
        <w:t>”) and</w:t>
      </w:r>
    </w:p>
    <w:p>
      <w:pPr>
        <w:jc w:val="both"/>
        <w:ind w:firstLine="8"/>
        <w:spacing w:after="0" w:line="217" w:lineRule="auto"/>
        <w:tabs>
          <w:tab w:leader="none" w:pos="291" w:val="left"/>
        </w:tabs>
        <w:numPr>
          <w:ilvl w:val="0"/>
          <w:numId w:val="61"/>
        </w:numPr>
        <w:rPr>
          <w:rFonts w:ascii="Arial" w:cs="Arial" w:eastAsia="Arial" w:hAnsi="Arial"/>
          <w:sz w:val="20"/>
          <w:szCs w:val="20"/>
          <w:color w:val="auto"/>
        </w:rPr>
      </w:pPr>
      <w:r>
        <w:rPr>
          <w:rFonts w:ascii="Arial" w:cs="Arial" w:eastAsia="Arial" w:hAnsi="Arial"/>
          <w:sz w:val="20"/>
          <w:szCs w:val="20"/>
          <w:color w:val="auto"/>
        </w:rPr>
        <w:t>Panasonic Energy Co., Ltd., a corporation duly organized and existing under the laws of Japan having its principal place of business at 1-1 Matushita-cho, Moriguchi City, Osaka, Japan 570-8511 (“</w:t>
      </w:r>
      <w:r>
        <w:rPr>
          <w:rFonts w:ascii="Arial" w:cs="Arial" w:eastAsia="Arial" w:hAnsi="Arial"/>
          <w:sz w:val="20"/>
          <w:szCs w:val="20"/>
          <w:b w:val="1"/>
          <w:bCs w:val="1"/>
          <w:color w:val="auto"/>
        </w:rPr>
        <w:t>Supplier</w:t>
      </w:r>
      <w:r>
        <w:rPr>
          <w:rFonts w:ascii="Arial" w:cs="Arial" w:eastAsia="Arial" w:hAnsi="Arial"/>
          <w:sz w:val="20"/>
          <w:szCs w:val="20"/>
          <w:color w:val="auto"/>
        </w:rPr>
        <w:t>”). Lucid and Supplier are each a “</w:t>
      </w:r>
      <w:r>
        <w:rPr>
          <w:rFonts w:ascii="Arial" w:cs="Arial" w:eastAsia="Arial" w:hAnsi="Arial"/>
          <w:sz w:val="20"/>
          <w:szCs w:val="20"/>
          <w:b w:val="1"/>
          <w:bCs w:val="1"/>
          <w:color w:val="auto"/>
        </w:rPr>
        <w:t>Party</w:t>
      </w:r>
      <w:r>
        <w:rPr>
          <w:rFonts w:ascii="Arial" w:cs="Arial" w:eastAsia="Arial" w:hAnsi="Arial"/>
          <w:sz w:val="20"/>
          <w:szCs w:val="20"/>
          <w:color w:val="auto"/>
        </w:rPr>
        <w:t>” and collectively are the “</w:t>
      </w:r>
      <w:r>
        <w:rPr>
          <w:rFonts w:ascii="Arial" w:cs="Arial" w:eastAsia="Arial" w:hAnsi="Arial"/>
          <w:sz w:val="20"/>
          <w:szCs w:val="20"/>
          <w:b w:val="1"/>
          <w:bCs w:val="1"/>
          <w:color w:val="auto"/>
        </w:rPr>
        <w:t>Parties</w:t>
      </w:r>
      <w:r>
        <w:rPr>
          <w:rFonts w:ascii="Arial" w:cs="Arial" w:eastAsia="Arial" w:hAnsi="Arial"/>
          <w:sz w:val="20"/>
          <w:szCs w:val="20"/>
          <w:color w:val="auto"/>
        </w:rPr>
        <w:t>”.</w:t>
      </w:r>
    </w:p>
    <w:p>
      <w:pPr>
        <w:spacing w:after="0" w:line="62" w:lineRule="exact"/>
        <w:rPr>
          <w:sz w:val="20"/>
          <w:szCs w:val="20"/>
          <w:color w:val="auto"/>
        </w:rPr>
      </w:pPr>
    </w:p>
    <w:p>
      <w:pPr>
        <w:ind w:left="200"/>
        <w:spacing w:after="0"/>
        <w:rPr>
          <w:sz w:val="20"/>
          <w:szCs w:val="20"/>
          <w:color w:val="auto"/>
        </w:rPr>
      </w:pPr>
      <w:r>
        <w:rPr>
          <w:rFonts w:ascii="Arial" w:cs="Arial" w:eastAsia="Arial" w:hAnsi="Arial"/>
          <w:sz w:val="20"/>
          <w:szCs w:val="20"/>
          <w:color w:val="auto"/>
        </w:rPr>
        <w:t>WHEREAS, Lucid designs and manufactures electric vehicles and electric powertrain components and subassemblies;</w:t>
      </w:r>
    </w:p>
    <w:p>
      <w:pPr>
        <w:spacing w:after="0" w:line="67" w:lineRule="exact"/>
        <w:rPr>
          <w:sz w:val="20"/>
          <w:szCs w:val="20"/>
          <w:color w:val="auto"/>
        </w:rPr>
      </w:pPr>
    </w:p>
    <w:p>
      <w:pPr>
        <w:ind w:left="200"/>
        <w:spacing w:after="0"/>
        <w:rPr>
          <w:sz w:val="20"/>
          <w:szCs w:val="20"/>
          <w:color w:val="auto"/>
        </w:rPr>
      </w:pPr>
      <w:r>
        <w:rPr>
          <w:rFonts w:ascii="Arial" w:cs="Arial" w:eastAsia="Arial" w:hAnsi="Arial"/>
          <w:sz w:val="20"/>
          <w:szCs w:val="20"/>
          <w:color w:val="auto"/>
        </w:rPr>
        <w:t>WHEREAS, Supplier develops and/or manufactures certain goods and provides certain related services; and</w:t>
      </w:r>
    </w:p>
    <w:p>
      <w:pPr>
        <w:spacing w:after="0" w:line="81" w:lineRule="exact"/>
        <w:rPr>
          <w:sz w:val="20"/>
          <w:szCs w:val="20"/>
          <w:color w:val="auto"/>
        </w:rPr>
      </w:pPr>
    </w:p>
    <w:p>
      <w:pPr>
        <w:ind w:left="200"/>
        <w:spacing w:after="0"/>
        <w:rPr>
          <w:sz w:val="20"/>
          <w:szCs w:val="20"/>
          <w:color w:val="auto"/>
        </w:rPr>
      </w:pPr>
      <w:r>
        <w:rPr>
          <w:rFonts w:ascii="Arial" w:cs="Arial" w:eastAsia="Arial" w:hAnsi="Arial"/>
          <w:sz w:val="20"/>
          <w:szCs w:val="20"/>
          <w:color w:val="auto"/>
        </w:rPr>
        <w:t>WHEREAS Supplier desires to supply to Lucid, and Lucid desires to procure from Supplier, certain goods and/or services;</w:t>
      </w:r>
    </w:p>
    <w:p>
      <w:pPr>
        <w:spacing w:after="0" w:line="81" w:lineRule="exact"/>
        <w:rPr>
          <w:sz w:val="20"/>
          <w:szCs w:val="20"/>
          <w:color w:val="auto"/>
        </w:rPr>
      </w:pPr>
    </w:p>
    <w:p>
      <w:pPr>
        <w:ind w:left="200"/>
        <w:spacing w:after="0"/>
        <w:rPr>
          <w:sz w:val="20"/>
          <w:szCs w:val="20"/>
          <w:color w:val="auto"/>
        </w:rPr>
      </w:pPr>
      <w:r>
        <w:rPr>
          <w:rFonts w:ascii="Arial" w:cs="Arial" w:eastAsia="Arial" w:hAnsi="Arial"/>
          <w:sz w:val="20"/>
          <w:szCs w:val="20"/>
          <w:color w:val="auto"/>
        </w:rPr>
        <w:t>NOW, THEREFORE, Lucid and Supplier agree as follows:</w:t>
      </w:r>
    </w:p>
    <w:p>
      <w:pPr>
        <w:spacing w:after="0" w:line="61"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b w:val="1"/>
          <w:bCs w:val="1"/>
          <w:color w:val="auto"/>
        </w:rPr>
        <w:t>1.</w:t>
      </w:r>
      <w:r>
        <w:rPr>
          <w:sz w:val="20"/>
          <w:szCs w:val="20"/>
          <w:color w:val="auto"/>
        </w:rPr>
        <w:tab/>
      </w:r>
      <w:r>
        <w:rPr>
          <w:rFonts w:ascii="Arial" w:cs="Arial" w:eastAsia="Arial" w:hAnsi="Arial"/>
          <w:sz w:val="19"/>
          <w:szCs w:val="19"/>
          <w:b w:val="1"/>
          <w:bCs w:val="1"/>
          <w:color w:val="auto"/>
        </w:rPr>
        <w:t>SPOT ORDERS; ACCEPTANCE AND CANCELLATION OF SPOT ORDERS, PRODUCTION ORDERS AND RELEASES</w:t>
      </w:r>
    </w:p>
    <w:p>
      <w:pPr>
        <w:spacing w:after="0" w:line="81" w:lineRule="exact"/>
        <w:rPr>
          <w:sz w:val="20"/>
          <w:szCs w:val="20"/>
          <w:color w:val="auto"/>
        </w:rPr>
      </w:pPr>
    </w:p>
    <w:p>
      <w:pPr>
        <w:ind w:left="260"/>
        <w:spacing w:after="0" w:line="239" w:lineRule="auto"/>
        <w:rPr>
          <w:sz w:val="20"/>
          <w:szCs w:val="20"/>
          <w:color w:val="auto"/>
        </w:rPr>
      </w:pPr>
      <w:r>
        <w:rPr>
          <w:rFonts w:ascii="Arial" w:cs="Arial" w:eastAsia="Arial" w:hAnsi="Arial"/>
          <w:sz w:val="20"/>
          <w:szCs w:val="20"/>
          <w:b w:val="1"/>
          <w:bCs w:val="1"/>
          <w:color w:val="auto"/>
        </w:rPr>
        <w:t xml:space="preserve">1.1. Spot Orders. </w:t>
      </w:r>
      <w:r>
        <w:rPr>
          <w:rFonts w:ascii="Arial" w:cs="Arial" w:eastAsia="Arial" w:hAnsi="Arial"/>
          <w:sz w:val="20"/>
          <w:szCs w:val="20"/>
          <w:color w:val="auto"/>
        </w:rPr>
        <w:t>Each Spot Order constitutes an offer by Lucid to purchase the Goods and/or Services specified in such Order on a</w:t>
      </w:r>
      <w:r>
        <w:rPr>
          <w:rFonts w:ascii="Arial" w:cs="Arial" w:eastAsia="Arial" w:hAnsi="Arial"/>
          <w:sz w:val="20"/>
          <w:szCs w:val="20"/>
          <w:b w:val="1"/>
          <w:bCs w:val="1"/>
          <w:color w:val="auto"/>
        </w:rPr>
        <w:t xml:space="preserve"> </w:t>
      </w:r>
      <w:r>
        <w:rPr>
          <w:rFonts w:ascii="Arial" w:cs="Arial" w:eastAsia="Arial" w:hAnsi="Arial"/>
          <w:sz w:val="20"/>
          <w:szCs w:val="20"/>
          <w:color w:val="auto"/>
        </w:rPr>
        <w:t>“spot buy” basis and is subject to acceptance or rejection by Supplier.</w:t>
      </w:r>
    </w:p>
    <w:p>
      <w:pPr>
        <w:spacing w:after="0" w:line="41" w:lineRule="exact"/>
        <w:rPr>
          <w:sz w:val="20"/>
          <w:szCs w:val="20"/>
          <w:color w:val="auto"/>
        </w:rPr>
      </w:pPr>
    </w:p>
    <w:p>
      <w:pPr>
        <w:ind w:left="1240" w:hanging="584"/>
        <w:spacing w:after="0"/>
        <w:tabs>
          <w:tab w:leader="none" w:pos="1240" w:val="left"/>
        </w:tabs>
        <w:numPr>
          <w:ilvl w:val="0"/>
          <w:numId w:val="62"/>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Supplier’s Acceptance of a Spot Order. </w:t>
      </w:r>
      <w:r>
        <w:rPr>
          <w:rFonts w:ascii="Arial" w:cs="Arial" w:eastAsia="Arial" w:hAnsi="Arial"/>
          <w:sz w:val="19"/>
          <w:szCs w:val="19"/>
          <w:color w:val="auto"/>
        </w:rPr>
        <w:t>Supplier shall have accepted a Spot Order upon the earliest of the following</w:t>
      </w:r>
    </w:p>
    <w:p>
      <w:pPr>
        <w:spacing w:after="0" w:line="6" w:lineRule="exact"/>
        <w:rPr>
          <w:rFonts w:ascii="Arial" w:cs="Arial" w:eastAsia="Arial" w:hAnsi="Arial"/>
          <w:sz w:val="19"/>
          <w:szCs w:val="19"/>
          <w:b w:val="1"/>
          <w:bCs w:val="1"/>
          <w:color w:val="auto"/>
        </w:rPr>
      </w:pPr>
    </w:p>
    <w:p>
      <w:pPr>
        <w:jc w:val="both"/>
        <w:spacing w:after="0" w:line="212" w:lineRule="auto"/>
        <w:rPr>
          <w:rFonts w:ascii="Arial" w:cs="Arial" w:eastAsia="Arial" w:hAnsi="Arial"/>
          <w:sz w:val="19"/>
          <w:szCs w:val="19"/>
          <w:b w:val="1"/>
          <w:bCs w:val="1"/>
          <w:color w:val="auto"/>
        </w:rPr>
      </w:pPr>
      <w:r>
        <w:rPr>
          <w:rFonts w:ascii="Arial" w:cs="Arial" w:eastAsia="Arial" w:hAnsi="Arial"/>
          <w:sz w:val="20"/>
          <w:szCs w:val="20"/>
          <w:color w:val="auto"/>
        </w:rPr>
        <w:t>occurrences: (i) Supplier commences work to provide the Goods or Services specified in a Spot Order, (ii) Supplier submits an invoice conforming to the terms of a Spot Order, (iii) Supplier submits an advance shipment notification or other evidence that Supplier is intending to supply the Goods or Services specified in a Spot Order, (iv) Supplier provides written acceptance of a Spot Order (which may be via electronic means), or (v) if Supplier fails to object to a Spot Order within [***] business days after Lucid sends its offer. THE TERMS OF THIS AGREEMENT GOVERN ALL SPOT ORDERS, AND ANY TERMS CONTAINED IN PRE-PRINTED FORMS, SUCH AS PURCHASE ORDER FORMS FOR SPOT ORDERS, ARE VOID AND OF NO EFFECT.</w:t>
      </w:r>
    </w:p>
    <w:p>
      <w:pPr>
        <w:spacing w:after="0" w:line="55" w:lineRule="exact"/>
        <w:rPr>
          <w:rFonts w:ascii="Arial" w:cs="Arial" w:eastAsia="Arial" w:hAnsi="Arial"/>
          <w:sz w:val="19"/>
          <w:szCs w:val="19"/>
          <w:b w:val="1"/>
          <w:bCs w:val="1"/>
          <w:color w:val="auto"/>
        </w:rPr>
      </w:pPr>
    </w:p>
    <w:p>
      <w:pPr>
        <w:jc w:val="both"/>
        <w:ind w:firstLine="656"/>
        <w:spacing w:after="0" w:line="226" w:lineRule="auto"/>
        <w:tabs>
          <w:tab w:leader="none" w:pos="1208" w:val="left"/>
        </w:tabs>
        <w:numPr>
          <w:ilvl w:val="0"/>
          <w:numId w:val="62"/>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Supplier’s Rejection of a Spot Order. </w:t>
      </w:r>
      <w:r>
        <w:rPr>
          <w:rFonts w:ascii="Arial" w:cs="Arial" w:eastAsia="Arial" w:hAnsi="Arial"/>
          <w:sz w:val="19"/>
          <w:szCs w:val="19"/>
          <w:color w:val="auto"/>
        </w:rPr>
        <w:t>If Supplier cannot accept a Spot Order, Supplier must notify Lucid and propose</w:t>
      </w:r>
      <w:r>
        <w:rPr>
          <w:rFonts w:ascii="Arial" w:cs="Arial" w:eastAsia="Arial" w:hAnsi="Arial"/>
          <w:sz w:val="19"/>
          <w:szCs w:val="19"/>
          <w:b w:val="1"/>
          <w:bCs w:val="1"/>
          <w:color w:val="auto"/>
        </w:rPr>
        <w:t xml:space="preserve"> </w:t>
      </w:r>
      <w:r>
        <w:rPr>
          <w:rFonts w:ascii="Arial" w:cs="Arial" w:eastAsia="Arial" w:hAnsi="Arial"/>
          <w:sz w:val="19"/>
          <w:szCs w:val="19"/>
          <w:color w:val="auto"/>
        </w:rPr>
        <w:t>alternative terms acceptable to Supplier. If any of Supplier’s proposed terms are acceptable to Lucid, Lucid will issue a revised Spot Order containing such acceptable alternative terms. EACH OF LUCID'S SPOT ORDERS EXPRESSLY LIMIT ACCEPTANCE TO THE TERMS OF EACH SUCH SPOT ORDER AND ANY ADDITIONAL OR DIFFERENT TERMS CONTAINED IN SUPPLIER'S FORMS OR OTHERWISE PRESENTED BY SUPPLIER ARE REJECTED UNLESS EXPRESSLY AGREED UPON BY LUCID IN A REVISED SPOT ORDER. THIS GTC SHALL SERVE AS NOTICE OF LUCID’S OBJECTIONS TO SUPPLIER’S ADDITIONAL OR DIFFERENT TERMS EXCEPT TO THE EXTENT SUCH TERMS ARE CONTAINED IN A REVISED ORDER ISSUED BY LUCID.</w:t>
      </w:r>
    </w:p>
    <w:p>
      <w:pPr>
        <w:sectPr>
          <w:pgSz w:w="11900" w:h="16838" w:orient="portrait"/>
          <w:cols w:equalWidth="0" w:num="1">
            <w:col w:w="11240"/>
          </w:cols>
          <w:pgMar w:left="320" w:top="1440" w:right="339" w:bottom="1440" w:gutter="0" w:footer="0" w:header="0"/>
        </w:sectPr>
      </w:pPr>
    </w:p>
    <w:bookmarkStart w:id="136" w:name="page137"/>
    <w:bookmarkEnd w:id="136"/>
    <w:p>
      <w:pPr>
        <w:spacing w:after="0" w:line="68" w:lineRule="exact"/>
        <w:rPr>
          <w:sz w:val="20"/>
          <w:szCs w:val="20"/>
          <w:color w:val="auto"/>
        </w:rPr>
      </w:pPr>
    </w:p>
    <w:p>
      <w:pPr>
        <w:ind w:firstLine="656"/>
        <w:spacing w:after="0" w:line="239" w:lineRule="auto"/>
        <w:tabs>
          <w:tab w:leader="none" w:pos="1071" w:val="left"/>
        </w:tabs>
        <w:numPr>
          <w:ilvl w:val="0"/>
          <w:numId w:val="63"/>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Cancellation of Spot Orders by Lucid. </w:t>
      </w:r>
      <w:r>
        <w:rPr>
          <w:rFonts w:ascii="Arial" w:cs="Arial" w:eastAsia="Arial" w:hAnsi="Arial"/>
          <w:sz w:val="20"/>
          <w:szCs w:val="20"/>
          <w:color w:val="auto"/>
        </w:rPr>
        <w:t>Lucid may not cancel all or part of any Spot Order accepted by Supplier in accordance</w:t>
      </w:r>
      <w:r>
        <w:rPr>
          <w:rFonts w:ascii="Arial" w:cs="Arial" w:eastAsia="Arial" w:hAnsi="Arial"/>
          <w:sz w:val="20"/>
          <w:szCs w:val="20"/>
          <w:b w:val="1"/>
          <w:bCs w:val="1"/>
          <w:color w:val="auto"/>
        </w:rPr>
        <w:t xml:space="preserve"> </w:t>
      </w:r>
      <w:r>
        <w:rPr>
          <w:rFonts w:ascii="Arial" w:cs="Arial" w:eastAsia="Arial" w:hAnsi="Arial"/>
          <w:sz w:val="20"/>
          <w:szCs w:val="20"/>
          <w:color w:val="auto"/>
        </w:rPr>
        <w:t>with Section 1.1(a) without Supplier’s written consent, not to be unreasonably withheld, conditioned or delayed.</w:t>
      </w:r>
    </w:p>
    <w:p>
      <w:pPr>
        <w:spacing w:after="0" w:line="41" w:lineRule="exact"/>
        <w:rPr>
          <w:sz w:val="20"/>
          <w:szCs w:val="20"/>
          <w:color w:val="auto"/>
        </w:rPr>
      </w:pPr>
    </w:p>
    <w:p>
      <w:pPr>
        <w:ind w:left="260"/>
        <w:spacing w:after="0"/>
        <w:tabs>
          <w:tab w:leader="none" w:pos="740" w:val="left"/>
        </w:tabs>
        <w:rPr>
          <w:sz w:val="20"/>
          <w:szCs w:val="20"/>
          <w:color w:val="auto"/>
        </w:rPr>
      </w:pPr>
      <w:r>
        <w:rPr>
          <w:rFonts w:ascii="Arial" w:cs="Arial" w:eastAsia="Arial" w:hAnsi="Arial"/>
          <w:sz w:val="20"/>
          <w:szCs w:val="20"/>
          <w:b w:val="1"/>
          <w:bCs w:val="1"/>
          <w:color w:val="auto"/>
        </w:rPr>
        <w:t>1.2.</w:t>
      </w:r>
      <w:r>
        <w:rPr>
          <w:sz w:val="20"/>
          <w:szCs w:val="20"/>
          <w:color w:val="auto"/>
        </w:rPr>
        <w:tab/>
      </w:r>
      <w:r>
        <w:rPr>
          <w:rFonts w:ascii="Arial" w:cs="Arial" w:eastAsia="Arial" w:hAnsi="Arial"/>
          <w:sz w:val="16"/>
          <w:szCs w:val="16"/>
          <w:b w:val="1"/>
          <w:bCs w:val="1"/>
          <w:color w:val="auto"/>
        </w:rPr>
        <w:t>Production Orders, Forecasts and Releases.</w:t>
      </w:r>
    </w:p>
    <w:p>
      <w:pPr>
        <w:spacing w:after="0" w:line="81" w:lineRule="exact"/>
        <w:rPr>
          <w:sz w:val="20"/>
          <w:szCs w:val="20"/>
          <w:color w:val="auto"/>
        </w:rPr>
      </w:pPr>
    </w:p>
    <w:p>
      <w:pPr>
        <w:jc w:val="both"/>
        <w:ind w:firstLine="656"/>
        <w:spacing w:after="0" w:line="215" w:lineRule="auto"/>
        <w:tabs>
          <w:tab w:leader="none" w:pos="1087" w:val="left"/>
        </w:tabs>
        <w:numPr>
          <w:ilvl w:val="0"/>
          <w:numId w:val="64"/>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General. </w:t>
      </w:r>
      <w:r>
        <w:rPr>
          <w:rFonts w:ascii="Arial" w:cs="Arial" w:eastAsia="Arial" w:hAnsi="Arial"/>
          <w:sz w:val="20"/>
          <w:szCs w:val="20"/>
          <w:color w:val="auto"/>
        </w:rPr>
        <w:t>Production Orders specify the agreed price and overall estimate of Lucid’s needs for the period stated therein and are</w:t>
      </w:r>
      <w:r>
        <w:rPr>
          <w:rFonts w:ascii="Arial" w:cs="Arial" w:eastAsia="Arial" w:hAnsi="Arial"/>
          <w:sz w:val="20"/>
          <w:szCs w:val="20"/>
          <w:b w:val="1"/>
          <w:bCs w:val="1"/>
          <w:color w:val="auto"/>
        </w:rPr>
        <w:t xml:space="preserve"> </w:t>
      </w:r>
      <w:r>
        <w:rPr>
          <w:rFonts w:ascii="Arial" w:cs="Arial" w:eastAsia="Arial" w:hAnsi="Arial"/>
          <w:sz w:val="20"/>
          <w:szCs w:val="20"/>
          <w:color w:val="auto"/>
        </w:rPr>
        <w:t>provided for Supplier’s planning purposes. Production Orders issued within the flexibility set forth in the applicable production pricing agreement are binding on both Parties. For the avoidance of doubt, Supplier will not, without Supplier’s written consent, be bound by any Production Orders, forecasts or Releases indicating volume that exceeds, falls below, or otherwise deviates from the flexibility set forth in the applicable production pricing agreement. Production Orders will contain certain commercial terms such as quantity and delivery schedules agreed to between the Parties.</w:t>
      </w:r>
    </w:p>
    <w:p>
      <w:pPr>
        <w:spacing w:after="0" w:line="59" w:lineRule="exact"/>
        <w:rPr>
          <w:rFonts w:ascii="Arial" w:cs="Arial" w:eastAsia="Arial" w:hAnsi="Arial"/>
          <w:sz w:val="20"/>
          <w:szCs w:val="20"/>
          <w:b w:val="1"/>
          <w:bCs w:val="1"/>
          <w:color w:val="auto"/>
        </w:rPr>
      </w:pPr>
    </w:p>
    <w:p>
      <w:pPr>
        <w:jc w:val="both"/>
        <w:ind w:firstLine="656"/>
        <w:spacing w:after="0" w:line="214" w:lineRule="auto"/>
        <w:tabs>
          <w:tab w:leader="none" w:pos="1088" w:val="left"/>
        </w:tabs>
        <w:numPr>
          <w:ilvl w:val="0"/>
          <w:numId w:val="64"/>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Forecasts. </w:t>
      </w:r>
      <w:r>
        <w:rPr>
          <w:rFonts w:ascii="Arial" w:cs="Arial" w:eastAsia="Arial" w:hAnsi="Arial"/>
          <w:sz w:val="20"/>
          <w:szCs w:val="20"/>
          <w:color w:val="auto"/>
        </w:rPr>
        <w:t>Within the first week of each month, Lucid will provide to Supplier, on a monthly basis, a twelve (12) month rolling</w:t>
      </w:r>
      <w:r>
        <w:rPr>
          <w:rFonts w:ascii="Arial" w:cs="Arial" w:eastAsia="Arial" w:hAnsi="Arial"/>
          <w:sz w:val="20"/>
          <w:szCs w:val="20"/>
          <w:b w:val="1"/>
          <w:bCs w:val="1"/>
          <w:color w:val="auto"/>
        </w:rPr>
        <w:t xml:space="preserve"> </w:t>
      </w:r>
      <w:r>
        <w:rPr>
          <w:rFonts w:ascii="Arial" w:cs="Arial" w:eastAsia="Arial" w:hAnsi="Arial"/>
          <w:sz w:val="20"/>
          <w:szCs w:val="20"/>
          <w:color w:val="auto"/>
        </w:rPr>
        <w:t>forecast of its projected Goods requirements based on the applicable production pricing agreement and Production Order. Lucid may vary or cancel any forecasted purchases subject to the flexibility set forth in the applicable production pricing agreement and Production Order. Except as stated in a production pricing agreement, any forecast is a non-binding estimate, and Lucid is not obligated to purchase any quantities specified in the forecast unless and until Lucid delivers to Supplier a Release specifying the quantity of Goods and shipment date. Except as otherwise agreed in the applicable production pricing agreement, Supplier shall maintain, at the time just before each shipment, adequate volume of finished Goods to meet the quantities required during the next five weeks plus one week of either work in progress or finished Goods.</w:t>
      </w:r>
    </w:p>
    <w:p>
      <w:pPr>
        <w:spacing w:after="0" w:line="46" w:lineRule="exact"/>
        <w:rPr>
          <w:rFonts w:ascii="Arial" w:cs="Arial" w:eastAsia="Arial" w:hAnsi="Arial"/>
          <w:sz w:val="20"/>
          <w:szCs w:val="20"/>
          <w:b w:val="1"/>
          <w:bCs w:val="1"/>
          <w:color w:val="auto"/>
        </w:rPr>
      </w:pPr>
    </w:p>
    <w:p>
      <w:pPr>
        <w:jc w:val="both"/>
        <w:ind w:firstLine="656"/>
        <w:spacing w:after="0" w:line="225" w:lineRule="auto"/>
        <w:tabs>
          <w:tab w:leader="none" w:pos="1087" w:val="left"/>
        </w:tabs>
        <w:numPr>
          <w:ilvl w:val="0"/>
          <w:numId w:val="64"/>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Releases. </w:t>
      </w:r>
      <w:r>
        <w:rPr>
          <w:rFonts w:ascii="Arial" w:cs="Arial" w:eastAsia="Arial" w:hAnsi="Arial"/>
          <w:sz w:val="20"/>
          <w:szCs w:val="20"/>
          <w:color w:val="auto"/>
        </w:rPr>
        <w:t>At least [***] weeks, or such other period stated in the applicable production pricing agreement or otherwise agreed</w:t>
      </w:r>
      <w:r>
        <w:rPr>
          <w:rFonts w:ascii="Arial" w:cs="Arial" w:eastAsia="Arial" w:hAnsi="Arial"/>
          <w:sz w:val="20"/>
          <w:szCs w:val="20"/>
          <w:b w:val="1"/>
          <w:bCs w:val="1"/>
          <w:color w:val="auto"/>
        </w:rPr>
        <w:t xml:space="preserve"> </w:t>
      </w:r>
      <w:r>
        <w:rPr>
          <w:rFonts w:ascii="Arial" w:cs="Arial" w:eastAsia="Arial" w:hAnsi="Arial"/>
          <w:sz w:val="20"/>
          <w:szCs w:val="20"/>
          <w:color w:val="auto"/>
        </w:rPr>
        <w:t>between the Parties in writing, before the date that Goods are required to be shipped to Lucid, Lucid will issue a Release based on the applicable forecast. Releases conforming to the applicable forecast are binding on both Parties.</w:t>
      </w:r>
    </w:p>
    <w:p>
      <w:pPr>
        <w:spacing w:after="0" w:line="55" w:lineRule="exact"/>
        <w:rPr>
          <w:rFonts w:ascii="Arial" w:cs="Arial" w:eastAsia="Arial" w:hAnsi="Arial"/>
          <w:sz w:val="20"/>
          <w:szCs w:val="20"/>
          <w:b w:val="1"/>
          <w:bCs w:val="1"/>
          <w:color w:val="auto"/>
        </w:rPr>
      </w:pPr>
    </w:p>
    <w:p>
      <w:pPr>
        <w:jc w:val="both"/>
        <w:ind w:firstLine="656"/>
        <w:spacing w:after="0" w:line="221" w:lineRule="auto"/>
        <w:tabs>
          <w:tab w:leader="none" w:pos="1108" w:val="left"/>
        </w:tabs>
        <w:numPr>
          <w:ilvl w:val="0"/>
          <w:numId w:val="64"/>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Cancellation of Releases by Lucid. </w:t>
      </w:r>
      <w:r>
        <w:rPr>
          <w:rFonts w:ascii="Arial" w:cs="Arial" w:eastAsia="Arial" w:hAnsi="Arial"/>
          <w:sz w:val="20"/>
          <w:szCs w:val="20"/>
          <w:color w:val="auto"/>
        </w:rPr>
        <w:t>Subject to Lucid’s firm take and payment obligations under applicable production pricing</w:t>
      </w:r>
      <w:r>
        <w:rPr>
          <w:rFonts w:ascii="Arial" w:cs="Arial" w:eastAsia="Arial" w:hAnsi="Arial"/>
          <w:sz w:val="20"/>
          <w:szCs w:val="20"/>
          <w:b w:val="1"/>
          <w:bCs w:val="1"/>
          <w:color w:val="auto"/>
        </w:rPr>
        <w:t xml:space="preserve"> </w:t>
      </w:r>
      <w:r>
        <w:rPr>
          <w:rFonts w:ascii="Arial" w:cs="Arial" w:eastAsia="Arial" w:hAnsi="Arial"/>
          <w:sz w:val="20"/>
          <w:szCs w:val="20"/>
          <w:color w:val="auto"/>
        </w:rPr>
        <w:t>agreements, Lucid may reschedule or cancel all or any portion of any Release at any time upon written notice to Supplier and Supplier’s written consent thereto, not to be unreasonably withheld, conditioned or delayed, and which may be via an electronic communication including via EDI.</w:t>
      </w:r>
    </w:p>
    <w:p>
      <w:pPr>
        <w:spacing w:after="0" w:line="57"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b w:val="1"/>
          <w:bCs w:val="1"/>
          <w:color w:val="auto"/>
        </w:rPr>
        <w:t>2.</w:t>
        <w:tab/>
        <w:t>DELIVERY</w:t>
      </w:r>
    </w:p>
    <w:p>
      <w:pPr>
        <w:spacing w:after="0" w:line="67" w:lineRule="exact"/>
        <w:rPr>
          <w:sz w:val="20"/>
          <w:szCs w:val="20"/>
          <w:color w:val="auto"/>
        </w:rPr>
      </w:pPr>
    </w:p>
    <w:p>
      <w:pPr>
        <w:ind w:left="260"/>
        <w:spacing w:after="0" w:line="247" w:lineRule="auto"/>
        <w:rPr>
          <w:sz w:val="20"/>
          <w:szCs w:val="20"/>
          <w:color w:val="auto"/>
        </w:rPr>
      </w:pPr>
      <w:r>
        <w:rPr>
          <w:rFonts w:ascii="Arial" w:cs="Arial" w:eastAsia="Arial" w:hAnsi="Arial"/>
          <w:sz w:val="18"/>
          <w:szCs w:val="18"/>
          <w:b w:val="1"/>
          <w:bCs w:val="1"/>
          <w:color w:val="auto"/>
        </w:rPr>
        <w:t xml:space="preserve">2.1. Timeliness. </w:t>
      </w:r>
      <w:r>
        <w:rPr>
          <w:rFonts w:ascii="Arial" w:cs="Arial" w:eastAsia="Arial" w:hAnsi="Arial"/>
          <w:sz w:val="18"/>
          <w:szCs w:val="18"/>
          <w:color w:val="auto"/>
        </w:rPr>
        <w:t>TIME IS OF THE ESSENCE AS TO THE DELIVERY OF GOODS AND PERFORMANCE OF SERVICES UNDER</w:t>
      </w:r>
      <w:r>
        <w:rPr>
          <w:rFonts w:ascii="Arial" w:cs="Arial" w:eastAsia="Arial" w:hAnsi="Arial"/>
          <w:sz w:val="18"/>
          <w:szCs w:val="18"/>
          <w:b w:val="1"/>
          <w:bCs w:val="1"/>
          <w:color w:val="auto"/>
        </w:rPr>
        <w:t xml:space="preserve"> </w:t>
      </w:r>
      <w:r>
        <w:rPr>
          <w:rFonts w:ascii="Arial" w:cs="Arial" w:eastAsia="Arial" w:hAnsi="Arial"/>
          <w:sz w:val="18"/>
          <w:szCs w:val="18"/>
          <w:color w:val="auto"/>
        </w:rPr>
        <w:t>THE AGREEMENT AND SUBJECT TO LUCID’S LIMITED TERMINATION RIGHT SET FORTH IN SECTION 12.2(a), Supplier</w:t>
      </w:r>
    </w:p>
    <w:p>
      <w:pPr>
        <w:spacing w:after="0" w:line="1" w:lineRule="exact"/>
        <w:rPr>
          <w:sz w:val="20"/>
          <w:szCs w:val="20"/>
          <w:color w:val="auto"/>
        </w:rPr>
      </w:pPr>
    </w:p>
    <w:p>
      <w:pPr>
        <w:ind w:left="260"/>
        <w:spacing w:after="0" w:line="226" w:lineRule="auto"/>
        <w:rPr>
          <w:sz w:val="20"/>
          <w:szCs w:val="20"/>
          <w:color w:val="auto"/>
        </w:rPr>
      </w:pPr>
      <w:r>
        <w:rPr>
          <w:rFonts w:ascii="Arial" w:cs="Arial" w:eastAsia="Arial" w:hAnsi="Arial"/>
          <w:sz w:val="18"/>
          <w:szCs w:val="18"/>
          <w:color w:val="auto"/>
        </w:rPr>
        <w:t>will perform Services and deliver Goods to Lucid and/or its designees at the times and location(s) specified in accordance with any Release, Spot Order, or the applicable production pricing agreement. Lucid shall be permitted to return quantities in excess of Lucid’s</w:t>
      </w:r>
    </w:p>
    <w:p>
      <w:pPr>
        <w:ind w:left="260"/>
        <w:spacing w:after="0" w:line="236" w:lineRule="auto"/>
        <w:rPr>
          <w:sz w:val="20"/>
          <w:szCs w:val="20"/>
          <w:color w:val="auto"/>
        </w:rPr>
      </w:pPr>
      <w:r>
        <w:rPr>
          <w:rFonts w:ascii="Arial" w:cs="Arial" w:eastAsia="Arial" w:hAnsi="Arial"/>
          <w:sz w:val="18"/>
          <w:szCs w:val="18"/>
          <w:color w:val="auto"/>
        </w:rPr>
        <w:t>Releases (or accepted Spot Orders, if no Release exists), at Supplier’s expense. Neither Party may change the delivery dates or direct</w:t>
      </w:r>
    </w:p>
    <w:p>
      <w:pPr>
        <w:spacing w:after="0" w:line="1" w:lineRule="exact"/>
        <w:rPr>
          <w:sz w:val="20"/>
          <w:szCs w:val="20"/>
          <w:color w:val="auto"/>
        </w:rPr>
      </w:pPr>
    </w:p>
    <w:p>
      <w:pPr>
        <w:ind w:left="260"/>
        <w:spacing w:after="0" w:line="255" w:lineRule="auto"/>
        <w:rPr>
          <w:sz w:val="20"/>
          <w:szCs w:val="20"/>
          <w:color w:val="auto"/>
        </w:rPr>
      </w:pPr>
      <w:r>
        <w:rPr>
          <w:rFonts w:ascii="Arial" w:cs="Arial" w:eastAsia="Arial" w:hAnsi="Arial"/>
          <w:sz w:val="16"/>
          <w:szCs w:val="16"/>
          <w:color w:val="auto"/>
        </w:rPr>
        <w:t>temporary suspension of scheduled shipments without the other Party’s written consent, not to be unreasonably withheld, conditioned or delayed; provided that, in the case of a good faith change request from a Party for logistical or other operational purposes, the Parties shall</w:t>
      </w:r>
    </w:p>
    <w:p>
      <w:pPr>
        <w:spacing w:after="0" w:line="1" w:lineRule="exact"/>
        <w:rPr>
          <w:sz w:val="20"/>
          <w:szCs w:val="20"/>
          <w:color w:val="auto"/>
        </w:rPr>
      </w:pPr>
    </w:p>
    <w:p>
      <w:pPr>
        <w:ind w:left="260"/>
        <w:spacing w:after="0"/>
        <w:rPr>
          <w:sz w:val="20"/>
          <w:szCs w:val="20"/>
          <w:color w:val="auto"/>
        </w:rPr>
      </w:pPr>
      <w:r>
        <w:rPr>
          <w:rFonts w:ascii="Arial" w:cs="Arial" w:eastAsia="Arial" w:hAnsi="Arial"/>
          <w:sz w:val="20"/>
          <w:szCs w:val="20"/>
          <w:color w:val="auto"/>
        </w:rPr>
        <w:t>discuss such request in good faith.</w:t>
      </w:r>
    </w:p>
    <w:p>
      <w:pPr>
        <w:spacing w:after="0" w:line="59" w:lineRule="exact"/>
        <w:rPr>
          <w:sz w:val="20"/>
          <w:szCs w:val="20"/>
          <w:color w:val="auto"/>
        </w:rPr>
      </w:pPr>
    </w:p>
    <w:p>
      <w:pPr>
        <w:jc w:val="both"/>
        <w:ind w:left="260"/>
        <w:spacing w:after="0" w:line="239" w:lineRule="auto"/>
        <w:rPr>
          <w:sz w:val="20"/>
          <w:szCs w:val="20"/>
          <w:color w:val="auto"/>
        </w:rPr>
      </w:pPr>
      <w:r>
        <w:rPr>
          <w:rFonts w:ascii="Arial" w:cs="Arial" w:eastAsia="Arial" w:hAnsi="Arial"/>
          <w:sz w:val="18"/>
          <w:szCs w:val="18"/>
          <w:b w:val="1"/>
          <w:bCs w:val="1"/>
          <w:color w:val="auto"/>
        </w:rPr>
        <w:t xml:space="preserve">2.2. Constraint or Delay. </w:t>
      </w:r>
      <w:r>
        <w:rPr>
          <w:rFonts w:ascii="Arial" w:cs="Arial" w:eastAsia="Arial" w:hAnsi="Arial"/>
          <w:sz w:val="18"/>
          <w:szCs w:val="18"/>
          <w:color w:val="auto"/>
        </w:rPr>
        <w:t>If Supplier has reason to believe its ability to deliver Goods or Services is or will be constrained (including</w:t>
      </w:r>
      <w:r>
        <w:rPr>
          <w:rFonts w:ascii="Arial" w:cs="Arial" w:eastAsia="Arial" w:hAnsi="Arial"/>
          <w:sz w:val="18"/>
          <w:szCs w:val="18"/>
          <w:b w:val="1"/>
          <w:bCs w:val="1"/>
          <w:color w:val="auto"/>
        </w:rPr>
        <w:t xml:space="preserve"> </w:t>
      </w:r>
      <w:r>
        <w:rPr>
          <w:rFonts w:ascii="Arial" w:cs="Arial" w:eastAsia="Arial" w:hAnsi="Arial"/>
          <w:sz w:val="18"/>
          <w:szCs w:val="18"/>
          <w:color w:val="auto"/>
        </w:rPr>
        <w:t>for reasons of quality, labor disputes or otherwise), Supplier shall use its commercially reasonable efforts to (i) immediately notify Lucid,</w:t>
      </w:r>
    </w:p>
    <w:p>
      <w:pPr>
        <w:ind w:left="260"/>
        <w:spacing w:after="0" w:line="236" w:lineRule="auto"/>
        <w:tabs>
          <w:tab w:leader="none" w:pos="9320" w:val="left"/>
        </w:tabs>
        <w:rPr>
          <w:sz w:val="20"/>
          <w:szCs w:val="20"/>
          <w:color w:val="auto"/>
        </w:rPr>
      </w:pPr>
      <w:r>
        <w:rPr>
          <w:rFonts w:ascii="Arial" w:cs="Arial" w:eastAsia="Arial" w:hAnsi="Arial"/>
          <w:sz w:val="20"/>
          <w:szCs w:val="20"/>
          <w:color w:val="auto"/>
        </w:rPr>
        <w:t>informing Lucid of the cause of the anticipated delay and its plan of action to minimize the delay, and (ii)</w:t>
      </w:r>
      <w:r>
        <w:rPr>
          <w:sz w:val="20"/>
          <w:szCs w:val="20"/>
          <w:color w:val="auto"/>
        </w:rPr>
        <w:tab/>
      </w:r>
      <w:r>
        <w:rPr>
          <w:rFonts w:ascii="Arial" w:cs="Arial" w:eastAsia="Arial" w:hAnsi="Arial"/>
          <w:sz w:val="18"/>
          <w:szCs w:val="18"/>
          <w:color w:val="auto"/>
        </w:rPr>
        <w:t>make, at its expense, a</w:t>
      </w:r>
    </w:p>
    <w:p>
      <w:pPr>
        <w:ind w:left="260"/>
        <w:spacing w:after="0" w:line="226" w:lineRule="auto"/>
        <w:rPr>
          <w:sz w:val="20"/>
          <w:szCs w:val="20"/>
          <w:color w:val="auto"/>
        </w:rPr>
      </w:pPr>
      <w:r>
        <w:rPr>
          <w:rFonts w:ascii="Arial" w:cs="Arial" w:eastAsia="Arial" w:hAnsi="Arial"/>
          <w:sz w:val="18"/>
          <w:szCs w:val="18"/>
          <w:color w:val="auto"/>
        </w:rPr>
        <w:t>reasonable supply of Goods sufficient to meet its future obligations under this Agreement. Supplier will use its commercially reasonable efforts to resolve the issue promptly. Supplier will confirm all of its oral communications immediately in writing. In addition, during the</w:t>
      </w:r>
    </w:p>
    <w:p>
      <w:pPr>
        <w:ind w:left="260"/>
        <w:spacing w:after="0" w:line="236" w:lineRule="auto"/>
        <w:rPr>
          <w:sz w:val="20"/>
          <w:szCs w:val="20"/>
          <w:color w:val="auto"/>
        </w:rPr>
      </w:pPr>
      <w:r>
        <w:rPr>
          <w:rFonts w:ascii="Arial" w:cs="Arial" w:eastAsia="Arial" w:hAnsi="Arial"/>
          <w:sz w:val="18"/>
          <w:szCs w:val="18"/>
          <w:color w:val="auto"/>
        </w:rPr>
        <w:t>delay, Supplier will use its commercially reasonable efforts to fulfill Lucid’s Releases and Spot Orders before fulfilling orders of other</w:t>
      </w:r>
    </w:p>
    <w:p>
      <w:pPr>
        <w:spacing w:after="0" w:line="1" w:lineRule="exact"/>
        <w:rPr>
          <w:sz w:val="20"/>
          <w:szCs w:val="20"/>
          <w:color w:val="auto"/>
        </w:rPr>
      </w:pPr>
    </w:p>
    <w:p>
      <w:pPr>
        <w:ind w:left="260"/>
        <w:spacing w:after="0" w:line="220" w:lineRule="auto"/>
        <w:rPr>
          <w:sz w:val="20"/>
          <w:szCs w:val="20"/>
          <w:color w:val="auto"/>
        </w:rPr>
      </w:pPr>
      <w:r>
        <w:rPr>
          <w:rFonts w:ascii="Arial" w:cs="Arial" w:eastAsia="Arial" w:hAnsi="Arial"/>
          <w:sz w:val="20"/>
          <w:szCs w:val="20"/>
          <w:color w:val="auto"/>
        </w:rPr>
        <w:t>customers to the extent such other customer’s needs are for the same or similar Goods as ordered by Lucid or would require resources that could otherwise be used to fulfill accepted Spot Orders, and Releases.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190500</wp:posOffset>
            </wp:positionV>
            <wp:extent cx="713232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44" w:lineRule="exact"/>
        <w:rPr>
          <w:sz w:val="20"/>
          <w:szCs w:val="20"/>
          <w:color w:val="auto"/>
        </w:rPr>
      </w:pPr>
    </w:p>
    <w:p>
      <w:pPr>
        <w:spacing w:after="0"/>
        <w:tabs>
          <w:tab w:leader="none" w:pos="1880" w:val="left"/>
        </w:tabs>
        <w:rPr>
          <w:sz w:val="20"/>
          <w:szCs w:val="20"/>
          <w:color w:val="auto"/>
        </w:rPr>
      </w:pPr>
      <w:r>
        <w:rPr>
          <w:rFonts w:ascii="Arial" w:cs="Arial" w:eastAsia="Arial" w:hAnsi="Arial"/>
          <w:sz w:val="20"/>
          <w:szCs w:val="20"/>
          <w:color w:val="auto"/>
        </w:rPr>
        <w:t>Lucid Confidential</w:t>
      </w:r>
      <w:r>
        <w:rPr>
          <w:sz w:val="20"/>
          <w:szCs w:val="20"/>
          <w:color w:val="auto"/>
        </w:rPr>
        <w:tab/>
      </w:r>
      <w:r>
        <w:rPr>
          <w:rFonts w:ascii="Arial" w:cs="Arial" w:eastAsia="Arial" w:hAnsi="Arial"/>
          <w:sz w:val="16"/>
          <w:szCs w:val="16"/>
          <w:color w:val="auto"/>
        </w:rPr>
        <w:t>Parts GTC rev. October 2020</w:t>
      </w:r>
    </w:p>
    <w:p>
      <w:pPr>
        <w:sectPr>
          <w:pgSz w:w="11900" w:h="16838" w:orient="portrait"/>
          <w:cols w:equalWidth="0" w:num="1">
            <w:col w:w="11240"/>
          </w:cols>
          <w:pgMar w:left="320" w:top="1440" w:right="339" w:bottom="1440" w:gutter="0" w:footer="0" w:header="0"/>
        </w:sectPr>
      </w:pPr>
    </w:p>
    <w:bookmarkStart w:id="137" w:name="page138"/>
    <w:bookmarkEnd w:id="137"/>
    <w:p>
      <w:pPr>
        <w:spacing w:after="0" w:line="62" w:lineRule="exact"/>
        <w:rPr>
          <w:sz w:val="20"/>
          <w:szCs w:val="20"/>
          <w:color w:val="auto"/>
        </w:rPr>
      </w:pPr>
    </w:p>
    <w:p>
      <w:pPr>
        <w:ind w:left="260"/>
        <w:spacing w:after="0"/>
        <w:tabs>
          <w:tab w:leader="none" w:pos="740" w:val="left"/>
        </w:tabs>
        <w:rPr>
          <w:sz w:val="20"/>
          <w:szCs w:val="20"/>
          <w:color w:val="auto"/>
        </w:rPr>
      </w:pPr>
      <w:r>
        <w:rPr>
          <w:rFonts w:ascii="Arial" w:cs="Arial" w:eastAsia="Arial" w:hAnsi="Arial"/>
          <w:sz w:val="20"/>
          <w:szCs w:val="20"/>
          <w:b w:val="1"/>
          <w:bCs w:val="1"/>
          <w:color w:val="auto"/>
        </w:rPr>
        <w:t>2.3.</w:t>
      </w:r>
      <w:r>
        <w:rPr>
          <w:sz w:val="20"/>
          <w:szCs w:val="20"/>
          <w:color w:val="auto"/>
        </w:rPr>
        <w:tab/>
      </w:r>
      <w:r>
        <w:rPr>
          <w:rFonts w:ascii="Arial" w:cs="Arial" w:eastAsia="Arial" w:hAnsi="Arial"/>
          <w:sz w:val="18"/>
          <w:szCs w:val="18"/>
          <w:b w:val="1"/>
          <w:bCs w:val="1"/>
          <w:color w:val="auto"/>
        </w:rPr>
        <w:t xml:space="preserve">Delivery Terms. </w:t>
      </w:r>
      <w:r>
        <w:rPr>
          <w:rFonts w:ascii="Arial" w:cs="Arial" w:eastAsia="Arial" w:hAnsi="Arial"/>
          <w:sz w:val="18"/>
          <w:szCs w:val="18"/>
          <w:color w:val="auto"/>
        </w:rPr>
        <w:t>Delivery terms for Goods shall be provided in the production pricing agreement or accepted Spot Order. Title and</w:t>
      </w:r>
    </w:p>
    <w:p>
      <w:pPr>
        <w:ind w:left="260"/>
        <w:spacing w:after="0" w:line="220" w:lineRule="auto"/>
        <w:rPr>
          <w:sz w:val="20"/>
          <w:szCs w:val="20"/>
          <w:color w:val="auto"/>
        </w:rPr>
      </w:pPr>
      <w:r>
        <w:rPr>
          <w:rFonts w:ascii="Arial" w:cs="Arial" w:eastAsia="Arial" w:hAnsi="Arial"/>
          <w:sz w:val="20"/>
          <w:szCs w:val="20"/>
          <w:color w:val="auto"/>
        </w:rPr>
        <w:t>risk of loss transfer to Lucid occurs upon delivery in accordance with the delivery terms provided in the applicable production pricing agreement or Spot Order.</w:t>
      </w:r>
    </w:p>
    <w:p>
      <w:pPr>
        <w:spacing w:after="0" w:line="50" w:lineRule="exact"/>
        <w:rPr>
          <w:sz w:val="20"/>
          <w:szCs w:val="20"/>
          <w:color w:val="auto"/>
        </w:rPr>
      </w:pPr>
    </w:p>
    <w:p>
      <w:pPr>
        <w:ind w:left="260"/>
        <w:spacing w:after="0"/>
        <w:tabs>
          <w:tab w:leader="none" w:pos="740" w:val="left"/>
        </w:tabs>
        <w:rPr>
          <w:sz w:val="20"/>
          <w:szCs w:val="20"/>
          <w:color w:val="auto"/>
        </w:rPr>
      </w:pPr>
      <w:r>
        <w:rPr>
          <w:rFonts w:ascii="Arial" w:cs="Arial" w:eastAsia="Arial" w:hAnsi="Arial"/>
          <w:sz w:val="20"/>
          <w:szCs w:val="20"/>
          <w:b w:val="1"/>
          <w:bCs w:val="1"/>
          <w:color w:val="auto"/>
        </w:rPr>
        <w:t>2.4.</w:t>
      </w:r>
      <w:r>
        <w:rPr>
          <w:sz w:val="20"/>
          <w:szCs w:val="20"/>
          <w:color w:val="auto"/>
        </w:rPr>
        <w:tab/>
      </w:r>
      <w:r>
        <w:rPr>
          <w:rFonts w:ascii="Arial" w:cs="Arial" w:eastAsia="Arial" w:hAnsi="Arial"/>
          <w:sz w:val="18"/>
          <w:szCs w:val="18"/>
          <w:b w:val="1"/>
          <w:bCs w:val="1"/>
          <w:color w:val="auto"/>
        </w:rPr>
        <w:t xml:space="preserve">Packaging and Shipment. </w:t>
      </w:r>
      <w:r>
        <w:rPr>
          <w:rFonts w:ascii="Arial" w:cs="Arial" w:eastAsia="Arial" w:hAnsi="Arial"/>
          <w:sz w:val="18"/>
          <w:szCs w:val="18"/>
          <w:color w:val="auto"/>
        </w:rPr>
        <w:t>Supplier will pack, label and ship Goods in a manner ensuring safe delivery of the Goods in accordance</w:t>
      </w:r>
    </w:p>
    <w:p>
      <w:pPr>
        <w:ind w:left="260"/>
        <w:spacing w:after="0" w:line="226" w:lineRule="auto"/>
        <w:rPr>
          <w:sz w:val="20"/>
          <w:szCs w:val="20"/>
          <w:color w:val="auto"/>
        </w:rPr>
      </w:pPr>
      <w:r>
        <w:rPr>
          <w:rFonts w:ascii="Arial" w:cs="Arial" w:eastAsia="Arial" w:hAnsi="Arial"/>
          <w:sz w:val="18"/>
          <w:szCs w:val="18"/>
          <w:color w:val="auto"/>
        </w:rPr>
        <w:t>with the agreed method of transport. Supplier will comply with Automotive Industry Action Group (AIAG) standards, applicable federal, state, provincial and local laws and regulations pertaining to product and warning labels in the countries listed on Exhibit A, and meet the</w:t>
      </w:r>
    </w:p>
    <w:p>
      <w:pPr>
        <w:ind w:left="260"/>
        <w:spacing w:after="0" w:line="236" w:lineRule="auto"/>
        <w:rPr>
          <w:sz w:val="20"/>
          <w:szCs w:val="20"/>
          <w:color w:val="auto"/>
        </w:rPr>
      </w:pPr>
      <w:r>
        <w:rPr>
          <w:rFonts w:ascii="Arial" w:cs="Arial" w:eastAsia="Arial" w:hAnsi="Arial"/>
          <w:sz w:val="18"/>
          <w:szCs w:val="18"/>
          <w:color w:val="auto"/>
        </w:rPr>
        <w:t>packaging and shipment requirements set forth in Specifications, and meet reasonable carrier requirements to prevent damage and</w:t>
      </w:r>
    </w:p>
    <w:p>
      <w:pPr>
        <w:spacing w:after="0" w:line="1" w:lineRule="exact"/>
        <w:rPr>
          <w:sz w:val="20"/>
          <w:szCs w:val="20"/>
          <w:color w:val="auto"/>
        </w:rPr>
      </w:pPr>
    </w:p>
    <w:p>
      <w:pPr>
        <w:jc w:val="both"/>
        <w:ind w:left="260"/>
        <w:spacing w:after="0" w:line="226" w:lineRule="auto"/>
        <w:rPr>
          <w:sz w:val="20"/>
          <w:szCs w:val="20"/>
          <w:color w:val="auto"/>
        </w:rPr>
      </w:pPr>
      <w:r>
        <w:rPr>
          <w:rFonts w:ascii="Arial" w:cs="Arial" w:eastAsia="Arial" w:hAnsi="Arial"/>
          <w:sz w:val="18"/>
          <w:szCs w:val="18"/>
          <w:color w:val="auto"/>
        </w:rPr>
        <w:t>deterioration in transportation. Supplier will package pallets in conformity with universal pallet guidance, subject to Supplier approval, not to be unreasonably withheld conditioned or delayed. Upon shipment, Supplier will provide Lucid with a digital file of the Goods’</w:t>
      </w:r>
    </w:p>
    <w:p>
      <w:pPr>
        <w:ind w:left="260"/>
        <w:spacing w:after="0" w:line="224" w:lineRule="auto"/>
        <w:rPr>
          <w:sz w:val="20"/>
          <w:szCs w:val="20"/>
          <w:color w:val="auto"/>
        </w:rPr>
      </w:pPr>
      <w:r>
        <w:rPr>
          <w:rFonts w:ascii="Arial" w:cs="Arial" w:eastAsia="Arial" w:hAnsi="Arial"/>
          <w:sz w:val="19"/>
          <w:szCs w:val="19"/>
          <w:color w:val="auto"/>
        </w:rPr>
        <w:t>outgoing quality control data containing all data on individual cells and as outlined in the Specifications. Supplier will additionally</w:t>
      </w:r>
    </w:p>
    <w:p>
      <w:pPr>
        <w:ind w:left="260"/>
        <w:spacing w:after="0" w:line="255" w:lineRule="auto"/>
        <w:rPr>
          <w:sz w:val="20"/>
          <w:szCs w:val="20"/>
          <w:color w:val="auto"/>
        </w:rPr>
      </w:pPr>
      <w:r>
        <w:rPr>
          <w:rFonts w:ascii="Arial" w:cs="Arial" w:eastAsia="Arial" w:hAnsi="Arial"/>
          <w:sz w:val="16"/>
          <w:szCs w:val="16"/>
          <w:color w:val="auto"/>
        </w:rPr>
        <w:t>provide to Lucid the necessary commercial shipping documents, including commercial invoice, packing list, final packaged pallet dimensions, weights, customs documents, regulatory clearance certificates and any other relevant documentation, so that the Goods can be</w:t>
      </w:r>
    </w:p>
    <w:p>
      <w:pPr>
        <w:ind w:left="260"/>
        <w:spacing w:after="0" w:line="235" w:lineRule="auto"/>
        <w:rPr>
          <w:sz w:val="20"/>
          <w:szCs w:val="20"/>
          <w:color w:val="auto"/>
        </w:rPr>
      </w:pPr>
      <w:r>
        <w:rPr>
          <w:rFonts w:ascii="Arial" w:cs="Arial" w:eastAsia="Arial" w:hAnsi="Arial"/>
          <w:sz w:val="18"/>
          <w:szCs w:val="18"/>
          <w:color w:val="auto"/>
        </w:rPr>
        <w:t>imported by Lucid without any shipping or customs delays. Supplier acknowledges that Lucid is relying on Supplier’s provision of the</w:t>
      </w:r>
    </w:p>
    <w:p>
      <w:pPr>
        <w:ind w:left="260" w:right="20"/>
        <w:spacing w:after="0" w:line="220" w:lineRule="auto"/>
        <w:rPr>
          <w:sz w:val="20"/>
          <w:szCs w:val="20"/>
          <w:color w:val="auto"/>
        </w:rPr>
      </w:pPr>
      <w:r>
        <w:rPr>
          <w:rFonts w:ascii="Arial" w:cs="Arial" w:eastAsia="Arial" w:hAnsi="Arial"/>
          <w:sz w:val="20"/>
          <w:szCs w:val="20"/>
          <w:color w:val="auto"/>
        </w:rPr>
        <w:t>digital file and appropriate shipping and customs documentation in order to ship and process the Goods and therefore Supplier will promptly remedy any failure to do so.</w:t>
      </w:r>
    </w:p>
    <w:p>
      <w:pPr>
        <w:spacing w:after="0" w:line="50" w:lineRule="exact"/>
        <w:rPr>
          <w:sz w:val="20"/>
          <w:szCs w:val="20"/>
          <w:color w:val="auto"/>
        </w:rPr>
      </w:pPr>
    </w:p>
    <w:p>
      <w:pPr>
        <w:ind w:left="260"/>
        <w:spacing w:after="0"/>
        <w:tabs>
          <w:tab w:leader="none" w:pos="800" w:val="left"/>
        </w:tabs>
        <w:rPr>
          <w:sz w:val="20"/>
          <w:szCs w:val="20"/>
          <w:color w:val="auto"/>
        </w:rPr>
      </w:pPr>
      <w:r>
        <w:rPr>
          <w:rFonts w:ascii="Arial" w:cs="Arial" w:eastAsia="Arial" w:hAnsi="Arial"/>
          <w:sz w:val="20"/>
          <w:szCs w:val="20"/>
          <w:b w:val="1"/>
          <w:bCs w:val="1"/>
          <w:color w:val="auto"/>
        </w:rPr>
        <w:t>2.5.</w:t>
      </w:r>
      <w:r>
        <w:rPr>
          <w:sz w:val="20"/>
          <w:szCs w:val="20"/>
          <w:color w:val="auto"/>
        </w:rPr>
        <w:tab/>
      </w:r>
      <w:r>
        <w:rPr>
          <w:rFonts w:ascii="Arial" w:cs="Arial" w:eastAsia="Arial" w:hAnsi="Arial"/>
          <w:sz w:val="18"/>
          <w:szCs w:val="18"/>
          <w:b w:val="1"/>
          <w:bCs w:val="1"/>
          <w:color w:val="auto"/>
        </w:rPr>
        <w:t xml:space="preserve">Hazardous Materials. </w:t>
      </w:r>
      <w:r>
        <w:rPr>
          <w:rFonts w:ascii="Arial" w:cs="Arial" w:eastAsia="Arial" w:hAnsi="Arial"/>
          <w:sz w:val="18"/>
          <w:szCs w:val="18"/>
          <w:color w:val="auto"/>
        </w:rPr>
        <w:t>At Lucid’s request, Supplier shall promptly furnish to Lucid a Material Safety Data Sheet (MSDS) in the</w:t>
      </w:r>
    </w:p>
    <w:p>
      <w:pPr>
        <w:ind w:left="260"/>
        <w:spacing w:after="0" w:line="226" w:lineRule="auto"/>
        <w:rPr>
          <w:sz w:val="20"/>
          <w:szCs w:val="20"/>
          <w:color w:val="auto"/>
        </w:rPr>
      </w:pPr>
      <w:r>
        <w:rPr>
          <w:rFonts w:ascii="Arial" w:cs="Arial" w:eastAsia="Arial" w:hAnsi="Arial"/>
          <w:sz w:val="18"/>
          <w:szCs w:val="18"/>
          <w:color w:val="auto"/>
        </w:rPr>
        <w:t>form and format reasonably specified by Lucid with (i) a list and quantities of all potentially hazardous ingredients in the Goods, and (ii) information concerning any changes in or additions to such ingredients. Before shipping the Goods, Supplier agrees to furnish to Lucid</w:t>
      </w:r>
    </w:p>
    <w:p>
      <w:pPr>
        <w:spacing w:after="0" w:line="2" w:lineRule="exact"/>
        <w:rPr>
          <w:sz w:val="20"/>
          <w:szCs w:val="20"/>
          <w:color w:val="auto"/>
        </w:rPr>
      </w:pPr>
    </w:p>
    <w:p>
      <w:pPr>
        <w:ind w:left="260"/>
        <w:spacing w:after="0" w:line="255" w:lineRule="auto"/>
        <w:rPr>
          <w:sz w:val="20"/>
          <w:szCs w:val="20"/>
          <w:color w:val="auto"/>
        </w:rPr>
      </w:pPr>
      <w:r>
        <w:rPr>
          <w:rFonts w:ascii="Arial" w:cs="Arial" w:eastAsia="Arial" w:hAnsi="Arial"/>
          <w:sz w:val="16"/>
          <w:szCs w:val="16"/>
          <w:color w:val="auto"/>
        </w:rPr>
        <w:t>sufficient advance warning and notice in writing (including appropriate labels on the Goods, containers and packing) of any hazardous material that is included in any of the Goods, together with such special handling instructions necessary to advise carriers, Lucid, and their</w:t>
      </w:r>
    </w:p>
    <w:p>
      <w:pPr>
        <w:ind w:left="260"/>
        <w:spacing w:after="0" w:line="235" w:lineRule="auto"/>
        <w:rPr>
          <w:sz w:val="20"/>
          <w:szCs w:val="20"/>
          <w:color w:val="auto"/>
        </w:rPr>
      </w:pPr>
      <w:r>
        <w:rPr>
          <w:rFonts w:ascii="Arial" w:cs="Arial" w:eastAsia="Arial" w:hAnsi="Arial"/>
          <w:sz w:val="18"/>
          <w:szCs w:val="18"/>
          <w:color w:val="auto"/>
        </w:rPr>
        <w:t>respective employees how to exercise that measure of care and precaution that will best prevent bodily injury or property damage in the</w:t>
      </w:r>
    </w:p>
    <w:p>
      <w:pPr>
        <w:ind w:left="260"/>
        <w:spacing w:after="0" w:line="226" w:lineRule="auto"/>
        <w:rPr>
          <w:sz w:val="20"/>
          <w:szCs w:val="20"/>
          <w:color w:val="auto"/>
        </w:rPr>
      </w:pPr>
      <w:r>
        <w:rPr>
          <w:rFonts w:ascii="Arial" w:cs="Arial" w:eastAsia="Arial" w:hAnsi="Arial"/>
          <w:sz w:val="18"/>
          <w:szCs w:val="18"/>
          <w:color w:val="auto"/>
        </w:rPr>
        <w:t>handling, transportation, processing, use or disposal of the Goods, containers and packing shipped to Lucid. If Supplier is required to use returnable packaging the Parties will determine who will be responsible for cleaning, maintaining such packaging and the expenses</w:t>
      </w:r>
    </w:p>
    <w:p>
      <w:pPr>
        <w:spacing w:after="0" w:line="2" w:lineRule="exact"/>
        <w:rPr>
          <w:sz w:val="20"/>
          <w:szCs w:val="20"/>
          <w:color w:val="auto"/>
        </w:rPr>
      </w:pPr>
    </w:p>
    <w:p>
      <w:pPr>
        <w:ind w:left="260"/>
        <w:spacing w:after="0"/>
        <w:rPr>
          <w:sz w:val="20"/>
          <w:szCs w:val="20"/>
          <w:color w:val="auto"/>
        </w:rPr>
      </w:pPr>
      <w:r>
        <w:rPr>
          <w:rFonts w:ascii="Arial" w:cs="Arial" w:eastAsia="Arial" w:hAnsi="Arial"/>
          <w:sz w:val="20"/>
          <w:szCs w:val="20"/>
          <w:color w:val="auto"/>
        </w:rPr>
        <w:t>therefor in accordance with a written agreement.</w:t>
      </w:r>
    </w:p>
    <w:p>
      <w:pPr>
        <w:spacing w:after="0" w:line="59" w:lineRule="exact"/>
        <w:rPr>
          <w:sz w:val="20"/>
          <w:szCs w:val="20"/>
          <w:color w:val="auto"/>
        </w:rPr>
      </w:pPr>
    </w:p>
    <w:p>
      <w:pPr>
        <w:ind w:left="260"/>
        <w:spacing w:after="0" w:line="239" w:lineRule="auto"/>
        <w:rPr>
          <w:sz w:val="20"/>
          <w:szCs w:val="20"/>
          <w:color w:val="auto"/>
        </w:rPr>
      </w:pPr>
      <w:r>
        <w:rPr>
          <w:rFonts w:ascii="Arial" w:cs="Arial" w:eastAsia="Arial" w:hAnsi="Arial"/>
          <w:sz w:val="18"/>
          <w:szCs w:val="18"/>
          <w:b w:val="1"/>
          <w:bCs w:val="1"/>
          <w:color w:val="auto"/>
        </w:rPr>
        <w:t xml:space="preserve">2.6. Part Traceability. </w:t>
      </w:r>
      <w:r>
        <w:rPr>
          <w:rFonts w:ascii="Arial" w:cs="Arial" w:eastAsia="Arial" w:hAnsi="Arial"/>
          <w:sz w:val="18"/>
          <w:szCs w:val="18"/>
          <w:color w:val="auto"/>
        </w:rPr>
        <w:t>Supplier will use part markings for traceability of Goods reasonably requested by Lucid’s Quality Manual but in</w:t>
      </w:r>
      <w:r>
        <w:rPr>
          <w:rFonts w:ascii="Arial" w:cs="Arial" w:eastAsia="Arial" w:hAnsi="Arial"/>
          <w:sz w:val="18"/>
          <w:szCs w:val="18"/>
          <w:b w:val="1"/>
          <w:bCs w:val="1"/>
          <w:color w:val="auto"/>
        </w:rPr>
        <w:t xml:space="preserve"> </w:t>
      </w:r>
      <w:r>
        <w:rPr>
          <w:rFonts w:ascii="Arial" w:cs="Arial" w:eastAsia="Arial" w:hAnsi="Arial"/>
          <w:sz w:val="18"/>
          <w:szCs w:val="18"/>
          <w:color w:val="auto"/>
        </w:rPr>
        <w:t>any case sufficient to track by systems such as bar code or equivalent to identify items such as the manufacturing date, the relevant</w:t>
      </w:r>
    </w:p>
    <w:p>
      <w:pPr>
        <w:spacing w:after="0" w:line="1" w:lineRule="exact"/>
        <w:rPr>
          <w:sz w:val="20"/>
          <w:szCs w:val="20"/>
          <w:color w:val="auto"/>
        </w:rPr>
      </w:pPr>
    </w:p>
    <w:p>
      <w:pPr>
        <w:ind w:left="260"/>
        <w:spacing w:after="0" w:line="227" w:lineRule="auto"/>
        <w:rPr>
          <w:sz w:val="20"/>
          <w:szCs w:val="20"/>
          <w:color w:val="auto"/>
        </w:rPr>
      </w:pPr>
      <w:r>
        <w:rPr>
          <w:rFonts w:ascii="Arial" w:cs="Arial" w:eastAsia="Arial" w:hAnsi="Arial"/>
          <w:sz w:val="20"/>
          <w:szCs w:val="20"/>
          <w:color w:val="auto"/>
        </w:rPr>
        <w:t>production lot, shift of production, shipment date and, in the case of certain raw materials, the identifying information of the raw material identifiable source data.</w:t>
      </w:r>
    </w:p>
    <w:p>
      <w:pPr>
        <w:spacing w:after="0" w:line="42" w:lineRule="exact"/>
        <w:rPr>
          <w:sz w:val="20"/>
          <w:szCs w:val="20"/>
          <w:color w:val="auto"/>
        </w:rPr>
      </w:pPr>
    </w:p>
    <w:p>
      <w:pPr>
        <w:ind w:left="260"/>
        <w:spacing w:after="0"/>
        <w:tabs>
          <w:tab w:leader="none" w:pos="740" w:val="left"/>
        </w:tabs>
        <w:rPr>
          <w:sz w:val="20"/>
          <w:szCs w:val="20"/>
          <w:color w:val="auto"/>
        </w:rPr>
      </w:pPr>
      <w:r>
        <w:rPr>
          <w:rFonts w:ascii="Arial" w:cs="Arial" w:eastAsia="Arial" w:hAnsi="Arial"/>
          <w:sz w:val="20"/>
          <w:szCs w:val="20"/>
          <w:b w:val="1"/>
          <w:bCs w:val="1"/>
          <w:color w:val="auto"/>
        </w:rPr>
        <w:t>2.7.</w:t>
      </w:r>
      <w:r>
        <w:rPr>
          <w:sz w:val="20"/>
          <w:szCs w:val="20"/>
          <w:color w:val="auto"/>
        </w:rPr>
        <w:tab/>
      </w:r>
      <w:r>
        <w:rPr>
          <w:rFonts w:ascii="Arial" w:cs="Arial" w:eastAsia="Arial" w:hAnsi="Arial"/>
          <w:sz w:val="16"/>
          <w:szCs w:val="16"/>
          <w:b w:val="1"/>
          <w:bCs w:val="1"/>
          <w:color w:val="auto"/>
        </w:rPr>
        <w:t>Reuse.</w:t>
      </w:r>
    </w:p>
    <w:p>
      <w:pPr>
        <w:spacing w:after="0" w:line="87" w:lineRule="exact"/>
        <w:rPr>
          <w:sz w:val="20"/>
          <w:szCs w:val="20"/>
          <w:color w:val="auto"/>
        </w:rPr>
      </w:pPr>
    </w:p>
    <w:p>
      <w:pPr>
        <w:ind w:left="1080" w:hanging="424"/>
        <w:spacing w:after="0"/>
        <w:tabs>
          <w:tab w:leader="none" w:pos="1080" w:val="left"/>
        </w:tabs>
        <w:numPr>
          <w:ilvl w:val="0"/>
          <w:numId w:val="65"/>
        </w:numPr>
        <w:rPr>
          <w:rFonts w:ascii="Arial" w:cs="Arial" w:eastAsia="Arial" w:hAnsi="Arial"/>
          <w:sz w:val="20"/>
          <w:szCs w:val="20"/>
          <w:b w:val="1"/>
          <w:bCs w:val="1"/>
          <w:color w:val="auto"/>
        </w:rPr>
      </w:pPr>
      <w:r>
        <w:rPr>
          <w:rFonts w:ascii="Arial" w:cs="Arial" w:eastAsia="Arial" w:hAnsi="Arial"/>
          <w:sz w:val="20"/>
          <w:szCs w:val="20"/>
          <w:color w:val="auto"/>
        </w:rPr>
        <w:t>[***].</w:t>
      </w:r>
    </w:p>
    <w:p>
      <w:pPr>
        <w:spacing w:after="0" w:line="80" w:lineRule="exact"/>
        <w:rPr>
          <w:rFonts w:ascii="Arial" w:cs="Arial" w:eastAsia="Arial" w:hAnsi="Arial"/>
          <w:sz w:val="20"/>
          <w:szCs w:val="20"/>
          <w:b w:val="1"/>
          <w:bCs w:val="1"/>
          <w:color w:val="auto"/>
        </w:rPr>
      </w:pPr>
    </w:p>
    <w:p>
      <w:pPr>
        <w:ind w:left="1100" w:hanging="444"/>
        <w:spacing w:after="0"/>
        <w:tabs>
          <w:tab w:leader="none" w:pos="1100" w:val="left"/>
        </w:tabs>
        <w:numPr>
          <w:ilvl w:val="0"/>
          <w:numId w:val="65"/>
        </w:numPr>
        <w:rPr>
          <w:rFonts w:ascii="Arial" w:cs="Arial" w:eastAsia="Arial" w:hAnsi="Arial"/>
          <w:sz w:val="20"/>
          <w:szCs w:val="20"/>
          <w:b w:val="1"/>
          <w:bCs w:val="1"/>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12" w:lineRule="exact"/>
        <w:rPr>
          <w:sz w:val="20"/>
          <w:szCs w:val="20"/>
          <w:color w:val="auto"/>
        </w:rPr>
      </w:pPr>
    </w:p>
    <w:p>
      <w:pPr>
        <w:ind w:left="260"/>
        <w:spacing w:after="0"/>
        <w:tabs>
          <w:tab w:leader="none" w:pos="740" w:val="left"/>
        </w:tabs>
        <w:rPr>
          <w:sz w:val="20"/>
          <w:szCs w:val="20"/>
          <w:color w:val="auto"/>
        </w:rPr>
      </w:pPr>
      <w:r>
        <w:rPr>
          <w:rFonts w:ascii="Arial" w:cs="Arial" w:eastAsia="Arial" w:hAnsi="Arial"/>
          <w:sz w:val="20"/>
          <w:szCs w:val="20"/>
          <w:b w:val="1"/>
          <w:bCs w:val="1"/>
          <w:color w:val="auto"/>
        </w:rPr>
        <w:t>2.8.</w:t>
      </w:r>
      <w:r>
        <w:rPr>
          <w:sz w:val="20"/>
          <w:szCs w:val="20"/>
          <w:color w:val="auto"/>
        </w:rPr>
        <w:tab/>
      </w:r>
      <w:r>
        <w:rPr>
          <w:rFonts w:ascii="Arial" w:cs="Arial" w:eastAsia="Arial" w:hAnsi="Arial"/>
          <w:sz w:val="16"/>
          <w:szCs w:val="16"/>
          <w:b w:val="1"/>
          <w:bCs w:val="1"/>
          <w:color w:val="auto"/>
        </w:rPr>
        <w:t>Directed Suppliers.</w:t>
      </w:r>
    </w:p>
    <w:p>
      <w:pPr>
        <w:spacing w:after="0" w:line="87" w:lineRule="exact"/>
        <w:rPr>
          <w:sz w:val="20"/>
          <w:szCs w:val="20"/>
          <w:color w:val="auto"/>
        </w:rPr>
      </w:pPr>
    </w:p>
    <w:p>
      <w:pPr>
        <w:ind w:left="1100" w:hanging="444"/>
        <w:spacing w:after="0"/>
        <w:tabs>
          <w:tab w:leader="none" w:pos="1100" w:val="left"/>
        </w:tabs>
        <w:numPr>
          <w:ilvl w:val="0"/>
          <w:numId w:val="66"/>
        </w:numPr>
        <w:rPr>
          <w:rFonts w:ascii="Arial" w:cs="Arial" w:eastAsia="Arial" w:hAnsi="Arial"/>
          <w:sz w:val="18"/>
          <w:szCs w:val="18"/>
          <w:b w:val="1"/>
          <w:bCs w:val="1"/>
          <w:color w:val="auto"/>
        </w:rPr>
      </w:pPr>
      <w:r>
        <w:rPr>
          <w:rFonts w:ascii="Arial" w:cs="Arial" w:eastAsia="Arial" w:hAnsi="Arial"/>
          <w:sz w:val="18"/>
          <w:szCs w:val="18"/>
          <w:color w:val="auto"/>
        </w:rPr>
        <w:t>The Parties shall discuss in good faith the use of any sub-supplier proposed by Lucid for using such sub-supplier’s materials in</w:t>
      </w:r>
    </w:p>
    <w:p>
      <w:pPr>
        <w:spacing w:after="0" w:line="11"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20"/>
          <w:szCs w:val="20"/>
          <w:color w:val="auto"/>
        </w:rPr>
        <w:t>the Goods.</w:t>
      </w:r>
    </w:p>
    <w:p>
      <w:pPr>
        <w:spacing w:after="0" w:line="45" w:lineRule="exact"/>
        <w:rPr>
          <w:rFonts w:ascii="Arial" w:cs="Arial" w:eastAsia="Arial" w:hAnsi="Arial"/>
          <w:sz w:val="18"/>
          <w:szCs w:val="18"/>
          <w:b w:val="1"/>
          <w:bCs w:val="1"/>
          <w:color w:val="auto"/>
        </w:rPr>
      </w:pPr>
    </w:p>
    <w:p>
      <w:pPr>
        <w:ind w:right="20" w:firstLine="656"/>
        <w:spacing w:after="0" w:line="239" w:lineRule="auto"/>
        <w:tabs>
          <w:tab w:leader="none" w:pos="1142" w:val="left"/>
        </w:tabs>
        <w:numPr>
          <w:ilvl w:val="0"/>
          <w:numId w:val="66"/>
        </w:numPr>
        <w:rPr>
          <w:rFonts w:ascii="Arial" w:cs="Arial" w:eastAsia="Arial" w:hAnsi="Arial"/>
          <w:sz w:val="20"/>
          <w:szCs w:val="20"/>
          <w:b w:val="1"/>
          <w:bCs w:val="1"/>
          <w:color w:val="auto"/>
        </w:rPr>
      </w:pPr>
      <w:r>
        <w:rPr>
          <w:rFonts w:ascii="Arial" w:cs="Arial" w:eastAsia="Arial" w:hAnsi="Arial"/>
          <w:sz w:val="20"/>
          <w:szCs w:val="20"/>
          <w:b w:val="1"/>
          <w:bCs w:val="1"/>
          <w:color w:val="auto"/>
        </w:rPr>
        <w:t>RASIC</w:t>
      </w:r>
      <w:r>
        <w:rPr>
          <w:rFonts w:ascii="Arial" w:cs="Arial" w:eastAsia="Arial" w:hAnsi="Arial"/>
          <w:sz w:val="20"/>
          <w:szCs w:val="20"/>
          <w:color w:val="auto"/>
        </w:rPr>
        <w:t>. If the Parties agree in writing to use such sub-supplier proposed by Lucid, the Parties shall enter into a RASIC in a</w:t>
      </w:r>
      <w:r>
        <w:rPr>
          <w:rFonts w:ascii="Arial" w:cs="Arial" w:eastAsia="Arial" w:hAnsi="Arial"/>
          <w:sz w:val="20"/>
          <w:szCs w:val="20"/>
          <w:b w:val="1"/>
          <w:bCs w:val="1"/>
          <w:color w:val="auto"/>
        </w:rPr>
        <w:t xml:space="preserve"> </w:t>
      </w:r>
      <w:r>
        <w:rPr>
          <w:rFonts w:ascii="Arial" w:cs="Arial" w:eastAsia="Arial" w:hAnsi="Arial"/>
          <w:sz w:val="20"/>
          <w:szCs w:val="20"/>
          <w:color w:val="auto"/>
        </w:rPr>
        <w:t>form reasonably acceptable to the Parties and such proposed sub-supplier.</w:t>
      </w:r>
    </w:p>
    <w:p>
      <w:pPr>
        <w:spacing w:after="0" w:line="55" w:lineRule="exact"/>
        <w:rPr>
          <w:sz w:val="20"/>
          <w:szCs w:val="20"/>
          <w:color w:val="auto"/>
        </w:rPr>
      </w:pPr>
    </w:p>
    <w:p>
      <w:pPr>
        <w:ind w:left="260"/>
        <w:spacing w:after="0"/>
        <w:tabs>
          <w:tab w:leader="none" w:pos="740" w:val="left"/>
        </w:tabs>
        <w:rPr>
          <w:sz w:val="20"/>
          <w:szCs w:val="20"/>
          <w:color w:val="auto"/>
        </w:rPr>
      </w:pPr>
      <w:r>
        <w:rPr>
          <w:rFonts w:ascii="Arial" w:cs="Arial" w:eastAsia="Arial" w:hAnsi="Arial"/>
          <w:sz w:val="20"/>
          <w:szCs w:val="20"/>
          <w:b w:val="1"/>
          <w:bCs w:val="1"/>
          <w:color w:val="auto"/>
        </w:rPr>
        <w:t>2.9.</w:t>
      </w:r>
      <w:r>
        <w:rPr>
          <w:sz w:val="20"/>
          <w:szCs w:val="20"/>
          <w:color w:val="auto"/>
        </w:rPr>
        <w:tab/>
      </w:r>
      <w:r>
        <w:rPr>
          <w:rFonts w:ascii="Arial" w:cs="Arial" w:eastAsia="Arial" w:hAnsi="Arial"/>
          <w:sz w:val="16"/>
          <w:szCs w:val="16"/>
          <w:b w:val="1"/>
          <w:bCs w:val="1"/>
          <w:color w:val="auto"/>
        </w:rPr>
        <w:t>Consigned Inventory.</w:t>
      </w:r>
    </w:p>
    <w:p>
      <w:pPr>
        <w:spacing w:after="0" w:line="73" w:lineRule="exact"/>
        <w:rPr>
          <w:sz w:val="20"/>
          <w:szCs w:val="20"/>
          <w:color w:val="auto"/>
        </w:rPr>
      </w:pPr>
    </w:p>
    <w:p>
      <w:pPr>
        <w:ind w:right="20"/>
        <w:spacing w:after="0" w:line="236" w:lineRule="auto"/>
        <w:rPr>
          <w:sz w:val="20"/>
          <w:szCs w:val="20"/>
          <w:color w:val="auto"/>
        </w:rPr>
      </w:pPr>
      <w:r>
        <w:rPr>
          <w:rFonts w:ascii="Arial" w:cs="Arial" w:eastAsia="Arial" w:hAnsi="Arial"/>
          <w:sz w:val="20"/>
          <w:szCs w:val="20"/>
          <w:color w:val="auto"/>
        </w:rPr>
        <w:t>The Parties shall discuss in good faith regarding the consignment of Lucid’s material inventory for Goods at Supplier’s premises if Lucid makes such request of Supplier.</w:t>
      </w:r>
    </w:p>
    <w:p>
      <w:pPr>
        <w:spacing w:after="0" w:line="55" w:lineRule="exact"/>
        <w:rPr>
          <w:sz w:val="20"/>
          <w:szCs w:val="20"/>
          <w:color w:val="auto"/>
        </w:rPr>
      </w:pPr>
    </w:p>
    <w:p>
      <w:pPr>
        <w:ind w:left="260"/>
        <w:spacing w:after="0"/>
        <w:tabs>
          <w:tab w:leader="none" w:pos="840" w:val="left"/>
        </w:tabs>
        <w:rPr>
          <w:sz w:val="20"/>
          <w:szCs w:val="20"/>
          <w:color w:val="auto"/>
        </w:rPr>
      </w:pPr>
      <w:r>
        <w:rPr>
          <w:rFonts w:ascii="Arial" w:cs="Arial" w:eastAsia="Arial" w:hAnsi="Arial"/>
          <w:sz w:val="20"/>
          <w:szCs w:val="20"/>
          <w:b w:val="1"/>
          <w:bCs w:val="1"/>
          <w:color w:val="auto"/>
        </w:rPr>
        <w:t>2.10.</w:t>
      </w:r>
      <w:r>
        <w:rPr>
          <w:sz w:val="20"/>
          <w:szCs w:val="20"/>
          <w:color w:val="auto"/>
        </w:rPr>
        <w:tab/>
      </w:r>
      <w:r>
        <w:rPr>
          <w:rFonts w:ascii="Arial" w:cs="Arial" w:eastAsia="Arial" w:hAnsi="Arial"/>
          <w:sz w:val="16"/>
          <w:szCs w:val="16"/>
          <w:b w:val="1"/>
          <w:bCs w:val="1"/>
          <w:color w:val="auto"/>
        </w:rPr>
        <w:t>Discontinuance.</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190500</wp:posOffset>
            </wp:positionV>
            <wp:extent cx="713232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58" w:lineRule="exact"/>
        <w:rPr>
          <w:sz w:val="20"/>
          <w:szCs w:val="20"/>
          <w:color w:val="auto"/>
        </w:rPr>
      </w:pPr>
    </w:p>
    <w:p>
      <w:pPr>
        <w:spacing w:after="0"/>
        <w:tabs>
          <w:tab w:leader="none" w:pos="1880" w:val="left"/>
        </w:tabs>
        <w:rPr>
          <w:sz w:val="20"/>
          <w:szCs w:val="20"/>
          <w:color w:val="auto"/>
        </w:rPr>
      </w:pPr>
      <w:r>
        <w:rPr>
          <w:rFonts w:ascii="Arial" w:cs="Arial" w:eastAsia="Arial" w:hAnsi="Arial"/>
          <w:sz w:val="20"/>
          <w:szCs w:val="20"/>
          <w:color w:val="auto"/>
        </w:rPr>
        <w:t>Lucid Confidential</w:t>
      </w:r>
      <w:r>
        <w:rPr>
          <w:sz w:val="20"/>
          <w:szCs w:val="20"/>
          <w:color w:val="auto"/>
        </w:rPr>
        <w:tab/>
      </w:r>
      <w:r>
        <w:rPr>
          <w:rFonts w:ascii="Arial" w:cs="Arial" w:eastAsia="Arial" w:hAnsi="Arial"/>
          <w:sz w:val="16"/>
          <w:szCs w:val="16"/>
          <w:color w:val="auto"/>
        </w:rPr>
        <w:t>Parts GTC rev. October 2020</w:t>
      </w:r>
    </w:p>
    <w:p>
      <w:pPr>
        <w:sectPr>
          <w:pgSz w:w="11900" w:h="16838" w:orient="portrait"/>
          <w:cols w:equalWidth="0" w:num="1">
            <w:col w:w="11240"/>
          </w:cols>
          <w:pgMar w:left="320" w:top="1440" w:right="339" w:bottom="1440" w:gutter="0" w:footer="0" w:header="0"/>
        </w:sectPr>
      </w:pPr>
    </w:p>
    <w:bookmarkStart w:id="138" w:name="page139"/>
    <w:bookmarkEnd w:id="138"/>
    <w:p>
      <w:pPr>
        <w:spacing w:after="0" w:line="74" w:lineRule="exact"/>
        <w:rPr>
          <w:sz w:val="20"/>
          <w:szCs w:val="20"/>
          <w:color w:val="auto"/>
        </w:rPr>
      </w:pPr>
    </w:p>
    <w:p>
      <w:pPr>
        <w:ind w:left="260"/>
        <w:spacing w:after="0"/>
        <w:rPr>
          <w:sz w:val="20"/>
          <w:szCs w:val="20"/>
          <w:color w:val="auto"/>
        </w:rPr>
      </w:pPr>
      <w:r>
        <w:rPr>
          <w:rFonts w:ascii="Arial" w:cs="Arial" w:eastAsia="Arial" w:hAnsi="Arial"/>
          <w:sz w:val="20"/>
          <w:szCs w:val="20"/>
          <w:color w:val="auto"/>
        </w:rPr>
        <w:t>Subject to Supplier’s obligation to continue to supply Goods or equivalent Goods under Section 4 (Service and Support),</w:t>
      </w:r>
    </w:p>
    <w:p>
      <w:pPr>
        <w:spacing w:after="0" w:line="81" w:lineRule="exact"/>
        <w:rPr>
          <w:sz w:val="20"/>
          <w:szCs w:val="20"/>
          <w:color w:val="auto"/>
        </w:rPr>
      </w:pPr>
    </w:p>
    <w:p>
      <w:pPr>
        <w:ind w:left="1080" w:hanging="424"/>
        <w:spacing w:after="0"/>
        <w:tabs>
          <w:tab w:leader="none" w:pos="1080" w:val="left"/>
        </w:tabs>
        <w:numPr>
          <w:ilvl w:val="0"/>
          <w:numId w:val="67"/>
        </w:numPr>
        <w:rPr>
          <w:rFonts w:ascii="Arial" w:cs="Arial" w:eastAsia="Arial" w:hAnsi="Arial"/>
          <w:sz w:val="20"/>
          <w:szCs w:val="20"/>
          <w:b w:val="1"/>
          <w:bCs w:val="1"/>
          <w:color w:val="auto"/>
        </w:rPr>
      </w:pPr>
      <w:r>
        <w:rPr>
          <w:rFonts w:ascii="Arial" w:cs="Arial" w:eastAsia="Arial" w:hAnsi="Arial"/>
          <w:sz w:val="20"/>
          <w:szCs w:val="20"/>
          <w:color w:val="auto"/>
        </w:rPr>
        <w:t>Supplier reserves the right, [***].</w:t>
      </w:r>
    </w:p>
    <w:p>
      <w:pPr>
        <w:spacing w:after="0" w:line="67" w:lineRule="exact"/>
        <w:rPr>
          <w:rFonts w:ascii="Arial" w:cs="Arial" w:eastAsia="Arial" w:hAnsi="Arial"/>
          <w:sz w:val="20"/>
          <w:szCs w:val="20"/>
          <w:b w:val="1"/>
          <w:bCs w:val="1"/>
          <w:color w:val="auto"/>
        </w:rPr>
      </w:pPr>
    </w:p>
    <w:p>
      <w:pPr>
        <w:ind w:left="1100" w:hanging="444"/>
        <w:spacing w:after="0"/>
        <w:tabs>
          <w:tab w:leader="none" w:pos="1100" w:val="left"/>
        </w:tabs>
        <w:numPr>
          <w:ilvl w:val="0"/>
          <w:numId w:val="67"/>
        </w:numPr>
        <w:rPr>
          <w:rFonts w:ascii="Arial" w:cs="Arial" w:eastAsia="Arial" w:hAnsi="Arial"/>
          <w:sz w:val="20"/>
          <w:szCs w:val="20"/>
          <w:b w:val="1"/>
          <w:bCs w:val="1"/>
          <w:color w:val="auto"/>
        </w:rPr>
      </w:pPr>
      <w:r>
        <w:rPr>
          <w:rFonts w:ascii="Arial" w:cs="Arial" w:eastAsia="Arial" w:hAnsi="Arial"/>
          <w:sz w:val="20"/>
          <w:szCs w:val="20"/>
          <w:color w:val="auto"/>
        </w:rPr>
        <w:t>In the case of discontinuance, [***]. By such date, Lucid shall [***].</w:t>
      </w:r>
    </w:p>
    <w:p>
      <w:pPr>
        <w:spacing w:after="0" w:line="74" w:lineRule="exact"/>
        <w:rPr>
          <w:rFonts w:ascii="Arial" w:cs="Arial" w:eastAsia="Arial" w:hAnsi="Arial"/>
          <w:sz w:val="20"/>
          <w:szCs w:val="20"/>
          <w:b w:val="1"/>
          <w:bCs w:val="1"/>
          <w:color w:val="auto"/>
        </w:rPr>
      </w:pPr>
    </w:p>
    <w:p>
      <w:pPr>
        <w:ind w:left="260"/>
        <w:spacing w:after="0"/>
        <w:rPr>
          <w:rFonts w:ascii="Arial" w:cs="Arial" w:eastAsia="Arial" w:hAnsi="Arial"/>
          <w:sz w:val="20"/>
          <w:szCs w:val="20"/>
          <w:b w:val="1"/>
          <w:bCs w:val="1"/>
          <w:color w:val="auto"/>
        </w:rPr>
      </w:pPr>
      <w:r>
        <w:rPr>
          <w:rFonts w:ascii="Arial" w:cs="Arial" w:eastAsia="Arial" w:hAnsi="Arial"/>
          <w:sz w:val="20"/>
          <w:szCs w:val="20"/>
          <w:b w:val="1"/>
          <w:bCs w:val="1"/>
          <w:color w:val="auto"/>
        </w:rPr>
        <w:t>2.11.  Prohibition of Cell Resale.</w:t>
      </w:r>
    </w:p>
    <w:p>
      <w:pPr>
        <w:spacing w:after="0" w:line="87" w:lineRule="exact"/>
        <w:rPr>
          <w:sz w:val="20"/>
          <w:szCs w:val="20"/>
          <w:color w:val="auto"/>
        </w:rPr>
      </w:pPr>
    </w:p>
    <w:p>
      <w:pPr>
        <w:spacing w:after="0"/>
        <w:rPr>
          <w:sz w:val="20"/>
          <w:szCs w:val="20"/>
          <w:color w:val="auto"/>
        </w:rPr>
      </w:pPr>
      <w:r>
        <w:rPr>
          <w:rFonts w:ascii="Arial" w:cs="Arial" w:eastAsia="Arial" w:hAnsi="Arial"/>
          <w:sz w:val="20"/>
          <w:szCs w:val="20"/>
          <w:color w:val="auto"/>
        </w:rPr>
        <w:t>Lucid shall utilize the Goods for its manufacturing purposes in agreed model(s) of the Agreed Application only and [***].</w:t>
      </w:r>
    </w:p>
    <w:p>
      <w:pPr>
        <w:spacing w:after="0" w:line="61"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b w:val="1"/>
          <w:bCs w:val="1"/>
          <w:color w:val="auto"/>
        </w:rPr>
        <w:t>3.</w:t>
      </w:r>
      <w:r>
        <w:rPr>
          <w:sz w:val="20"/>
          <w:szCs w:val="20"/>
          <w:color w:val="auto"/>
        </w:rPr>
        <w:tab/>
      </w:r>
      <w:r>
        <w:rPr>
          <w:rFonts w:ascii="Arial" w:cs="Arial" w:eastAsia="Arial" w:hAnsi="Arial"/>
          <w:sz w:val="19"/>
          <w:szCs w:val="19"/>
          <w:b w:val="1"/>
          <w:bCs w:val="1"/>
          <w:color w:val="auto"/>
        </w:rPr>
        <w:t>DEVELOPMENT GOODS</w:t>
      </w:r>
    </w:p>
    <w:p>
      <w:pPr>
        <w:spacing w:after="0" w:line="87" w:lineRule="exact"/>
        <w:rPr>
          <w:sz w:val="20"/>
          <w:szCs w:val="20"/>
          <w:color w:val="auto"/>
        </w:rPr>
      </w:pPr>
    </w:p>
    <w:p>
      <w:pPr>
        <w:ind w:right="20"/>
        <w:spacing w:after="0" w:line="236" w:lineRule="auto"/>
        <w:rPr>
          <w:sz w:val="20"/>
          <w:szCs w:val="20"/>
          <w:color w:val="auto"/>
        </w:rPr>
      </w:pPr>
      <w:r>
        <w:rPr>
          <w:rFonts w:ascii="Arial" w:cs="Arial" w:eastAsia="Arial" w:hAnsi="Arial"/>
          <w:sz w:val="20"/>
          <w:szCs w:val="20"/>
          <w:color w:val="auto"/>
        </w:rPr>
        <w:t>Supplier and Lucid may work together to explore the feasibility of new Goods or versions of Goods that Lucid would consider purchasing for use in its production products, as agreed in a separately negotiated development agreement.</w:t>
      </w:r>
    </w:p>
    <w:p>
      <w:pPr>
        <w:spacing w:after="0" w:line="41"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b w:val="1"/>
          <w:bCs w:val="1"/>
          <w:color w:val="auto"/>
        </w:rPr>
        <w:t>4.</w:t>
      </w:r>
      <w:r>
        <w:rPr>
          <w:sz w:val="20"/>
          <w:szCs w:val="20"/>
          <w:color w:val="auto"/>
        </w:rPr>
        <w:tab/>
      </w:r>
      <w:r>
        <w:rPr>
          <w:rFonts w:ascii="Arial" w:cs="Arial" w:eastAsia="Arial" w:hAnsi="Arial"/>
          <w:sz w:val="19"/>
          <w:szCs w:val="19"/>
          <w:b w:val="1"/>
          <w:bCs w:val="1"/>
          <w:color w:val="auto"/>
        </w:rPr>
        <w:t>SERVICE AND SUPPORT</w:t>
      </w:r>
    </w:p>
    <w:p>
      <w:pPr>
        <w:spacing w:after="0" w:line="81" w:lineRule="exact"/>
        <w:rPr>
          <w:sz w:val="20"/>
          <w:szCs w:val="20"/>
          <w:color w:val="auto"/>
        </w:rPr>
      </w:pPr>
    </w:p>
    <w:p>
      <w:pPr>
        <w:spacing w:after="0" w:line="239" w:lineRule="auto"/>
        <w:rPr>
          <w:sz w:val="20"/>
          <w:szCs w:val="20"/>
          <w:color w:val="auto"/>
        </w:rPr>
      </w:pPr>
      <w:r>
        <w:rPr>
          <w:rFonts w:ascii="Arial" w:cs="Arial" w:eastAsia="Arial" w:hAnsi="Arial"/>
          <w:sz w:val="20"/>
          <w:szCs w:val="20"/>
          <w:color w:val="auto"/>
        </w:rPr>
        <w:t>Supplier will sell the Goods or equivalent goods that are [***] from the agreed location(s) for [***] (“</w:t>
      </w:r>
      <w:r>
        <w:rPr>
          <w:rFonts w:ascii="Arial" w:cs="Arial" w:eastAsia="Arial" w:hAnsi="Arial"/>
          <w:sz w:val="20"/>
          <w:szCs w:val="20"/>
          <w:b w:val="1"/>
          <w:bCs w:val="1"/>
          <w:color w:val="auto"/>
        </w:rPr>
        <w:t>Service Period</w:t>
      </w:r>
      <w:r>
        <w:rPr>
          <w:rFonts w:ascii="Arial" w:cs="Arial" w:eastAsia="Arial" w:hAnsi="Arial"/>
          <w:sz w:val="20"/>
          <w:szCs w:val="20"/>
          <w:color w:val="auto"/>
        </w:rPr>
        <w:t>”). Prices for [***] of the Service Period will be [***]; provided that if only equivalent goods are available at that time, the Parties shall [***].</w:t>
      </w:r>
    </w:p>
    <w:p>
      <w:pPr>
        <w:spacing w:after="0" w:line="41"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b w:val="1"/>
          <w:bCs w:val="1"/>
          <w:color w:val="auto"/>
        </w:rPr>
        <w:t>5.</w:t>
        <w:tab/>
        <w:t>QUALITY</w:t>
      </w:r>
    </w:p>
    <w:p>
      <w:pPr>
        <w:spacing w:after="0" w:line="75" w:lineRule="exact"/>
        <w:rPr>
          <w:sz w:val="20"/>
          <w:szCs w:val="20"/>
          <w:color w:val="auto"/>
        </w:rPr>
      </w:pPr>
    </w:p>
    <w:p>
      <w:pPr>
        <w:ind w:left="260"/>
        <w:spacing w:after="0"/>
        <w:tabs>
          <w:tab w:leader="none" w:pos="920" w:val="left"/>
        </w:tabs>
        <w:rPr>
          <w:sz w:val="20"/>
          <w:szCs w:val="20"/>
          <w:color w:val="auto"/>
        </w:rPr>
      </w:pPr>
      <w:r>
        <w:rPr>
          <w:rFonts w:ascii="Arial" w:cs="Arial" w:eastAsia="Arial" w:hAnsi="Arial"/>
          <w:sz w:val="20"/>
          <w:szCs w:val="20"/>
          <w:b w:val="1"/>
          <w:bCs w:val="1"/>
          <w:color w:val="auto"/>
        </w:rPr>
        <w:t>5.1.</w:t>
      </w:r>
      <w:r>
        <w:rPr>
          <w:sz w:val="20"/>
          <w:szCs w:val="20"/>
          <w:color w:val="auto"/>
        </w:rPr>
        <w:tab/>
      </w:r>
      <w:r>
        <w:rPr>
          <w:rFonts w:ascii="Arial" w:cs="Arial" w:eastAsia="Arial" w:hAnsi="Arial"/>
          <w:sz w:val="19"/>
          <w:szCs w:val="19"/>
          <w:b w:val="1"/>
          <w:bCs w:val="1"/>
          <w:color w:val="auto"/>
        </w:rPr>
        <w:t xml:space="preserve">Compliance Requirements. </w:t>
      </w:r>
      <w:r>
        <w:rPr>
          <w:rFonts w:ascii="Arial" w:cs="Arial" w:eastAsia="Arial" w:hAnsi="Arial"/>
          <w:sz w:val="19"/>
          <w:szCs w:val="19"/>
          <w:color w:val="auto"/>
        </w:rPr>
        <w:t>Supplier will comply in all respects with the Specifications, agreed quality requirements and</w:t>
      </w:r>
    </w:p>
    <w:p>
      <w:pPr>
        <w:jc w:val="both"/>
        <w:ind w:left="260" w:right="20"/>
        <w:spacing w:after="0" w:line="226" w:lineRule="auto"/>
        <w:rPr>
          <w:sz w:val="20"/>
          <w:szCs w:val="20"/>
          <w:color w:val="auto"/>
        </w:rPr>
      </w:pPr>
      <w:r>
        <w:rPr>
          <w:rFonts w:ascii="Arial" w:cs="Arial" w:eastAsia="Arial" w:hAnsi="Arial"/>
          <w:sz w:val="18"/>
          <w:szCs w:val="18"/>
          <w:color w:val="auto"/>
        </w:rPr>
        <w:t>procedures, as amended or updated from time to time and as incorporated by reference in this Agreement including (a) the Lucid Supplier Quality Manual, (b) the Global Automotive Declarable Substance List (“GADSL”), European Union Restriction on the use of Certain</w:t>
      </w:r>
    </w:p>
    <w:p>
      <w:pPr>
        <w:ind w:left="260"/>
        <w:spacing w:after="0" w:line="236" w:lineRule="auto"/>
        <w:rPr>
          <w:sz w:val="20"/>
          <w:szCs w:val="20"/>
          <w:color w:val="auto"/>
        </w:rPr>
      </w:pPr>
      <w:r>
        <w:rPr>
          <w:rFonts w:ascii="Arial" w:cs="Arial" w:eastAsia="Arial" w:hAnsi="Arial"/>
          <w:sz w:val="18"/>
          <w:szCs w:val="18"/>
          <w:color w:val="auto"/>
        </w:rPr>
        <w:t>Hazardous Substances, Directive 002/95/EC(“RoHS”); (c) California Transparency in Supply Chains Act; (d) Section 1502 of the Dodd</w:t>
      </w:r>
    </w:p>
    <w:p>
      <w:pPr>
        <w:spacing w:after="0" w:line="1" w:lineRule="exact"/>
        <w:rPr>
          <w:sz w:val="20"/>
          <w:szCs w:val="20"/>
          <w:color w:val="auto"/>
        </w:rPr>
      </w:pPr>
    </w:p>
    <w:p>
      <w:pPr>
        <w:jc w:val="both"/>
        <w:ind w:left="260"/>
        <w:spacing w:after="0" w:line="215" w:lineRule="auto"/>
        <w:rPr>
          <w:sz w:val="20"/>
          <w:szCs w:val="20"/>
          <w:color w:val="auto"/>
        </w:rPr>
      </w:pPr>
      <w:r>
        <w:rPr>
          <w:rFonts w:ascii="Arial" w:cs="Arial" w:eastAsia="Arial" w:hAnsi="Arial"/>
          <w:sz w:val="19"/>
          <w:szCs w:val="19"/>
          <w:color w:val="auto"/>
        </w:rPr>
        <w:t>Frank Wall Street Reform and Consumer Protection Act (commonly referred to as the “conflict minerals provision”), (e) applicable portions of The Automotive Industry Action Group (“AIAG”) standards and (f) shall support any requirement by Lucid to fulfill</w:t>
      </w:r>
    </w:p>
    <w:p>
      <w:pPr>
        <w:ind w:left="260"/>
        <w:spacing w:after="0"/>
        <w:rPr>
          <w:sz w:val="20"/>
          <w:szCs w:val="20"/>
          <w:color w:val="auto"/>
        </w:rPr>
      </w:pPr>
      <w:r>
        <w:rPr>
          <w:rFonts w:ascii="Arial" w:cs="Arial" w:eastAsia="Arial" w:hAnsi="Arial"/>
          <w:sz w:val="20"/>
          <w:szCs w:val="20"/>
          <w:color w:val="auto"/>
        </w:rPr>
        <w:t>International Material Data System (“IMDS”) obligations.</w:t>
      </w:r>
    </w:p>
    <w:p>
      <w:pPr>
        <w:spacing w:after="0" w:line="45" w:lineRule="exact"/>
        <w:rPr>
          <w:sz w:val="20"/>
          <w:szCs w:val="20"/>
          <w:color w:val="auto"/>
        </w:rPr>
      </w:pPr>
    </w:p>
    <w:p>
      <w:pPr>
        <w:jc w:val="both"/>
        <w:ind w:left="260"/>
        <w:spacing w:after="0" w:line="247" w:lineRule="auto"/>
        <w:rPr>
          <w:sz w:val="20"/>
          <w:szCs w:val="20"/>
          <w:color w:val="auto"/>
        </w:rPr>
      </w:pPr>
      <w:r>
        <w:rPr>
          <w:rFonts w:ascii="Arial" w:cs="Arial" w:eastAsia="Arial" w:hAnsi="Arial"/>
          <w:sz w:val="18"/>
          <w:szCs w:val="18"/>
          <w:b w:val="1"/>
          <w:bCs w:val="1"/>
          <w:color w:val="auto"/>
        </w:rPr>
        <w:t xml:space="preserve">5.2. PPAP. </w:t>
      </w:r>
      <w:r>
        <w:rPr>
          <w:rFonts w:ascii="Arial" w:cs="Arial" w:eastAsia="Arial" w:hAnsi="Arial"/>
          <w:sz w:val="18"/>
          <w:szCs w:val="18"/>
          <w:color w:val="auto"/>
        </w:rPr>
        <w:t>Supplier agrees to comply with all requirements of the industry-standard level [***] Production Part Approval Processes</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PPAP</w:t>
      </w:r>
      <w:r>
        <w:rPr>
          <w:rFonts w:ascii="Arial" w:cs="Arial" w:eastAsia="Arial" w:hAnsi="Arial"/>
          <w:sz w:val="18"/>
          <w:szCs w:val="18"/>
          <w:color w:val="auto"/>
        </w:rPr>
        <w:t>”) for new Goods or changes to Goods provided under the Agreement. To the extent a conflict exists between any part of PPAP,</w:t>
      </w:r>
    </w:p>
    <w:p>
      <w:pPr>
        <w:spacing w:after="0" w:line="1" w:lineRule="exact"/>
        <w:rPr>
          <w:sz w:val="20"/>
          <w:szCs w:val="20"/>
          <w:color w:val="auto"/>
        </w:rPr>
      </w:pPr>
    </w:p>
    <w:p>
      <w:pPr>
        <w:jc w:val="both"/>
        <w:ind w:left="260"/>
        <w:spacing w:after="0" w:line="226" w:lineRule="auto"/>
        <w:rPr>
          <w:sz w:val="20"/>
          <w:szCs w:val="20"/>
          <w:color w:val="auto"/>
        </w:rPr>
      </w:pPr>
      <w:r>
        <w:rPr>
          <w:rFonts w:ascii="Arial" w:cs="Arial" w:eastAsia="Arial" w:hAnsi="Arial"/>
          <w:sz w:val="18"/>
          <w:szCs w:val="18"/>
          <w:color w:val="auto"/>
        </w:rPr>
        <w:t>the requirements and standards referenced in this Agreement, the provisions that require higher quality standards shall control. Supplier is required to submit a level [***] PPAP unless otherwise approved in writing by Lucid. For new Goods or changes to Goods, PPAP</w:t>
      </w:r>
    </w:p>
    <w:p>
      <w:pPr>
        <w:spacing w:after="0" w:line="2" w:lineRule="exact"/>
        <w:rPr>
          <w:sz w:val="20"/>
          <w:szCs w:val="20"/>
          <w:color w:val="auto"/>
        </w:rPr>
      </w:pPr>
    </w:p>
    <w:p>
      <w:pPr>
        <w:jc w:val="both"/>
        <w:ind w:left="260"/>
        <w:spacing w:after="0" w:line="227" w:lineRule="auto"/>
        <w:rPr>
          <w:sz w:val="20"/>
          <w:szCs w:val="20"/>
          <w:color w:val="auto"/>
        </w:rPr>
      </w:pPr>
      <w:r>
        <w:rPr>
          <w:rFonts w:ascii="Arial" w:cs="Arial" w:eastAsia="Arial" w:hAnsi="Arial"/>
          <w:sz w:val="20"/>
          <w:szCs w:val="20"/>
          <w:color w:val="auto"/>
        </w:rPr>
        <w:t>submission and re-approval may be waived by Lucid at its sole discretion. Goods may not ship from the Supplier’s facility until PPAP approval from Lucid is granted or a written authorization is given.</w:t>
      </w:r>
    </w:p>
    <w:p>
      <w:pPr>
        <w:spacing w:after="0" w:line="42" w:lineRule="exact"/>
        <w:rPr>
          <w:sz w:val="20"/>
          <w:szCs w:val="20"/>
          <w:color w:val="auto"/>
        </w:rPr>
      </w:pPr>
    </w:p>
    <w:p>
      <w:pPr>
        <w:jc w:val="both"/>
        <w:ind w:left="260" w:right="20" w:firstLine="1"/>
        <w:spacing w:after="0" w:line="230" w:lineRule="auto"/>
        <w:rPr>
          <w:sz w:val="20"/>
          <w:szCs w:val="20"/>
          <w:color w:val="auto"/>
        </w:rPr>
      </w:pPr>
      <w:r>
        <w:rPr>
          <w:rFonts w:ascii="Arial" w:cs="Arial" w:eastAsia="Arial" w:hAnsi="Arial"/>
          <w:sz w:val="20"/>
          <w:szCs w:val="20"/>
          <w:b w:val="1"/>
          <w:bCs w:val="1"/>
          <w:color w:val="auto"/>
        </w:rPr>
        <w:t xml:space="preserve">5.3. Continuing Quality Improvement. </w:t>
      </w:r>
      <w:r>
        <w:rPr>
          <w:rFonts w:ascii="Arial" w:cs="Arial" w:eastAsia="Arial" w:hAnsi="Arial"/>
          <w:sz w:val="20"/>
          <w:szCs w:val="20"/>
          <w:color w:val="auto"/>
        </w:rPr>
        <w:t>Supplier will continuously work to improve the quality of the Goods and Supplier’s</w:t>
      </w:r>
      <w:r>
        <w:rPr>
          <w:rFonts w:ascii="Arial" w:cs="Arial" w:eastAsia="Arial" w:hAnsi="Arial"/>
          <w:sz w:val="20"/>
          <w:szCs w:val="20"/>
          <w:b w:val="1"/>
          <w:bCs w:val="1"/>
          <w:color w:val="auto"/>
        </w:rPr>
        <w:t xml:space="preserve"> </w:t>
      </w:r>
      <w:r>
        <w:rPr>
          <w:rFonts w:ascii="Arial" w:cs="Arial" w:eastAsia="Arial" w:hAnsi="Arial"/>
          <w:sz w:val="20"/>
          <w:szCs w:val="20"/>
          <w:color w:val="auto"/>
        </w:rPr>
        <w:t>manufacturing and logistics processes and will use its commercially reasonable efforts to meet with Lucid as reasonably requested, to review its quality improvement efforts.</w:t>
      </w:r>
    </w:p>
    <w:p>
      <w:pPr>
        <w:spacing w:after="0" w:line="41" w:lineRule="exact"/>
        <w:rPr>
          <w:sz w:val="20"/>
          <w:szCs w:val="20"/>
          <w:color w:val="auto"/>
        </w:rPr>
      </w:pPr>
    </w:p>
    <w:p>
      <w:pPr>
        <w:jc w:val="both"/>
        <w:ind w:left="260" w:firstLine="1"/>
        <w:spacing w:after="0" w:line="247" w:lineRule="auto"/>
        <w:rPr>
          <w:sz w:val="20"/>
          <w:szCs w:val="20"/>
          <w:color w:val="auto"/>
        </w:rPr>
      </w:pPr>
      <w:r>
        <w:rPr>
          <w:rFonts w:ascii="Arial" w:cs="Arial" w:eastAsia="Arial" w:hAnsi="Arial"/>
          <w:sz w:val="18"/>
          <w:szCs w:val="18"/>
          <w:b w:val="1"/>
          <w:bCs w:val="1"/>
          <w:color w:val="auto"/>
        </w:rPr>
        <w:t xml:space="preserve">5.4. Defects Allowed. </w:t>
      </w:r>
      <w:r>
        <w:rPr>
          <w:rFonts w:ascii="Arial" w:cs="Arial" w:eastAsia="Arial" w:hAnsi="Arial"/>
          <w:sz w:val="18"/>
          <w:szCs w:val="18"/>
          <w:color w:val="auto"/>
        </w:rPr>
        <w:t>Supplier will strive for zero errors and defects on delivered Goods to Lucid and maintain quality systems and</w:t>
      </w:r>
      <w:r>
        <w:rPr>
          <w:rFonts w:ascii="Arial" w:cs="Arial" w:eastAsia="Arial" w:hAnsi="Arial"/>
          <w:sz w:val="18"/>
          <w:szCs w:val="18"/>
          <w:b w:val="1"/>
          <w:bCs w:val="1"/>
          <w:color w:val="auto"/>
        </w:rPr>
        <w:t xml:space="preserve"> </w:t>
      </w:r>
      <w:r>
        <w:rPr>
          <w:rFonts w:ascii="Arial" w:cs="Arial" w:eastAsia="Arial" w:hAnsi="Arial"/>
          <w:sz w:val="18"/>
          <w:szCs w:val="18"/>
          <w:color w:val="auto"/>
        </w:rPr>
        <w:t>standards so that Supplier at all times meets the metrics and criteria referenced in the applicable production pricing agreement (“Supplier</w:t>
      </w:r>
    </w:p>
    <w:p>
      <w:pPr>
        <w:spacing w:after="0" w:line="1" w:lineRule="exact"/>
        <w:rPr>
          <w:sz w:val="20"/>
          <w:szCs w:val="20"/>
          <w:color w:val="auto"/>
        </w:rPr>
      </w:pPr>
    </w:p>
    <w:p>
      <w:pPr>
        <w:jc w:val="both"/>
        <w:ind w:left="260" w:right="20"/>
        <w:spacing w:after="0" w:line="220" w:lineRule="auto"/>
        <w:rPr>
          <w:sz w:val="20"/>
          <w:szCs w:val="20"/>
          <w:color w:val="auto"/>
        </w:rPr>
      </w:pPr>
      <w:r>
        <w:rPr>
          <w:rFonts w:ascii="Arial" w:cs="Arial" w:eastAsia="Arial" w:hAnsi="Arial"/>
          <w:sz w:val="20"/>
          <w:szCs w:val="20"/>
          <w:color w:val="auto"/>
        </w:rPr>
        <w:t>Scorecard metrics/criteria”). Supplier will be evaluated on a regular basis on such Supplier Scorecard metrics/criteria after the start of production of the Goods.</w:t>
      </w:r>
    </w:p>
    <w:p>
      <w:pPr>
        <w:spacing w:after="0" w:line="50" w:lineRule="exact"/>
        <w:rPr>
          <w:sz w:val="20"/>
          <w:szCs w:val="20"/>
          <w:color w:val="auto"/>
        </w:rPr>
      </w:pPr>
    </w:p>
    <w:p>
      <w:pPr>
        <w:ind w:left="260"/>
        <w:spacing w:after="0"/>
        <w:tabs>
          <w:tab w:leader="none" w:pos="840" w:val="left"/>
        </w:tabs>
        <w:rPr>
          <w:sz w:val="20"/>
          <w:szCs w:val="20"/>
          <w:color w:val="auto"/>
        </w:rPr>
      </w:pPr>
      <w:r>
        <w:rPr>
          <w:rFonts w:ascii="Arial" w:cs="Arial" w:eastAsia="Arial" w:hAnsi="Arial"/>
          <w:sz w:val="20"/>
          <w:szCs w:val="20"/>
          <w:b w:val="1"/>
          <w:bCs w:val="1"/>
          <w:color w:val="auto"/>
        </w:rPr>
        <w:t>5.5.</w:t>
      </w:r>
      <w:r>
        <w:rPr>
          <w:sz w:val="20"/>
          <w:szCs w:val="20"/>
          <w:color w:val="auto"/>
        </w:rPr>
        <w:tab/>
      </w:r>
      <w:r>
        <w:rPr>
          <w:rFonts w:ascii="Arial" w:cs="Arial" w:eastAsia="Arial" w:hAnsi="Arial"/>
          <w:sz w:val="18"/>
          <w:szCs w:val="18"/>
          <w:b w:val="1"/>
          <w:bCs w:val="1"/>
          <w:color w:val="auto"/>
        </w:rPr>
        <w:t xml:space="preserve">Changes. </w:t>
      </w:r>
      <w:r>
        <w:rPr>
          <w:rFonts w:ascii="Arial" w:cs="Arial" w:eastAsia="Arial" w:hAnsi="Arial"/>
          <w:sz w:val="18"/>
          <w:szCs w:val="18"/>
          <w:color w:val="auto"/>
        </w:rPr>
        <w:t>Supplier will not make any changes to the Goods or Services including materials, processes, manufacturing facility,</w:t>
      </w:r>
    </w:p>
    <w:p>
      <w:pPr>
        <w:jc w:val="both"/>
        <w:ind w:left="260"/>
        <w:spacing w:after="0" w:line="226" w:lineRule="auto"/>
        <w:rPr>
          <w:sz w:val="20"/>
          <w:szCs w:val="20"/>
          <w:color w:val="auto"/>
        </w:rPr>
      </w:pPr>
      <w:r>
        <w:rPr>
          <w:rFonts w:ascii="Arial" w:cs="Arial" w:eastAsia="Arial" w:hAnsi="Arial"/>
          <w:sz w:val="18"/>
          <w:szCs w:val="18"/>
          <w:color w:val="auto"/>
        </w:rPr>
        <w:t xml:space="preserve">tooling, packaging, sub-suppliers, manufacturing line location or other </w:t>
      </w:r>
      <w:r>
        <w:rPr>
          <w:rFonts w:ascii="Arial" w:cs="Arial" w:eastAsia="Arial" w:hAnsi="Arial"/>
          <w:sz w:val="18"/>
          <w:szCs w:val="18"/>
          <w:b w:val="1"/>
          <w:bCs w:val="1"/>
          <w:color w:val="auto"/>
        </w:rPr>
        <w:t>items</w:t>
      </w:r>
      <w:r>
        <w:rPr>
          <w:rFonts w:ascii="Arial" w:cs="Arial" w:eastAsia="Arial" w:hAnsi="Arial"/>
          <w:sz w:val="18"/>
          <w:szCs w:val="18"/>
          <w:color w:val="auto"/>
        </w:rPr>
        <w:t xml:space="preserve"> listed in Specifications without prior written authorization from Lucid and Supplier will follow the PPAP requirements of Section 5.2 (PPAP) above. If Lucid requests Supplier to change the Goods,</w:t>
      </w:r>
    </w:p>
    <w:p>
      <w:pPr>
        <w:spacing w:after="0" w:line="2" w:lineRule="exact"/>
        <w:rPr>
          <w:sz w:val="20"/>
          <w:szCs w:val="20"/>
          <w:color w:val="auto"/>
        </w:rPr>
      </w:pPr>
    </w:p>
    <w:p>
      <w:pPr>
        <w:jc w:val="both"/>
        <w:ind w:left="260"/>
        <w:spacing w:after="0" w:line="227" w:lineRule="auto"/>
        <w:rPr>
          <w:sz w:val="20"/>
          <w:szCs w:val="20"/>
          <w:color w:val="auto"/>
        </w:rPr>
      </w:pPr>
      <w:r>
        <w:rPr>
          <w:rFonts w:ascii="Arial" w:cs="Arial" w:eastAsia="Arial" w:hAnsi="Arial"/>
          <w:sz w:val="20"/>
          <w:szCs w:val="20"/>
          <w:color w:val="auto"/>
        </w:rPr>
        <w:t>the Parties shall discuss such changes in good faith. Goods shipped after a change has been approved must follow the material packaging specifications outlined in the Break Point Section of the Lucid Supplier Quality Manual.</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190500</wp:posOffset>
            </wp:positionV>
            <wp:extent cx="713232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58" w:lineRule="exact"/>
        <w:rPr>
          <w:sz w:val="20"/>
          <w:szCs w:val="20"/>
          <w:color w:val="auto"/>
        </w:rPr>
      </w:pPr>
    </w:p>
    <w:p>
      <w:pPr>
        <w:spacing w:after="0"/>
        <w:tabs>
          <w:tab w:leader="none" w:pos="1880" w:val="left"/>
        </w:tabs>
        <w:rPr>
          <w:sz w:val="20"/>
          <w:szCs w:val="20"/>
          <w:color w:val="auto"/>
        </w:rPr>
      </w:pPr>
      <w:r>
        <w:rPr>
          <w:rFonts w:ascii="Arial" w:cs="Arial" w:eastAsia="Arial" w:hAnsi="Arial"/>
          <w:sz w:val="20"/>
          <w:szCs w:val="20"/>
          <w:color w:val="auto"/>
        </w:rPr>
        <w:t>Lucid Confidential</w:t>
      </w:r>
      <w:r>
        <w:rPr>
          <w:sz w:val="20"/>
          <w:szCs w:val="20"/>
          <w:color w:val="auto"/>
        </w:rPr>
        <w:tab/>
      </w:r>
      <w:r>
        <w:rPr>
          <w:rFonts w:ascii="Arial" w:cs="Arial" w:eastAsia="Arial" w:hAnsi="Arial"/>
          <w:sz w:val="16"/>
          <w:szCs w:val="16"/>
          <w:color w:val="auto"/>
        </w:rPr>
        <w:t>Parts GTC rev. October 2020</w:t>
      </w:r>
    </w:p>
    <w:p>
      <w:pPr>
        <w:sectPr>
          <w:pgSz w:w="11900" w:h="16838" w:orient="portrait"/>
          <w:cols w:equalWidth="0" w:num="1">
            <w:col w:w="11240"/>
          </w:cols>
          <w:pgMar w:left="320" w:top="1440" w:right="339" w:bottom="1440" w:gutter="0" w:footer="0" w:header="0"/>
        </w:sectPr>
      </w:pPr>
    </w:p>
    <w:bookmarkStart w:id="139" w:name="page140"/>
    <w:bookmarkEnd w:id="139"/>
    <w:p>
      <w:pPr>
        <w:spacing w:after="0" w:line="62" w:lineRule="exact"/>
        <w:rPr>
          <w:sz w:val="20"/>
          <w:szCs w:val="20"/>
          <w:color w:val="auto"/>
        </w:rPr>
      </w:pPr>
    </w:p>
    <w:p>
      <w:pPr>
        <w:ind w:left="260"/>
        <w:spacing w:after="0"/>
        <w:tabs>
          <w:tab w:leader="none" w:pos="800" w:val="left"/>
        </w:tabs>
        <w:rPr>
          <w:sz w:val="20"/>
          <w:szCs w:val="20"/>
          <w:color w:val="auto"/>
        </w:rPr>
      </w:pPr>
      <w:r>
        <w:rPr>
          <w:rFonts w:ascii="Arial" w:cs="Arial" w:eastAsia="Arial" w:hAnsi="Arial"/>
          <w:sz w:val="20"/>
          <w:szCs w:val="20"/>
          <w:b w:val="1"/>
          <w:bCs w:val="1"/>
          <w:color w:val="auto"/>
        </w:rPr>
        <w:t>5.6.</w:t>
      </w:r>
      <w:r>
        <w:rPr>
          <w:sz w:val="20"/>
          <w:szCs w:val="20"/>
          <w:color w:val="auto"/>
        </w:rPr>
        <w:tab/>
      </w:r>
      <w:r>
        <w:rPr>
          <w:rFonts w:ascii="Arial" w:cs="Arial" w:eastAsia="Arial" w:hAnsi="Arial"/>
          <w:sz w:val="19"/>
          <w:szCs w:val="19"/>
          <w:b w:val="1"/>
          <w:bCs w:val="1"/>
          <w:color w:val="auto"/>
        </w:rPr>
        <w:t xml:space="preserve">Inspection. </w:t>
      </w:r>
      <w:r>
        <w:rPr>
          <w:rFonts w:ascii="Arial" w:cs="Arial" w:eastAsia="Arial" w:hAnsi="Arial"/>
          <w:sz w:val="19"/>
          <w:szCs w:val="19"/>
          <w:color w:val="auto"/>
        </w:rPr>
        <w:t>[***]. [***]. Neither test, inspection or payment of invoices will be deemed acceptance of Goods. Lucid will notify</w:t>
      </w:r>
    </w:p>
    <w:p>
      <w:pPr>
        <w:ind w:left="260"/>
        <w:spacing w:after="0" w:line="226" w:lineRule="auto"/>
        <w:rPr>
          <w:sz w:val="20"/>
          <w:szCs w:val="20"/>
          <w:color w:val="auto"/>
        </w:rPr>
      </w:pPr>
      <w:r>
        <w:rPr>
          <w:rFonts w:ascii="Arial" w:cs="Arial" w:eastAsia="Arial" w:hAnsi="Arial"/>
          <w:sz w:val="18"/>
          <w:szCs w:val="18"/>
          <w:color w:val="auto"/>
        </w:rPr>
        <w:t>Supplier in writing of any non-conformity as soon as practicable after Lucid discovers it, but no later than [***] after confirmation of non-conformity by Lucid. Any notification of non-conforming Goods to Supplier constitutes [***]. In the event any defective Goods are</w:t>
      </w:r>
    </w:p>
    <w:p>
      <w:pPr>
        <w:spacing w:after="0" w:line="2" w:lineRule="exact"/>
        <w:rPr>
          <w:sz w:val="20"/>
          <w:szCs w:val="20"/>
          <w:color w:val="auto"/>
        </w:rPr>
      </w:pPr>
    </w:p>
    <w:p>
      <w:pPr>
        <w:ind w:left="260"/>
        <w:spacing w:after="0" w:line="227" w:lineRule="auto"/>
        <w:rPr>
          <w:sz w:val="20"/>
          <w:szCs w:val="20"/>
          <w:color w:val="auto"/>
        </w:rPr>
      </w:pPr>
      <w:r>
        <w:rPr>
          <w:rFonts w:ascii="Arial" w:cs="Arial" w:eastAsia="Arial" w:hAnsi="Arial"/>
          <w:sz w:val="20"/>
          <w:szCs w:val="20"/>
          <w:color w:val="auto"/>
        </w:rPr>
        <w:t>identified by Lucid, then Lucid may choose to [***]. The discovery of any non-conformity to the Product Warranties provided in Section 6.2 (Product Warranties) at any time during the testing by Lucid in accordance with this Section 5.6, will [***].</w:t>
      </w:r>
    </w:p>
    <w:p>
      <w:pPr>
        <w:spacing w:after="0" w:line="42" w:lineRule="exact"/>
        <w:rPr>
          <w:sz w:val="20"/>
          <w:szCs w:val="20"/>
          <w:color w:val="auto"/>
        </w:rPr>
      </w:pPr>
    </w:p>
    <w:p>
      <w:pPr>
        <w:ind w:left="260" w:firstLine="1"/>
        <w:spacing w:after="0" w:line="239" w:lineRule="auto"/>
        <w:rPr>
          <w:sz w:val="20"/>
          <w:szCs w:val="20"/>
          <w:color w:val="auto"/>
        </w:rPr>
      </w:pPr>
      <w:r>
        <w:rPr>
          <w:rFonts w:ascii="Arial" w:cs="Arial" w:eastAsia="Arial" w:hAnsi="Arial"/>
          <w:sz w:val="20"/>
          <w:szCs w:val="20"/>
          <w:b w:val="1"/>
          <w:bCs w:val="1"/>
          <w:color w:val="auto"/>
        </w:rPr>
        <w:t xml:space="preserve">5.7. Design and [***]. </w:t>
      </w:r>
      <w:r>
        <w:rPr>
          <w:rFonts w:ascii="Arial" w:cs="Arial" w:eastAsia="Arial" w:hAnsi="Arial"/>
          <w:sz w:val="20"/>
          <w:szCs w:val="20"/>
          <w:color w:val="auto"/>
        </w:rPr>
        <w:t>Lucid and Panasonic are each responsible for utilizing design practices and testing in their respective products to</w:t>
      </w:r>
      <w:r>
        <w:rPr>
          <w:rFonts w:ascii="Arial" w:cs="Arial" w:eastAsia="Arial" w:hAnsi="Arial"/>
          <w:sz w:val="20"/>
          <w:szCs w:val="20"/>
          <w:b w:val="1"/>
          <w:bCs w:val="1"/>
          <w:color w:val="auto"/>
        </w:rPr>
        <w:t xml:space="preserve"> </w:t>
      </w:r>
      <w:r>
        <w:rPr>
          <w:rFonts w:ascii="Arial" w:cs="Arial" w:eastAsia="Arial" w:hAnsi="Arial"/>
          <w:sz w:val="20"/>
          <w:szCs w:val="20"/>
          <w:color w:val="auto"/>
        </w:rPr>
        <w:t>[***].</w:t>
      </w:r>
    </w:p>
    <w:p>
      <w:pPr>
        <w:spacing w:after="0" w:line="55" w:lineRule="exact"/>
        <w:rPr>
          <w:sz w:val="20"/>
          <w:szCs w:val="20"/>
          <w:color w:val="auto"/>
        </w:rPr>
      </w:pPr>
    </w:p>
    <w:p>
      <w:pPr>
        <w:ind w:left="260"/>
        <w:spacing w:after="0"/>
        <w:tabs>
          <w:tab w:leader="none" w:pos="780" w:val="left"/>
        </w:tabs>
        <w:rPr>
          <w:sz w:val="20"/>
          <w:szCs w:val="20"/>
          <w:color w:val="auto"/>
        </w:rPr>
      </w:pPr>
      <w:r>
        <w:rPr>
          <w:rFonts w:ascii="Arial" w:cs="Arial" w:eastAsia="Arial" w:hAnsi="Arial"/>
          <w:sz w:val="20"/>
          <w:szCs w:val="20"/>
          <w:b w:val="1"/>
          <w:bCs w:val="1"/>
          <w:color w:val="auto"/>
        </w:rPr>
        <w:t>5.8.</w:t>
      </w:r>
      <w:r>
        <w:rPr>
          <w:sz w:val="20"/>
          <w:szCs w:val="20"/>
          <w:color w:val="auto"/>
        </w:rPr>
        <w:tab/>
      </w:r>
      <w:r>
        <w:rPr>
          <w:rFonts w:ascii="Arial" w:cs="Arial" w:eastAsia="Arial" w:hAnsi="Arial"/>
          <w:sz w:val="16"/>
          <w:szCs w:val="16"/>
          <w:b w:val="1"/>
          <w:bCs w:val="1"/>
          <w:color w:val="auto"/>
        </w:rPr>
        <w:t>Restrictions on Use.</w:t>
      </w:r>
    </w:p>
    <w:p>
      <w:pPr>
        <w:spacing w:after="0" w:line="73" w:lineRule="exact"/>
        <w:rPr>
          <w:sz w:val="20"/>
          <w:szCs w:val="20"/>
          <w:color w:val="auto"/>
        </w:rPr>
      </w:pPr>
    </w:p>
    <w:p>
      <w:pPr>
        <w:jc w:val="both"/>
        <w:ind w:firstLine="656"/>
        <w:spacing w:after="0" w:line="227" w:lineRule="auto"/>
        <w:tabs>
          <w:tab w:leader="none" w:pos="1103" w:val="left"/>
        </w:tabs>
        <w:numPr>
          <w:ilvl w:val="0"/>
          <w:numId w:val="68"/>
        </w:numPr>
        <w:rPr>
          <w:rFonts w:ascii="Arial" w:cs="Arial" w:eastAsia="Arial" w:hAnsi="Arial"/>
          <w:sz w:val="20"/>
          <w:szCs w:val="20"/>
          <w:b w:val="1"/>
          <w:bCs w:val="1"/>
          <w:color w:val="auto"/>
        </w:rPr>
      </w:pPr>
      <w:r>
        <w:rPr>
          <w:rFonts w:ascii="Arial" w:cs="Arial" w:eastAsia="Arial" w:hAnsi="Arial"/>
          <w:sz w:val="20"/>
          <w:szCs w:val="20"/>
          <w:color w:val="auto"/>
        </w:rPr>
        <w:t>Lucid shall only use the Goods in accordance with the Specifications. Lucid shall not alter, change, repair, improve or modify the Goods without prior written approval of Supplier, except as permitted by the Specifications. Lucid [***]. Lucid further [***]. Lucid shall [***].</w:t>
      </w:r>
    </w:p>
    <w:p>
      <w:pPr>
        <w:spacing w:after="0" w:line="49" w:lineRule="exact"/>
        <w:rPr>
          <w:rFonts w:ascii="Arial" w:cs="Arial" w:eastAsia="Arial" w:hAnsi="Arial"/>
          <w:sz w:val="20"/>
          <w:szCs w:val="20"/>
          <w:b w:val="1"/>
          <w:bCs w:val="1"/>
          <w:color w:val="auto"/>
        </w:rPr>
      </w:pPr>
    </w:p>
    <w:p>
      <w:pPr>
        <w:ind w:firstLine="656"/>
        <w:spacing w:after="0" w:line="236" w:lineRule="auto"/>
        <w:tabs>
          <w:tab w:leader="none" w:pos="1142" w:val="left"/>
        </w:tabs>
        <w:numPr>
          <w:ilvl w:val="0"/>
          <w:numId w:val="68"/>
        </w:numPr>
        <w:rPr>
          <w:rFonts w:ascii="Arial" w:cs="Arial" w:eastAsia="Arial" w:hAnsi="Arial"/>
          <w:sz w:val="20"/>
          <w:szCs w:val="20"/>
          <w:b w:val="1"/>
          <w:bCs w:val="1"/>
          <w:color w:val="auto"/>
        </w:rPr>
      </w:pPr>
      <w:r>
        <w:rPr>
          <w:rFonts w:ascii="Arial" w:cs="Arial" w:eastAsia="Arial" w:hAnsi="Arial"/>
          <w:sz w:val="20"/>
          <w:szCs w:val="20"/>
          <w:color w:val="auto"/>
        </w:rPr>
        <w:t>In order to secure the safe usage of the Goods, in the event the Goods, or the Battery Modules containing the Goods, are (i) used by Lucid outside of the Agreed Application or (ii) sold by Lucid to [***], Supplier may, [***].</w:t>
      </w:r>
    </w:p>
    <w:p>
      <w:pPr>
        <w:spacing w:after="0" w:line="55"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b w:val="1"/>
          <w:bCs w:val="1"/>
          <w:color w:val="auto"/>
        </w:rPr>
        <w:t>6.</w:t>
      </w:r>
      <w:r>
        <w:rPr>
          <w:sz w:val="20"/>
          <w:szCs w:val="20"/>
          <w:color w:val="auto"/>
        </w:rPr>
        <w:tab/>
      </w:r>
      <w:r>
        <w:rPr>
          <w:rFonts w:ascii="Arial" w:cs="Arial" w:eastAsia="Arial" w:hAnsi="Arial"/>
          <w:sz w:val="19"/>
          <w:szCs w:val="19"/>
          <w:b w:val="1"/>
          <w:bCs w:val="1"/>
          <w:color w:val="auto"/>
        </w:rPr>
        <w:t>WARRANTY</w:t>
      </w:r>
    </w:p>
    <w:p>
      <w:pPr>
        <w:spacing w:after="0" w:line="67" w:lineRule="exact"/>
        <w:rPr>
          <w:sz w:val="20"/>
          <w:szCs w:val="20"/>
          <w:color w:val="auto"/>
        </w:rPr>
      </w:pPr>
    </w:p>
    <w:p>
      <w:pPr>
        <w:ind w:left="260"/>
        <w:spacing w:after="0"/>
        <w:tabs>
          <w:tab w:leader="none" w:pos="740" w:val="left"/>
        </w:tabs>
        <w:rPr>
          <w:sz w:val="20"/>
          <w:szCs w:val="20"/>
          <w:color w:val="auto"/>
        </w:rPr>
      </w:pPr>
      <w:r>
        <w:rPr>
          <w:rFonts w:ascii="Arial" w:cs="Arial" w:eastAsia="Arial" w:hAnsi="Arial"/>
          <w:sz w:val="20"/>
          <w:szCs w:val="20"/>
          <w:b w:val="1"/>
          <w:bCs w:val="1"/>
          <w:color w:val="auto"/>
        </w:rPr>
        <w:t>6.1.</w:t>
      </w:r>
      <w:r>
        <w:rPr>
          <w:sz w:val="20"/>
          <w:szCs w:val="20"/>
          <w:color w:val="auto"/>
        </w:rPr>
        <w:tab/>
      </w:r>
      <w:r>
        <w:rPr>
          <w:rFonts w:ascii="Arial" w:cs="Arial" w:eastAsia="Arial" w:hAnsi="Arial"/>
          <w:sz w:val="16"/>
          <w:szCs w:val="16"/>
          <w:b w:val="1"/>
          <w:bCs w:val="1"/>
          <w:color w:val="auto"/>
        </w:rPr>
        <w:t xml:space="preserve">General Warranties. </w:t>
      </w:r>
      <w:r>
        <w:rPr>
          <w:rFonts w:ascii="Arial" w:cs="Arial" w:eastAsia="Arial" w:hAnsi="Arial"/>
          <w:sz w:val="16"/>
          <w:szCs w:val="16"/>
          <w:color w:val="auto"/>
        </w:rPr>
        <w:t>Each Party represents and warrants to the other Party that:</w:t>
      </w:r>
    </w:p>
    <w:p>
      <w:pPr>
        <w:spacing w:after="0" w:line="87" w:lineRule="exact"/>
        <w:rPr>
          <w:sz w:val="20"/>
          <w:szCs w:val="20"/>
          <w:color w:val="auto"/>
        </w:rPr>
      </w:pPr>
    </w:p>
    <w:p>
      <w:pPr>
        <w:ind w:left="1080" w:hanging="424"/>
        <w:spacing w:after="0"/>
        <w:tabs>
          <w:tab w:leader="none" w:pos="1080" w:val="left"/>
        </w:tabs>
        <w:numPr>
          <w:ilvl w:val="0"/>
          <w:numId w:val="69"/>
        </w:numPr>
        <w:rPr>
          <w:rFonts w:ascii="Arial" w:cs="Arial" w:eastAsia="Arial" w:hAnsi="Arial"/>
          <w:sz w:val="20"/>
          <w:szCs w:val="20"/>
          <w:b w:val="1"/>
          <w:bCs w:val="1"/>
          <w:color w:val="auto"/>
        </w:rPr>
      </w:pPr>
      <w:r>
        <w:rPr>
          <w:rFonts w:ascii="Arial" w:cs="Arial" w:eastAsia="Arial" w:hAnsi="Arial"/>
          <w:sz w:val="20"/>
          <w:szCs w:val="20"/>
          <w:color w:val="auto"/>
        </w:rPr>
        <w:t>it is a corporation duly organized, validly existing and in good standing in the jurisdiction of its incorporation;</w:t>
      </w:r>
    </w:p>
    <w:p>
      <w:pPr>
        <w:spacing w:after="0" w:line="80" w:lineRule="exact"/>
        <w:rPr>
          <w:rFonts w:ascii="Arial" w:cs="Arial" w:eastAsia="Arial" w:hAnsi="Arial"/>
          <w:sz w:val="20"/>
          <w:szCs w:val="20"/>
          <w:b w:val="1"/>
          <w:bCs w:val="1"/>
          <w:color w:val="auto"/>
        </w:rPr>
      </w:pPr>
    </w:p>
    <w:p>
      <w:pPr>
        <w:ind w:right="20" w:firstLine="656"/>
        <w:spacing w:after="0" w:line="229" w:lineRule="auto"/>
        <w:tabs>
          <w:tab w:leader="none" w:pos="1182" w:val="left"/>
        </w:tabs>
        <w:numPr>
          <w:ilvl w:val="0"/>
          <w:numId w:val="69"/>
        </w:numPr>
        <w:rPr>
          <w:rFonts w:ascii="Arial" w:cs="Arial" w:eastAsia="Arial" w:hAnsi="Arial"/>
          <w:sz w:val="20"/>
          <w:szCs w:val="20"/>
          <w:b w:val="1"/>
          <w:bCs w:val="1"/>
          <w:color w:val="auto"/>
        </w:rPr>
      </w:pPr>
      <w:r>
        <w:rPr>
          <w:rFonts w:ascii="Arial" w:cs="Arial" w:eastAsia="Arial" w:hAnsi="Arial"/>
          <w:sz w:val="20"/>
          <w:szCs w:val="20"/>
          <w:color w:val="auto"/>
        </w:rPr>
        <w:t>it is duly qualified to do business and is in good standing in every jurisdiction in which such qualification is required for purposes of this Agreement;</w:t>
      </w:r>
    </w:p>
    <w:p>
      <w:pPr>
        <w:spacing w:after="0" w:line="60" w:lineRule="exact"/>
        <w:rPr>
          <w:rFonts w:ascii="Arial" w:cs="Arial" w:eastAsia="Arial" w:hAnsi="Arial"/>
          <w:sz w:val="20"/>
          <w:szCs w:val="20"/>
          <w:b w:val="1"/>
          <w:bCs w:val="1"/>
          <w:color w:val="auto"/>
        </w:rPr>
      </w:pPr>
    </w:p>
    <w:p>
      <w:pPr>
        <w:ind w:firstLine="656"/>
        <w:spacing w:after="0" w:line="229" w:lineRule="auto"/>
        <w:tabs>
          <w:tab w:leader="none" w:pos="1106" w:val="left"/>
        </w:tabs>
        <w:numPr>
          <w:ilvl w:val="0"/>
          <w:numId w:val="69"/>
        </w:numPr>
        <w:rPr>
          <w:rFonts w:ascii="Arial" w:cs="Arial" w:eastAsia="Arial" w:hAnsi="Arial"/>
          <w:sz w:val="20"/>
          <w:szCs w:val="20"/>
          <w:b w:val="1"/>
          <w:bCs w:val="1"/>
          <w:color w:val="auto"/>
        </w:rPr>
      </w:pPr>
      <w:r>
        <w:rPr>
          <w:rFonts w:ascii="Arial" w:cs="Arial" w:eastAsia="Arial" w:hAnsi="Arial"/>
          <w:sz w:val="20"/>
          <w:szCs w:val="20"/>
          <w:color w:val="auto"/>
        </w:rPr>
        <w:t>it has the full right, corporate power and authority to enter into this Agreement, to grant the rights and licenses granted under this Agreement and to perform its obligations under this Agreement;</w:t>
      </w:r>
    </w:p>
    <w:p>
      <w:pPr>
        <w:spacing w:after="0" w:line="60" w:lineRule="exact"/>
        <w:rPr>
          <w:rFonts w:ascii="Arial" w:cs="Arial" w:eastAsia="Arial" w:hAnsi="Arial"/>
          <w:sz w:val="20"/>
          <w:szCs w:val="20"/>
          <w:b w:val="1"/>
          <w:bCs w:val="1"/>
          <w:color w:val="auto"/>
        </w:rPr>
      </w:pPr>
    </w:p>
    <w:p>
      <w:pPr>
        <w:jc w:val="both"/>
        <w:ind w:firstLine="656"/>
        <w:spacing w:after="0" w:line="223" w:lineRule="auto"/>
        <w:tabs>
          <w:tab w:leader="none" w:pos="1142" w:val="left"/>
        </w:tabs>
        <w:numPr>
          <w:ilvl w:val="0"/>
          <w:numId w:val="69"/>
        </w:numPr>
        <w:rPr>
          <w:rFonts w:ascii="Arial" w:cs="Arial" w:eastAsia="Arial" w:hAnsi="Arial"/>
          <w:sz w:val="20"/>
          <w:szCs w:val="20"/>
          <w:b w:val="1"/>
          <w:bCs w:val="1"/>
          <w:color w:val="auto"/>
        </w:rPr>
      </w:pPr>
      <w:r>
        <w:rPr>
          <w:rFonts w:ascii="Arial" w:cs="Arial" w:eastAsia="Arial" w:hAnsi="Arial"/>
          <w:sz w:val="20"/>
          <w:szCs w:val="20"/>
          <w:color w:val="auto"/>
        </w:rPr>
        <w:t>it has not and will not for the term of the Agreement be listed on the U.S. Excluded Parties List, or be subjected to any law, executive order, embargo, sanction or otherwise which prohibits its transactions with the other Party, or be debarred, suspended, excluded or disqualified from doing business with the United States Government; and</w:t>
      </w:r>
    </w:p>
    <w:p>
      <w:pPr>
        <w:spacing w:after="0" w:line="60" w:lineRule="exact"/>
        <w:rPr>
          <w:rFonts w:ascii="Arial" w:cs="Arial" w:eastAsia="Arial" w:hAnsi="Arial"/>
          <w:sz w:val="20"/>
          <w:szCs w:val="20"/>
          <w:b w:val="1"/>
          <w:bCs w:val="1"/>
          <w:color w:val="auto"/>
        </w:rPr>
      </w:pPr>
    </w:p>
    <w:p>
      <w:pPr>
        <w:ind w:left="1080" w:hanging="424"/>
        <w:spacing w:after="0"/>
        <w:tabs>
          <w:tab w:leader="none" w:pos="1080" w:val="left"/>
        </w:tabs>
        <w:numPr>
          <w:ilvl w:val="0"/>
          <w:numId w:val="69"/>
        </w:numPr>
        <w:rPr>
          <w:rFonts w:ascii="Arial" w:cs="Arial" w:eastAsia="Arial" w:hAnsi="Arial"/>
          <w:sz w:val="20"/>
          <w:szCs w:val="20"/>
          <w:b w:val="1"/>
          <w:bCs w:val="1"/>
          <w:color w:val="auto"/>
        </w:rPr>
      </w:pPr>
      <w:r>
        <w:rPr>
          <w:rFonts w:ascii="Arial" w:cs="Arial" w:eastAsia="Arial" w:hAnsi="Arial"/>
          <w:sz w:val="20"/>
          <w:szCs w:val="20"/>
          <w:color w:val="auto"/>
        </w:rPr>
        <w:t>it has not been subjected to investigation or sanction for bribery or money laundering.</w:t>
      </w:r>
    </w:p>
    <w:p>
      <w:pPr>
        <w:spacing w:after="0" w:line="75" w:lineRule="exact"/>
        <w:rPr>
          <w:sz w:val="20"/>
          <w:szCs w:val="20"/>
          <w:color w:val="auto"/>
        </w:rPr>
      </w:pPr>
    </w:p>
    <w:p>
      <w:pPr>
        <w:ind w:left="260"/>
        <w:spacing w:after="0"/>
        <w:tabs>
          <w:tab w:leader="none" w:pos="740" w:val="left"/>
        </w:tabs>
        <w:rPr>
          <w:sz w:val="20"/>
          <w:szCs w:val="20"/>
          <w:color w:val="auto"/>
        </w:rPr>
      </w:pPr>
      <w:r>
        <w:rPr>
          <w:rFonts w:ascii="Arial" w:cs="Arial" w:eastAsia="Arial" w:hAnsi="Arial"/>
          <w:sz w:val="20"/>
          <w:szCs w:val="20"/>
          <w:b w:val="1"/>
          <w:bCs w:val="1"/>
          <w:color w:val="auto"/>
        </w:rPr>
        <w:t>6.2.</w:t>
      </w:r>
      <w:r>
        <w:rPr>
          <w:sz w:val="20"/>
          <w:szCs w:val="20"/>
          <w:color w:val="auto"/>
        </w:rPr>
        <w:tab/>
      </w:r>
      <w:r>
        <w:rPr>
          <w:rFonts w:ascii="Arial" w:cs="Arial" w:eastAsia="Arial" w:hAnsi="Arial"/>
          <w:sz w:val="16"/>
          <w:szCs w:val="16"/>
          <w:b w:val="1"/>
          <w:bCs w:val="1"/>
          <w:color w:val="auto"/>
        </w:rPr>
        <w:t xml:space="preserve">Product Warranties. </w:t>
      </w:r>
      <w:r>
        <w:rPr>
          <w:rFonts w:ascii="Arial" w:cs="Arial" w:eastAsia="Arial" w:hAnsi="Arial"/>
          <w:sz w:val="16"/>
          <w:szCs w:val="16"/>
          <w:color w:val="auto"/>
        </w:rPr>
        <w:t>Supplier represents and warrants to Lucid that the Goods subject to this Agreement:</w:t>
      </w:r>
    </w:p>
    <w:p>
      <w:pPr>
        <w:spacing w:after="0" w:line="73" w:lineRule="exact"/>
        <w:rPr>
          <w:sz w:val="20"/>
          <w:szCs w:val="20"/>
          <w:color w:val="auto"/>
        </w:rPr>
      </w:pPr>
    </w:p>
    <w:p>
      <w:pPr>
        <w:ind w:left="1080" w:hanging="424"/>
        <w:spacing w:after="0"/>
        <w:tabs>
          <w:tab w:leader="none" w:pos="1080" w:val="left"/>
        </w:tabs>
        <w:numPr>
          <w:ilvl w:val="0"/>
          <w:numId w:val="70"/>
        </w:numPr>
        <w:rPr>
          <w:rFonts w:ascii="Arial" w:cs="Arial" w:eastAsia="Arial" w:hAnsi="Arial"/>
          <w:sz w:val="20"/>
          <w:szCs w:val="20"/>
          <w:b w:val="1"/>
          <w:bCs w:val="1"/>
          <w:color w:val="auto"/>
        </w:rPr>
      </w:pPr>
      <w:r>
        <w:rPr>
          <w:rFonts w:ascii="Arial" w:cs="Arial" w:eastAsia="Arial" w:hAnsi="Arial"/>
          <w:sz w:val="20"/>
          <w:szCs w:val="20"/>
          <w:color w:val="auto"/>
        </w:rPr>
        <w:t>will be new at the time of transfer of title;</w:t>
      </w:r>
    </w:p>
    <w:p>
      <w:pPr>
        <w:spacing w:after="0" w:line="80" w:lineRule="exact"/>
        <w:rPr>
          <w:rFonts w:ascii="Arial" w:cs="Arial" w:eastAsia="Arial" w:hAnsi="Arial"/>
          <w:sz w:val="20"/>
          <w:szCs w:val="20"/>
          <w:b w:val="1"/>
          <w:bCs w:val="1"/>
          <w:color w:val="auto"/>
        </w:rPr>
      </w:pPr>
    </w:p>
    <w:p>
      <w:pPr>
        <w:jc w:val="both"/>
        <w:ind w:firstLine="656"/>
        <w:spacing w:after="0" w:line="223" w:lineRule="auto"/>
        <w:tabs>
          <w:tab w:leader="none" w:pos="1196" w:val="left"/>
        </w:tabs>
        <w:numPr>
          <w:ilvl w:val="0"/>
          <w:numId w:val="70"/>
        </w:numPr>
        <w:rPr>
          <w:rFonts w:ascii="Arial" w:cs="Arial" w:eastAsia="Arial" w:hAnsi="Arial"/>
          <w:sz w:val="20"/>
          <w:szCs w:val="20"/>
          <w:b w:val="1"/>
          <w:bCs w:val="1"/>
          <w:color w:val="auto"/>
        </w:rPr>
      </w:pPr>
      <w:r>
        <w:rPr>
          <w:rFonts w:ascii="Arial" w:cs="Arial" w:eastAsia="Arial" w:hAnsi="Arial"/>
          <w:sz w:val="20"/>
          <w:szCs w:val="20"/>
          <w:color w:val="auto"/>
        </w:rPr>
        <w:t>will conform to applicable performance criteria set forth in all Specifications and quality standards that have been agreed between the Parties in writing, including the minimum performance requirements specified in the applicable Release, accepted Spot Order, Production Order or production pricing agreement; (“</w:t>
      </w:r>
      <w:r>
        <w:rPr>
          <w:rFonts w:ascii="Arial" w:cs="Arial" w:eastAsia="Arial" w:hAnsi="Arial"/>
          <w:sz w:val="20"/>
          <w:szCs w:val="20"/>
          <w:b w:val="1"/>
          <w:bCs w:val="1"/>
          <w:color w:val="auto"/>
        </w:rPr>
        <w:t>Performance Warranty</w:t>
      </w:r>
      <w:r>
        <w:rPr>
          <w:rFonts w:ascii="Arial" w:cs="Arial" w:eastAsia="Arial" w:hAnsi="Arial"/>
          <w:sz w:val="20"/>
          <w:szCs w:val="20"/>
          <w:color w:val="auto"/>
        </w:rPr>
        <w:t>”);</w:t>
      </w:r>
    </w:p>
    <w:p>
      <w:pPr>
        <w:spacing w:after="0" w:line="60" w:lineRule="exact"/>
        <w:rPr>
          <w:rFonts w:ascii="Arial" w:cs="Arial" w:eastAsia="Arial" w:hAnsi="Arial"/>
          <w:sz w:val="20"/>
          <w:szCs w:val="20"/>
          <w:b w:val="1"/>
          <w:bCs w:val="1"/>
          <w:color w:val="auto"/>
        </w:rPr>
      </w:pPr>
    </w:p>
    <w:p>
      <w:pPr>
        <w:ind w:left="1080" w:hanging="424"/>
        <w:spacing w:after="0"/>
        <w:tabs>
          <w:tab w:leader="none" w:pos="1080" w:val="left"/>
        </w:tabs>
        <w:numPr>
          <w:ilvl w:val="0"/>
          <w:numId w:val="70"/>
        </w:numPr>
        <w:rPr>
          <w:rFonts w:ascii="Arial" w:cs="Arial" w:eastAsia="Arial" w:hAnsi="Arial"/>
          <w:sz w:val="20"/>
          <w:szCs w:val="20"/>
          <w:b w:val="1"/>
          <w:bCs w:val="1"/>
          <w:color w:val="auto"/>
        </w:rPr>
      </w:pPr>
      <w:r>
        <w:rPr>
          <w:rFonts w:ascii="Arial" w:cs="Arial" w:eastAsia="Arial" w:hAnsi="Arial"/>
          <w:sz w:val="20"/>
          <w:szCs w:val="20"/>
          <w:color w:val="auto"/>
        </w:rPr>
        <w:t>[***];</w:t>
      </w:r>
    </w:p>
    <w:p>
      <w:pPr>
        <w:spacing w:after="0" w:line="80" w:lineRule="exact"/>
        <w:rPr>
          <w:rFonts w:ascii="Arial" w:cs="Arial" w:eastAsia="Arial" w:hAnsi="Arial"/>
          <w:sz w:val="20"/>
          <w:szCs w:val="20"/>
          <w:b w:val="1"/>
          <w:bCs w:val="1"/>
          <w:color w:val="auto"/>
        </w:rPr>
      </w:pPr>
    </w:p>
    <w:p>
      <w:pPr>
        <w:ind w:left="1100" w:hanging="444"/>
        <w:spacing w:after="0"/>
        <w:tabs>
          <w:tab w:leader="none" w:pos="1100" w:val="left"/>
        </w:tabs>
        <w:numPr>
          <w:ilvl w:val="0"/>
          <w:numId w:val="70"/>
        </w:numPr>
        <w:rPr>
          <w:rFonts w:ascii="Arial" w:cs="Arial" w:eastAsia="Arial" w:hAnsi="Arial"/>
          <w:sz w:val="20"/>
          <w:szCs w:val="20"/>
          <w:b w:val="1"/>
          <w:bCs w:val="1"/>
          <w:color w:val="auto"/>
        </w:rPr>
      </w:pPr>
      <w:r>
        <w:rPr>
          <w:rFonts w:ascii="Arial" w:cs="Arial" w:eastAsia="Arial" w:hAnsi="Arial"/>
          <w:sz w:val="20"/>
          <w:szCs w:val="20"/>
          <w:color w:val="auto"/>
        </w:rPr>
        <w:t>[***];</w:t>
      </w:r>
    </w:p>
    <w:p>
      <w:pPr>
        <w:spacing w:after="0" w:line="67" w:lineRule="exact"/>
        <w:rPr>
          <w:rFonts w:ascii="Arial" w:cs="Arial" w:eastAsia="Arial" w:hAnsi="Arial"/>
          <w:sz w:val="20"/>
          <w:szCs w:val="20"/>
          <w:b w:val="1"/>
          <w:bCs w:val="1"/>
          <w:color w:val="auto"/>
        </w:rPr>
      </w:pPr>
    </w:p>
    <w:p>
      <w:pPr>
        <w:jc w:val="both"/>
        <w:ind w:firstLine="656"/>
        <w:spacing w:after="0" w:line="220" w:lineRule="auto"/>
        <w:tabs>
          <w:tab w:leader="none" w:pos="1106" w:val="left"/>
        </w:tabs>
        <w:numPr>
          <w:ilvl w:val="0"/>
          <w:numId w:val="70"/>
        </w:numPr>
        <w:rPr>
          <w:rFonts w:ascii="Arial" w:cs="Arial" w:eastAsia="Arial" w:hAnsi="Arial"/>
          <w:sz w:val="20"/>
          <w:szCs w:val="20"/>
          <w:b w:val="1"/>
          <w:bCs w:val="1"/>
          <w:color w:val="auto"/>
        </w:rPr>
      </w:pPr>
      <w:r>
        <w:rPr>
          <w:rFonts w:ascii="Arial" w:cs="Arial" w:eastAsia="Arial" w:hAnsi="Arial"/>
          <w:sz w:val="20"/>
          <w:szCs w:val="20"/>
          <w:color w:val="auto"/>
        </w:rPr>
        <w:t>will, at the time of transfer of title, be free from defects in design, workmanship, and materials, and conform to all applicable laws and Governmental Requirements of the countries and regions listed in Exhibit A, unless otherwise agreed between the Parties in writing ((c), (d) and (e), collectively, the “</w:t>
      </w:r>
      <w:r>
        <w:rPr>
          <w:rFonts w:ascii="Arial" w:cs="Arial" w:eastAsia="Arial" w:hAnsi="Arial"/>
          <w:sz w:val="20"/>
          <w:szCs w:val="20"/>
          <w:b w:val="1"/>
          <w:bCs w:val="1"/>
          <w:color w:val="auto"/>
        </w:rPr>
        <w:t>Goods Warranty</w:t>
      </w:r>
      <w:r>
        <w:rPr>
          <w:rFonts w:ascii="Arial" w:cs="Arial" w:eastAsia="Arial" w:hAnsi="Arial"/>
          <w:sz w:val="20"/>
          <w:szCs w:val="20"/>
          <w:color w:val="auto"/>
        </w:rPr>
        <w:t>”, and the “Performance Warranty” together with the “Goods Warranty” collectively the “</w:t>
      </w:r>
      <w:r>
        <w:rPr>
          <w:rFonts w:ascii="Arial" w:cs="Arial" w:eastAsia="Arial" w:hAnsi="Arial"/>
          <w:sz w:val="20"/>
          <w:szCs w:val="20"/>
          <w:b w:val="1"/>
          <w:bCs w:val="1"/>
          <w:color w:val="auto"/>
        </w:rPr>
        <w:t>Product Warranties</w:t>
      </w:r>
      <w:r>
        <w:rPr>
          <w:rFonts w:ascii="Arial" w:cs="Arial" w:eastAsia="Arial" w:hAnsi="Arial"/>
          <w:sz w:val="20"/>
          <w:szCs w:val="20"/>
          <w:color w:val="auto"/>
        </w:rPr>
        <w:t>”); and</w:t>
      </w:r>
    </w:p>
    <w:p>
      <w:pPr>
        <w:spacing w:after="0" w:line="61" w:lineRule="exact"/>
        <w:rPr>
          <w:rFonts w:ascii="Arial" w:cs="Arial" w:eastAsia="Arial" w:hAnsi="Arial"/>
          <w:sz w:val="20"/>
          <w:szCs w:val="20"/>
          <w:b w:val="1"/>
          <w:bCs w:val="1"/>
          <w:color w:val="auto"/>
        </w:rPr>
      </w:pPr>
    </w:p>
    <w:p>
      <w:pPr>
        <w:ind w:firstLine="656"/>
        <w:spacing w:after="0" w:line="236" w:lineRule="auto"/>
        <w:tabs>
          <w:tab w:leader="none" w:pos="1044" w:val="left"/>
        </w:tabs>
        <w:numPr>
          <w:ilvl w:val="0"/>
          <w:numId w:val="70"/>
        </w:numPr>
        <w:rPr>
          <w:rFonts w:ascii="Arial" w:cs="Arial" w:eastAsia="Arial" w:hAnsi="Arial"/>
          <w:sz w:val="20"/>
          <w:szCs w:val="20"/>
          <w:b w:val="1"/>
          <w:bCs w:val="1"/>
          <w:color w:val="auto"/>
        </w:rPr>
      </w:pPr>
      <w:r>
        <w:rPr>
          <w:rFonts w:ascii="Arial" w:cs="Arial" w:eastAsia="Arial" w:hAnsi="Arial"/>
          <w:sz w:val="20"/>
          <w:szCs w:val="20"/>
          <w:color w:val="auto"/>
        </w:rPr>
        <w:t>will at the time of transfer of title be free and clear of any liens and encumbrances and will not infringe any Intellectual Property Right of any third party.</w:t>
      </w:r>
    </w:p>
    <w:p>
      <w:pPr>
        <w:spacing w:after="0" w:line="41" w:lineRule="exact"/>
        <w:rPr>
          <w:sz w:val="20"/>
          <w:szCs w:val="20"/>
          <w:color w:val="auto"/>
        </w:rPr>
      </w:pPr>
    </w:p>
    <w:p>
      <w:pPr>
        <w:ind w:left="260"/>
        <w:spacing w:after="0"/>
        <w:tabs>
          <w:tab w:leader="none" w:pos="740" w:val="left"/>
        </w:tabs>
        <w:rPr>
          <w:sz w:val="20"/>
          <w:szCs w:val="20"/>
          <w:color w:val="auto"/>
        </w:rPr>
      </w:pPr>
      <w:r>
        <w:rPr>
          <w:rFonts w:ascii="Arial" w:cs="Arial" w:eastAsia="Arial" w:hAnsi="Arial"/>
          <w:sz w:val="20"/>
          <w:szCs w:val="20"/>
          <w:b w:val="1"/>
          <w:bCs w:val="1"/>
          <w:color w:val="auto"/>
        </w:rPr>
        <w:t>6.3.</w:t>
      </w:r>
      <w:r>
        <w:rPr>
          <w:sz w:val="20"/>
          <w:szCs w:val="20"/>
          <w:color w:val="auto"/>
        </w:rPr>
        <w:tab/>
      </w:r>
      <w:r>
        <w:rPr>
          <w:rFonts w:ascii="Arial" w:cs="Arial" w:eastAsia="Arial" w:hAnsi="Arial"/>
          <w:sz w:val="18"/>
          <w:szCs w:val="18"/>
          <w:b w:val="1"/>
          <w:bCs w:val="1"/>
          <w:color w:val="auto"/>
        </w:rPr>
        <w:t xml:space="preserve">Performance Warranty Period. </w:t>
      </w:r>
      <w:r>
        <w:rPr>
          <w:rFonts w:ascii="Arial" w:cs="Arial" w:eastAsia="Arial" w:hAnsi="Arial"/>
          <w:sz w:val="18"/>
          <w:szCs w:val="18"/>
          <w:color w:val="auto"/>
        </w:rPr>
        <w:t>[***].</w:t>
      </w:r>
    </w:p>
    <w:p>
      <w:pPr>
        <w:spacing w:after="0" w:line="81" w:lineRule="exact"/>
        <w:rPr>
          <w:sz w:val="20"/>
          <w:szCs w:val="20"/>
          <w:color w:val="auto"/>
        </w:rPr>
      </w:pPr>
    </w:p>
    <w:p>
      <w:pPr>
        <w:ind w:left="260" w:right="20"/>
        <w:spacing w:after="0" w:line="239" w:lineRule="auto"/>
        <w:rPr>
          <w:sz w:val="20"/>
          <w:szCs w:val="20"/>
          <w:color w:val="auto"/>
        </w:rPr>
      </w:pPr>
      <w:r>
        <w:rPr>
          <w:rFonts w:ascii="Arial" w:cs="Arial" w:eastAsia="Arial" w:hAnsi="Arial"/>
          <w:sz w:val="20"/>
          <w:szCs w:val="20"/>
          <w:b w:val="1"/>
          <w:bCs w:val="1"/>
          <w:color w:val="auto"/>
        </w:rPr>
        <w:t xml:space="preserve">6.4. Warranty Claim Procedure. </w:t>
      </w:r>
      <w:r>
        <w:rPr>
          <w:rFonts w:ascii="Arial" w:cs="Arial" w:eastAsia="Arial" w:hAnsi="Arial"/>
          <w:sz w:val="20"/>
          <w:szCs w:val="20"/>
          <w:color w:val="auto"/>
        </w:rPr>
        <w:t>Lucid shall provide Supplier with any claim in connection with the Product Warranties in writing</w:t>
      </w:r>
      <w:r>
        <w:rPr>
          <w:rFonts w:ascii="Arial" w:cs="Arial" w:eastAsia="Arial" w:hAnsi="Arial"/>
          <w:sz w:val="20"/>
          <w:szCs w:val="20"/>
          <w:b w:val="1"/>
          <w:bCs w:val="1"/>
          <w:color w:val="auto"/>
        </w:rPr>
        <w:t xml:space="preserve"> </w:t>
      </w:r>
      <w:r>
        <w:rPr>
          <w:rFonts w:ascii="Arial" w:cs="Arial" w:eastAsia="Arial" w:hAnsi="Arial"/>
          <w:sz w:val="20"/>
          <w:szCs w:val="20"/>
          <w:color w:val="auto"/>
        </w:rPr>
        <w:t>promptly after Lucid is aware of such event. In connection with any</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190500</wp:posOffset>
            </wp:positionV>
            <wp:extent cx="713232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58" w:lineRule="exact"/>
        <w:rPr>
          <w:sz w:val="20"/>
          <w:szCs w:val="20"/>
          <w:color w:val="auto"/>
        </w:rPr>
      </w:pPr>
    </w:p>
    <w:p>
      <w:pPr>
        <w:spacing w:after="0"/>
        <w:tabs>
          <w:tab w:leader="none" w:pos="1880" w:val="left"/>
        </w:tabs>
        <w:rPr>
          <w:sz w:val="20"/>
          <w:szCs w:val="20"/>
          <w:color w:val="auto"/>
        </w:rPr>
      </w:pPr>
      <w:r>
        <w:rPr>
          <w:rFonts w:ascii="Arial" w:cs="Arial" w:eastAsia="Arial" w:hAnsi="Arial"/>
          <w:sz w:val="20"/>
          <w:szCs w:val="20"/>
          <w:color w:val="auto"/>
        </w:rPr>
        <w:t>Lucid Confidential</w:t>
      </w:r>
      <w:r>
        <w:rPr>
          <w:sz w:val="20"/>
          <w:szCs w:val="20"/>
          <w:color w:val="auto"/>
        </w:rPr>
        <w:tab/>
      </w:r>
      <w:r>
        <w:rPr>
          <w:rFonts w:ascii="Arial" w:cs="Arial" w:eastAsia="Arial" w:hAnsi="Arial"/>
          <w:sz w:val="16"/>
          <w:szCs w:val="16"/>
          <w:color w:val="auto"/>
        </w:rPr>
        <w:t>Parts GTC rev. October 2020</w:t>
      </w:r>
    </w:p>
    <w:p>
      <w:pPr>
        <w:sectPr>
          <w:pgSz w:w="11900" w:h="16838" w:orient="portrait"/>
          <w:cols w:equalWidth="0" w:num="1">
            <w:col w:w="11240"/>
          </w:cols>
          <w:pgMar w:left="320" w:top="1440" w:right="339" w:bottom="1440" w:gutter="0" w:footer="0" w:header="0"/>
        </w:sectPr>
      </w:pPr>
    </w:p>
    <w:bookmarkStart w:id="140" w:name="page141"/>
    <w:bookmarkEnd w:id="140"/>
    <w:p>
      <w:pPr>
        <w:spacing w:after="0" w:line="74" w:lineRule="exact"/>
        <w:rPr>
          <w:sz w:val="20"/>
          <w:szCs w:val="20"/>
          <w:color w:val="auto"/>
        </w:rPr>
      </w:pPr>
    </w:p>
    <w:p>
      <w:pPr>
        <w:ind w:left="260"/>
        <w:spacing w:after="0"/>
        <w:rPr>
          <w:sz w:val="20"/>
          <w:szCs w:val="20"/>
          <w:color w:val="auto"/>
        </w:rPr>
      </w:pPr>
      <w:r>
        <w:rPr>
          <w:rFonts w:ascii="Arial" w:cs="Arial" w:eastAsia="Arial" w:hAnsi="Arial"/>
          <w:sz w:val="19"/>
          <w:szCs w:val="19"/>
          <w:color w:val="auto"/>
        </w:rPr>
        <w:t>claim based on any of the Product Warranties, Lucid shall identify the non-conforming Goods and provide Supplier with any and all</w:t>
      </w:r>
    </w:p>
    <w:p>
      <w:pPr>
        <w:ind w:left="260"/>
        <w:spacing w:after="0" w:line="215" w:lineRule="auto"/>
        <w:rPr>
          <w:sz w:val="20"/>
          <w:szCs w:val="20"/>
          <w:color w:val="auto"/>
        </w:rPr>
      </w:pPr>
      <w:r>
        <w:rPr>
          <w:rFonts w:ascii="Arial" w:cs="Arial" w:eastAsia="Arial" w:hAnsi="Arial"/>
          <w:sz w:val="19"/>
          <w:szCs w:val="19"/>
          <w:color w:val="auto"/>
        </w:rPr>
        <w:t>information and data reasonably requested by Supplier. Such information and data may include, without limitation, (i) [***], (ii) [***], and (iii) [***]. Upon Supplier’s request, Lucid shall deliver such non-conforming Goods to Supplier. Lucid shall store such returned</w:t>
      </w:r>
    </w:p>
    <w:p>
      <w:pPr>
        <w:ind w:left="260"/>
        <w:spacing w:after="0" w:line="227" w:lineRule="auto"/>
        <w:rPr>
          <w:sz w:val="20"/>
          <w:szCs w:val="20"/>
          <w:color w:val="auto"/>
        </w:rPr>
      </w:pPr>
      <w:r>
        <w:rPr>
          <w:rFonts w:ascii="Arial" w:cs="Arial" w:eastAsia="Arial" w:hAnsi="Arial"/>
          <w:sz w:val="20"/>
          <w:szCs w:val="20"/>
          <w:color w:val="auto"/>
        </w:rPr>
        <w:t>Battery Modules properly until the cause or causes of the defect are identified. The Parties shall work together in good faith to [***]. The foregoing obligation shall be subject to [***].</w:t>
      </w:r>
    </w:p>
    <w:p>
      <w:pPr>
        <w:spacing w:after="0" w:line="37" w:lineRule="exact"/>
        <w:rPr>
          <w:sz w:val="20"/>
          <w:szCs w:val="20"/>
          <w:color w:val="auto"/>
        </w:rPr>
      </w:pPr>
    </w:p>
    <w:p>
      <w:pPr>
        <w:ind w:left="260"/>
        <w:spacing w:after="0"/>
        <w:tabs>
          <w:tab w:leader="none" w:pos="800" w:val="left"/>
        </w:tabs>
        <w:rPr>
          <w:sz w:val="20"/>
          <w:szCs w:val="20"/>
          <w:color w:val="auto"/>
        </w:rPr>
      </w:pPr>
      <w:r>
        <w:rPr>
          <w:rFonts w:ascii="Arial" w:cs="Arial" w:eastAsia="Arial" w:hAnsi="Arial"/>
          <w:sz w:val="20"/>
          <w:szCs w:val="20"/>
          <w:b w:val="1"/>
          <w:bCs w:val="1"/>
          <w:color w:val="auto"/>
        </w:rPr>
        <w:t>6.5.</w:t>
      </w:r>
      <w:r>
        <w:rPr>
          <w:sz w:val="20"/>
          <w:szCs w:val="20"/>
          <w:color w:val="auto"/>
        </w:rPr>
        <w:tab/>
      </w:r>
      <w:r>
        <w:rPr>
          <w:rFonts w:ascii="Arial" w:cs="Arial" w:eastAsia="Arial" w:hAnsi="Arial"/>
          <w:sz w:val="18"/>
          <w:szCs w:val="18"/>
          <w:b w:val="1"/>
          <w:bCs w:val="1"/>
          <w:color w:val="auto"/>
        </w:rPr>
        <w:t xml:space="preserve">Future Performance; Non-Exhaustive. </w:t>
      </w:r>
      <w:r>
        <w:rPr>
          <w:rFonts w:ascii="Arial" w:cs="Arial" w:eastAsia="Arial" w:hAnsi="Arial"/>
          <w:sz w:val="18"/>
          <w:szCs w:val="18"/>
          <w:color w:val="auto"/>
        </w:rPr>
        <w:t>The Goods Warranty will extend to during the Goods Warranty Period (defined below).</w:t>
      </w:r>
    </w:p>
    <w:p>
      <w:pPr>
        <w:ind w:left="260"/>
        <w:spacing w:after="0" w:line="234" w:lineRule="auto"/>
        <w:rPr>
          <w:sz w:val="20"/>
          <w:szCs w:val="20"/>
          <w:color w:val="auto"/>
        </w:rPr>
      </w:pPr>
      <w:r>
        <w:rPr>
          <w:rFonts w:ascii="Arial" w:cs="Arial" w:eastAsia="Arial" w:hAnsi="Arial"/>
          <w:sz w:val="18"/>
          <w:szCs w:val="18"/>
          <w:color w:val="auto"/>
        </w:rPr>
        <w:t>Lucid’s approval of any design, drawing, material, process or specification will not relieve Supplier of any representation or warranty.</w:t>
      </w:r>
    </w:p>
    <w:p>
      <w:pPr>
        <w:spacing w:after="0" w:line="1" w:lineRule="exact"/>
        <w:rPr>
          <w:sz w:val="20"/>
          <w:szCs w:val="20"/>
          <w:color w:val="auto"/>
        </w:rPr>
      </w:pPr>
    </w:p>
    <w:p>
      <w:pPr>
        <w:ind w:left="260"/>
        <w:spacing w:after="0" w:line="250" w:lineRule="auto"/>
        <w:rPr>
          <w:sz w:val="20"/>
          <w:szCs w:val="20"/>
          <w:color w:val="auto"/>
        </w:rPr>
      </w:pPr>
      <w:r>
        <w:rPr>
          <w:rFonts w:ascii="Arial" w:cs="Arial" w:eastAsia="Arial" w:hAnsi="Arial"/>
          <w:sz w:val="18"/>
          <w:szCs w:val="18"/>
          <w:color w:val="auto"/>
        </w:rPr>
        <w:t>Supplier’s warranties shall apply regardless of whether the Goods are produced in whole or in part by Supplier. Supplier’s representations and warranties are not modified, waived or discharged by delivery, inspection, test acceptance or payment of or for the Goods.</w:t>
      </w:r>
    </w:p>
    <w:p>
      <w:pPr>
        <w:spacing w:after="0" w:line="41" w:lineRule="exact"/>
        <w:rPr>
          <w:sz w:val="20"/>
          <w:szCs w:val="20"/>
          <w:color w:val="auto"/>
        </w:rPr>
      </w:pPr>
    </w:p>
    <w:p>
      <w:pPr>
        <w:ind w:left="260"/>
        <w:spacing w:after="0"/>
        <w:tabs>
          <w:tab w:leader="none" w:pos="740" w:val="left"/>
        </w:tabs>
        <w:rPr>
          <w:sz w:val="20"/>
          <w:szCs w:val="20"/>
          <w:color w:val="auto"/>
        </w:rPr>
      </w:pPr>
      <w:r>
        <w:rPr>
          <w:rFonts w:ascii="Arial" w:cs="Arial" w:eastAsia="Arial" w:hAnsi="Arial"/>
          <w:sz w:val="20"/>
          <w:szCs w:val="20"/>
          <w:b w:val="1"/>
          <w:bCs w:val="1"/>
          <w:color w:val="auto"/>
        </w:rPr>
        <w:t>6.6.</w:t>
      </w:r>
      <w:r>
        <w:rPr>
          <w:sz w:val="20"/>
          <w:szCs w:val="20"/>
          <w:color w:val="auto"/>
        </w:rPr>
        <w:tab/>
      </w:r>
      <w:r>
        <w:rPr>
          <w:rFonts w:ascii="Arial" w:cs="Arial" w:eastAsia="Arial" w:hAnsi="Arial"/>
          <w:sz w:val="18"/>
          <w:szCs w:val="18"/>
          <w:b w:val="1"/>
          <w:bCs w:val="1"/>
          <w:color w:val="auto"/>
        </w:rPr>
        <w:t xml:space="preserve">Goods Warranty Period. </w:t>
      </w:r>
      <w:r>
        <w:rPr>
          <w:rFonts w:ascii="Arial" w:cs="Arial" w:eastAsia="Arial" w:hAnsi="Arial"/>
          <w:sz w:val="18"/>
          <w:szCs w:val="18"/>
          <w:color w:val="auto"/>
        </w:rPr>
        <w:t>Unless otherwise explicitly agreed by the Parties in writing, the Goods Warranty provided by Supplier to</w:t>
      </w:r>
    </w:p>
    <w:p>
      <w:pPr>
        <w:ind w:left="260"/>
        <w:spacing w:after="0" w:line="226" w:lineRule="auto"/>
        <w:rPr>
          <w:sz w:val="20"/>
          <w:szCs w:val="20"/>
          <w:color w:val="auto"/>
        </w:rPr>
      </w:pPr>
      <w:r>
        <w:rPr>
          <w:rFonts w:ascii="Arial" w:cs="Arial" w:eastAsia="Arial" w:hAnsi="Arial"/>
          <w:sz w:val="18"/>
          <w:szCs w:val="18"/>
          <w:color w:val="auto"/>
        </w:rPr>
        <w:t>Lucid for the Goods will begin on [***] and expire at [***] (“Goods Warranty Period”). The Parties will engage in a good faith discussion to review the Goods Warranty Period when [***] (“Warranty Period Review”). The purpose of the Warranty Period Review is to discuss</w:t>
      </w:r>
    </w:p>
    <w:p>
      <w:pPr>
        <w:spacing w:after="0" w:line="2" w:lineRule="exact"/>
        <w:rPr>
          <w:sz w:val="20"/>
          <w:szCs w:val="20"/>
          <w:color w:val="auto"/>
        </w:rPr>
      </w:pPr>
    </w:p>
    <w:p>
      <w:pPr>
        <w:ind w:left="260"/>
        <w:spacing w:after="0" w:line="239" w:lineRule="auto"/>
        <w:rPr>
          <w:sz w:val="20"/>
          <w:szCs w:val="20"/>
          <w:color w:val="auto"/>
        </w:rPr>
      </w:pPr>
      <w:r>
        <w:rPr>
          <w:rFonts w:ascii="Arial" w:cs="Arial" w:eastAsia="Arial" w:hAnsi="Arial"/>
          <w:sz w:val="19"/>
          <w:szCs w:val="19"/>
          <w:color w:val="auto"/>
        </w:rPr>
        <w:t>the possibility of extension of the Goods Warranty Period [***] after [***]. For such purpose, Lucid shall, subject to [***], provide Supplier with (i) [***], and (ii) [***]. The warranty of noninfringement of third party Intellectual Property Rights shall [***].</w:t>
      </w:r>
    </w:p>
    <w:p>
      <w:pPr>
        <w:spacing w:after="0" w:line="42" w:lineRule="exact"/>
        <w:rPr>
          <w:sz w:val="20"/>
          <w:szCs w:val="20"/>
          <w:color w:val="auto"/>
        </w:rPr>
      </w:pPr>
    </w:p>
    <w:p>
      <w:pPr>
        <w:ind w:left="400"/>
        <w:spacing w:after="0"/>
        <w:tabs>
          <w:tab w:leader="none" w:pos="820" w:val="left"/>
        </w:tabs>
        <w:rPr>
          <w:sz w:val="20"/>
          <w:szCs w:val="20"/>
          <w:color w:val="auto"/>
        </w:rPr>
      </w:pPr>
      <w:r>
        <w:rPr>
          <w:rFonts w:ascii="Arial" w:cs="Arial" w:eastAsia="Arial" w:hAnsi="Arial"/>
          <w:sz w:val="20"/>
          <w:szCs w:val="20"/>
          <w:b w:val="1"/>
          <w:bCs w:val="1"/>
          <w:color w:val="auto"/>
        </w:rPr>
        <w:t>6.7</w:t>
      </w:r>
      <w:r>
        <w:rPr>
          <w:sz w:val="20"/>
          <w:szCs w:val="20"/>
          <w:color w:val="auto"/>
        </w:rPr>
        <w:tab/>
      </w:r>
      <w:r>
        <w:rPr>
          <w:rFonts w:ascii="Arial" w:cs="Arial" w:eastAsia="Arial" w:hAnsi="Arial"/>
          <w:sz w:val="16"/>
          <w:szCs w:val="16"/>
          <w:b w:val="1"/>
          <w:bCs w:val="1"/>
          <w:color w:val="auto"/>
        </w:rPr>
        <w:t>Exceptions</w:t>
      </w:r>
      <w:r>
        <w:rPr>
          <w:rFonts w:ascii="Arial" w:cs="Arial" w:eastAsia="Arial" w:hAnsi="Arial"/>
          <w:sz w:val="16"/>
          <w:szCs w:val="16"/>
          <w:color w:val="auto"/>
        </w:rPr>
        <w:t>. Except as agreed between the Parties, the Product Warranties shall not apply to:</w:t>
      </w:r>
    </w:p>
    <w:p>
      <w:pPr>
        <w:spacing w:after="0" w:line="87" w:lineRule="exact"/>
        <w:rPr>
          <w:sz w:val="20"/>
          <w:szCs w:val="20"/>
          <w:color w:val="auto"/>
        </w:rPr>
      </w:pPr>
    </w:p>
    <w:p>
      <w:pPr>
        <w:ind w:firstLine="656"/>
        <w:spacing w:after="0" w:line="236" w:lineRule="auto"/>
        <w:tabs>
          <w:tab w:leader="none" w:pos="1144" w:val="left"/>
        </w:tabs>
        <w:numPr>
          <w:ilvl w:val="1"/>
          <w:numId w:val="71"/>
        </w:numPr>
        <w:rPr>
          <w:rFonts w:ascii="Arial" w:cs="Arial" w:eastAsia="Arial" w:hAnsi="Arial"/>
          <w:sz w:val="20"/>
          <w:szCs w:val="20"/>
          <w:b w:val="1"/>
          <w:bCs w:val="1"/>
          <w:color w:val="auto"/>
        </w:rPr>
      </w:pPr>
      <w:r>
        <w:rPr>
          <w:rFonts w:ascii="Arial" w:cs="Arial" w:eastAsia="Arial" w:hAnsi="Arial"/>
          <w:sz w:val="20"/>
          <w:szCs w:val="20"/>
          <w:color w:val="auto"/>
        </w:rPr>
        <w:t>any failure by Lucid to comply with the handling instructions or advice Supplier provides for the Goods, including without limitation, the storage temperature and humidity provisions of the storage conditions set forth in the Specifications;</w:t>
      </w:r>
    </w:p>
    <w:p>
      <w:pPr>
        <w:spacing w:after="0" w:line="47" w:lineRule="exact"/>
        <w:rPr>
          <w:rFonts w:ascii="Arial" w:cs="Arial" w:eastAsia="Arial" w:hAnsi="Arial"/>
          <w:sz w:val="20"/>
          <w:szCs w:val="20"/>
          <w:b w:val="1"/>
          <w:bCs w:val="1"/>
          <w:color w:val="auto"/>
        </w:rPr>
      </w:pPr>
    </w:p>
    <w:p>
      <w:pPr>
        <w:ind w:left="1100" w:hanging="444"/>
        <w:spacing w:after="0"/>
        <w:tabs>
          <w:tab w:leader="none" w:pos="1100" w:val="left"/>
        </w:tabs>
        <w:numPr>
          <w:ilvl w:val="1"/>
          <w:numId w:val="71"/>
        </w:numPr>
        <w:rPr>
          <w:rFonts w:ascii="Arial" w:cs="Arial" w:eastAsia="Arial" w:hAnsi="Arial"/>
          <w:sz w:val="20"/>
          <w:szCs w:val="20"/>
          <w:b w:val="1"/>
          <w:bCs w:val="1"/>
          <w:color w:val="auto"/>
        </w:rPr>
      </w:pPr>
      <w:r>
        <w:rPr>
          <w:rFonts w:ascii="Arial" w:cs="Arial" w:eastAsia="Arial" w:hAnsi="Arial"/>
          <w:sz w:val="20"/>
          <w:szCs w:val="20"/>
          <w:color w:val="auto"/>
        </w:rPr>
        <w:t>normal wear-and-tear arising from operation of the Goods;</w:t>
      </w:r>
    </w:p>
    <w:p>
      <w:pPr>
        <w:spacing w:after="0" w:line="80" w:lineRule="exact"/>
        <w:rPr>
          <w:rFonts w:ascii="Arial" w:cs="Arial" w:eastAsia="Arial" w:hAnsi="Arial"/>
          <w:sz w:val="20"/>
          <w:szCs w:val="20"/>
          <w:b w:val="1"/>
          <w:bCs w:val="1"/>
          <w:color w:val="auto"/>
        </w:rPr>
      </w:pPr>
    </w:p>
    <w:p>
      <w:pPr>
        <w:ind w:left="1080" w:hanging="424"/>
        <w:spacing w:after="0"/>
        <w:tabs>
          <w:tab w:leader="none" w:pos="1080" w:val="left"/>
        </w:tabs>
        <w:numPr>
          <w:ilvl w:val="1"/>
          <w:numId w:val="71"/>
        </w:numPr>
        <w:rPr>
          <w:rFonts w:ascii="Arial" w:cs="Arial" w:eastAsia="Arial" w:hAnsi="Arial"/>
          <w:sz w:val="20"/>
          <w:szCs w:val="20"/>
          <w:b w:val="1"/>
          <w:bCs w:val="1"/>
          <w:color w:val="auto"/>
        </w:rPr>
      </w:pPr>
      <w:r>
        <w:rPr>
          <w:rFonts w:ascii="Arial" w:cs="Arial" w:eastAsia="Arial" w:hAnsi="Arial"/>
          <w:sz w:val="20"/>
          <w:szCs w:val="20"/>
          <w:color w:val="auto"/>
        </w:rPr>
        <w:t>any non-compliance to the extent arising out of Supplier’s compliance with Lucid’s specifications;</w:t>
      </w:r>
    </w:p>
    <w:p>
      <w:pPr>
        <w:spacing w:after="0" w:line="67" w:lineRule="exact"/>
        <w:rPr>
          <w:rFonts w:ascii="Arial" w:cs="Arial" w:eastAsia="Arial" w:hAnsi="Arial"/>
          <w:sz w:val="20"/>
          <w:szCs w:val="20"/>
          <w:b w:val="1"/>
          <w:bCs w:val="1"/>
          <w:color w:val="auto"/>
        </w:rPr>
      </w:pPr>
    </w:p>
    <w:p>
      <w:pPr>
        <w:ind w:left="1100" w:hanging="444"/>
        <w:spacing w:after="0"/>
        <w:tabs>
          <w:tab w:leader="none" w:pos="1100" w:val="left"/>
        </w:tabs>
        <w:numPr>
          <w:ilvl w:val="1"/>
          <w:numId w:val="71"/>
        </w:numPr>
        <w:rPr>
          <w:rFonts w:ascii="Arial" w:cs="Arial" w:eastAsia="Arial" w:hAnsi="Arial"/>
          <w:sz w:val="20"/>
          <w:szCs w:val="20"/>
          <w:b w:val="1"/>
          <w:bCs w:val="1"/>
          <w:color w:val="auto"/>
        </w:rPr>
      </w:pPr>
      <w:r>
        <w:rPr>
          <w:rFonts w:ascii="Arial" w:cs="Arial" w:eastAsia="Arial" w:hAnsi="Arial"/>
          <w:sz w:val="20"/>
          <w:szCs w:val="20"/>
          <w:color w:val="auto"/>
        </w:rPr>
        <w:t>[***];</w:t>
      </w:r>
    </w:p>
    <w:p>
      <w:pPr>
        <w:spacing w:after="0" w:line="80" w:lineRule="exact"/>
        <w:rPr>
          <w:rFonts w:ascii="Arial" w:cs="Arial" w:eastAsia="Arial" w:hAnsi="Arial"/>
          <w:sz w:val="20"/>
          <w:szCs w:val="20"/>
          <w:b w:val="1"/>
          <w:bCs w:val="1"/>
          <w:color w:val="auto"/>
        </w:rPr>
      </w:pPr>
    </w:p>
    <w:p>
      <w:pPr>
        <w:jc w:val="both"/>
        <w:ind w:firstLine="656"/>
        <w:spacing w:after="0" w:line="236" w:lineRule="auto"/>
        <w:tabs>
          <w:tab w:leader="none" w:pos="1092" w:val="left"/>
        </w:tabs>
        <w:numPr>
          <w:ilvl w:val="1"/>
          <w:numId w:val="71"/>
        </w:numPr>
        <w:rPr>
          <w:rFonts w:ascii="Arial" w:cs="Arial" w:eastAsia="Arial" w:hAnsi="Arial"/>
          <w:sz w:val="18"/>
          <w:szCs w:val="18"/>
          <w:b w:val="1"/>
          <w:bCs w:val="1"/>
          <w:color w:val="auto"/>
        </w:rPr>
      </w:pPr>
      <w:r>
        <w:rPr>
          <w:rFonts w:ascii="Arial" w:cs="Arial" w:eastAsia="Arial" w:hAnsi="Arial"/>
          <w:sz w:val="18"/>
          <w:szCs w:val="18"/>
          <w:color w:val="auto"/>
        </w:rPr>
        <w:t>any defects in the Goods caused by (i) [***], (ii) [***], (iii) [***], (iv) wet conditions, an impact force of shock, (v) accident, misuse, neglect, abuse, mishandling, misapplication, modification, alteration, acts of God or improper installation, service or maintenance,</w:t>
      </w:r>
    </w:p>
    <w:p>
      <w:pPr>
        <w:ind w:left="360" w:hanging="352"/>
        <w:spacing w:after="0" w:line="234" w:lineRule="auto"/>
        <w:tabs>
          <w:tab w:leader="none" w:pos="3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any failure due to an external natural phenomena or an animal, bird or insect the presence of which [***], or (vii) dust, chemicals, oils,</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salt water and sun light in excess of [***]; or</w:t>
      </w:r>
    </w:p>
    <w:p>
      <w:pPr>
        <w:spacing w:after="0" w:line="65" w:lineRule="exact"/>
        <w:rPr>
          <w:sz w:val="20"/>
          <w:szCs w:val="20"/>
          <w:color w:val="auto"/>
        </w:rPr>
      </w:pPr>
    </w:p>
    <w:p>
      <w:pPr>
        <w:ind w:left="1060" w:hanging="404"/>
        <w:spacing w:after="0"/>
        <w:tabs>
          <w:tab w:leader="none" w:pos="1060" w:val="left"/>
        </w:tabs>
        <w:numPr>
          <w:ilvl w:val="0"/>
          <w:numId w:val="73"/>
        </w:numPr>
        <w:rPr>
          <w:rFonts w:ascii="Arial" w:cs="Arial" w:eastAsia="Arial" w:hAnsi="Arial"/>
          <w:sz w:val="20"/>
          <w:szCs w:val="20"/>
          <w:b w:val="1"/>
          <w:bCs w:val="1"/>
          <w:color w:val="auto"/>
        </w:rPr>
      </w:pPr>
      <w:r>
        <w:rPr>
          <w:rFonts w:ascii="Arial" w:cs="Arial" w:eastAsia="Arial" w:hAnsi="Arial"/>
          <w:sz w:val="20"/>
          <w:szCs w:val="20"/>
          <w:color w:val="auto"/>
        </w:rPr>
        <w:t>[***].</w:t>
      </w:r>
    </w:p>
    <w:p>
      <w:pPr>
        <w:spacing w:after="0" w:line="61" w:lineRule="exact"/>
        <w:rPr>
          <w:sz w:val="20"/>
          <w:szCs w:val="20"/>
          <w:color w:val="auto"/>
        </w:rPr>
      </w:pPr>
    </w:p>
    <w:p>
      <w:pPr>
        <w:jc w:val="both"/>
        <w:ind w:left="400"/>
        <w:spacing w:after="0" w:line="230" w:lineRule="auto"/>
        <w:rPr>
          <w:sz w:val="20"/>
          <w:szCs w:val="20"/>
          <w:color w:val="auto"/>
        </w:rPr>
      </w:pPr>
      <w:r>
        <w:rPr>
          <w:rFonts w:ascii="Arial" w:cs="Arial" w:eastAsia="Arial" w:hAnsi="Arial"/>
          <w:sz w:val="20"/>
          <w:szCs w:val="20"/>
          <w:b w:val="1"/>
          <w:bCs w:val="1"/>
          <w:color w:val="auto"/>
        </w:rPr>
        <w:t>6.8 EXCEPT AS EXPRESSLY SET FORTH HEREIN, SUPPLIER MAKES NO REPRESENTATIONS OR WARRANTIES, EXPRESS OR IMPLIED, WITH RESPECT TO THE GOODS, INCLUDING, BUT NOT LIMITED TO, THE IMPLIED WARRANTIES OF MERCHANTABILITY AND OF FITNESS FOR A PARTICULAR PURPOSE.</w:t>
      </w:r>
    </w:p>
    <w:p>
      <w:pPr>
        <w:spacing w:after="0" w:line="41" w:lineRule="exact"/>
        <w:rPr>
          <w:sz w:val="20"/>
          <w:szCs w:val="20"/>
          <w:color w:val="auto"/>
        </w:rPr>
      </w:pPr>
    </w:p>
    <w:p>
      <w:pPr>
        <w:jc w:val="both"/>
        <w:ind w:left="400"/>
        <w:spacing w:after="0" w:line="247" w:lineRule="auto"/>
        <w:rPr>
          <w:sz w:val="20"/>
          <w:szCs w:val="20"/>
          <w:color w:val="auto"/>
        </w:rPr>
      </w:pPr>
      <w:r>
        <w:rPr>
          <w:rFonts w:ascii="Arial" w:cs="Arial" w:eastAsia="Arial" w:hAnsi="Arial"/>
          <w:sz w:val="18"/>
          <w:szCs w:val="18"/>
          <w:b w:val="1"/>
          <w:bCs w:val="1"/>
          <w:color w:val="auto"/>
        </w:rPr>
        <w:t xml:space="preserve">6.9 Supplier Notice; Corrective Action. </w:t>
      </w:r>
      <w:r>
        <w:rPr>
          <w:rFonts w:ascii="Arial" w:cs="Arial" w:eastAsia="Arial" w:hAnsi="Arial"/>
          <w:sz w:val="18"/>
          <w:szCs w:val="18"/>
          <w:color w:val="auto"/>
        </w:rPr>
        <w:t>Supplier must immediately notify Lucid when Supplier has reason to believe that the Goods</w:t>
      </w:r>
      <w:r>
        <w:rPr>
          <w:rFonts w:ascii="Arial" w:cs="Arial" w:eastAsia="Arial" w:hAnsi="Arial"/>
          <w:sz w:val="18"/>
          <w:szCs w:val="18"/>
          <w:b w:val="1"/>
          <w:bCs w:val="1"/>
          <w:color w:val="auto"/>
        </w:rPr>
        <w:t xml:space="preserve"> </w:t>
      </w:r>
      <w:r>
        <w:rPr>
          <w:rFonts w:ascii="Arial" w:cs="Arial" w:eastAsia="Arial" w:hAnsi="Arial"/>
          <w:sz w:val="18"/>
          <w:szCs w:val="18"/>
          <w:color w:val="auto"/>
        </w:rPr>
        <w:t>or any component, material, design or defect in the Goods may cause harm to persons or property or fails to comply with the</w:t>
      </w:r>
    </w:p>
    <w:p>
      <w:pPr>
        <w:spacing w:after="0" w:line="1" w:lineRule="exact"/>
        <w:rPr>
          <w:sz w:val="20"/>
          <w:szCs w:val="20"/>
          <w:color w:val="auto"/>
        </w:rPr>
      </w:pPr>
    </w:p>
    <w:p>
      <w:pPr>
        <w:jc w:val="both"/>
        <w:ind w:left="400"/>
        <w:spacing w:after="0" w:line="226" w:lineRule="auto"/>
        <w:rPr>
          <w:sz w:val="20"/>
          <w:szCs w:val="20"/>
          <w:color w:val="auto"/>
        </w:rPr>
      </w:pPr>
      <w:r>
        <w:rPr>
          <w:rFonts w:ascii="Arial" w:cs="Arial" w:eastAsia="Arial" w:hAnsi="Arial"/>
          <w:sz w:val="18"/>
          <w:szCs w:val="18"/>
          <w:color w:val="auto"/>
        </w:rPr>
        <w:t>Specifications or any other requirement in the Agreement. Upon such realization, Supplier will take the following corrective actions (each a “</w:t>
      </w:r>
      <w:r>
        <w:rPr>
          <w:rFonts w:ascii="Arial" w:cs="Arial" w:eastAsia="Arial" w:hAnsi="Arial"/>
          <w:sz w:val="18"/>
          <w:szCs w:val="18"/>
          <w:b w:val="1"/>
          <w:bCs w:val="1"/>
          <w:color w:val="auto"/>
        </w:rPr>
        <w:t>Corrective Action</w:t>
      </w:r>
      <w:r>
        <w:rPr>
          <w:rFonts w:ascii="Arial" w:cs="Arial" w:eastAsia="Arial" w:hAnsi="Arial"/>
          <w:sz w:val="18"/>
          <w:szCs w:val="18"/>
          <w:color w:val="auto"/>
        </w:rPr>
        <w:t>” and collectively, “</w:t>
      </w:r>
      <w:r>
        <w:rPr>
          <w:rFonts w:ascii="Arial" w:cs="Arial" w:eastAsia="Arial" w:hAnsi="Arial"/>
          <w:sz w:val="18"/>
          <w:szCs w:val="18"/>
          <w:b w:val="1"/>
          <w:bCs w:val="1"/>
          <w:color w:val="auto"/>
        </w:rPr>
        <w:t>Corrective Actions</w:t>
      </w:r>
      <w:r>
        <w:rPr>
          <w:rFonts w:ascii="Arial" w:cs="Arial" w:eastAsia="Arial" w:hAnsi="Arial"/>
          <w:sz w:val="18"/>
          <w:szCs w:val="18"/>
          <w:color w:val="auto"/>
        </w:rPr>
        <w:t>”), in addition to any other obligations required under the</w:t>
      </w:r>
    </w:p>
    <w:p>
      <w:pPr>
        <w:ind w:left="400"/>
        <w:spacing w:after="0" w:line="236" w:lineRule="auto"/>
        <w:rPr>
          <w:sz w:val="20"/>
          <w:szCs w:val="20"/>
          <w:color w:val="auto"/>
        </w:rPr>
      </w:pPr>
      <w:r>
        <w:rPr>
          <w:rFonts w:ascii="Arial" w:cs="Arial" w:eastAsia="Arial" w:hAnsi="Arial"/>
          <w:sz w:val="18"/>
          <w:szCs w:val="18"/>
          <w:color w:val="auto"/>
        </w:rPr>
        <w:t>Agreement: (i) promptly investigate and identify the root cause of the issue; (ii) develop and implement a corrective action plan and</w:t>
      </w:r>
    </w:p>
    <w:p>
      <w:pPr>
        <w:spacing w:after="0" w:line="1" w:lineRule="exact"/>
        <w:rPr>
          <w:sz w:val="20"/>
          <w:szCs w:val="20"/>
          <w:color w:val="auto"/>
        </w:rPr>
      </w:pPr>
    </w:p>
    <w:p>
      <w:pPr>
        <w:jc w:val="both"/>
        <w:ind w:left="400"/>
        <w:spacing w:after="0" w:line="226" w:lineRule="auto"/>
        <w:rPr>
          <w:sz w:val="20"/>
          <w:szCs w:val="20"/>
          <w:color w:val="auto"/>
        </w:rPr>
      </w:pPr>
      <w:r>
        <w:rPr>
          <w:rFonts w:ascii="Arial" w:cs="Arial" w:eastAsia="Arial" w:hAnsi="Arial"/>
          <w:sz w:val="18"/>
          <w:szCs w:val="18"/>
          <w:color w:val="auto"/>
        </w:rPr>
        <w:t>process for avoiding future occurrences of the problem; (iii) report at regular intervals Supplier’s progress in completing the foregoing, and promptly and completely responding to Lucid’s inquiries and requests for information; (iv) resume production with corrective</w:t>
      </w:r>
    </w:p>
    <w:p>
      <w:pPr>
        <w:spacing w:after="0" w:line="2" w:lineRule="exact"/>
        <w:rPr>
          <w:sz w:val="20"/>
          <w:szCs w:val="20"/>
          <w:color w:val="auto"/>
        </w:rPr>
      </w:pPr>
    </w:p>
    <w:p>
      <w:pPr>
        <w:ind w:left="400"/>
        <w:spacing w:after="0"/>
        <w:rPr>
          <w:sz w:val="20"/>
          <w:szCs w:val="20"/>
          <w:color w:val="auto"/>
        </w:rPr>
      </w:pPr>
      <w:r>
        <w:rPr>
          <w:rFonts w:ascii="Arial" w:cs="Arial" w:eastAsia="Arial" w:hAnsi="Arial"/>
          <w:sz w:val="20"/>
          <w:szCs w:val="20"/>
          <w:color w:val="auto"/>
        </w:rPr>
        <w:t>actions in place; and (v) provide written recommendations for future improvements regarding the issue(s).</w:t>
      </w:r>
    </w:p>
    <w:p>
      <w:pPr>
        <w:spacing w:after="0" w:line="59" w:lineRule="exact"/>
        <w:rPr>
          <w:sz w:val="20"/>
          <w:szCs w:val="20"/>
          <w:color w:val="auto"/>
        </w:rPr>
      </w:pPr>
    </w:p>
    <w:p>
      <w:pPr>
        <w:jc w:val="both"/>
        <w:ind w:left="400"/>
        <w:spacing w:after="0" w:line="239" w:lineRule="auto"/>
        <w:rPr>
          <w:sz w:val="20"/>
          <w:szCs w:val="20"/>
          <w:color w:val="auto"/>
        </w:rPr>
      </w:pPr>
      <w:r>
        <w:rPr>
          <w:rFonts w:ascii="Arial" w:cs="Arial" w:eastAsia="Arial" w:hAnsi="Arial"/>
          <w:sz w:val="18"/>
          <w:szCs w:val="18"/>
          <w:b w:val="1"/>
          <w:bCs w:val="1"/>
          <w:color w:val="auto"/>
        </w:rPr>
        <w:t xml:space="preserve">6.10 Lucid Corrective Actions. </w:t>
      </w:r>
      <w:r>
        <w:rPr>
          <w:rFonts w:ascii="Arial" w:cs="Arial" w:eastAsia="Arial" w:hAnsi="Arial"/>
          <w:sz w:val="18"/>
          <w:szCs w:val="18"/>
          <w:color w:val="auto"/>
        </w:rPr>
        <w:t>Lucid may initiate a Corrective Action or Field Service Action with respect to the defective Goods</w:t>
      </w:r>
      <w:r>
        <w:rPr>
          <w:rFonts w:ascii="Arial" w:cs="Arial" w:eastAsia="Arial" w:hAnsi="Arial"/>
          <w:sz w:val="18"/>
          <w:szCs w:val="18"/>
          <w:b w:val="1"/>
          <w:bCs w:val="1"/>
          <w:color w:val="auto"/>
        </w:rPr>
        <w:t xml:space="preserve"> </w:t>
      </w:r>
      <w:r>
        <w:rPr>
          <w:rFonts w:ascii="Arial" w:cs="Arial" w:eastAsia="Arial" w:hAnsi="Arial"/>
          <w:sz w:val="18"/>
          <w:szCs w:val="18"/>
          <w:color w:val="auto"/>
        </w:rPr>
        <w:t>delivered to Lucid (i) in response to a mandatory Government Requirement, or (ii) if such Corrective Action or Field Service Action is</w:t>
      </w:r>
    </w:p>
    <w:p>
      <w:pPr>
        <w:spacing w:after="0" w:line="1" w:lineRule="exact"/>
        <w:rPr>
          <w:sz w:val="20"/>
          <w:szCs w:val="20"/>
          <w:color w:val="auto"/>
        </w:rPr>
      </w:pPr>
    </w:p>
    <w:p>
      <w:pPr>
        <w:ind w:left="400"/>
        <w:spacing w:after="0"/>
        <w:rPr>
          <w:sz w:val="20"/>
          <w:szCs w:val="20"/>
          <w:color w:val="auto"/>
        </w:rPr>
      </w:pPr>
      <w:r>
        <w:rPr>
          <w:rFonts w:ascii="Arial" w:cs="Arial" w:eastAsia="Arial" w:hAnsi="Arial"/>
          <w:sz w:val="19"/>
          <w:szCs w:val="19"/>
          <w:color w:val="auto"/>
        </w:rPr>
        <w:t>advisable in the reasonable opinion of either Party. In any case, Lucid shall promptly notify Supplier in writing if it attempts to</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181610</wp:posOffset>
            </wp:positionV>
            <wp:extent cx="713232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44" w:lineRule="exact"/>
        <w:rPr>
          <w:sz w:val="20"/>
          <w:szCs w:val="20"/>
          <w:color w:val="auto"/>
        </w:rPr>
      </w:pPr>
    </w:p>
    <w:p>
      <w:pPr>
        <w:spacing w:after="0"/>
        <w:tabs>
          <w:tab w:leader="none" w:pos="1880" w:val="left"/>
        </w:tabs>
        <w:rPr>
          <w:sz w:val="20"/>
          <w:szCs w:val="20"/>
          <w:color w:val="auto"/>
        </w:rPr>
      </w:pPr>
      <w:r>
        <w:rPr>
          <w:rFonts w:ascii="Arial" w:cs="Arial" w:eastAsia="Arial" w:hAnsi="Arial"/>
          <w:sz w:val="20"/>
          <w:szCs w:val="20"/>
          <w:color w:val="auto"/>
        </w:rPr>
        <w:t>Lucid Confidential</w:t>
      </w:r>
      <w:r>
        <w:rPr>
          <w:sz w:val="20"/>
          <w:szCs w:val="20"/>
          <w:color w:val="auto"/>
        </w:rPr>
        <w:tab/>
      </w:r>
      <w:r>
        <w:rPr>
          <w:rFonts w:ascii="Arial" w:cs="Arial" w:eastAsia="Arial" w:hAnsi="Arial"/>
          <w:sz w:val="16"/>
          <w:szCs w:val="16"/>
          <w:color w:val="auto"/>
        </w:rPr>
        <w:t>Parts GTC rev. October 2020</w:t>
      </w:r>
    </w:p>
    <w:p>
      <w:pPr>
        <w:sectPr>
          <w:pgSz w:w="11900" w:h="16838" w:orient="portrait"/>
          <w:cols w:equalWidth="0" w:num="1">
            <w:col w:w="11240"/>
          </w:cols>
          <w:pgMar w:left="320" w:top="1440" w:right="339" w:bottom="1440" w:gutter="0" w:footer="0" w:header="0"/>
        </w:sectPr>
      </w:pPr>
    </w:p>
    <w:bookmarkStart w:id="141" w:name="page142"/>
    <w:bookmarkEnd w:id="141"/>
    <w:p>
      <w:pPr>
        <w:spacing w:after="0" w:line="74" w:lineRule="exact"/>
        <w:rPr>
          <w:sz w:val="20"/>
          <w:szCs w:val="20"/>
          <w:color w:val="auto"/>
        </w:rPr>
      </w:pPr>
    </w:p>
    <w:p>
      <w:pPr>
        <w:ind w:left="400"/>
        <w:spacing w:after="0"/>
        <w:rPr>
          <w:sz w:val="20"/>
          <w:szCs w:val="20"/>
          <w:color w:val="auto"/>
        </w:rPr>
      </w:pPr>
      <w:r>
        <w:rPr>
          <w:rFonts w:ascii="Arial" w:cs="Arial" w:eastAsia="Arial" w:hAnsi="Arial"/>
          <w:sz w:val="19"/>
          <w:szCs w:val="19"/>
          <w:color w:val="auto"/>
        </w:rPr>
        <w:t>conduct any Corrective Action or the Field Service Action with respect to the delivered Goods, and its expectation of Supplier</w:t>
      </w:r>
    </w:p>
    <w:p>
      <w:pPr>
        <w:ind w:left="400"/>
        <w:spacing w:after="0" w:line="226" w:lineRule="auto"/>
        <w:rPr>
          <w:sz w:val="20"/>
          <w:szCs w:val="20"/>
          <w:color w:val="auto"/>
        </w:rPr>
      </w:pPr>
      <w:r>
        <w:rPr>
          <w:rFonts w:ascii="Arial" w:cs="Arial" w:eastAsia="Arial" w:hAnsi="Arial"/>
          <w:sz w:val="18"/>
          <w:szCs w:val="18"/>
          <w:color w:val="auto"/>
        </w:rPr>
        <w:t>cooperation in completing the Field Service Action. The Parties shall discuss in good faith and work together on the action plans and the estimated costs of such Corrective Action or Field Service Action, and the allocation of costs based on root cause analysis. Lucid shall</w:t>
      </w:r>
    </w:p>
    <w:p>
      <w:pPr>
        <w:spacing w:after="0" w:line="2" w:lineRule="exact"/>
        <w:rPr>
          <w:sz w:val="20"/>
          <w:szCs w:val="20"/>
          <w:color w:val="auto"/>
        </w:rPr>
      </w:pPr>
    </w:p>
    <w:p>
      <w:pPr>
        <w:ind w:left="400"/>
        <w:spacing w:after="0" w:line="227" w:lineRule="auto"/>
        <w:rPr>
          <w:sz w:val="20"/>
          <w:szCs w:val="20"/>
          <w:color w:val="auto"/>
        </w:rPr>
      </w:pPr>
      <w:r>
        <w:rPr>
          <w:rFonts w:ascii="Arial" w:cs="Arial" w:eastAsia="Arial" w:hAnsi="Arial"/>
          <w:sz w:val="20"/>
          <w:szCs w:val="20"/>
          <w:color w:val="auto"/>
        </w:rPr>
        <w:t>use its commercially reasonable efforts to limit the number of Lucid’s vehicles covered by such Corrective Action or Field Service Action based on its traceability of the Goods in the Battery Modules.</w:t>
      </w:r>
    </w:p>
    <w:p>
      <w:pPr>
        <w:spacing w:after="0" w:line="42"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b w:val="1"/>
          <w:bCs w:val="1"/>
          <w:color w:val="auto"/>
        </w:rPr>
        <w:t>7.</w:t>
      </w:r>
      <w:r>
        <w:rPr>
          <w:sz w:val="20"/>
          <w:szCs w:val="20"/>
          <w:color w:val="auto"/>
        </w:rPr>
        <w:tab/>
      </w:r>
      <w:r>
        <w:rPr>
          <w:rFonts w:ascii="Arial" w:cs="Arial" w:eastAsia="Arial" w:hAnsi="Arial"/>
          <w:sz w:val="19"/>
          <w:szCs w:val="19"/>
          <w:b w:val="1"/>
          <w:bCs w:val="1"/>
          <w:color w:val="auto"/>
        </w:rPr>
        <w:t>REMEDIES</w:t>
      </w:r>
    </w:p>
    <w:p>
      <w:pPr>
        <w:spacing w:after="0" w:line="81" w:lineRule="exact"/>
        <w:rPr>
          <w:sz w:val="20"/>
          <w:szCs w:val="20"/>
          <w:color w:val="auto"/>
        </w:rPr>
      </w:pPr>
    </w:p>
    <w:p>
      <w:pPr>
        <w:ind w:left="260"/>
        <w:spacing w:after="0" w:line="264" w:lineRule="auto"/>
        <w:rPr>
          <w:sz w:val="20"/>
          <w:szCs w:val="20"/>
          <w:color w:val="auto"/>
        </w:rPr>
      </w:pPr>
      <w:r>
        <w:rPr>
          <w:rFonts w:ascii="Arial" w:cs="Arial" w:eastAsia="Arial" w:hAnsi="Arial"/>
          <w:sz w:val="19"/>
          <w:szCs w:val="19"/>
          <w:b w:val="1"/>
          <w:bCs w:val="1"/>
          <w:color w:val="auto"/>
        </w:rPr>
        <w:t xml:space="preserve">7.1. Failure to Deliver Goods. </w:t>
      </w:r>
      <w:r>
        <w:rPr>
          <w:rFonts w:ascii="Arial" w:cs="Arial" w:eastAsia="Arial" w:hAnsi="Arial"/>
          <w:sz w:val="19"/>
          <w:szCs w:val="19"/>
          <w:color w:val="auto"/>
        </w:rPr>
        <w:t>If Supplier is unable to supply the agreed quantities of Goods by the agreed delivery dates, for reasons</w:t>
      </w:r>
      <w:r>
        <w:rPr>
          <w:rFonts w:ascii="Arial" w:cs="Arial" w:eastAsia="Arial" w:hAnsi="Arial"/>
          <w:sz w:val="19"/>
          <w:szCs w:val="19"/>
          <w:b w:val="1"/>
          <w:bCs w:val="1"/>
          <w:color w:val="auto"/>
        </w:rPr>
        <w:t xml:space="preserve"> </w:t>
      </w:r>
      <w:r>
        <w:rPr>
          <w:rFonts w:ascii="Arial" w:cs="Arial" w:eastAsia="Arial" w:hAnsi="Arial"/>
          <w:sz w:val="19"/>
          <w:szCs w:val="19"/>
          <w:color w:val="auto"/>
        </w:rPr>
        <w:t>other than [***], the Parties will [***], in each case in order to minimize any delays of Lucid’s vehicle production line.</w:t>
      </w:r>
    </w:p>
    <w:p>
      <w:pPr>
        <w:spacing w:after="0" w:line="19" w:lineRule="exact"/>
        <w:rPr>
          <w:sz w:val="20"/>
          <w:szCs w:val="20"/>
          <w:color w:val="auto"/>
        </w:rPr>
      </w:pPr>
    </w:p>
    <w:p>
      <w:pPr>
        <w:ind w:left="260" w:right="20"/>
        <w:spacing w:after="0" w:line="239" w:lineRule="auto"/>
        <w:rPr>
          <w:sz w:val="20"/>
          <w:szCs w:val="20"/>
          <w:color w:val="auto"/>
        </w:rPr>
      </w:pPr>
      <w:r>
        <w:rPr>
          <w:rFonts w:ascii="Arial" w:cs="Arial" w:eastAsia="Arial" w:hAnsi="Arial"/>
          <w:sz w:val="20"/>
          <w:szCs w:val="20"/>
          <w:b w:val="1"/>
          <w:bCs w:val="1"/>
          <w:color w:val="auto"/>
        </w:rPr>
        <w:t xml:space="preserve">7.2. Non-Conforming Goods Costs. </w:t>
      </w:r>
      <w:r>
        <w:rPr>
          <w:rFonts w:ascii="Arial" w:cs="Arial" w:eastAsia="Arial" w:hAnsi="Arial"/>
          <w:sz w:val="20"/>
          <w:szCs w:val="20"/>
          <w:color w:val="auto"/>
        </w:rPr>
        <w:t>Supplier shall be liable for the costs and expenses arising in connection with the Goods failing to</w:t>
      </w:r>
      <w:r>
        <w:rPr>
          <w:rFonts w:ascii="Arial" w:cs="Arial" w:eastAsia="Arial" w:hAnsi="Arial"/>
          <w:sz w:val="20"/>
          <w:szCs w:val="20"/>
          <w:b w:val="1"/>
          <w:bCs w:val="1"/>
          <w:color w:val="auto"/>
        </w:rPr>
        <w:t xml:space="preserve"> </w:t>
      </w:r>
      <w:r>
        <w:rPr>
          <w:rFonts w:ascii="Arial" w:cs="Arial" w:eastAsia="Arial" w:hAnsi="Arial"/>
          <w:sz w:val="20"/>
          <w:szCs w:val="20"/>
          <w:color w:val="auto"/>
        </w:rPr>
        <w:t>conform to [***].</w:t>
      </w:r>
    </w:p>
    <w:p>
      <w:pPr>
        <w:spacing w:after="0" w:line="55" w:lineRule="exact"/>
        <w:rPr>
          <w:sz w:val="20"/>
          <w:szCs w:val="20"/>
          <w:color w:val="auto"/>
        </w:rPr>
      </w:pPr>
    </w:p>
    <w:p>
      <w:pPr>
        <w:jc w:val="both"/>
        <w:ind w:left="260"/>
        <w:spacing w:after="0" w:line="227" w:lineRule="auto"/>
        <w:rPr>
          <w:sz w:val="20"/>
          <w:szCs w:val="20"/>
          <w:color w:val="auto"/>
        </w:rPr>
      </w:pPr>
      <w:r>
        <w:rPr>
          <w:rFonts w:ascii="Arial" w:cs="Arial" w:eastAsia="Arial" w:hAnsi="Arial"/>
          <w:sz w:val="19"/>
          <w:szCs w:val="19"/>
          <w:b w:val="1"/>
          <w:bCs w:val="1"/>
          <w:color w:val="auto"/>
        </w:rPr>
        <w:t xml:space="preserve">7.3. Field Service Action. </w:t>
      </w:r>
      <w:r>
        <w:rPr>
          <w:rFonts w:ascii="Arial" w:cs="Arial" w:eastAsia="Arial" w:hAnsi="Arial"/>
          <w:sz w:val="19"/>
          <w:szCs w:val="19"/>
          <w:color w:val="auto"/>
        </w:rPr>
        <w:t>Responsibility for any Field Service Action shall [***]. Supplier shall [***]. If [***], Supplier’s liability will</w:t>
      </w:r>
      <w:r>
        <w:rPr>
          <w:rFonts w:ascii="Arial" w:cs="Arial" w:eastAsia="Arial" w:hAnsi="Arial"/>
          <w:sz w:val="19"/>
          <w:szCs w:val="19"/>
          <w:b w:val="1"/>
          <w:bCs w:val="1"/>
          <w:color w:val="auto"/>
        </w:rPr>
        <w:t xml:space="preserve"> </w:t>
      </w:r>
      <w:r>
        <w:rPr>
          <w:rFonts w:ascii="Arial" w:cs="Arial" w:eastAsia="Arial" w:hAnsi="Arial"/>
          <w:sz w:val="19"/>
          <w:szCs w:val="19"/>
          <w:color w:val="auto"/>
        </w:rPr>
        <w:t>[***]. For the avoidance of doubt, provided that Lucid performs its obligation to notify and discuss with Supplier under Section 6.10,</w:t>
      </w:r>
    </w:p>
    <w:p>
      <w:pPr>
        <w:ind w:left="260"/>
        <w:spacing w:after="0"/>
        <w:rPr>
          <w:sz w:val="20"/>
          <w:szCs w:val="20"/>
          <w:color w:val="auto"/>
        </w:rPr>
      </w:pPr>
      <w:r>
        <w:rPr>
          <w:rFonts w:ascii="Arial" w:cs="Arial" w:eastAsia="Arial" w:hAnsi="Arial"/>
          <w:sz w:val="20"/>
          <w:szCs w:val="20"/>
          <w:color w:val="auto"/>
        </w:rPr>
        <w:t>nothing in this Agreement shall [***].</w:t>
      </w:r>
    </w:p>
    <w:p>
      <w:pPr>
        <w:spacing w:after="0" w:line="59" w:lineRule="exact"/>
        <w:rPr>
          <w:sz w:val="20"/>
          <w:szCs w:val="20"/>
          <w:color w:val="auto"/>
        </w:rPr>
      </w:pPr>
    </w:p>
    <w:p>
      <w:pPr>
        <w:ind w:left="260"/>
        <w:spacing w:after="0"/>
        <w:tabs>
          <w:tab w:leader="none" w:pos="740" w:val="left"/>
        </w:tabs>
        <w:rPr>
          <w:sz w:val="20"/>
          <w:szCs w:val="20"/>
          <w:color w:val="auto"/>
        </w:rPr>
      </w:pPr>
      <w:r>
        <w:rPr>
          <w:rFonts w:ascii="Arial" w:cs="Arial" w:eastAsia="Arial" w:hAnsi="Arial"/>
          <w:sz w:val="20"/>
          <w:szCs w:val="20"/>
          <w:b w:val="1"/>
          <w:bCs w:val="1"/>
          <w:color w:val="auto"/>
        </w:rPr>
        <w:t>7.4.</w:t>
      </w:r>
      <w:r>
        <w:rPr>
          <w:sz w:val="20"/>
          <w:szCs w:val="20"/>
          <w:color w:val="auto"/>
        </w:rPr>
        <w:tab/>
      </w:r>
      <w:r>
        <w:rPr>
          <w:rFonts w:ascii="Arial" w:cs="Arial" w:eastAsia="Arial" w:hAnsi="Arial"/>
          <w:sz w:val="16"/>
          <w:szCs w:val="16"/>
          <w:b w:val="1"/>
          <w:bCs w:val="1"/>
          <w:color w:val="auto"/>
        </w:rPr>
        <w:t>Sharing of information with Respect to Incidents.</w:t>
      </w:r>
    </w:p>
    <w:p>
      <w:pPr>
        <w:spacing w:after="0" w:line="73" w:lineRule="exact"/>
        <w:rPr>
          <w:sz w:val="20"/>
          <w:szCs w:val="20"/>
          <w:color w:val="auto"/>
        </w:rPr>
      </w:pPr>
    </w:p>
    <w:p>
      <w:pPr>
        <w:ind w:left="1080" w:hanging="424"/>
        <w:spacing w:after="0"/>
        <w:tabs>
          <w:tab w:leader="none" w:pos="1080" w:val="left"/>
        </w:tabs>
        <w:numPr>
          <w:ilvl w:val="0"/>
          <w:numId w:val="74"/>
        </w:numPr>
        <w:rPr>
          <w:rFonts w:ascii="Arial" w:cs="Arial" w:eastAsia="Arial" w:hAnsi="Arial"/>
          <w:sz w:val="20"/>
          <w:szCs w:val="20"/>
          <w:b w:val="1"/>
          <w:bCs w:val="1"/>
          <w:color w:val="auto"/>
        </w:rPr>
      </w:pPr>
      <w:r>
        <w:rPr>
          <w:rFonts w:ascii="Arial" w:cs="Arial" w:eastAsia="Arial" w:hAnsi="Arial"/>
          <w:sz w:val="20"/>
          <w:szCs w:val="20"/>
          <w:color w:val="auto"/>
        </w:rPr>
        <w:t>In the event of [***].</w:t>
      </w:r>
    </w:p>
    <w:p>
      <w:pPr>
        <w:spacing w:after="0" w:line="80" w:lineRule="exact"/>
        <w:rPr>
          <w:rFonts w:ascii="Arial" w:cs="Arial" w:eastAsia="Arial" w:hAnsi="Arial"/>
          <w:sz w:val="20"/>
          <w:szCs w:val="20"/>
          <w:b w:val="1"/>
          <w:bCs w:val="1"/>
          <w:color w:val="auto"/>
        </w:rPr>
      </w:pPr>
    </w:p>
    <w:p>
      <w:pPr>
        <w:ind w:left="1140" w:hanging="484"/>
        <w:spacing w:after="0"/>
        <w:tabs>
          <w:tab w:leader="none" w:pos="1140" w:val="left"/>
        </w:tabs>
        <w:numPr>
          <w:ilvl w:val="0"/>
          <w:numId w:val="74"/>
        </w:numPr>
        <w:rPr>
          <w:rFonts w:ascii="Arial" w:cs="Arial" w:eastAsia="Arial" w:hAnsi="Arial"/>
          <w:sz w:val="20"/>
          <w:szCs w:val="20"/>
          <w:b w:val="1"/>
          <w:bCs w:val="1"/>
          <w:color w:val="auto"/>
        </w:rPr>
      </w:pPr>
      <w:r>
        <w:rPr>
          <w:rFonts w:ascii="Arial" w:cs="Arial" w:eastAsia="Arial" w:hAnsi="Arial"/>
          <w:sz w:val="20"/>
          <w:szCs w:val="20"/>
          <w:color w:val="auto"/>
        </w:rPr>
        <w:t>In the event of [***]</w:t>
      </w:r>
    </w:p>
    <w:p>
      <w:pPr>
        <w:spacing w:after="0" w:line="80" w:lineRule="exact"/>
        <w:rPr>
          <w:rFonts w:ascii="Arial" w:cs="Arial" w:eastAsia="Arial" w:hAnsi="Arial"/>
          <w:sz w:val="20"/>
          <w:szCs w:val="20"/>
          <w:b w:val="1"/>
          <w:bCs w:val="1"/>
          <w:color w:val="auto"/>
        </w:rPr>
      </w:pPr>
    </w:p>
    <w:p>
      <w:pPr>
        <w:ind w:left="1080" w:hanging="424"/>
        <w:spacing w:after="0"/>
        <w:tabs>
          <w:tab w:leader="none" w:pos="1080" w:val="left"/>
        </w:tabs>
        <w:numPr>
          <w:ilvl w:val="0"/>
          <w:numId w:val="74"/>
        </w:numPr>
        <w:rPr>
          <w:rFonts w:ascii="Arial" w:cs="Arial" w:eastAsia="Arial" w:hAnsi="Arial"/>
          <w:sz w:val="20"/>
          <w:szCs w:val="20"/>
          <w:b w:val="1"/>
          <w:bCs w:val="1"/>
          <w:color w:val="auto"/>
        </w:rPr>
      </w:pPr>
      <w:r>
        <w:rPr>
          <w:rFonts w:ascii="Arial" w:cs="Arial" w:eastAsia="Arial" w:hAnsi="Arial"/>
          <w:sz w:val="20"/>
          <w:szCs w:val="20"/>
          <w:color w:val="auto"/>
        </w:rPr>
        <w:t>Unless required to [***].</w:t>
      </w:r>
    </w:p>
    <w:p>
      <w:pPr>
        <w:spacing w:after="0" w:line="61" w:lineRule="exact"/>
        <w:rPr>
          <w:rFonts w:ascii="Arial" w:cs="Arial" w:eastAsia="Arial" w:hAnsi="Arial"/>
          <w:sz w:val="20"/>
          <w:szCs w:val="20"/>
          <w:b w:val="1"/>
          <w:bCs w:val="1"/>
          <w:color w:val="auto"/>
        </w:rPr>
      </w:pPr>
    </w:p>
    <w:p>
      <w:pPr>
        <w:ind w:left="260"/>
        <w:spacing w:after="0"/>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7.5.  Deterioration. </w:t>
      </w:r>
      <w:r>
        <w:rPr>
          <w:rFonts w:ascii="Arial" w:cs="Arial" w:eastAsia="Arial" w:hAnsi="Arial"/>
          <w:sz w:val="20"/>
          <w:szCs w:val="20"/>
          <w:color w:val="auto"/>
        </w:rPr>
        <w:t>[***].</w:t>
      </w:r>
    </w:p>
    <w:p>
      <w:pPr>
        <w:spacing w:after="0" w:line="81" w:lineRule="exact"/>
        <w:rPr>
          <w:sz w:val="20"/>
          <w:szCs w:val="20"/>
          <w:color w:val="auto"/>
        </w:rPr>
      </w:pPr>
    </w:p>
    <w:p>
      <w:pPr>
        <w:ind w:left="260"/>
        <w:spacing w:after="0"/>
        <w:tabs>
          <w:tab w:leader="none" w:pos="740" w:val="left"/>
        </w:tabs>
        <w:rPr>
          <w:sz w:val="20"/>
          <w:szCs w:val="20"/>
          <w:color w:val="auto"/>
        </w:rPr>
      </w:pPr>
      <w:r>
        <w:rPr>
          <w:rFonts w:ascii="Arial" w:cs="Arial" w:eastAsia="Arial" w:hAnsi="Arial"/>
          <w:sz w:val="20"/>
          <w:szCs w:val="20"/>
          <w:b w:val="1"/>
          <w:bCs w:val="1"/>
          <w:color w:val="auto"/>
        </w:rPr>
        <w:t>7.6.</w:t>
      </w:r>
      <w:r>
        <w:rPr>
          <w:sz w:val="20"/>
          <w:szCs w:val="20"/>
          <w:color w:val="auto"/>
        </w:rPr>
        <w:tab/>
      </w:r>
      <w:r>
        <w:rPr>
          <w:rFonts w:ascii="Arial" w:cs="Arial" w:eastAsia="Arial" w:hAnsi="Arial"/>
          <w:sz w:val="18"/>
          <w:szCs w:val="18"/>
          <w:b w:val="1"/>
          <w:bCs w:val="1"/>
          <w:color w:val="auto"/>
        </w:rPr>
        <w:t xml:space="preserve">Non-compliant use. </w:t>
      </w:r>
      <w:r>
        <w:rPr>
          <w:rFonts w:ascii="Arial" w:cs="Arial" w:eastAsia="Arial" w:hAnsi="Arial"/>
          <w:sz w:val="18"/>
          <w:szCs w:val="18"/>
          <w:color w:val="auto"/>
        </w:rPr>
        <w:t>[***].</w:t>
      </w:r>
    </w:p>
    <w:p>
      <w:pPr>
        <w:spacing w:after="0" w:line="67"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b w:val="1"/>
          <w:bCs w:val="1"/>
          <w:color w:val="auto"/>
        </w:rPr>
        <w:t>8.</w:t>
      </w:r>
      <w:r>
        <w:rPr>
          <w:sz w:val="20"/>
          <w:szCs w:val="20"/>
          <w:color w:val="auto"/>
        </w:rPr>
        <w:tab/>
      </w:r>
      <w:r>
        <w:rPr>
          <w:rFonts w:ascii="Arial" w:cs="Arial" w:eastAsia="Arial" w:hAnsi="Arial"/>
          <w:sz w:val="19"/>
          <w:szCs w:val="19"/>
          <w:b w:val="1"/>
          <w:bCs w:val="1"/>
          <w:color w:val="auto"/>
        </w:rPr>
        <w:t>PAYMENT</w:t>
      </w:r>
    </w:p>
    <w:p>
      <w:pPr>
        <w:spacing w:after="0" w:line="75" w:lineRule="exact"/>
        <w:rPr>
          <w:sz w:val="20"/>
          <w:szCs w:val="20"/>
          <w:color w:val="auto"/>
        </w:rPr>
      </w:pPr>
    </w:p>
    <w:p>
      <w:pPr>
        <w:ind w:left="260"/>
        <w:spacing w:after="0"/>
        <w:tabs>
          <w:tab w:leader="none" w:pos="820" w:val="left"/>
        </w:tabs>
        <w:rPr>
          <w:sz w:val="20"/>
          <w:szCs w:val="20"/>
          <w:color w:val="auto"/>
        </w:rPr>
      </w:pPr>
      <w:r>
        <w:rPr>
          <w:rFonts w:ascii="Arial" w:cs="Arial" w:eastAsia="Arial" w:hAnsi="Arial"/>
          <w:sz w:val="20"/>
          <w:szCs w:val="20"/>
          <w:b w:val="1"/>
          <w:bCs w:val="1"/>
          <w:color w:val="auto"/>
        </w:rPr>
        <w:t>8.1.</w:t>
      </w:r>
      <w:r>
        <w:rPr>
          <w:sz w:val="20"/>
          <w:szCs w:val="20"/>
          <w:color w:val="auto"/>
        </w:rPr>
        <w:tab/>
      </w:r>
      <w:r>
        <w:rPr>
          <w:rFonts w:ascii="Arial" w:cs="Arial" w:eastAsia="Arial" w:hAnsi="Arial"/>
          <w:sz w:val="18"/>
          <w:szCs w:val="18"/>
          <w:b w:val="1"/>
          <w:bCs w:val="1"/>
          <w:color w:val="auto"/>
        </w:rPr>
        <w:t xml:space="preserve">Price; Payment Terms. </w:t>
      </w:r>
      <w:r>
        <w:rPr>
          <w:rFonts w:ascii="Arial" w:cs="Arial" w:eastAsia="Arial" w:hAnsi="Arial"/>
          <w:sz w:val="18"/>
          <w:szCs w:val="18"/>
          <w:color w:val="auto"/>
        </w:rPr>
        <w:t>Lucid will pay Supplier for Goods, Development Goods and Services as provided in this Agreement.</w:t>
      </w:r>
    </w:p>
    <w:p>
      <w:pPr>
        <w:ind w:left="260"/>
        <w:spacing w:after="0" w:line="226" w:lineRule="auto"/>
        <w:rPr>
          <w:sz w:val="20"/>
          <w:szCs w:val="20"/>
          <w:color w:val="auto"/>
        </w:rPr>
      </w:pPr>
      <w:r>
        <w:rPr>
          <w:rFonts w:ascii="Arial" w:cs="Arial" w:eastAsia="Arial" w:hAnsi="Arial"/>
          <w:sz w:val="18"/>
          <w:szCs w:val="18"/>
          <w:color w:val="auto"/>
        </w:rPr>
        <w:t>Prices shall be as referenced in a Spot Order or production pricing agreement and unless otherwise agreed are inclusive of storage, handling, packaging, labeling, consumables and all other expenses and charges relevant to the supply of such Goods or Services unless</w:t>
      </w:r>
    </w:p>
    <w:p>
      <w:pPr>
        <w:spacing w:after="0" w:line="2" w:lineRule="exact"/>
        <w:rPr>
          <w:sz w:val="20"/>
          <w:szCs w:val="20"/>
          <w:color w:val="auto"/>
        </w:rPr>
      </w:pPr>
    </w:p>
    <w:p>
      <w:pPr>
        <w:ind w:left="260"/>
        <w:spacing w:after="0"/>
        <w:rPr>
          <w:sz w:val="20"/>
          <w:szCs w:val="20"/>
          <w:color w:val="auto"/>
        </w:rPr>
      </w:pPr>
      <w:r>
        <w:rPr>
          <w:rFonts w:ascii="Arial" w:cs="Arial" w:eastAsia="Arial" w:hAnsi="Arial"/>
          <w:sz w:val="20"/>
          <w:szCs w:val="20"/>
          <w:color w:val="auto"/>
        </w:rPr>
        <w:t>otherwise agreed or stated. [***].</w:t>
      </w:r>
    </w:p>
    <w:p>
      <w:pPr>
        <w:spacing w:after="0" w:line="59" w:lineRule="exact"/>
        <w:rPr>
          <w:sz w:val="20"/>
          <w:szCs w:val="20"/>
          <w:color w:val="auto"/>
        </w:rPr>
      </w:pPr>
    </w:p>
    <w:p>
      <w:pPr>
        <w:jc w:val="both"/>
        <w:ind w:left="260"/>
        <w:spacing w:after="0" w:line="227" w:lineRule="auto"/>
        <w:rPr>
          <w:sz w:val="20"/>
          <w:szCs w:val="20"/>
          <w:color w:val="auto"/>
        </w:rPr>
      </w:pPr>
      <w:r>
        <w:rPr>
          <w:rFonts w:ascii="Arial" w:cs="Arial" w:eastAsia="Arial" w:hAnsi="Arial"/>
          <w:sz w:val="19"/>
          <w:szCs w:val="19"/>
          <w:b w:val="1"/>
          <w:bCs w:val="1"/>
          <w:color w:val="auto"/>
        </w:rPr>
        <w:t xml:space="preserve">8.2. Invoices. </w:t>
      </w:r>
      <w:r>
        <w:rPr>
          <w:rFonts w:ascii="Arial" w:cs="Arial" w:eastAsia="Arial" w:hAnsi="Arial"/>
          <w:sz w:val="19"/>
          <w:szCs w:val="19"/>
          <w:color w:val="auto"/>
        </w:rPr>
        <w:t>[***]. All invoices will be issued in the currency matching the Order. If Lucid detects an error in an invoice, Lucid will</w:t>
      </w:r>
      <w:r>
        <w:rPr>
          <w:rFonts w:ascii="Arial" w:cs="Arial" w:eastAsia="Arial" w:hAnsi="Arial"/>
          <w:sz w:val="19"/>
          <w:szCs w:val="19"/>
          <w:b w:val="1"/>
          <w:bCs w:val="1"/>
          <w:color w:val="auto"/>
        </w:rPr>
        <w:t xml:space="preserve"> </w:t>
      </w:r>
      <w:r>
        <w:rPr>
          <w:rFonts w:ascii="Arial" w:cs="Arial" w:eastAsia="Arial" w:hAnsi="Arial"/>
          <w:sz w:val="19"/>
          <w:szCs w:val="19"/>
          <w:color w:val="auto"/>
        </w:rPr>
        <w:t>promptly notify Supplier of such error. Supplier will provide supporting documentation to Lucid for any such invoice within [***]</w:t>
      </w:r>
    </w:p>
    <w:p>
      <w:pPr>
        <w:ind w:left="260"/>
        <w:spacing w:after="0" w:line="227" w:lineRule="auto"/>
        <w:rPr>
          <w:sz w:val="20"/>
          <w:szCs w:val="20"/>
          <w:color w:val="auto"/>
        </w:rPr>
      </w:pPr>
      <w:r>
        <w:rPr>
          <w:rFonts w:ascii="Arial" w:cs="Arial" w:eastAsia="Arial" w:hAnsi="Arial"/>
          <w:sz w:val="20"/>
          <w:szCs w:val="20"/>
          <w:color w:val="auto"/>
        </w:rPr>
        <w:t>business days after receiving Lucid’s request for such information. Lucid will pay the corrected amount in any such invoice within the period stated in the applicable production pricing agreement. [***].</w:t>
      </w:r>
    </w:p>
    <w:p>
      <w:pPr>
        <w:spacing w:after="0" w:line="42" w:lineRule="exact"/>
        <w:rPr>
          <w:sz w:val="20"/>
          <w:szCs w:val="20"/>
          <w:color w:val="auto"/>
        </w:rPr>
      </w:pPr>
    </w:p>
    <w:p>
      <w:pPr>
        <w:ind w:left="260"/>
        <w:spacing w:after="0" w:line="239" w:lineRule="auto"/>
        <w:rPr>
          <w:sz w:val="20"/>
          <w:szCs w:val="20"/>
          <w:color w:val="auto"/>
        </w:rPr>
      </w:pPr>
      <w:r>
        <w:rPr>
          <w:rFonts w:ascii="Arial" w:cs="Arial" w:eastAsia="Arial" w:hAnsi="Arial"/>
          <w:sz w:val="20"/>
          <w:szCs w:val="20"/>
          <w:b w:val="1"/>
          <w:bCs w:val="1"/>
          <w:color w:val="auto"/>
        </w:rPr>
        <w:t xml:space="preserve">8.3. Set Off. </w:t>
      </w:r>
      <w:r>
        <w:rPr>
          <w:rFonts w:ascii="Arial" w:cs="Arial" w:eastAsia="Arial" w:hAnsi="Arial"/>
          <w:sz w:val="20"/>
          <w:szCs w:val="20"/>
          <w:color w:val="auto"/>
        </w:rPr>
        <w:t>Upon the other Party’s prior written or electronic consent, either Party may set off and recoup undisputed debits and credits</w:t>
      </w:r>
      <w:r>
        <w:rPr>
          <w:rFonts w:ascii="Arial" w:cs="Arial" w:eastAsia="Arial" w:hAnsi="Arial"/>
          <w:sz w:val="20"/>
          <w:szCs w:val="20"/>
          <w:b w:val="1"/>
          <w:bCs w:val="1"/>
          <w:color w:val="auto"/>
        </w:rPr>
        <w:t xml:space="preserve"> </w:t>
      </w:r>
      <w:r>
        <w:rPr>
          <w:rFonts w:ascii="Arial" w:cs="Arial" w:eastAsia="Arial" w:hAnsi="Arial"/>
          <w:sz w:val="20"/>
          <w:szCs w:val="20"/>
          <w:color w:val="auto"/>
        </w:rPr>
        <w:t>against any of the other Party's accounts.</w:t>
      </w:r>
    </w:p>
    <w:p>
      <w:pPr>
        <w:spacing w:after="0" w:line="55" w:lineRule="exact"/>
        <w:rPr>
          <w:sz w:val="20"/>
          <w:szCs w:val="20"/>
          <w:color w:val="auto"/>
        </w:rPr>
      </w:pPr>
    </w:p>
    <w:p>
      <w:pPr>
        <w:ind w:left="260" w:right="9000" w:hanging="252"/>
        <w:spacing w:after="0" w:line="316" w:lineRule="auto"/>
        <w:tabs>
          <w:tab w:leader="none" w:pos="351" w:val="left"/>
        </w:tabs>
        <w:numPr>
          <w:ilvl w:val="0"/>
          <w:numId w:val="75"/>
        </w:numPr>
        <w:rPr>
          <w:rFonts w:ascii="Arial" w:cs="Arial" w:eastAsia="Arial" w:hAnsi="Arial"/>
          <w:sz w:val="20"/>
          <w:szCs w:val="20"/>
          <w:b w:val="1"/>
          <w:bCs w:val="1"/>
          <w:color w:val="auto"/>
        </w:rPr>
      </w:pPr>
      <w:r>
        <w:rPr>
          <w:rFonts w:ascii="Arial" w:cs="Arial" w:eastAsia="Arial" w:hAnsi="Arial"/>
          <w:sz w:val="20"/>
          <w:szCs w:val="20"/>
          <w:b w:val="1"/>
          <w:bCs w:val="1"/>
          <w:color w:val="auto"/>
        </w:rPr>
        <w:t>INDEMNIFICATION 9.1. General.</w:t>
      </w:r>
    </w:p>
    <w:p>
      <w:pPr>
        <w:spacing w:after="0" w:line="7" w:lineRule="exact"/>
        <w:rPr>
          <w:rFonts w:ascii="Arial" w:cs="Arial" w:eastAsia="Arial" w:hAnsi="Arial"/>
          <w:sz w:val="20"/>
          <w:szCs w:val="20"/>
          <w:b w:val="1"/>
          <w:bCs w:val="1"/>
          <w:color w:val="auto"/>
        </w:rPr>
      </w:pPr>
    </w:p>
    <w:p>
      <w:pPr>
        <w:jc w:val="both"/>
        <w:ind w:firstLine="656"/>
        <w:spacing w:after="0" w:line="214" w:lineRule="auto"/>
        <w:tabs>
          <w:tab w:leader="none" w:pos="1117" w:val="left"/>
        </w:tabs>
        <w:numPr>
          <w:ilvl w:val="1"/>
          <w:numId w:val="75"/>
        </w:numPr>
        <w:rPr>
          <w:rFonts w:ascii="Arial" w:cs="Arial" w:eastAsia="Arial" w:hAnsi="Arial"/>
          <w:sz w:val="20"/>
          <w:szCs w:val="20"/>
          <w:b w:val="1"/>
          <w:bCs w:val="1"/>
          <w:color w:val="auto"/>
        </w:rPr>
      </w:pPr>
      <w:r>
        <w:rPr>
          <w:rFonts w:ascii="Arial" w:cs="Arial" w:eastAsia="Arial" w:hAnsi="Arial"/>
          <w:sz w:val="20"/>
          <w:szCs w:val="20"/>
          <w:color w:val="auto"/>
        </w:rPr>
        <w:t>Upon notice of any third party claims (including lawsuits, administrative claims, regulatory actions, and other proceedings to recover for personal injury or death, or property damage) that are in any way relating to [***] representations, performance or obligations under this Agreement, including claims arising out of any spill, discharge or emission of any hazardous substance to the extent [***] is responsible for it, or regarding any violation of applicable Government Requirement, regardless of whether the Claim arises in tort, negligence, contract, warranty, product liability, strict liability or otherwise (collectively, (“</w:t>
      </w:r>
      <w:r>
        <w:rPr>
          <w:rFonts w:ascii="Arial" w:cs="Arial" w:eastAsia="Arial" w:hAnsi="Arial"/>
          <w:sz w:val="20"/>
          <w:szCs w:val="20"/>
          <w:b w:val="1"/>
          <w:bCs w:val="1"/>
          <w:color w:val="auto"/>
        </w:rPr>
        <w:t>Claims</w:t>
      </w:r>
      <w:r>
        <w:rPr>
          <w:rFonts w:ascii="Arial" w:cs="Arial" w:eastAsia="Arial" w:hAnsi="Arial"/>
          <w:sz w:val="20"/>
          <w:szCs w:val="20"/>
          <w:color w:val="auto"/>
        </w:rPr>
        <w:t>”)), [***] will follow the procedures set forth in Section 9.1(b) and 9.1(c). For the avoidance of doubt, nothing in this Section 9 shall extend Lucid’s right to bring a warranty claim under Section 6.</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181610</wp:posOffset>
            </wp:positionV>
            <wp:extent cx="713232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44" w:lineRule="exact"/>
        <w:rPr>
          <w:sz w:val="20"/>
          <w:szCs w:val="20"/>
          <w:color w:val="auto"/>
        </w:rPr>
      </w:pPr>
    </w:p>
    <w:p>
      <w:pPr>
        <w:spacing w:after="0"/>
        <w:tabs>
          <w:tab w:leader="none" w:pos="1880" w:val="left"/>
        </w:tabs>
        <w:rPr>
          <w:sz w:val="20"/>
          <w:szCs w:val="20"/>
          <w:color w:val="auto"/>
        </w:rPr>
      </w:pPr>
      <w:r>
        <w:rPr>
          <w:rFonts w:ascii="Arial" w:cs="Arial" w:eastAsia="Arial" w:hAnsi="Arial"/>
          <w:sz w:val="20"/>
          <w:szCs w:val="20"/>
          <w:color w:val="auto"/>
        </w:rPr>
        <w:t>Lucid Confidential</w:t>
      </w:r>
      <w:r>
        <w:rPr>
          <w:sz w:val="20"/>
          <w:szCs w:val="20"/>
          <w:color w:val="auto"/>
        </w:rPr>
        <w:tab/>
      </w:r>
      <w:r>
        <w:rPr>
          <w:rFonts w:ascii="Arial" w:cs="Arial" w:eastAsia="Arial" w:hAnsi="Arial"/>
          <w:sz w:val="16"/>
          <w:szCs w:val="16"/>
          <w:color w:val="auto"/>
        </w:rPr>
        <w:t>Parts GTC rev. October 2020</w:t>
      </w:r>
    </w:p>
    <w:p>
      <w:pPr>
        <w:sectPr>
          <w:pgSz w:w="11900" w:h="16838" w:orient="portrait"/>
          <w:cols w:equalWidth="0" w:num="1">
            <w:col w:w="11240"/>
          </w:cols>
          <w:pgMar w:left="320" w:top="1440" w:right="339" w:bottom="1440" w:gutter="0" w:footer="0" w:header="0"/>
        </w:sectPr>
      </w:pPr>
    </w:p>
    <w:bookmarkStart w:id="142" w:name="page143"/>
    <w:bookmarkEnd w:id="142"/>
    <w:p>
      <w:pPr>
        <w:spacing w:after="0" w:line="68" w:lineRule="exact"/>
        <w:rPr>
          <w:sz w:val="20"/>
          <w:szCs w:val="20"/>
          <w:color w:val="auto"/>
        </w:rPr>
      </w:pPr>
    </w:p>
    <w:p>
      <w:pPr>
        <w:jc w:val="both"/>
        <w:ind w:firstLine="656"/>
        <w:spacing w:after="0" w:line="239" w:lineRule="auto"/>
        <w:tabs>
          <w:tab w:leader="none" w:pos="1088" w:val="left"/>
        </w:tabs>
        <w:numPr>
          <w:ilvl w:val="1"/>
          <w:numId w:val="76"/>
        </w:numPr>
        <w:rPr>
          <w:rFonts w:ascii="Arial" w:cs="Arial" w:eastAsia="Arial" w:hAnsi="Arial"/>
          <w:sz w:val="18"/>
          <w:szCs w:val="18"/>
          <w:b w:val="1"/>
          <w:bCs w:val="1"/>
          <w:color w:val="auto"/>
        </w:rPr>
      </w:pPr>
      <w:r>
        <w:rPr>
          <w:rFonts w:ascii="Arial" w:cs="Arial" w:eastAsia="Arial" w:hAnsi="Arial"/>
          <w:sz w:val="18"/>
          <w:szCs w:val="18"/>
          <w:b w:val="1"/>
          <w:bCs w:val="1"/>
          <w:color w:val="auto"/>
        </w:rPr>
        <w:t>Procedures</w:t>
      </w:r>
      <w:r>
        <w:rPr>
          <w:rFonts w:ascii="Arial" w:cs="Arial" w:eastAsia="Arial" w:hAnsi="Arial"/>
          <w:sz w:val="18"/>
          <w:szCs w:val="18"/>
          <w:color w:val="auto"/>
        </w:rPr>
        <w:t>. Upon receipt of notice of any Claim by [***], [***] receiving the notice will promptly share the notice with [***].</w:t>
      </w:r>
      <w:r>
        <w:rPr>
          <w:rFonts w:ascii="Arial" w:cs="Arial" w:eastAsia="Arial" w:hAnsi="Arial"/>
          <w:sz w:val="18"/>
          <w:szCs w:val="18"/>
          <w:b w:val="1"/>
          <w:bCs w:val="1"/>
          <w:color w:val="auto"/>
        </w:rPr>
        <w:t xml:space="preserve"> </w:t>
      </w:r>
      <w:r>
        <w:rPr>
          <w:rFonts w:ascii="Arial" w:cs="Arial" w:eastAsia="Arial" w:hAnsi="Arial"/>
          <w:sz w:val="18"/>
          <w:szCs w:val="18"/>
          <w:color w:val="auto"/>
        </w:rPr>
        <w:t>Failure to share such notice will not diminish or increase [***] obligations under this Section 9 if the failure does not materially prejudice</w:t>
      </w:r>
    </w:p>
    <w:p>
      <w:pPr>
        <w:spacing w:after="0" w:line="1" w:lineRule="exact"/>
        <w:rPr>
          <w:rFonts w:ascii="Arial" w:cs="Arial" w:eastAsia="Arial" w:hAnsi="Arial"/>
          <w:sz w:val="18"/>
          <w:szCs w:val="18"/>
          <w:b w:val="1"/>
          <w:bCs w:val="1"/>
          <w:color w:val="auto"/>
        </w:rPr>
      </w:pPr>
    </w:p>
    <w:p>
      <w:pPr>
        <w:ind w:left="500" w:hanging="492"/>
        <w:spacing w:after="0" w:line="222" w:lineRule="auto"/>
        <w:tabs>
          <w:tab w:leader="none" w:pos="500" w:val="left"/>
        </w:tabs>
        <w:numPr>
          <w:ilvl w:val="0"/>
          <w:numId w:val="76"/>
        </w:numPr>
        <w:rPr>
          <w:rFonts w:ascii="Arial" w:cs="Arial" w:eastAsia="Arial" w:hAnsi="Arial"/>
          <w:sz w:val="19"/>
          <w:szCs w:val="19"/>
          <w:color w:val="auto"/>
        </w:rPr>
      </w:pPr>
      <w:r>
        <w:rPr>
          <w:rFonts w:ascii="Arial" w:cs="Arial" w:eastAsia="Arial" w:hAnsi="Arial"/>
          <w:sz w:val="19"/>
          <w:szCs w:val="19"/>
          <w:color w:val="auto"/>
        </w:rPr>
        <w:t>ability to defend the Claim. [***] will then promptly meet and [***] (the “</w:t>
      </w:r>
      <w:r>
        <w:rPr>
          <w:rFonts w:ascii="Arial" w:cs="Arial" w:eastAsia="Arial" w:hAnsi="Arial"/>
          <w:sz w:val="19"/>
          <w:szCs w:val="19"/>
          <w:b w:val="1"/>
          <w:bCs w:val="1"/>
          <w:color w:val="auto"/>
        </w:rPr>
        <w:t>Indemnifying Party</w:t>
      </w:r>
      <w:r>
        <w:rPr>
          <w:rFonts w:ascii="Arial" w:cs="Arial" w:eastAsia="Arial" w:hAnsi="Arial"/>
          <w:sz w:val="19"/>
          <w:szCs w:val="19"/>
          <w:color w:val="auto"/>
        </w:rPr>
        <w:t>”), and the Indemnifying Party will, to</w:t>
      </w:r>
    </w:p>
    <w:p>
      <w:pPr>
        <w:spacing w:after="0" w:line="222" w:lineRule="auto"/>
        <w:rPr>
          <w:sz w:val="20"/>
          <w:szCs w:val="20"/>
          <w:color w:val="auto"/>
        </w:rPr>
      </w:pPr>
      <w:r>
        <w:rPr>
          <w:rFonts w:ascii="Arial" w:cs="Arial" w:eastAsia="Arial" w:hAnsi="Arial"/>
          <w:sz w:val="19"/>
          <w:szCs w:val="19"/>
          <w:color w:val="auto"/>
        </w:rPr>
        <w:t>the full extent permitted by applicable law, indemnify, defend and hold harmless [***], and its Affiliates and their respective directors,</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officers, employees, permitted successors and assigns (collectively, “</w:t>
      </w:r>
      <w:r>
        <w:rPr>
          <w:rFonts w:ascii="Arial" w:cs="Arial" w:eastAsia="Arial" w:hAnsi="Arial"/>
          <w:sz w:val="18"/>
          <w:szCs w:val="18"/>
          <w:b w:val="1"/>
          <w:bCs w:val="1"/>
          <w:color w:val="auto"/>
        </w:rPr>
        <w:t>Indemnified Party</w:t>
      </w:r>
      <w:r>
        <w:rPr>
          <w:rFonts w:ascii="Arial" w:cs="Arial" w:eastAsia="Arial" w:hAnsi="Arial"/>
          <w:sz w:val="18"/>
          <w:szCs w:val="18"/>
          <w:color w:val="auto"/>
        </w:rPr>
        <w:t>”) for all claims, liabilities, fines, penalties, damages, reasonable costs and expenses (including attorney fees, settlements, judgments) (collectively, “</w:t>
      </w:r>
      <w:r>
        <w:rPr>
          <w:rFonts w:ascii="Arial" w:cs="Arial" w:eastAsia="Arial" w:hAnsi="Arial"/>
          <w:sz w:val="18"/>
          <w:szCs w:val="18"/>
          <w:b w:val="1"/>
          <w:bCs w:val="1"/>
          <w:color w:val="auto"/>
        </w:rPr>
        <w:t>Losses</w:t>
      </w:r>
      <w:r>
        <w:rPr>
          <w:rFonts w:ascii="Arial" w:cs="Arial" w:eastAsia="Arial" w:hAnsi="Arial"/>
          <w:sz w:val="18"/>
          <w:szCs w:val="18"/>
          <w:color w:val="auto"/>
        </w:rPr>
        <w:t>”) resulting from the Claim and will</w:t>
      </w:r>
    </w:p>
    <w:p>
      <w:pPr>
        <w:spacing w:after="0" w:line="236" w:lineRule="auto"/>
        <w:rPr>
          <w:sz w:val="20"/>
          <w:szCs w:val="20"/>
          <w:color w:val="auto"/>
        </w:rPr>
      </w:pPr>
      <w:r>
        <w:rPr>
          <w:rFonts w:ascii="Arial" w:cs="Arial" w:eastAsia="Arial" w:hAnsi="Arial"/>
          <w:sz w:val="18"/>
          <w:szCs w:val="18"/>
          <w:color w:val="auto"/>
        </w:rPr>
        <w:t>bear the costs of defending the Claim until final judgment has been entered by a court of competent jurisdiction, arbitral panel or is settled</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Final Judgment</w:t>
      </w:r>
      <w:r>
        <w:rPr>
          <w:rFonts w:ascii="Arial" w:cs="Arial" w:eastAsia="Arial" w:hAnsi="Arial"/>
          <w:sz w:val="18"/>
          <w:szCs w:val="18"/>
          <w:color w:val="auto"/>
        </w:rPr>
        <w:t>”); provided that, promptly after the Final Judgement, the Indemnified Party shall reimburse the Indemnifying Party for Losses incurred in proportion to the Indemnified Party’s fault in relation to the cause of the Claim. However, if [***] then [***] will mount</w:t>
      </w:r>
    </w:p>
    <w:p>
      <w:pPr>
        <w:spacing w:after="0" w:line="236" w:lineRule="auto"/>
        <w:rPr>
          <w:sz w:val="20"/>
          <w:szCs w:val="20"/>
          <w:color w:val="auto"/>
        </w:rPr>
      </w:pPr>
      <w:r>
        <w:rPr>
          <w:rFonts w:ascii="Arial" w:cs="Arial" w:eastAsia="Arial" w:hAnsi="Arial"/>
          <w:sz w:val="18"/>
          <w:szCs w:val="18"/>
          <w:color w:val="auto"/>
        </w:rPr>
        <w:t>its own defense and will bear its own costs until Final Judgment; provided, however, that, promptly after the Final Judgement, [***] shall</w:t>
      </w:r>
    </w:p>
    <w:p>
      <w:pPr>
        <w:spacing w:after="0" w:line="1" w:lineRule="exact"/>
        <w:rPr>
          <w:sz w:val="20"/>
          <w:szCs w:val="20"/>
          <w:color w:val="auto"/>
        </w:rPr>
      </w:pPr>
    </w:p>
    <w:p>
      <w:pPr>
        <w:ind w:right="20"/>
        <w:spacing w:after="0" w:line="220" w:lineRule="auto"/>
        <w:rPr>
          <w:sz w:val="20"/>
          <w:szCs w:val="20"/>
          <w:color w:val="auto"/>
        </w:rPr>
      </w:pPr>
      <w:r>
        <w:rPr>
          <w:rFonts w:ascii="Arial" w:cs="Arial" w:eastAsia="Arial" w:hAnsi="Arial"/>
          <w:sz w:val="20"/>
          <w:szCs w:val="20"/>
          <w:color w:val="auto"/>
        </w:rPr>
        <w:t>[***]. For the avoidance of doubt, Supplier shall not be liable to Lucid for Losses to the extent caused by Lucid’s failures under subsections (a), (c), (d), (e) or (f) of Section 6.7 (Exceptions</w:t>
      </w:r>
      <w:r>
        <w:rPr>
          <w:rFonts w:ascii="Arial" w:cs="Arial" w:eastAsia="Arial" w:hAnsi="Arial"/>
          <w:sz w:val="20"/>
          <w:szCs w:val="20"/>
          <w:b w:val="1"/>
          <w:bCs w:val="1"/>
          <w:color w:val="auto"/>
        </w:rPr>
        <w:t>)</w:t>
      </w:r>
      <w:r>
        <w:rPr>
          <w:rFonts w:ascii="Arial" w:cs="Arial" w:eastAsia="Arial" w:hAnsi="Arial"/>
          <w:sz w:val="20"/>
          <w:szCs w:val="20"/>
          <w:color w:val="auto"/>
        </w:rPr>
        <w:t>.</w:t>
      </w:r>
    </w:p>
    <w:p>
      <w:pPr>
        <w:spacing w:after="0" w:line="62" w:lineRule="exact"/>
        <w:rPr>
          <w:sz w:val="20"/>
          <w:szCs w:val="20"/>
          <w:color w:val="auto"/>
        </w:rPr>
      </w:pPr>
    </w:p>
    <w:p>
      <w:pPr>
        <w:jc w:val="both"/>
        <w:ind w:firstLine="656"/>
        <w:spacing w:after="0" w:line="235" w:lineRule="auto"/>
        <w:tabs>
          <w:tab w:leader="none" w:pos="1146" w:val="left"/>
        </w:tabs>
        <w:numPr>
          <w:ilvl w:val="0"/>
          <w:numId w:val="77"/>
        </w:numPr>
        <w:rPr>
          <w:rFonts w:ascii="Arial" w:cs="Arial" w:eastAsia="Arial" w:hAnsi="Arial"/>
          <w:sz w:val="18"/>
          <w:szCs w:val="18"/>
          <w:b w:val="1"/>
          <w:bCs w:val="1"/>
          <w:color w:val="auto"/>
        </w:rPr>
      </w:pPr>
      <w:r>
        <w:rPr>
          <w:rFonts w:ascii="Arial" w:cs="Arial" w:eastAsia="Arial" w:hAnsi="Arial"/>
          <w:sz w:val="18"/>
          <w:szCs w:val="18"/>
          <w:color w:val="auto"/>
        </w:rPr>
        <w:t>If the Indemnifying Party [***], the Indemnifying Party may select legal counsel reasonably acceptable to the Indemnified Party and otherwise control the defense of the Claim; provided that the Indemnified Party may participate in the defense at its own expense. If the Indemnifying Party, within a reasonable time after receipt of the notice, fails to defend the Claim [***], the Indemnified Party may undertake the defense of and compromise or settle the Claim on behalf and at the cost and risk of the Indemnifying Party. The Indemnifying Party may not, without the prior written consent of the Indemnified Party, (i) consent to the entry of any judgment or enter into any settlement that provides for injunctive or other non-monetary relief affecting the Indemnified Party, or (ii) consent to the entry of any judgment or enter into any settlement unless such judgment or settlement provides for an unconditional and full release of the Indemnified Party and does not diminish the Indemnified Party’s rights under this Agreement or result in additional fees or charges to the Indemnified Party.</w:t>
      </w:r>
    </w:p>
    <w:p>
      <w:pPr>
        <w:spacing w:after="0" w:line="55" w:lineRule="exact"/>
        <w:rPr>
          <w:sz w:val="20"/>
          <w:szCs w:val="20"/>
          <w:color w:val="auto"/>
        </w:rPr>
      </w:pPr>
    </w:p>
    <w:p>
      <w:pPr>
        <w:spacing w:after="0"/>
        <w:tabs>
          <w:tab w:leader="none" w:pos="500" w:val="left"/>
        </w:tabs>
        <w:rPr>
          <w:sz w:val="20"/>
          <w:szCs w:val="20"/>
          <w:color w:val="auto"/>
        </w:rPr>
      </w:pPr>
      <w:r>
        <w:rPr>
          <w:rFonts w:ascii="Arial" w:cs="Arial" w:eastAsia="Arial" w:hAnsi="Arial"/>
          <w:sz w:val="20"/>
          <w:szCs w:val="20"/>
          <w:b w:val="1"/>
          <w:bCs w:val="1"/>
          <w:color w:val="auto"/>
        </w:rPr>
        <w:t>9.2.</w:t>
      </w:r>
      <w:r>
        <w:rPr>
          <w:sz w:val="20"/>
          <w:szCs w:val="20"/>
          <w:color w:val="auto"/>
        </w:rPr>
        <w:tab/>
      </w:r>
      <w:r>
        <w:rPr>
          <w:rFonts w:ascii="Arial" w:cs="Arial" w:eastAsia="Arial" w:hAnsi="Arial"/>
          <w:sz w:val="18"/>
          <w:szCs w:val="18"/>
          <w:b w:val="1"/>
          <w:bCs w:val="1"/>
          <w:color w:val="auto"/>
        </w:rPr>
        <w:t xml:space="preserve">Intellectual Property Infringement. </w:t>
      </w:r>
      <w:r>
        <w:rPr>
          <w:rFonts w:ascii="Arial" w:cs="Arial" w:eastAsia="Arial" w:hAnsi="Arial"/>
          <w:sz w:val="18"/>
          <w:szCs w:val="18"/>
          <w:color w:val="auto"/>
        </w:rPr>
        <w:t>In event of an IP Claim (defined below), [***] will follow the same procedures in Section 9.1(b)</w:t>
      </w:r>
    </w:p>
    <w:p>
      <w:pPr>
        <w:spacing w:after="0" w:line="220" w:lineRule="auto"/>
        <w:rPr>
          <w:sz w:val="20"/>
          <w:szCs w:val="20"/>
          <w:color w:val="auto"/>
        </w:rPr>
      </w:pPr>
      <w:r>
        <w:rPr>
          <w:rFonts w:ascii="Arial" w:cs="Arial" w:eastAsia="Arial" w:hAnsi="Arial"/>
          <w:sz w:val="20"/>
          <w:szCs w:val="20"/>
          <w:color w:val="auto"/>
        </w:rPr>
        <w:t>and 9.1(c) for IP Claims as for Claims. If [***], [***] will defend, hold harmless and indemnify [***] against any Losses resulting from the IP Claim. An “</w:t>
      </w:r>
      <w:r>
        <w:rPr>
          <w:rFonts w:ascii="Arial" w:cs="Arial" w:eastAsia="Arial" w:hAnsi="Arial"/>
          <w:sz w:val="20"/>
          <w:szCs w:val="20"/>
          <w:b w:val="1"/>
          <w:bCs w:val="1"/>
          <w:color w:val="auto"/>
        </w:rPr>
        <w:t>IP Claim</w:t>
      </w:r>
      <w:r>
        <w:rPr>
          <w:rFonts w:ascii="Arial" w:cs="Arial" w:eastAsia="Arial" w:hAnsi="Arial"/>
          <w:sz w:val="20"/>
          <w:szCs w:val="20"/>
          <w:color w:val="auto"/>
        </w:rPr>
        <w:t>” is [***].</w:t>
      </w:r>
    </w:p>
    <w:p>
      <w:pPr>
        <w:spacing w:after="0" w:line="50" w:lineRule="exact"/>
        <w:rPr>
          <w:sz w:val="20"/>
          <w:szCs w:val="20"/>
          <w:color w:val="auto"/>
        </w:rPr>
      </w:pPr>
    </w:p>
    <w:p>
      <w:pPr>
        <w:ind w:left="260"/>
        <w:spacing w:after="0"/>
        <w:tabs>
          <w:tab w:leader="none" w:pos="780" w:val="left"/>
        </w:tabs>
        <w:rPr>
          <w:sz w:val="20"/>
          <w:szCs w:val="20"/>
          <w:color w:val="auto"/>
        </w:rPr>
      </w:pPr>
      <w:r>
        <w:rPr>
          <w:rFonts w:ascii="Arial" w:cs="Arial" w:eastAsia="Arial" w:hAnsi="Arial"/>
          <w:sz w:val="20"/>
          <w:szCs w:val="20"/>
          <w:b w:val="1"/>
          <w:bCs w:val="1"/>
          <w:color w:val="auto"/>
        </w:rPr>
        <w:t>9.3.</w:t>
      </w:r>
      <w:r>
        <w:rPr>
          <w:sz w:val="20"/>
          <w:szCs w:val="20"/>
          <w:color w:val="auto"/>
        </w:rPr>
        <w:tab/>
      </w:r>
      <w:r>
        <w:rPr>
          <w:rFonts w:ascii="Arial" w:cs="Arial" w:eastAsia="Arial" w:hAnsi="Arial"/>
          <w:sz w:val="18"/>
          <w:szCs w:val="18"/>
          <w:b w:val="1"/>
          <w:bCs w:val="1"/>
          <w:color w:val="auto"/>
        </w:rPr>
        <w:t xml:space="preserve">Cooperation. </w:t>
      </w:r>
      <w:r>
        <w:rPr>
          <w:rFonts w:ascii="Arial" w:cs="Arial" w:eastAsia="Arial" w:hAnsi="Arial"/>
          <w:sz w:val="18"/>
          <w:szCs w:val="18"/>
          <w:color w:val="auto"/>
        </w:rPr>
        <w:t>If the Claim or IP Claim is one that cannot by its nature be defended [***], then [***] will make available to each</w:t>
      </w:r>
    </w:p>
    <w:p>
      <w:pPr>
        <w:ind w:left="260"/>
        <w:spacing w:after="0" w:line="220" w:lineRule="auto"/>
        <w:rPr>
          <w:sz w:val="20"/>
          <w:szCs w:val="20"/>
          <w:color w:val="auto"/>
        </w:rPr>
      </w:pPr>
      <w:r>
        <w:rPr>
          <w:rFonts w:ascii="Arial" w:cs="Arial" w:eastAsia="Arial" w:hAnsi="Arial"/>
          <w:sz w:val="20"/>
          <w:szCs w:val="20"/>
          <w:color w:val="auto"/>
        </w:rPr>
        <w:t>other such information and assistance as each may reasonably request, at [***], subject to the limitations on disclosure of the kind set forth in Sections 7.4 (Sharing of Information with Respect to Incidents</w:t>
      </w:r>
      <w:r>
        <w:rPr>
          <w:rFonts w:ascii="Arial" w:cs="Arial" w:eastAsia="Arial" w:hAnsi="Arial"/>
          <w:sz w:val="20"/>
          <w:szCs w:val="20"/>
          <w:b w:val="1"/>
          <w:bCs w:val="1"/>
          <w:color w:val="auto"/>
        </w:rPr>
        <w:t>)</w:t>
      </w:r>
      <w:r>
        <w:rPr>
          <w:rFonts w:ascii="Arial" w:cs="Arial" w:eastAsia="Arial" w:hAnsi="Arial"/>
          <w:sz w:val="20"/>
          <w:szCs w:val="20"/>
          <w:color w:val="auto"/>
        </w:rPr>
        <w:t xml:space="preserve"> and 18.3 (Exceptions).</w:t>
      </w:r>
    </w:p>
    <w:p>
      <w:pPr>
        <w:spacing w:after="0" w:line="56"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b w:val="1"/>
          <w:bCs w:val="1"/>
          <w:color w:val="auto"/>
        </w:rPr>
        <w:t>10.</w:t>
        <w:tab/>
        <w:t>LIMITATION OF LIABILITY</w:t>
      </w:r>
    </w:p>
    <w:p>
      <w:pPr>
        <w:spacing w:after="0" w:line="81" w:lineRule="exact"/>
        <w:rPr>
          <w:sz w:val="20"/>
          <w:szCs w:val="20"/>
          <w:color w:val="auto"/>
        </w:rPr>
      </w:pPr>
    </w:p>
    <w:p>
      <w:pPr>
        <w:ind w:left="260"/>
        <w:spacing w:after="0"/>
        <w:tabs>
          <w:tab w:leader="none" w:pos="840" w:val="left"/>
        </w:tabs>
        <w:rPr>
          <w:sz w:val="20"/>
          <w:szCs w:val="20"/>
          <w:color w:val="auto"/>
        </w:rPr>
      </w:pPr>
      <w:r>
        <w:rPr>
          <w:rFonts w:ascii="Arial" w:cs="Arial" w:eastAsia="Arial" w:hAnsi="Arial"/>
          <w:sz w:val="20"/>
          <w:szCs w:val="20"/>
          <w:b w:val="1"/>
          <w:bCs w:val="1"/>
          <w:color w:val="auto"/>
        </w:rPr>
        <w:t>10.1.</w:t>
        <w:tab/>
        <w:t xml:space="preserve">[***] Cap. </w:t>
      </w:r>
      <w:r>
        <w:rPr>
          <w:rFonts w:ascii="Arial" w:cs="Arial" w:eastAsia="Arial" w:hAnsi="Arial"/>
          <w:sz w:val="20"/>
          <w:szCs w:val="20"/>
          <w:color w:val="auto"/>
        </w:rPr>
        <w:t>In no event will [***] for [***].</w:t>
      </w:r>
    </w:p>
    <w:p>
      <w:pPr>
        <w:spacing w:after="0" w:line="67" w:lineRule="exact"/>
        <w:rPr>
          <w:sz w:val="20"/>
          <w:szCs w:val="20"/>
          <w:color w:val="auto"/>
        </w:rPr>
      </w:pPr>
    </w:p>
    <w:p>
      <w:pPr>
        <w:ind w:left="260"/>
        <w:spacing w:after="0"/>
        <w:tabs>
          <w:tab w:leader="none" w:pos="840" w:val="left"/>
        </w:tabs>
        <w:rPr>
          <w:sz w:val="20"/>
          <w:szCs w:val="20"/>
          <w:color w:val="auto"/>
        </w:rPr>
      </w:pPr>
      <w:r>
        <w:rPr>
          <w:rFonts w:ascii="Arial" w:cs="Arial" w:eastAsia="Arial" w:hAnsi="Arial"/>
          <w:sz w:val="20"/>
          <w:szCs w:val="20"/>
          <w:b w:val="1"/>
          <w:bCs w:val="1"/>
          <w:color w:val="auto"/>
        </w:rPr>
        <w:t>10.2.</w:t>
      </w:r>
      <w:r>
        <w:rPr>
          <w:sz w:val="20"/>
          <w:szCs w:val="20"/>
          <w:color w:val="auto"/>
        </w:rPr>
        <w:tab/>
      </w:r>
      <w:r>
        <w:rPr>
          <w:rFonts w:ascii="Arial" w:cs="Arial" w:eastAsia="Arial" w:hAnsi="Arial"/>
          <w:sz w:val="19"/>
          <w:szCs w:val="19"/>
          <w:b w:val="1"/>
          <w:bCs w:val="1"/>
          <w:color w:val="auto"/>
        </w:rPr>
        <w:t>Supplier’s Liability</w:t>
      </w:r>
      <w:r>
        <w:rPr>
          <w:rFonts w:ascii="Arial" w:cs="Arial" w:eastAsia="Arial" w:hAnsi="Arial"/>
          <w:sz w:val="19"/>
          <w:szCs w:val="19"/>
          <w:color w:val="auto"/>
        </w:rPr>
        <w:t>. [***].</w:t>
      </w:r>
    </w:p>
    <w:p>
      <w:pPr>
        <w:spacing w:after="0" w:line="87" w:lineRule="exact"/>
        <w:rPr>
          <w:sz w:val="20"/>
          <w:szCs w:val="20"/>
          <w:color w:val="auto"/>
        </w:rPr>
      </w:pPr>
    </w:p>
    <w:p>
      <w:pPr>
        <w:ind w:left="1080" w:hanging="424"/>
        <w:spacing w:after="0"/>
        <w:tabs>
          <w:tab w:leader="none" w:pos="1080" w:val="left"/>
        </w:tabs>
        <w:numPr>
          <w:ilvl w:val="0"/>
          <w:numId w:val="78"/>
        </w:numPr>
        <w:rPr>
          <w:rFonts w:ascii="Arial" w:cs="Arial" w:eastAsia="Arial" w:hAnsi="Arial"/>
          <w:sz w:val="20"/>
          <w:szCs w:val="20"/>
          <w:b w:val="1"/>
          <w:bCs w:val="1"/>
          <w:color w:val="auto"/>
        </w:rPr>
      </w:pPr>
      <w:r>
        <w:rPr>
          <w:rFonts w:ascii="Arial" w:cs="Arial" w:eastAsia="Arial" w:hAnsi="Arial"/>
          <w:sz w:val="20"/>
          <w:szCs w:val="20"/>
          <w:color w:val="auto"/>
        </w:rPr>
        <w:t>in the case of [***];</w:t>
      </w:r>
    </w:p>
    <w:p>
      <w:pPr>
        <w:spacing w:after="0" w:line="80" w:lineRule="exact"/>
        <w:rPr>
          <w:rFonts w:ascii="Arial" w:cs="Arial" w:eastAsia="Arial" w:hAnsi="Arial"/>
          <w:sz w:val="20"/>
          <w:szCs w:val="20"/>
          <w:b w:val="1"/>
          <w:bCs w:val="1"/>
          <w:color w:val="auto"/>
        </w:rPr>
      </w:pPr>
    </w:p>
    <w:p>
      <w:pPr>
        <w:ind w:left="1100" w:hanging="444"/>
        <w:spacing w:after="0"/>
        <w:tabs>
          <w:tab w:leader="none" w:pos="1100" w:val="left"/>
        </w:tabs>
        <w:numPr>
          <w:ilvl w:val="0"/>
          <w:numId w:val="78"/>
        </w:numPr>
        <w:rPr>
          <w:rFonts w:ascii="Arial" w:cs="Arial" w:eastAsia="Arial" w:hAnsi="Arial"/>
          <w:sz w:val="20"/>
          <w:szCs w:val="20"/>
          <w:b w:val="1"/>
          <w:bCs w:val="1"/>
          <w:color w:val="auto"/>
        </w:rPr>
      </w:pPr>
      <w:r>
        <w:rPr>
          <w:rFonts w:ascii="Arial" w:cs="Arial" w:eastAsia="Arial" w:hAnsi="Arial"/>
          <w:sz w:val="20"/>
          <w:szCs w:val="20"/>
          <w:color w:val="auto"/>
        </w:rPr>
        <w:t>in the case of a breach of the Product Warranties for Goods [***];</w:t>
      </w:r>
    </w:p>
    <w:p>
      <w:pPr>
        <w:spacing w:after="0" w:line="67" w:lineRule="exact"/>
        <w:rPr>
          <w:rFonts w:ascii="Arial" w:cs="Arial" w:eastAsia="Arial" w:hAnsi="Arial"/>
          <w:sz w:val="20"/>
          <w:szCs w:val="20"/>
          <w:b w:val="1"/>
          <w:bCs w:val="1"/>
          <w:color w:val="auto"/>
        </w:rPr>
      </w:pPr>
    </w:p>
    <w:p>
      <w:pPr>
        <w:ind w:right="4960" w:firstLine="656"/>
        <w:spacing w:after="0" w:line="341" w:lineRule="auto"/>
        <w:tabs>
          <w:tab w:leader="none" w:pos="1065" w:val="left"/>
        </w:tabs>
        <w:numPr>
          <w:ilvl w:val="0"/>
          <w:numId w:val="78"/>
        </w:numPr>
        <w:rPr>
          <w:rFonts w:ascii="Arial" w:cs="Arial" w:eastAsia="Arial" w:hAnsi="Arial"/>
          <w:sz w:val="19"/>
          <w:szCs w:val="19"/>
          <w:b w:val="1"/>
          <w:bCs w:val="1"/>
          <w:color w:val="auto"/>
        </w:rPr>
      </w:pPr>
      <w:r>
        <w:rPr>
          <w:rFonts w:ascii="Arial" w:cs="Arial" w:eastAsia="Arial" w:hAnsi="Arial"/>
          <w:sz w:val="19"/>
          <w:szCs w:val="19"/>
          <w:color w:val="auto"/>
        </w:rPr>
        <w:t>in the case of a breach of the Product Warranties for Goods [***]; Additionally, in connection with sub-clauses (a), (b) and (c), [***]:</w:t>
      </w:r>
    </w:p>
    <w:p>
      <w:pPr>
        <w:ind w:left="1940" w:hanging="393"/>
        <w:spacing w:after="0"/>
        <w:tabs>
          <w:tab w:leader="none" w:pos="1940" w:val="left"/>
        </w:tabs>
        <w:numPr>
          <w:ilvl w:val="1"/>
          <w:numId w:val="78"/>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color w:val="343434"/>
        </w:rPr>
        <w:t>;</w:t>
      </w:r>
    </w:p>
    <w:p>
      <w:pPr>
        <w:spacing w:after="0" w:line="67" w:lineRule="exact"/>
        <w:rPr>
          <w:rFonts w:ascii="Arial" w:cs="Arial" w:eastAsia="Arial" w:hAnsi="Arial"/>
          <w:sz w:val="20"/>
          <w:szCs w:val="20"/>
          <w:color w:val="auto"/>
        </w:rPr>
      </w:pPr>
    </w:p>
    <w:p>
      <w:pPr>
        <w:ind w:left="1980" w:hanging="433"/>
        <w:spacing w:after="0"/>
        <w:tabs>
          <w:tab w:leader="none" w:pos="1980" w:val="left"/>
        </w:tabs>
        <w:numPr>
          <w:ilvl w:val="1"/>
          <w:numId w:val="78"/>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color w:val="343434"/>
        </w:rPr>
        <w:t>;</w:t>
      </w:r>
    </w:p>
    <w:p>
      <w:pPr>
        <w:spacing w:after="0" w:line="80" w:lineRule="exact"/>
        <w:rPr>
          <w:rFonts w:ascii="Arial" w:cs="Arial" w:eastAsia="Arial" w:hAnsi="Arial"/>
          <w:sz w:val="20"/>
          <w:szCs w:val="20"/>
          <w:color w:val="auto"/>
        </w:rPr>
      </w:pPr>
    </w:p>
    <w:p>
      <w:pPr>
        <w:ind w:left="2040" w:hanging="493"/>
        <w:spacing w:after="0"/>
        <w:tabs>
          <w:tab w:leader="none" w:pos="2040" w:val="left"/>
        </w:tabs>
        <w:numPr>
          <w:ilvl w:val="1"/>
          <w:numId w:val="78"/>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color w:val="343434"/>
        </w:rPr>
        <w:t>; and</w:t>
      </w:r>
    </w:p>
    <w:p>
      <w:pPr>
        <w:spacing w:after="0" w:line="80" w:lineRule="exact"/>
        <w:rPr>
          <w:rFonts w:ascii="Arial" w:cs="Arial" w:eastAsia="Arial" w:hAnsi="Arial"/>
          <w:sz w:val="20"/>
          <w:szCs w:val="20"/>
          <w:color w:val="auto"/>
        </w:rPr>
      </w:pPr>
    </w:p>
    <w:p>
      <w:pPr>
        <w:ind w:left="2040" w:hanging="493"/>
        <w:spacing w:after="0"/>
        <w:tabs>
          <w:tab w:leader="none" w:pos="2040" w:val="left"/>
        </w:tabs>
        <w:numPr>
          <w:ilvl w:val="1"/>
          <w:numId w:val="78"/>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color w:val="343434"/>
        </w:rPr>
        <w:t>;</w:t>
      </w:r>
    </w:p>
    <w:p>
      <w:pPr>
        <w:spacing w:after="0" w:line="67" w:lineRule="exact"/>
        <w:rPr>
          <w:rFonts w:ascii="Arial" w:cs="Arial" w:eastAsia="Arial" w:hAnsi="Arial"/>
          <w:sz w:val="20"/>
          <w:szCs w:val="20"/>
          <w:color w:val="auto"/>
        </w:rPr>
      </w:pPr>
    </w:p>
    <w:p>
      <w:pPr>
        <w:ind w:left="1100" w:hanging="444"/>
        <w:spacing w:after="0"/>
        <w:tabs>
          <w:tab w:leader="none" w:pos="1100" w:val="left"/>
        </w:tabs>
        <w:numPr>
          <w:ilvl w:val="0"/>
          <w:numId w:val="78"/>
        </w:numPr>
        <w:rPr>
          <w:rFonts w:ascii="Arial" w:cs="Arial" w:eastAsia="Arial" w:hAnsi="Arial"/>
          <w:sz w:val="20"/>
          <w:szCs w:val="20"/>
          <w:b w:val="1"/>
          <w:bCs w:val="1"/>
          <w:color w:val="auto"/>
        </w:rPr>
      </w:pPr>
      <w:r>
        <w:rPr>
          <w:rFonts w:ascii="Arial" w:cs="Arial" w:eastAsia="Arial" w:hAnsi="Arial"/>
          <w:sz w:val="20"/>
          <w:szCs w:val="20"/>
          <w:color w:val="auto"/>
        </w:rPr>
        <w:t>in the case of [***]</w:t>
      </w:r>
      <w:r>
        <w:rPr>
          <w:rFonts w:ascii="Arial" w:cs="Arial" w:eastAsia="Arial" w:hAnsi="Arial"/>
          <w:sz w:val="20"/>
          <w:szCs w:val="20"/>
          <w:color w:val="343434"/>
        </w:rPr>
        <w:t>;</w:t>
      </w:r>
    </w:p>
    <w:p>
      <w:pPr>
        <w:spacing w:after="0" w:line="80" w:lineRule="exact"/>
        <w:rPr>
          <w:rFonts w:ascii="Arial" w:cs="Arial" w:eastAsia="Arial" w:hAnsi="Arial"/>
          <w:sz w:val="20"/>
          <w:szCs w:val="20"/>
          <w:b w:val="1"/>
          <w:bCs w:val="1"/>
          <w:color w:val="auto"/>
        </w:rPr>
      </w:pPr>
    </w:p>
    <w:p>
      <w:pPr>
        <w:ind w:left="1080" w:hanging="424"/>
        <w:spacing w:after="0"/>
        <w:tabs>
          <w:tab w:leader="none" w:pos="1080" w:val="left"/>
        </w:tabs>
        <w:numPr>
          <w:ilvl w:val="0"/>
          <w:numId w:val="78"/>
        </w:numPr>
        <w:rPr>
          <w:rFonts w:ascii="Arial" w:cs="Arial" w:eastAsia="Arial" w:hAnsi="Arial"/>
          <w:sz w:val="20"/>
          <w:szCs w:val="20"/>
          <w:b w:val="1"/>
          <w:bCs w:val="1"/>
          <w:color w:val="auto"/>
        </w:rPr>
      </w:pPr>
      <w:r>
        <w:rPr>
          <w:rFonts w:ascii="Arial" w:cs="Arial" w:eastAsia="Arial" w:hAnsi="Arial"/>
          <w:sz w:val="20"/>
          <w:szCs w:val="20"/>
          <w:color w:val="343434"/>
        </w:rPr>
        <w:t xml:space="preserve">in the case of </w:t>
      </w:r>
      <w:r>
        <w:rPr>
          <w:rFonts w:ascii="Arial" w:cs="Arial" w:eastAsia="Arial" w:hAnsi="Arial"/>
          <w:sz w:val="20"/>
          <w:szCs w:val="20"/>
          <w:color w:val="000000"/>
        </w:rPr>
        <w:t>[***]; and</w:t>
      </w:r>
    </w:p>
    <w:p>
      <w:pPr>
        <w:spacing w:after="0" w:line="75" w:lineRule="exact"/>
        <w:rPr>
          <w:sz w:val="20"/>
          <w:szCs w:val="20"/>
          <w:color w:val="auto"/>
        </w:rPr>
      </w:pPr>
    </w:p>
    <w:p>
      <w:pPr>
        <w:ind w:left="660"/>
        <w:spacing w:after="0"/>
        <w:tabs>
          <w:tab w:leader="none" w:pos="1040" w:val="left"/>
          <w:tab w:leader="none" w:pos="7300" w:val="left"/>
        </w:tabs>
        <w:rPr>
          <w:sz w:val="20"/>
          <w:szCs w:val="20"/>
          <w:color w:val="auto"/>
        </w:rPr>
      </w:pPr>
      <w:r>
        <w:rPr>
          <w:rFonts w:ascii="Arial" w:cs="Arial" w:eastAsia="Arial" w:hAnsi="Arial"/>
          <w:sz w:val="20"/>
          <w:szCs w:val="20"/>
          <w:b w:val="1"/>
          <w:bCs w:val="1"/>
          <w:color w:val="auto"/>
        </w:rPr>
        <w:t>(f)</w:t>
      </w:r>
      <w:r>
        <w:rPr>
          <w:sz w:val="20"/>
          <w:szCs w:val="20"/>
          <w:color w:val="auto"/>
        </w:rPr>
        <w:tab/>
      </w:r>
      <w:r>
        <w:rPr>
          <w:rFonts w:ascii="Arial" w:cs="Arial" w:eastAsia="Arial" w:hAnsi="Arial"/>
          <w:sz w:val="19"/>
          <w:szCs w:val="19"/>
          <w:color w:val="auto"/>
        </w:rPr>
        <w:t>in the case of any breach other than the above subparagraphs (a) through (e),</w:t>
      </w:r>
      <w:r>
        <w:rPr>
          <w:sz w:val="20"/>
          <w:szCs w:val="20"/>
          <w:color w:val="auto"/>
        </w:rPr>
        <w:tab/>
      </w:r>
      <w:r>
        <w:rPr>
          <w:rFonts w:ascii="Arial" w:cs="Arial" w:eastAsia="Arial" w:hAnsi="Arial"/>
          <w:sz w:val="20"/>
          <w:szCs w:val="20"/>
          <w:color w:val="auto"/>
        </w:rPr>
        <w:t>[***].</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190500</wp:posOffset>
            </wp:positionV>
            <wp:extent cx="713232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58" w:lineRule="exact"/>
        <w:rPr>
          <w:sz w:val="20"/>
          <w:szCs w:val="20"/>
          <w:color w:val="auto"/>
        </w:rPr>
      </w:pPr>
    </w:p>
    <w:p>
      <w:pPr>
        <w:spacing w:after="0"/>
        <w:tabs>
          <w:tab w:leader="none" w:pos="1880" w:val="left"/>
        </w:tabs>
        <w:rPr>
          <w:sz w:val="20"/>
          <w:szCs w:val="20"/>
          <w:color w:val="auto"/>
        </w:rPr>
      </w:pPr>
      <w:r>
        <w:rPr>
          <w:rFonts w:ascii="Arial" w:cs="Arial" w:eastAsia="Arial" w:hAnsi="Arial"/>
          <w:sz w:val="20"/>
          <w:szCs w:val="20"/>
          <w:color w:val="auto"/>
        </w:rPr>
        <w:t>Lucid Confidential</w:t>
      </w:r>
      <w:r>
        <w:rPr>
          <w:sz w:val="20"/>
          <w:szCs w:val="20"/>
          <w:color w:val="auto"/>
        </w:rPr>
        <w:tab/>
      </w:r>
      <w:r>
        <w:rPr>
          <w:rFonts w:ascii="Arial" w:cs="Arial" w:eastAsia="Arial" w:hAnsi="Arial"/>
          <w:sz w:val="16"/>
          <w:szCs w:val="16"/>
          <w:color w:val="auto"/>
        </w:rPr>
        <w:t>Parts GTC rev. October 2020</w:t>
      </w:r>
    </w:p>
    <w:p>
      <w:pPr>
        <w:sectPr>
          <w:pgSz w:w="11900" w:h="16838" w:orient="portrait"/>
          <w:cols w:equalWidth="0" w:num="1">
            <w:col w:w="11240"/>
          </w:cols>
          <w:pgMar w:left="320" w:top="1440" w:right="339" w:bottom="1440" w:gutter="0" w:footer="0" w:header="0"/>
        </w:sectPr>
      </w:pPr>
    </w:p>
    <w:bookmarkStart w:id="143" w:name="page144"/>
    <w:bookmarkEnd w:id="143"/>
    <w:p>
      <w:pPr>
        <w:spacing w:after="0" w:line="62" w:lineRule="exact"/>
        <w:rPr>
          <w:sz w:val="20"/>
          <w:szCs w:val="20"/>
          <w:color w:val="auto"/>
        </w:rPr>
      </w:pPr>
    </w:p>
    <w:p>
      <w:pPr>
        <w:spacing w:after="0"/>
        <w:tabs>
          <w:tab w:leader="none" w:pos="780" w:val="left"/>
        </w:tabs>
        <w:rPr>
          <w:sz w:val="20"/>
          <w:szCs w:val="20"/>
          <w:color w:val="auto"/>
        </w:rPr>
      </w:pPr>
      <w:r>
        <w:rPr>
          <w:rFonts w:ascii="Arial" w:cs="Arial" w:eastAsia="Arial" w:hAnsi="Arial"/>
          <w:sz w:val="20"/>
          <w:szCs w:val="20"/>
          <w:b w:val="1"/>
          <w:bCs w:val="1"/>
          <w:color w:val="auto"/>
        </w:rPr>
        <w:t>10.3.</w:t>
      </w:r>
      <w:r>
        <w:rPr>
          <w:sz w:val="20"/>
          <w:szCs w:val="20"/>
          <w:color w:val="auto"/>
        </w:rPr>
        <w:tab/>
      </w:r>
      <w:r>
        <w:rPr>
          <w:rFonts w:ascii="Arial" w:cs="Arial" w:eastAsia="Arial" w:hAnsi="Arial"/>
          <w:sz w:val="19"/>
          <w:szCs w:val="19"/>
          <w:color w:val="auto"/>
        </w:rPr>
        <w:t>Subject to Section 7.4 (Sharing of information with Respect to Incidents), Lucid shall promptly provide Supplier with the</w:t>
      </w:r>
    </w:p>
    <w:p>
      <w:pPr>
        <w:ind w:right="20"/>
        <w:spacing w:after="0" w:line="220" w:lineRule="auto"/>
        <w:rPr>
          <w:sz w:val="20"/>
          <w:szCs w:val="20"/>
          <w:color w:val="auto"/>
        </w:rPr>
      </w:pPr>
      <w:r>
        <w:rPr>
          <w:rFonts w:ascii="Arial" w:cs="Arial" w:eastAsia="Arial" w:hAnsi="Arial"/>
          <w:sz w:val="20"/>
          <w:szCs w:val="20"/>
          <w:color w:val="auto"/>
        </w:rPr>
        <w:t>documentation reasonably satisfactory to Supplier showing the details and describing the basis of the calculation of damages claimed under Section 10.2.</w:t>
      </w:r>
    </w:p>
    <w:p>
      <w:pPr>
        <w:spacing w:after="0" w:line="56" w:lineRule="exact"/>
        <w:rPr>
          <w:sz w:val="20"/>
          <w:szCs w:val="20"/>
          <w:color w:val="auto"/>
        </w:rPr>
      </w:pPr>
    </w:p>
    <w:p>
      <w:pPr>
        <w:ind w:left="260"/>
        <w:spacing w:after="0"/>
        <w:tabs>
          <w:tab w:leader="none" w:pos="840" w:val="left"/>
        </w:tabs>
        <w:rPr>
          <w:sz w:val="20"/>
          <w:szCs w:val="20"/>
          <w:color w:val="auto"/>
        </w:rPr>
      </w:pPr>
      <w:r>
        <w:rPr>
          <w:rFonts w:ascii="Arial" w:cs="Arial" w:eastAsia="Arial" w:hAnsi="Arial"/>
          <w:sz w:val="20"/>
          <w:szCs w:val="20"/>
          <w:b w:val="1"/>
          <w:bCs w:val="1"/>
          <w:color w:val="auto"/>
        </w:rPr>
        <w:t>10.4.</w:t>
      </w:r>
      <w:r>
        <w:rPr>
          <w:sz w:val="20"/>
          <w:szCs w:val="20"/>
          <w:color w:val="auto"/>
        </w:rPr>
        <w:tab/>
      </w:r>
      <w:r>
        <w:rPr>
          <w:rFonts w:ascii="Arial" w:cs="Arial" w:eastAsia="Arial" w:hAnsi="Arial"/>
          <w:sz w:val="19"/>
          <w:szCs w:val="19"/>
          <w:b w:val="1"/>
          <w:bCs w:val="1"/>
          <w:color w:val="auto"/>
        </w:rPr>
        <w:t xml:space="preserve">Supplier’s Liability Cap. </w:t>
      </w:r>
      <w:r>
        <w:rPr>
          <w:rFonts w:ascii="Arial" w:cs="Arial" w:eastAsia="Arial" w:hAnsi="Arial"/>
          <w:sz w:val="19"/>
          <w:szCs w:val="19"/>
          <w:color w:val="auto"/>
        </w:rPr>
        <w:t>[***].</w:t>
      </w:r>
    </w:p>
    <w:p>
      <w:pPr>
        <w:spacing w:after="0" w:line="81" w:lineRule="exact"/>
        <w:rPr>
          <w:sz w:val="20"/>
          <w:szCs w:val="20"/>
          <w:color w:val="auto"/>
        </w:rPr>
      </w:pPr>
    </w:p>
    <w:p>
      <w:pPr>
        <w:ind w:left="260"/>
        <w:spacing w:after="0" w:line="239" w:lineRule="auto"/>
        <w:rPr>
          <w:sz w:val="20"/>
          <w:szCs w:val="20"/>
          <w:color w:val="auto"/>
        </w:rPr>
      </w:pPr>
      <w:r>
        <w:rPr>
          <w:rFonts w:ascii="Arial" w:cs="Arial" w:eastAsia="Arial" w:hAnsi="Arial"/>
          <w:sz w:val="18"/>
          <w:szCs w:val="18"/>
          <w:b w:val="1"/>
          <w:bCs w:val="1"/>
          <w:color w:val="auto"/>
        </w:rPr>
        <w:t xml:space="preserve">10.5. General. </w:t>
      </w:r>
      <w:r>
        <w:rPr>
          <w:rFonts w:ascii="Arial" w:cs="Arial" w:eastAsia="Arial" w:hAnsi="Arial"/>
          <w:sz w:val="18"/>
          <w:szCs w:val="18"/>
          <w:color w:val="auto"/>
        </w:rPr>
        <w:t>Except for the (a) [***], (b) [***], or (c) liability caused by gross negligence or willful misconduct of the other Party, in</w:t>
      </w:r>
      <w:r>
        <w:rPr>
          <w:rFonts w:ascii="Arial" w:cs="Arial" w:eastAsia="Arial" w:hAnsi="Arial"/>
          <w:sz w:val="18"/>
          <w:szCs w:val="18"/>
          <w:b w:val="1"/>
          <w:bCs w:val="1"/>
          <w:color w:val="auto"/>
        </w:rPr>
        <w:t xml:space="preserve"> </w:t>
      </w:r>
      <w:r>
        <w:rPr>
          <w:rFonts w:ascii="Arial" w:cs="Arial" w:eastAsia="Arial" w:hAnsi="Arial"/>
          <w:sz w:val="18"/>
          <w:szCs w:val="18"/>
          <w:color w:val="auto"/>
        </w:rPr>
        <w:t>no event will either Party be liable to the other or its subcontractors or suppliers under any contract, negligence, strict liability, tort, or</w:t>
      </w:r>
    </w:p>
    <w:p>
      <w:pPr>
        <w:ind w:left="260"/>
        <w:spacing w:after="0" w:line="236" w:lineRule="auto"/>
        <w:rPr>
          <w:sz w:val="20"/>
          <w:szCs w:val="20"/>
          <w:color w:val="auto"/>
        </w:rPr>
      </w:pPr>
      <w:r>
        <w:rPr>
          <w:rFonts w:ascii="Arial" w:cs="Arial" w:eastAsia="Arial" w:hAnsi="Arial"/>
          <w:sz w:val="18"/>
          <w:szCs w:val="18"/>
          <w:color w:val="auto"/>
        </w:rPr>
        <w:t>other legal or equitable theory, for anticipated profits, interest except as provided in Section 8, penalties or consequential, incidental</w:t>
      </w:r>
    </w:p>
    <w:p>
      <w:pPr>
        <w:ind w:left="260"/>
        <w:spacing w:after="0" w:line="226" w:lineRule="auto"/>
        <w:rPr>
          <w:sz w:val="20"/>
          <w:szCs w:val="20"/>
          <w:color w:val="auto"/>
        </w:rPr>
      </w:pPr>
      <w:r>
        <w:rPr>
          <w:rFonts w:ascii="Arial" w:cs="Arial" w:eastAsia="Arial" w:hAnsi="Arial"/>
          <w:sz w:val="18"/>
          <w:szCs w:val="18"/>
          <w:color w:val="auto"/>
        </w:rPr>
        <w:t>except as provided in [***], indirect, special, punitive, multiple, or exemplary damages or liabilities in connection with this Agreement and the applicable production pricing agreement, including, but not limited to, failure to realize anticipated production volumes, revenues</w:t>
      </w:r>
    </w:p>
    <w:p>
      <w:pPr>
        <w:spacing w:after="0" w:line="2" w:lineRule="exact"/>
        <w:rPr>
          <w:sz w:val="20"/>
          <w:szCs w:val="20"/>
          <w:color w:val="auto"/>
        </w:rPr>
      </w:pPr>
    </w:p>
    <w:p>
      <w:pPr>
        <w:ind w:left="260"/>
        <w:spacing w:after="0"/>
        <w:rPr>
          <w:sz w:val="20"/>
          <w:szCs w:val="20"/>
          <w:color w:val="auto"/>
        </w:rPr>
      </w:pPr>
      <w:r>
        <w:rPr>
          <w:rFonts w:ascii="Arial" w:cs="Arial" w:eastAsia="Arial" w:hAnsi="Arial"/>
          <w:sz w:val="16"/>
          <w:szCs w:val="16"/>
          <w:color w:val="auto"/>
        </w:rPr>
        <w:t>or savings, unabsorbed overhead, interest on claims except as provided in Section 8, product development and engineering costs, tooling,</w:t>
      </w:r>
    </w:p>
    <w:p>
      <w:pPr>
        <w:spacing w:after="0" w:line="19" w:lineRule="exact"/>
        <w:rPr>
          <w:sz w:val="20"/>
          <w:szCs w:val="20"/>
          <w:color w:val="auto"/>
        </w:rPr>
      </w:pPr>
    </w:p>
    <w:p>
      <w:pPr>
        <w:ind w:left="260"/>
        <w:spacing w:after="0" w:line="255" w:lineRule="auto"/>
        <w:rPr>
          <w:sz w:val="20"/>
          <w:szCs w:val="20"/>
          <w:color w:val="auto"/>
        </w:rPr>
      </w:pPr>
      <w:r>
        <w:rPr>
          <w:rFonts w:ascii="Arial" w:cs="Arial" w:eastAsia="Arial" w:hAnsi="Arial"/>
          <w:sz w:val="16"/>
          <w:szCs w:val="16"/>
          <w:color w:val="auto"/>
        </w:rPr>
        <w:t>facilities and equipment rearrangement costs or rental, unamortized capital or depreciation costs, or general administrative burden charges from termination of this Agreement, whether for breach of contract, late payment, property damage, personal injury, illness, or death or</w:t>
      </w:r>
    </w:p>
    <w:p>
      <w:pPr>
        <w:ind w:left="260"/>
        <w:spacing w:after="0" w:line="235" w:lineRule="auto"/>
        <w:rPr>
          <w:sz w:val="20"/>
          <w:szCs w:val="20"/>
          <w:color w:val="auto"/>
        </w:rPr>
      </w:pPr>
      <w:r>
        <w:rPr>
          <w:rFonts w:ascii="Arial" w:cs="Arial" w:eastAsia="Arial" w:hAnsi="Arial"/>
          <w:sz w:val="18"/>
          <w:szCs w:val="18"/>
          <w:color w:val="auto"/>
        </w:rPr>
        <w:t>otherwise, even if a Party was advised of the possibility of such damages or such damages were reasonably foreseeable. The Parties</w:t>
      </w:r>
    </w:p>
    <w:p>
      <w:pPr>
        <w:ind w:left="260"/>
        <w:spacing w:after="0" w:line="226" w:lineRule="auto"/>
        <w:rPr>
          <w:sz w:val="20"/>
          <w:szCs w:val="20"/>
          <w:color w:val="auto"/>
        </w:rPr>
      </w:pPr>
      <w:r>
        <w:rPr>
          <w:rFonts w:ascii="Arial" w:cs="Arial" w:eastAsia="Arial" w:hAnsi="Arial"/>
          <w:sz w:val="18"/>
          <w:szCs w:val="18"/>
          <w:color w:val="auto"/>
        </w:rPr>
        <w:t>acknowledge and agree that the limitation of liability set forth in this Section 10 reflects an allocation of risk among the Parties to this Agreement and the applicable production pricing agreement and that, in the absence of such limitations, the terms of this Agreement and</w:t>
      </w:r>
    </w:p>
    <w:p>
      <w:pPr>
        <w:spacing w:after="0" w:line="2" w:lineRule="exact"/>
        <w:rPr>
          <w:sz w:val="20"/>
          <w:szCs w:val="20"/>
          <w:color w:val="auto"/>
        </w:rPr>
      </w:pPr>
    </w:p>
    <w:p>
      <w:pPr>
        <w:ind w:left="260" w:right="20"/>
        <w:spacing w:after="0" w:line="266" w:lineRule="auto"/>
        <w:rPr>
          <w:sz w:val="20"/>
          <w:szCs w:val="20"/>
          <w:color w:val="auto"/>
        </w:rPr>
      </w:pPr>
      <w:r>
        <w:rPr>
          <w:rFonts w:ascii="Arial" w:cs="Arial" w:eastAsia="Arial" w:hAnsi="Arial"/>
          <w:sz w:val="18"/>
          <w:szCs w:val="18"/>
          <w:color w:val="auto"/>
        </w:rPr>
        <w:t>the production pricing agreement would be substantially different. Each Party shall use its commercially reasonable efforts to mitigate the damages incurred in connection with this Agreement or the applicable production pricing agreement by the other Party.</w:t>
      </w:r>
    </w:p>
    <w:p>
      <w:pPr>
        <w:spacing w:after="0" w:line="13" w:lineRule="exact"/>
        <w:rPr>
          <w:sz w:val="20"/>
          <w:szCs w:val="20"/>
          <w:color w:val="auto"/>
        </w:rPr>
      </w:pPr>
    </w:p>
    <w:p>
      <w:pPr>
        <w:ind w:left="260"/>
        <w:spacing w:after="0"/>
        <w:tabs>
          <w:tab w:leader="none" w:pos="920" w:val="left"/>
        </w:tabs>
        <w:rPr>
          <w:sz w:val="20"/>
          <w:szCs w:val="20"/>
          <w:color w:val="auto"/>
        </w:rPr>
      </w:pPr>
      <w:r>
        <w:rPr>
          <w:rFonts w:ascii="Arial" w:cs="Arial" w:eastAsia="Arial" w:hAnsi="Arial"/>
          <w:sz w:val="20"/>
          <w:szCs w:val="20"/>
          <w:b w:val="1"/>
          <w:bCs w:val="1"/>
          <w:color w:val="auto"/>
        </w:rPr>
        <w:t>10.6.</w:t>
      </w:r>
      <w:r>
        <w:rPr>
          <w:sz w:val="20"/>
          <w:szCs w:val="20"/>
          <w:color w:val="auto"/>
        </w:rPr>
        <w:tab/>
      </w:r>
      <w:r>
        <w:rPr>
          <w:rFonts w:ascii="Arial" w:cs="Arial" w:eastAsia="Arial" w:hAnsi="Arial"/>
          <w:sz w:val="18"/>
          <w:szCs w:val="18"/>
          <w:b w:val="1"/>
          <w:bCs w:val="1"/>
          <w:color w:val="auto"/>
        </w:rPr>
        <w:t xml:space="preserve">Cumulative Remedies. </w:t>
      </w:r>
      <w:r>
        <w:rPr>
          <w:rFonts w:ascii="Arial" w:cs="Arial" w:eastAsia="Arial" w:hAnsi="Arial"/>
          <w:sz w:val="18"/>
          <w:szCs w:val="18"/>
          <w:color w:val="auto"/>
        </w:rPr>
        <w:t>Unless otherwise expressly provided in this GTC or the applicable production pricing agreement, the</w:t>
      </w:r>
    </w:p>
    <w:p>
      <w:pPr>
        <w:ind w:left="260"/>
        <w:spacing w:after="0" w:line="220" w:lineRule="auto"/>
        <w:rPr>
          <w:sz w:val="20"/>
          <w:szCs w:val="20"/>
          <w:color w:val="auto"/>
        </w:rPr>
      </w:pPr>
      <w:r>
        <w:rPr>
          <w:rFonts w:ascii="Arial" w:cs="Arial" w:eastAsia="Arial" w:hAnsi="Arial"/>
          <w:sz w:val="20"/>
          <w:szCs w:val="20"/>
          <w:color w:val="auto"/>
        </w:rPr>
        <w:t>rights and remedies of a Party set forth in this GTC and the applicable production pricing agreement shall be cumulative, and in addition to, all other or further remedies provided at law or in equity.</w:t>
      </w:r>
    </w:p>
    <w:p>
      <w:pPr>
        <w:spacing w:after="0" w:line="56" w:lineRule="exact"/>
        <w:rPr>
          <w:sz w:val="20"/>
          <w:szCs w:val="20"/>
          <w:color w:val="auto"/>
        </w:rPr>
      </w:pPr>
    </w:p>
    <w:p>
      <w:pPr>
        <w:jc w:val="both"/>
        <w:ind w:firstLine="8"/>
        <w:spacing w:after="0" w:line="219" w:lineRule="auto"/>
        <w:tabs>
          <w:tab w:leader="none" w:pos="434" w:val="left"/>
        </w:tabs>
        <w:numPr>
          <w:ilvl w:val="0"/>
          <w:numId w:val="79"/>
        </w:numPr>
        <w:rPr>
          <w:rFonts w:ascii="Arial" w:cs="Arial" w:eastAsia="Arial" w:hAnsi="Arial"/>
          <w:sz w:val="20"/>
          <w:szCs w:val="20"/>
          <w:b w:val="1"/>
          <w:bCs w:val="1"/>
          <w:color w:val="auto"/>
        </w:rPr>
      </w:pPr>
      <w:r>
        <w:rPr>
          <w:rFonts w:ascii="Arial" w:cs="Arial" w:eastAsia="Arial" w:hAnsi="Arial"/>
          <w:sz w:val="20"/>
          <w:szCs w:val="20"/>
          <w:b w:val="1"/>
          <w:bCs w:val="1"/>
          <w:color w:val="auto"/>
        </w:rPr>
        <w:t>CONFIDENTIALITY</w:t>
      </w:r>
      <w:r>
        <w:rPr>
          <w:rFonts w:ascii="Arial" w:cs="Arial" w:eastAsia="Arial" w:hAnsi="Arial"/>
          <w:sz w:val="20"/>
          <w:szCs w:val="20"/>
          <w:color w:val="auto"/>
        </w:rPr>
        <w:t>. The Confidentiality Agreement forms part of this Agreement and the production pricing agreement and applies</w:t>
      </w:r>
      <w:r>
        <w:rPr>
          <w:rFonts w:ascii="Arial" w:cs="Arial" w:eastAsia="Arial" w:hAnsi="Arial"/>
          <w:sz w:val="20"/>
          <w:szCs w:val="20"/>
          <w:b w:val="1"/>
          <w:bCs w:val="1"/>
          <w:color w:val="auto"/>
        </w:rPr>
        <w:t xml:space="preserve"> </w:t>
      </w:r>
      <w:r>
        <w:rPr>
          <w:rFonts w:ascii="Arial" w:cs="Arial" w:eastAsia="Arial" w:hAnsi="Arial"/>
          <w:sz w:val="20"/>
          <w:szCs w:val="20"/>
          <w:color w:val="auto"/>
        </w:rPr>
        <w:t>to the existence of this Agreement and the production pricing agreements and all disclosures made in the course of this Agreement or the production pricing agreement. The terms of the Confidentiality Agreement will survive termination of this Agreement for a period of [***] years from the date of such termination, notwithstanding any terms in the Confidentiality Agreement providing for its earlier expiration or termination.</w:t>
      </w:r>
    </w:p>
    <w:p>
      <w:pPr>
        <w:spacing w:after="0" w:line="44" w:lineRule="exact"/>
        <w:rPr>
          <w:rFonts w:ascii="Arial" w:cs="Arial" w:eastAsia="Arial" w:hAnsi="Arial"/>
          <w:sz w:val="20"/>
          <w:szCs w:val="20"/>
          <w:b w:val="1"/>
          <w:bCs w:val="1"/>
          <w:color w:val="auto"/>
        </w:rPr>
      </w:pPr>
    </w:p>
    <w:p>
      <w:pPr>
        <w:ind w:left="440" w:hanging="432"/>
        <w:spacing w:after="0"/>
        <w:tabs>
          <w:tab w:leader="none" w:pos="440" w:val="left"/>
        </w:tabs>
        <w:numPr>
          <w:ilvl w:val="0"/>
          <w:numId w:val="79"/>
        </w:numPr>
        <w:rPr>
          <w:rFonts w:ascii="Arial" w:cs="Arial" w:eastAsia="Arial" w:hAnsi="Arial"/>
          <w:sz w:val="20"/>
          <w:szCs w:val="20"/>
          <w:b w:val="1"/>
          <w:bCs w:val="1"/>
          <w:color w:val="auto"/>
        </w:rPr>
      </w:pPr>
      <w:r>
        <w:rPr>
          <w:rFonts w:ascii="Arial" w:cs="Arial" w:eastAsia="Arial" w:hAnsi="Arial"/>
          <w:sz w:val="20"/>
          <w:szCs w:val="20"/>
          <w:b w:val="1"/>
          <w:bCs w:val="1"/>
          <w:color w:val="auto"/>
        </w:rPr>
        <w:t>TERM AND TERMINATION</w:t>
      </w:r>
    </w:p>
    <w:p>
      <w:pPr>
        <w:spacing w:after="0" w:line="75" w:lineRule="exact"/>
        <w:rPr>
          <w:sz w:val="20"/>
          <w:szCs w:val="20"/>
          <w:color w:val="auto"/>
        </w:rPr>
      </w:pPr>
    </w:p>
    <w:p>
      <w:pPr>
        <w:ind w:left="260"/>
        <w:spacing w:after="0"/>
        <w:tabs>
          <w:tab w:leader="none" w:pos="920" w:val="left"/>
        </w:tabs>
        <w:rPr>
          <w:sz w:val="20"/>
          <w:szCs w:val="20"/>
          <w:color w:val="auto"/>
        </w:rPr>
      </w:pPr>
      <w:r>
        <w:rPr>
          <w:rFonts w:ascii="Arial" w:cs="Arial" w:eastAsia="Arial" w:hAnsi="Arial"/>
          <w:sz w:val="20"/>
          <w:szCs w:val="20"/>
          <w:b w:val="1"/>
          <w:bCs w:val="1"/>
          <w:color w:val="auto"/>
        </w:rPr>
        <w:t>12.1.</w:t>
      </w:r>
      <w:r>
        <w:rPr>
          <w:sz w:val="20"/>
          <w:szCs w:val="20"/>
          <w:color w:val="auto"/>
        </w:rPr>
        <w:tab/>
      </w:r>
      <w:r>
        <w:rPr>
          <w:rFonts w:ascii="Arial" w:cs="Arial" w:eastAsia="Arial" w:hAnsi="Arial"/>
          <w:sz w:val="19"/>
          <w:szCs w:val="19"/>
          <w:b w:val="1"/>
          <w:bCs w:val="1"/>
          <w:color w:val="auto"/>
        </w:rPr>
        <w:t xml:space="preserve">Term. </w:t>
      </w:r>
      <w:r>
        <w:rPr>
          <w:rFonts w:ascii="Arial" w:cs="Arial" w:eastAsia="Arial" w:hAnsi="Arial"/>
          <w:sz w:val="19"/>
          <w:szCs w:val="19"/>
          <w:color w:val="auto"/>
        </w:rPr>
        <w:t>The Agreement will commence on the Effective Date and shall remain in effect for [***] years thereafter (the “Initial</w:t>
      </w:r>
    </w:p>
    <w:p>
      <w:pPr>
        <w:ind w:left="260" w:right="20"/>
        <w:spacing w:after="0" w:line="220" w:lineRule="auto"/>
        <w:rPr>
          <w:sz w:val="20"/>
          <w:szCs w:val="20"/>
          <w:color w:val="auto"/>
        </w:rPr>
      </w:pPr>
      <w:r>
        <w:rPr>
          <w:rFonts w:ascii="Arial" w:cs="Arial" w:eastAsia="Arial" w:hAnsi="Arial"/>
          <w:sz w:val="20"/>
          <w:szCs w:val="20"/>
          <w:color w:val="auto"/>
        </w:rPr>
        <w:t>Term”) unless otherwise earlier terminated in accordance with the provision of this Section 12. Beginning one (1) year before the end of the Initial Term, the Parties will discuss in good faith the possibility of extending the Initial Term.</w:t>
      </w:r>
    </w:p>
    <w:p>
      <w:pPr>
        <w:spacing w:after="0" w:line="56" w:lineRule="exact"/>
        <w:rPr>
          <w:sz w:val="20"/>
          <w:szCs w:val="20"/>
          <w:color w:val="auto"/>
        </w:rPr>
      </w:pPr>
    </w:p>
    <w:p>
      <w:pPr>
        <w:ind w:left="260"/>
        <w:spacing w:after="0"/>
        <w:tabs>
          <w:tab w:leader="none" w:pos="840" w:val="left"/>
        </w:tabs>
        <w:rPr>
          <w:sz w:val="20"/>
          <w:szCs w:val="20"/>
          <w:color w:val="auto"/>
        </w:rPr>
      </w:pPr>
      <w:r>
        <w:rPr>
          <w:rFonts w:ascii="Arial" w:cs="Arial" w:eastAsia="Arial" w:hAnsi="Arial"/>
          <w:sz w:val="20"/>
          <w:szCs w:val="20"/>
          <w:b w:val="1"/>
          <w:bCs w:val="1"/>
          <w:color w:val="auto"/>
        </w:rPr>
        <w:t>12.2.</w:t>
      </w:r>
      <w:r>
        <w:rPr>
          <w:sz w:val="20"/>
          <w:szCs w:val="20"/>
          <w:color w:val="auto"/>
        </w:rPr>
        <w:tab/>
      </w:r>
      <w:r>
        <w:rPr>
          <w:rFonts w:ascii="Arial" w:cs="Arial" w:eastAsia="Arial" w:hAnsi="Arial"/>
          <w:sz w:val="18"/>
          <w:szCs w:val="18"/>
          <w:b w:val="1"/>
          <w:bCs w:val="1"/>
          <w:color w:val="auto"/>
        </w:rPr>
        <w:t>Termination.</w:t>
      </w:r>
    </w:p>
    <w:p>
      <w:pPr>
        <w:spacing w:after="0" w:line="81" w:lineRule="exact"/>
        <w:rPr>
          <w:sz w:val="20"/>
          <w:szCs w:val="20"/>
          <w:color w:val="auto"/>
        </w:rPr>
      </w:pPr>
    </w:p>
    <w:p>
      <w:pPr>
        <w:jc w:val="both"/>
        <w:ind w:firstLine="656"/>
        <w:spacing w:after="0" w:line="222" w:lineRule="auto"/>
        <w:tabs>
          <w:tab w:leader="none" w:pos="1172" w:val="left"/>
        </w:tabs>
        <w:numPr>
          <w:ilvl w:val="0"/>
          <w:numId w:val="80"/>
        </w:numPr>
        <w:rPr>
          <w:rFonts w:ascii="Arial" w:cs="Arial" w:eastAsia="Arial" w:hAnsi="Arial"/>
          <w:sz w:val="19"/>
          <w:szCs w:val="19"/>
          <w:b w:val="1"/>
          <w:bCs w:val="1"/>
          <w:color w:val="auto"/>
        </w:rPr>
      </w:pPr>
      <w:r>
        <w:rPr>
          <w:rFonts w:ascii="Arial" w:cs="Arial" w:eastAsia="Arial" w:hAnsi="Arial"/>
          <w:sz w:val="19"/>
          <w:szCs w:val="19"/>
          <w:b w:val="1"/>
          <w:bCs w:val="1"/>
          <w:color w:val="auto"/>
        </w:rPr>
        <w:t>Termination by Lucid</w:t>
      </w:r>
      <w:r>
        <w:rPr>
          <w:rFonts w:ascii="Arial" w:cs="Arial" w:eastAsia="Arial" w:hAnsi="Arial"/>
          <w:sz w:val="19"/>
          <w:szCs w:val="19"/>
          <w:color w:val="auto"/>
        </w:rPr>
        <w:t>. Supplier acknowledges that, in entering into this Agreement, Lucid shall become dependent upon</w:t>
      </w:r>
      <w:r>
        <w:rPr>
          <w:rFonts w:ascii="Arial" w:cs="Arial" w:eastAsia="Arial" w:hAnsi="Arial"/>
          <w:sz w:val="19"/>
          <w:szCs w:val="19"/>
          <w:b w:val="1"/>
          <w:bCs w:val="1"/>
          <w:color w:val="auto"/>
        </w:rPr>
        <w:t xml:space="preserve"> </w:t>
      </w:r>
      <w:r>
        <w:rPr>
          <w:rFonts w:ascii="Arial" w:cs="Arial" w:eastAsia="Arial" w:hAnsi="Arial"/>
          <w:sz w:val="19"/>
          <w:szCs w:val="19"/>
          <w:color w:val="auto"/>
        </w:rPr>
        <w:t>Supplier for the timely development and production of samples and prototypes of the Goods, for the supply of the Goods, and, as a result, for the production by Lucid of its products in accordance with the schedules contemplated in this Agreement. Lucid shall have the right to terminate this Agreement for material breach upon [***] prior written notice to Supplier if, unless otherwise excused under this Agreement, Supplier fails to perform any provision hereof and fails to cure or to make an acceptable plan to cure such material breach within such [***] period. However, Lucid may terminate this Agreement or any production pricing agreement immediately upon a written notice if Supplier (i) fails to meet the delivery metrics set forth in the applicable production pricing agreement; (ii) has a [***]; (iii) ceases doing business as a going concern or admits in writing its inability to perform its obligations under the accepted Spot Order, Production Order or Release as and when due; (iv) makes an assignment for the benefit of creditors or proceedings in bankruptcy or insolvency are instituted against it; (v) becomes a debtor in a bankruptcy, insolvency or receivership and such action is not dismissed within [***] of commencement; or (vi) is expropriated or nationalized. In addition, Lucid may terminate the Agreement immediately with notice to Supplier if Supplier is in breach of Section 6.1(d) or 6.1(e).</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181610</wp:posOffset>
            </wp:positionV>
            <wp:extent cx="713232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44" w:lineRule="exact"/>
        <w:rPr>
          <w:sz w:val="20"/>
          <w:szCs w:val="20"/>
          <w:color w:val="auto"/>
        </w:rPr>
      </w:pPr>
    </w:p>
    <w:p>
      <w:pPr>
        <w:spacing w:after="0"/>
        <w:tabs>
          <w:tab w:leader="none" w:pos="1880" w:val="left"/>
        </w:tabs>
        <w:rPr>
          <w:sz w:val="20"/>
          <w:szCs w:val="20"/>
          <w:color w:val="auto"/>
        </w:rPr>
      </w:pPr>
      <w:r>
        <w:rPr>
          <w:rFonts w:ascii="Arial" w:cs="Arial" w:eastAsia="Arial" w:hAnsi="Arial"/>
          <w:sz w:val="20"/>
          <w:szCs w:val="20"/>
          <w:color w:val="auto"/>
        </w:rPr>
        <w:t>Lucid Confidential</w:t>
      </w:r>
      <w:r>
        <w:rPr>
          <w:sz w:val="20"/>
          <w:szCs w:val="20"/>
          <w:color w:val="auto"/>
        </w:rPr>
        <w:tab/>
      </w:r>
      <w:r>
        <w:rPr>
          <w:rFonts w:ascii="Arial" w:cs="Arial" w:eastAsia="Arial" w:hAnsi="Arial"/>
          <w:sz w:val="16"/>
          <w:szCs w:val="16"/>
          <w:color w:val="auto"/>
        </w:rPr>
        <w:t>Parts GTC rev. October 2020</w:t>
      </w:r>
    </w:p>
    <w:p>
      <w:pPr>
        <w:sectPr>
          <w:pgSz w:w="11900" w:h="16838" w:orient="portrait"/>
          <w:cols w:equalWidth="0" w:num="1">
            <w:col w:w="11240"/>
          </w:cols>
          <w:pgMar w:left="320" w:top="1440" w:right="339" w:bottom="1440" w:gutter="0" w:footer="0" w:header="0"/>
        </w:sectPr>
      </w:pPr>
    </w:p>
    <w:bookmarkStart w:id="144" w:name="page145"/>
    <w:bookmarkEnd w:id="144"/>
    <w:p>
      <w:pPr>
        <w:spacing w:after="0" w:line="68" w:lineRule="exact"/>
        <w:rPr>
          <w:sz w:val="20"/>
          <w:szCs w:val="20"/>
          <w:color w:val="auto"/>
        </w:rPr>
      </w:pPr>
    </w:p>
    <w:p>
      <w:pPr>
        <w:jc w:val="both"/>
        <w:ind w:firstLine="656"/>
        <w:spacing w:after="0" w:line="223" w:lineRule="auto"/>
        <w:tabs>
          <w:tab w:leader="none" w:pos="1107" w:val="left"/>
        </w:tabs>
        <w:numPr>
          <w:ilvl w:val="0"/>
          <w:numId w:val="81"/>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Termination by Supplier. </w:t>
      </w:r>
      <w:r>
        <w:rPr>
          <w:rFonts w:ascii="Arial" w:cs="Arial" w:eastAsia="Arial" w:hAnsi="Arial"/>
          <w:sz w:val="19"/>
          <w:szCs w:val="19"/>
          <w:color w:val="auto"/>
        </w:rPr>
        <w:t>Supplier shall have the right to terminate this Agreement and/or any production pricing agreements</w:t>
      </w:r>
      <w:r>
        <w:rPr>
          <w:rFonts w:ascii="Arial" w:cs="Arial" w:eastAsia="Arial" w:hAnsi="Arial"/>
          <w:sz w:val="19"/>
          <w:szCs w:val="19"/>
          <w:b w:val="1"/>
          <w:bCs w:val="1"/>
          <w:color w:val="auto"/>
        </w:rPr>
        <w:t xml:space="preserve"> </w:t>
      </w:r>
      <w:r>
        <w:rPr>
          <w:rFonts w:ascii="Arial" w:cs="Arial" w:eastAsia="Arial" w:hAnsi="Arial"/>
          <w:sz w:val="19"/>
          <w:szCs w:val="19"/>
          <w:color w:val="auto"/>
        </w:rPr>
        <w:t>for a material breach thereof by Lucid upon [***] prior written notice to Lucid if, unless otherwise excused under this Agreement, Lucid fails to cure or to make an acceptable plan to cure such material breach within such [***] period. For the purposes of this Section 12.2 (b), Lucid’s material breach shall mean at least any of the following: (i) failure to pay Supplier the purchase price for any Goods in full when due; or (ii) failure to purchase the volume of Goods committed to by Lucid in the applicable production pricing agreement. However, Supplier may terminate this Agreement or any production pricing agreement immediately upon written notice if Lucid: (A) fails to comply with the provisions of Sections 2.11 (Prohibition on Cell Resale), 5.8 (Restrictions on Use) or 11 (Confidentiality); (B) ceases doing business as a going concern or admits in writing its inability to perform its obligations under the Spot Order, Production Order or Release accepted by Supplier as and when due; (C) makes an assignment for the benefit of creditors or proceedings in bankruptcy or insolvency are instituted against it; (D) becomes a debtor in a bankruptcy, insolvency or receivership and such action is not dismissed within [***] of commencement; or (E) is expropriated or nationalized.</w:t>
      </w:r>
    </w:p>
    <w:p>
      <w:pPr>
        <w:spacing w:after="0" w:line="48" w:lineRule="exact"/>
        <w:rPr>
          <w:rFonts w:ascii="Arial" w:cs="Arial" w:eastAsia="Arial" w:hAnsi="Arial"/>
          <w:sz w:val="19"/>
          <w:szCs w:val="19"/>
          <w:b w:val="1"/>
          <w:bCs w:val="1"/>
          <w:color w:val="auto"/>
        </w:rPr>
      </w:pPr>
    </w:p>
    <w:p>
      <w:pPr>
        <w:jc w:val="both"/>
        <w:ind w:firstLine="656"/>
        <w:spacing w:after="0" w:line="230" w:lineRule="auto"/>
        <w:tabs>
          <w:tab w:leader="none" w:pos="1173" w:val="left"/>
        </w:tabs>
        <w:numPr>
          <w:ilvl w:val="0"/>
          <w:numId w:val="81"/>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Breach by a Participant. </w:t>
      </w:r>
      <w:r>
        <w:rPr>
          <w:rFonts w:ascii="Arial" w:cs="Arial" w:eastAsia="Arial" w:hAnsi="Arial"/>
          <w:sz w:val="20"/>
          <w:szCs w:val="20"/>
          <w:color w:val="auto"/>
        </w:rPr>
        <w:t>For the avoidance of doubt, breach by Participant of the terms of the GTC or any Spot Order,</w:t>
      </w:r>
      <w:r>
        <w:rPr>
          <w:rFonts w:ascii="Arial" w:cs="Arial" w:eastAsia="Arial" w:hAnsi="Arial"/>
          <w:sz w:val="20"/>
          <w:szCs w:val="20"/>
          <w:b w:val="1"/>
          <w:bCs w:val="1"/>
          <w:color w:val="auto"/>
        </w:rPr>
        <w:t xml:space="preserve"> </w:t>
      </w:r>
      <w:r>
        <w:rPr>
          <w:rFonts w:ascii="Arial" w:cs="Arial" w:eastAsia="Arial" w:hAnsi="Arial"/>
          <w:sz w:val="20"/>
          <w:szCs w:val="20"/>
          <w:color w:val="auto"/>
        </w:rPr>
        <w:t>Production Order, Release, production pricing agreement or other agreement entered into pursuant to this GTC, shall not be a breach by Supplier or any other Participant.</w:t>
      </w:r>
    </w:p>
    <w:p>
      <w:pPr>
        <w:spacing w:after="0" w:line="41" w:lineRule="exact"/>
        <w:rPr>
          <w:sz w:val="20"/>
          <w:szCs w:val="20"/>
          <w:color w:val="auto"/>
        </w:rPr>
      </w:pPr>
    </w:p>
    <w:p>
      <w:pPr>
        <w:jc w:val="both"/>
        <w:ind w:left="260"/>
        <w:spacing w:after="0" w:line="230" w:lineRule="auto"/>
        <w:rPr>
          <w:sz w:val="20"/>
          <w:szCs w:val="20"/>
          <w:color w:val="auto"/>
        </w:rPr>
      </w:pPr>
      <w:r>
        <w:rPr>
          <w:rFonts w:ascii="Arial" w:cs="Arial" w:eastAsia="Arial" w:hAnsi="Arial"/>
          <w:sz w:val="20"/>
          <w:szCs w:val="20"/>
          <w:b w:val="1"/>
          <w:bCs w:val="1"/>
          <w:color w:val="auto"/>
        </w:rPr>
        <w:t xml:space="preserve">12.3. Notices. </w:t>
      </w:r>
      <w:r>
        <w:rPr>
          <w:rFonts w:ascii="Arial" w:cs="Arial" w:eastAsia="Arial" w:hAnsi="Arial"/>
          <w:sz w:val="20"/>
          <w:szCs w:val="20"/>
          <w:color w:val="auto"/>
        </w:rPr>
        <w:t>Notices under this Section 12 will be in writing, and will be delivered via express courier service. Notices will be directed</w:t>
      </w:r>
      <w:r>
        <w:rPr>
          <w:rFonts w:ascii="Arial" w:cs="Arial" w:eastAsia="Arial" w:hAnsi="Arial"/>
          <w:sz w:val="20"/>
          <w:szCs w:val="20"/>
          <w:b w:val="1"/>
          <w:bCs w:val="1"/>
          <w:color w:val="auto"/>
        </w:rPr>
        <w:t xml:space="preserve"> </w:t>
      </w:r>
      <w:r>
        <w:rPr>
          <w:rFonts w:ascii="Arial" w:cs="Arial" w:eastAsia="Arial" w:hAnsi="Arial"/>
          <w:sz w:val="20"/>
          <w:szCs w:val="20"/>
          <w:color w:val="auto"/>
        </w:rPr>
        <w:t>to the addresses set forth below and will be deemed effective upon receipt thereof. Either Party may change its address for notices from time to time by providing written notice of such change to the other Party:</w:t>
      </w:r>
    </w:p>
    <w:p>
      <w:pPr>
        <w:spacing w:after="0" w:line="35" w:lineRule="exact"/>
        <w:rPr>
          <w:sz w:val="20"/>
          <w:szCs w:val="20"/>
          <w:color w:val="auto"/>
        </w:rPr>
      </w:pPr>
    </w:p>
    <w:p>
      <w:pPr>
        <w:ind w:left="1300" w:hanging="644"/>
        <w:spacing w:after="0"/>
        <w:tabs>
          <w:tab w:leader="none" w:pos="1300" w:val="left"/>
        </w:tabs>
        <w:numPr>
          <w:ilvl w:val="0"/>
          <w:numId w:val="82"/>
        </w:numPr>
        <w:rPr>
          <w:rFonts w:ascii="Arial" w:cs="Arial" w:eastAsia="Arial" w:hAnsi="Arial"/>
          <w:sz w:val="20"/>
          <w:szCs w:val="20"/>
          <w:b w:val="1"/>
          <w:bCs w:val="1"/>
          <w:color w:val="auto"/>
        </w:rPr>
      </w:pPr>
      <w:r>
        <w:rPr>
          <w:rFonts w:ascii="Arial" w:cs="Arial" w:eastAsia="Arial" w:hAnsi="Arial"/>
          <w:sz w:val="20"/>
          <w:szCs w:val="20"/>
          <w:color w:val="auto"/>
        </w:rPr>
        <w:t>For Lucid, LUCID USA, INC. 7373 Gateway Blvd. Newark, CA 94560 Attn: General Counsel, with email copies</w:t>
      </w:r>
    </w:p>
    <w:p>
      <w:pPr>
        <w:spacing w:after="0"/>
        <w:tabs>
          <w:tab w:leader="none" w:pos="540" w:val="left"/>
          <w:tab w:leader="none" w:pos="1220" w:val="left"/>
        </w:tabs>
        <w:rPr>
          <w:sz w:val="20"/>
          <w:szCs w:val="20"/>
          <w:color w:val="auto"/>
        </w:rPr>
      </w:pPr>
      <w:r>
        <w:rPr>
          <w:rFonts w:ascii="Arial" w:cs="Arial" w:eastAsia="Arial" w:hAnsi="Arial"/>
          <w:sz w:val="20"/>
          <w:szCs w:val="20"/>
          <w:color w:val="auto"/>
        </w:rPr>
        <w:t>to</w:t>
      </w:r>
      <w:r>
        <w:rPr>
          <w:sz w:val="20"/>
          <w:szCs w:val="20"/>
          <w:color w:val="auto"/>
        </w:rPr>
        <w:tab/>
      </w:r>
      <w:r>
        <w:rPr>
          <w:rFonts w:ascii="Arial" w:cs="Arial" w:eastAsia="Arial" w:hAnsi="Arial"/>
          <w:sz w:val="20"/>
          <w:szCs w:val="20"/>
          <w:color w:val="auto"/>
        </w:rPr>
        <w:t>and</w:t>
      </w:r>
      <w:r>
        <w:rPr>
          <w:sz w:val="20"/>
          <w:szCs w:val="20"/>
          <w:color w:val="auto"/>
        </w:rPr>
        <w:tab/>
      </w:r>
      <w:r>
        <w:rPr>
          <w:rFonts w:ascii="Arial" w:cs="Arial" w:eastAsia="Arial" w:hAnsi="Arial"/>
          <w:sz w:val="16"/>
          <w:szCs w:val="16"/>
          <w:color w:val="auto"/>
        </w:rPr>
        <w:t>; and</w:t>
      </w:r>
    </w:p>
    <w:p>
      <w:pPr>
        <w:spacing w:after="0" w:line="40" w:lineRule="exact"/>
        <w:rPr>
          <w:sz w:val="20"/>
          <w:szCs w:val="20"/>
          <w:color w:val="auto"/>
        </w:rPr>
      </w:pPr>
    </w:p>
    <w:p>
      <w:pPr>
        <w:ind w:left="660"/>
        <w:spacing w:after="0"/>
        <w:tabs>
          <w:tab w:leader="none" w:pos="1080" w:val="left"/>
          <w:tab w:leader="none" w:pos="10640" w:val="left"/>
        </w:tabs>
        <w:rPr>
          <w:sz w:val="20"/>
          <w:szCs w:val="20"/>
          <w:color w:val="auto"/>
        </w:rPr>
      </w:pPr>
      <w:r>
        <w:rPr>
          <w:rFonts w:ascii="Arial" w:cs="Arial" w:eastAsia="Arial" w:hAnsi="Arial"/>
          <w:sz w:val="20"/>
          <w:szCs w:val="20"/>
          <w:b w:val="1"/>
          <w:bCs w:val="1"/>
          <w:color w:val="auto"/>
        </w:rPr>
        <w:t>(b)</w:t>
      </w:r>
      <w:r>
        <w:rPr>
          <w:sz w:val="20"/>
          <w:szCs w:val="20"/>
          <w:color w:val="auto"/>
        </w:rPr>
        <w:tab/>
      </w:r>
      <w:r>
        <w:rPr>
          <w:rFonts w:ascii="Arial" w:cs="Arial" w:eastAsia="Arial" w:hAnsi="Arial"/>
          <w:sz w:val="19"/>
          <w:szCs w:val="19"/>
          <w:color w:val="auto"/>
        </w:rPr>
        <w:t>For Supplier, addressed to the Supplier’s party stated in the applicable production pricing agreement with copies to</w:t>
      </w:r>
      <w:r>
        <w:rPr>
          <w:sz w:val="20"/>
          <w:szCs w:val="20"/>
          <w:color w:val="auto"/>
        </w:rPr>
        <w:tab/>
      </w:r>
      <w:r>
        <w:rPr>
          <w:rFonts w:ascii="Arial" w:cs="Arial" w:eastAsia="Arial" w:hAnsi="Arial"/>
          <w:sz w:val="19"/>
          <w:szCs w:val="19"/>
          <w:color w:val="auto"/>
        </w:rPr>
        <w:t>at</w:t>
      </w:r>
    </w:p>
    <w:p>
      <w:pPr>
        <w:spacing w:after="0"/>
        <w:tabs>
          <w:tab w:leader="none" w:pos="660" w:val="left"/>
          <w:tab w:leader="none" w:pos="1200" w:val="left"/>
        </w:tabs>
        <w:rPr>
          <w:sz w:val="20"/>
          <w:szCs w:val="20"/>
          <w:color w:val="auto"/>
        </w:rPr>
      </w:pPr>
      <w:r>
        <w:rPr>
          <w:rFonts w:ascii="Arial" w:cs="Arial" w:eastAsia="Arial" w:hAnsi="Arial"/>
          <w:sz w:val="20"/>
          <w:szCs w:val="20"/>
          <w:color w:val="auto"/>
        </w:rPr>
        <w:t>and</w:t>
      </w:r>
      <w:r>
        <w:rPr>
          <w:sz w:val="20"/>
          <w:szCs w:val="20"/>
          <w:color w:val="auto"/>
        </w:rPr>
        <w:tab/>
      </w:r>
      <w:r>
        <w:rPr>
          <w:rFonts w:ascii="Arial" w:cs="Arial" w:eastAsia="Arial" w:hAnsi="Arial"/>
          <w:sz w:val="20"/>
          <w:szCs w:val="20"/>
          <w:color w:val="auto"/>
        </w:rPr>
        <w:t>at</w:t>
      </w:r>
      <w:r>
        <w:rPr>
          <w:sz w:val="20"/>
          <w:szCs w:val="20"/>
          <w:color w:val="auto"/>
        </w:rPr>
        <w:tab/>
      </w:r>
      <w:r>
        <w:rPr>
          <w:rFonts w:ascii="Arial" w:cs="Arial" w:eastAsia="Arial" w:hAnsi="Arial"/>
          <w:sz w:val="20"/>
          <w:szCs w:val="20"/>
          <w:color w:val="auto"/>
        </w:rPr>
        <w:t>.</w:t>
      </w:r>
    </w:p>
    <w:p>
      <w:pPr>
        <w:spacing w:after="0" w:line="59" w:lineRule="exact"/>
        <w:rPr>
          <w:sz w:val="20"/>
          <w:szCs w:val="20"/>
          <w:color w:val="auto"/>
        </w:rPr>
      </w:pPr>
    </w:p>
    <w:p>
      <w:pPr>
        <w:ind w:left="260" w:right="20"/>
        <w:spacing w:after="0" w:line="232" w:lineRule="auto"/>
        <w:rPr>
          <w:sz w:val="20"/>
          <w:szCs w:val="20"/>
          <w:color w:val="auto"/>
        </w:rPr>
      </w:pPr>
      <w:r>
        <w:rPr>
          <w:rFonts w:ascii="Arial" w:cs="Arial" w:eastAsia="Arial" w:hAnsi="Arial"/>
          <w:sz w:val="20"/>
          <w:szCs w:val="20"/>
          <w:b w:val="1"/>
          <w:bCs w:val="1"/>
          <w:color w:val="auto"/>
        </w:rPr>
        <w:t xml:space="preserve">12.4. Lucid Property Rights. </w:t>
      </w:r>
      <w:r>
        <w:rPr>
          <w:rFonts w:ascii="Arial" w:cs="Arial" w:eastAsia="Arial" w:hAnsi="Arial"/>
          <w:sz w:val="20"/>
          <w:szCs w:val="20"/>
          <w:color w:val="auto"/>
        </w:rPr>
        <w:t>The Parties shall discuss in good faith how to treat the Lucid Property if any Lucid Property is in</w:t>
      </w:r>
      <w:r>
        <w:rPr>
          <w:rFonts w:ascii="Arial" w:cs="Arial" w:eastAsia="Arial" w:hAnsi="Arial"/>
          <w:sz w:val="20"/>
          <w:szCs w:val="20"/>
          <w:b w:val="1"/>
          <w:bCs w:val="1"/>
          <w:color w:val="auto"/>
        </w:rPr>
        <w:t xml:space="preserve"> </w:t>
      </w:r>
      <w:r>
        <w:rPr>
          <w:rFonts w:ascii="Arial" w:cs="Arial" w:eastAsia="Arial" w:hAnsi="Arial"/>
          <w:sz w:val="20"/>
          <w:szCs w:val="20"/>
          <w:color w:val="auto"/>
        </w:rPr>
        <w:t>possession of Supplier at the time of expiration or termination of this Agreement.</w:t>
      </w:r>
    </w:p>
    <w:p>
      <w:pPr>
        <w:spacing w:after="0" w:line="55" w:lineRule="exact"/>
        <w:rPr>
          <w:sz w:val="20"/>
          <w:szCs w:val="20"/>
          <w:color w:val="auto"/>
        </w:rPr>
      </w:pPr>
    </w:p>
    <w:p>
      <w:pPr>
        <w:ind w:left="260"/>
        <w:spacing w:after="0" w:line="239" w:lineRule="auto"/>
        <w:rPr>
          <w:sz w:val="20"/>
          <w:szCs w:val="20"/>
          <w:color w:val="auto"/>
        </w:rPr>
      </w:pPr>
      <w:r>
        <w:rPr>
          <w:rFonts w:ascii="Arial" w:cs="Arial" w:eastAsia="Arial" w:hAnsi="Arial"/>
          <w:sz w:val="20"/>
          <w:szCs w:val="20"/>
          <w:b w:val="1"/>
          <w:bCs w:val="1"/>
          <w:color w:val="auto"/>
        </w:rPr>
        <w:t xml:space="preserve">12.5. Cancellation of Spot Orders, Production Orders and Releases upon Termination. </w:t>
      </w:r>
      <w:r>
        <w:rPr>
          <w:rFonts w:ascii="Arial" w:cs="Arial" w:eastAsia="Arial" w:hAnsi="Arial"/>
          <w:sz w:val="20"/>
          <w:szCs w:val="20"/>
          <w:color w:val="auto"/>
        </w:rPr>
        <w:t>Notwithstanding anything to the contrary in</w:t>
      </w:r>
      <w:r>
        <w:rPr>
          <w:rFonts w:ascii="Arial" w:cs="Arial" w:eastAsia="Arial" w:hAnsi="Arial"/>
          <w:sz w:val="20"/>
          <w:szCs w:val="20"/>
          <w:b w:val="1"/>
          <w:bCs w:val="1"/>
          <w:color w:val="auto"/>
        </w:rPr>
        <w:t xml:space="preserve"> </w:t>
      </w:r>
      <w:r>
        <w:rPr>
          <w:rFonts w:ascii="Arial" w:cs="Arial" w:eastAsia="Arial" w:hAnsi="Arial"/>
          <w:sz w:val="20"/>
          <w:szCs w:val="20"/>
          <w:color w:val="auto"/>
        </w:rPr>
        <w:t>this Agreement or the applicable production pricing agreement:</w:t>
      </w:r>
    </w:p>
    <w:p>
      <w:pPr>
        <w:spacing w:after="0" w:line="47" w:lineRule="exact"/>
        <w:rPr>
          <w:sz w:val="20"/>
          <w:szCs w:val="20"/>
          <w:color w:val="auto"/>
        </w:rPr>
      </w:pPr>
    </w:p>
    <w:p>
      <w:pPr>
        <w:ind w:firstLine="656"/>
        <w:spacing w:after="0" w:line="236" w:lineRule="auto"/>
        <w:tabs>
          <w:tab w:leader="none" w:pos="1130" w:val="left"/>
        </w:tabs>
        <w:numPr>
          <w:ilvl w:val="0"/>
          <w:numId w:val="83"/>
        </w:numPr>
        <w:rPr>
          <w:rFonts w:ascii="Arial" w:cs="Arial" w:eastAsia="Arial" w:hAnsi="Arial"/>
          <w:sz w:val="20"/>
          <w:szCs w:val="20"/>
          <w:b w:val="1"/>
          <w:bCs w:val="1"/>
          <w:color w:val="auto"/>
        </w:rPr>
      </w:pPr>
      <w:r>
        <w:rPr>
          <w:rFonts w:ascii="Arial" w:cs="Arial" w:eastAsia="Arial" w:hAnsi="Arial"/>
          <w:sz w:val="20"/>
          <w:szCs w:val="20"/>
          <w:color w:val="auto"/>
        </w:rPr>
        <w:t>if this Agreement and/or applicable production agreement is terminated by Lucid due to the event attributable to Supplier in accordance with Section 12.2, Lucid may, [***] upon a written notice to Supplier.</w:t>
      </w:r>
    </w:p>
    <w:p>
      <w:pPr>
        <w:spacing w:after="0" w:line="60" w:lineRule="exact"/>
        <w:rPr>
          <w:rFonts w:ascii="Arial" w:cs="Arial" w:eastAsia="Arial" w:hAnsi="Arial"/>
          <w:sz w:val="20"/>
          <w:szCs w:val="20"/>
          <w:b w:val="1"/>
          <w:bCs w:val="1"/>
          <w:color w:val="auto"/>
        </w:rPr>
      </w:pPr>
    </w:p>
    <w:p>
      <w:pPr>
        <w:ind w:firstLine="656"/>
        <w:spacing w:after="0" w:line="229" w:lineRule="auto"/>
        <w:tabs>
          <w:tab w:leader="none" w:pos="1295" w:val="left"/>
        </w:tabs>
        <w:numPr>
          <w:ilvl w:val="0"/>
          <w:numId w:val="83"/>
        </w:numPr>
        <w:rPr>
          <w:rFonts w:ascii="Arial" w:cs="Arial" w:eastAsia="Arial" w:hAnsi="Arial"/>
          <w:sz w:val="20"/>
          <w:szCs w:val="20"/>
          <w:b w:val="1"/>
          <w:bCs w:val="1"/>
          <w:color w:val="auto"/>
        </w:rPr>
      </w:pPr>
      <w:r>
        <w:rPr>
          <w:rFonts w:ascii="Arial" w:cs="Arial" w:eastAsia="Arial" w:hAnsi="Arial"/>
          <w:sz w:val="20"/>
          <w:szCs w:val="20"/>
          <w:color w:val="auto"/>
        </w:rPr>
        <w:t>if this Agreement and/or the applicable production agreement is terminated by Supplier due to the event attributable to Lucid in accordance with Section 12.2, Supplier may, [***].</w:t>
      </w:r>
    </w:p>
    <w:p>
      <w:pPr>
        <w:spacing w:after="0" w:line="60" w:lineRule="exact"/>
        <w:rPr>
          <w:rFonts w:ascii="Arial" w:cs="Arial" w:eastAsia="Arial" w:hAnsi="Arial"/>
          <w:sz w:val="20"/>
          <w:szCs w:val="20"/>
          <w:b w:val="1"/>
          <w:bCs w:val="1"/>
          <w:color w:val="auto"/>
        </w:rPr>
      </w:pPr>
    </w:p>
    <w:p>
      <w:pPr>
        <w:ind w:left="1280" w:hanging="624"/>
        <w:spacing w:after="0"/>
        <w:tabs>
          <w:tab w:leader="none" w:pos="1280" w:val="left"/>
        </w:tabs>
        <w:numPr>
          <w:ilvl w:val="0"/>
          <w:numId w:val="83"/>
        </w:numPr>
        <w:rPr>
          <w:rFonts w:ascii="Arial" w:cs="Arial" w:eastAsia="Arial" w:hAnsi="Arial"/>
          <w:sz w:val="18"/>
          <w:szCs w:val="18"/>
          <w:b w:val="1"/>
          <w:bCs w:val="1"/>
          <w:color w:val="auto"/>
        </w:rPr>
      </w:pPr>
      <w:r>
        <w:rPr>
          <w:rFonts w:ascii="Arial" w:cs="Arial" w:eastAsia="Arial" w:hAnsi="Arial"/>
          <w:sz w:val="18"/>
          <w:szCs w:val="18"/>
          <w:color w:val="auto"/>
        </w:rPr>
        <w:t>if this Agreement is terminated by a Party due to the Force Majeure in accordance with Section 14.2, the Parties shall [***].</w:t>
      </w:r>
    </w:p>
    <w:p>
      <w:pPr>
        <w:spacing w:after="0" w:line="79" w:lineRule="exact"/>
        <w:rPr>
          <w:sz w:val="20"/>
          <w:szCs w:val="20"/>
          <w:color w:val="auto"/>
        </w:rPr>
      </w:pPr>
    </w:p>
    <w:p>
      <w:pPr>
        <w:ind w:left="260"/>
        <w:spacing w:after="0"/>
        <w:tabs>
          <w:tab w:leader="none" w:pos="840" w:val="left"/>
        </w:tabs>
        <w:rPr>
          <w:sz w:val="20"/>
          <w:szCs w:val="20"/>
          <w:color w:val="auto"/>
        </w:rPr>
      </w:pPr>
      <w:r>
        <w:rPr>
          <w:rFonts w:ascii="Arial" w:cs="Arial" w:eastAsia="Arial" w:hAnsi="Arial"/>
          <w:sz w:val="20"/>
          <w:szCs w:val="20"/>
          <w:b w:val="1"/>
          <w:bCs w:val="1"/>
          <w:color w:val="auto"/>
        </w:rPr>
        <w:t>12.6.</w:t>
      </w:r>
      <w:r>
        <w:rPr>
          <w:sz w:val="20"/>
          <w:szCs w:val="20"/>
          <w:color w:val="auto"/>
        </w:rPr>
        <w:tab/>
      </w:r>
      <w:r>
        <w:rPr>
          <w:rFonts w:ascii="Arial" w:cs="Arial" w:eastAsia="Arial" w:hAnsi="Arial"/>
          <w:sz w:val="18"/>
          <w:szCs w:val="18"/>
          <w:b w:val="1"/>
          <w:bCs w:val="1"/>
          <w:color w:val="auto"/>
        </w:rPr>
        <w:t xml:space="preserve">Transition Support. </w:t>
      </w:r>
      <w:r>
        <w:rPr>
          <w:rFonts w:ascii="Arial" w:cs="Arial" w:eastAsia="Arial" w:hAnsi="Arial"/>
          <w:sz w:val="18"/>
          <w:szCs w:val="18"/>
          <w:color w:val="auto"/>
        </w:rPr>
        <w:t>If this Agreement is terminated by Lucid due to the event attributable to Supplier in accordance with Section</w:t>
      </w:r>
    </w:p>
    <w:p>
      <w:pPr>
        <w:jc w:val="both"/>
        <w:ind w:left="260"/>
        <w:spacing w:after="0" w:line="234" w:lineRule="auto"/>
        <w:rPr>
          <w:sz w:val="20"/>
          <w:szCs w:val="20"/>
          <w:color w:val="auto"/>
        </w:rPr>
      </w:pPr>
      <w:r>
        <w:rPr>
          <w:rFonts w:ascii="Arial" w:cs="Arial" w:eastAsia="Arial" w:hAnsi="Arial"/>
          <w:sz w:val="18"/>
          <w:szCs w:val="18"/>
          <w:color w:val="auto"/>
        </w:rPr>
        <w:t>12.2, Supplier will for a period not to exceed [***] after such termination and if requested by Lucid, continue delivery of the Goods as ordered by Lucid, at the prices and terms set forth in this Agreement and the applicable PPA effective immediately before the termination,</w:t>
      </w:r>
    </w:p>
    <w:p>
      <w:pPr>
        <w:spacing w:after="0" w:line="1" w:lineRule="exact"/>
        <w:rPr>
          <w:sz w:val="20"/>
          <w:szCs w:val="20"/>
          <w:color w:val="auto"/>
        </w:rPr>
      </w:pPr>
    </w:p>
    <w:p>
      <w:pPr>
        <w:jc w:val="both"/>
        <w:ind w:left="260" w:firstLine="3"/>
        <w:spacing w:after="0" w:line="217" w:lineRule="auto"/>
        <w:tabs>
          <w:tab w:leader="none" w:pos="777" w:val="left"/>
        </w:tabs>
        <w:numPr>
          <w:ilvl w:val="1"/>
          <w:numId w:val="84"/>
        </w:numPr>
        <w:rPr>
          <w:rFonts w:ascii="Arial" w:cs="Arial" w:eastAsia="Arial" w:hAnsi="Arial"/>
          <w:sz w:val="20"/>
          <w:szCs w:val="20"/>
          <w:color w:val="auto"/>
        </w:rPr>
      </w:pPr>
      <w:r>
        <w:rPr>
          <w:rFonts w:ascii="Arial" w:cs="Arial" w:eastAsia="Arial" w:hAnsi="Arial"/>
          <w:sz w:val="20"/>
          <w:szCs w:val="20"/>
          <w:color w:val="auto"/>
        </w:rPr>
        <w:t>until an alternative supplier has been qualified and commenced production at a rate sufficient to meet Lucid’s requirements; provided that the volume ordered under this Section 12.6 shall not exceed Supplier’s production capacity allocated to Lucid immediately before the termination.</w:t>
      </w:r>
    </w:p>
    <w:p>
      <w:pPr>
        <w:spacing w:after="0" w:line="200" w:lineRule="exact"/>
        <w:rPr>
          <w:rFonts w:ascii="Arial" w:cs="Arial" w:eastAsia="Arial" w:hAnsi="Arial"/>
          <w:sz w:val="20"/>
          <w:szCs w:val="20"/>
          <w:color w:val="auto"/>
        </w:rPr>
      </w:pPr>
    </w:p>
    <w:p>
      <w:pPr>
        <w:spacing w:after="0" w:line="207" w:lineRule="exact"/>
        <w:rPr>
          <w:rFonts w:ascii="Arial" w:cs="Arial" w:eastAsia="Arial" w:hAnsi="Arial"/>
          <w:sz w:val="20"/>
          <w:szCs w:val="20"/>
          <w:color w:val="auto"/>
        </w:rPr>
      </w:pPr>
    </w:p>
    <w:p>
      <w:pPr>
        <w:ind w:left="460" w:hanging="452"/>
        <w:spacing w:after="0"/>
        <w:tabs>
          <w:tab w:leader="none" w:pos="460" w:val="left"/>
        </w:tabs>
        <w:numPr>
          <w:ilvl w:val="0"/>
          <w:numId w:val="84"/>
        </w:numPr>
        <w:rPr>
          <w:rFonts w:ascii="Arial" w:cs="Arial" w:eastAsia="Arial" w:hAnsi="Arial"/>
          <w:sz w:val="20"/>
          <w:szCs w:val="20"/>
          <w:b w:val="1"/>
          <w:bCs w:val="1"/>
          <w:color w:val="auto"/>
        </w:rPr>
      </w:pPr>
      <w:r>
        <w:rPr>
          <w:rFonts w:ascii="Arial" w:cs="Arial" w:eastAsia="Arial" w:hAnsi="Arial"/>
          <w:sz w:val="20"/>
          <w:szCs w:val="20"/>
          <w:b w:val="1"/>
          <w:bCs w:val="1"/>
          <w:color w:val="auto"/>
        </w:rPr>
        <w:t>OBLIGATIONS UPON TERMINATION</w:t>
      </w:r>
    </w:p>
    <w:p>
      <w:pPr>
        <w:spacing w:after="0" w:line="67" w:lineRule="exact"/>
        <w:rPr>
          <w:sz w:val="20"/>
          <w:szCs w:val="20"/>
          <w:color w:val="auto"/>
        </w:rPr>
      </w:pPr>
    </w:p>
    <w:p>
      <w:pPr>
        <w:ind w:left="260"/>
        <w:spacing w:after="0" w:line="239" w:lineRule="auto"/>
        <w:rPr>
          <w:sz w:val="20"/>
          <w:szCs w:val="20"/>
          <w:color w:val="auto"/>
        </w:rPr>
      </w:pPr>
      <w:r>
        <w:rPr>
          <w:rFonts w:ascii="Arial" w:cs="Arial" w:eastAsia="Arial" w:hAnsi="Arial"/>
          <w:sz w:val="20"/>
          <w:szCs w:val="20"/>
          <w:b w:val="1"/>
          <w:bCs w:val="1"/>
          <w:color w:val="auto"/>
        </w:rPr>
        <w:t xml:space="preserve">13.1. Lucid’s Obligations. </w:t>
      </w:r>
      <w:r>
        <w:rPr>
          <w:rFonts w:ascii="Arial" w:cs="Arial" w:eastAsia="Arial" w:hAnsi="Arial"/>
          <w:sz w:val="20"/>
          <w:szCs w:val="20"/>
          <w:color w:val="auto"/>
        </w:rPr>
        <w:t>Upon termination of this Agreement or any production pricing agreement, Lucid will pay to Supplier the</w:t>
      </w:r>
      <w:r>
        <w:rPr>
          <w:rFonts w:ascii="Arial" w:cs="Arial" w:eastAsia="Arial" w:hAnsi="Arial"/>
          <w:sz w:val="20"/>
          <w:szCs w:val="20"/>
          <w:b w:val="1"/>
          <w:bCs w:val="1"/>
          <w:color w:val="auto"/>
        </w:rPr>
        <w:t xml:space="preserve"> </w:t>
      </w:r>
      <w:r>
        <w:rPr>
          <w:rFonts w:ascii="Arial" w:cs="Arial" w:eastAsia="Arial" w:hAnsi="Arial"/>
          <w:sz w:val="20"/>
          <w:szCs w:val="20"/>
          <w:color w:val="auto"/>
        </w:rPr>
        <w:t>following amounts without duplication:</w:t>
      </w:r>
    </w:p>
    <w:p>
      <w:pPr>
        <w:spacing w:after="0" w:line="61" w:lineRule="exact"/>
        <w:rPr>
          <w:sz w:val="20"/>
          <w:szCs w:val="20"/>
          <w:color w:val="auto"/>
        </w:rPr>
      </w:pPr>
    </w:p>
    <w:p>
      <w:pPr>
        <w:ind w:left="1080" w:hanging="424"/>
        <w:spacing w:after="0"/>
        <w:tabs>
          <w:tab w:leader="none" w:pos="1080" w:val="left"/>
        </w:tabs>
        <w:numPr>
          <w:ilvl w:val="0"/>
          <w:numId w:val="85"/>
        </w:numPr>
        <w:rPr>
          <w:rFonts w:ascii="Arial" w:cs="Arial" w:eastAsia="Arial" w:hAnsi="Arial"/>
          <w:sz w:val="20"/>
          <w:szCs w:val="20"/>
          <w:b w:val="1"/>
          <w:bCs w:val="1"/>
          <w:color w:val="auto"/>
        </w:rPr>
      </w:pPr>
      <w:r>
        <w:rPr>
          <w:rFonts w:ascii="Arial" w:cs="Arial" w:eastAsia="Arial" w:hAnsi="Arial"/>
          <w:sz w:val="20"/>
          <w:szCs w:val="20"/>
          <w:color w:val="auto"/>
        </w:rPr>
        <w:t>(i) the purchase price for [***] and (ii) any [***] in the case of termination in accordance with Section 12.2 (b); and</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190500</wp:posOffset>
            </wp:positionV>
            <wp:extent cx="713232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58" w:lineRule="exact"/>
        <w:rPr>
          <w:sz w:val="20"/>
          <w:szCs w:val="20"/>
          <w:color w:val="auto"/>
        </w:rPr>
      </w:pPr>
    </w:p>
    <w:p>
      <w:pPr>
        <w:spacing w:after="0"/>
        <w:tabs>
          <w:tab w:leader="none" w:pos="1880" w:val="left"/>
        </w:tabs>
        <w:rPr>
          <w:sz w:val="20"/>
          <w:szCs w:val="20"/>
          <w:color w:val="auto"/>
        </w:rPr>
      </w:pPr>
      <w:r>
        <w:rPr>
          <w:rFonts w:ascii="Arial" w:cs="Arial" w:eastAsia="Arial" w:hAnsi="Arial"/>
          <w:sz w:val="20"/>
          <w:szCs w:val="20"/>
          <w:color w:val="auto"/>
        </w:rPr>
        <w:t>Lucid Confidential</w:t>
      </w:r>
      <w:r>
        <w:rPr>
          <w:sz w:val="20"/>
          <w:szCs w:val="20"/>
          <w:color w:val="auto"/>
        </w:rPr>
        <w:tab/>
      </w:r>
      <w:r>
        <w:rPr>
          <w:rFonts w:ascii="Arial" w:cs="Arial" w:eastAsia="Arial" w:hAnsi="Arial"/>
          <w:sz w:val="16"/>
          <w:szCs w:val="16"/>
          <w:color w:val="auto"/>
        </w:rPr>
        <w:t>Parts GTC rev. October 2020</w:t>
      </w:r>
    </w:p>
    <w:p>
      <w:pPr>
        <w:sectPr>
          <w:pgSz w:w="11900" w:h="16838" w:orient="portrait"/>
          <w:cols w:equalWidth="0" w:num="1">
            <w:col w:w="11240"/>
          </w:cols>
          <w:pgMar w:left="320" w:top="1440" w:right="339" w:bottom="1440" w:gutter="0" w:footer="0" w:header="0"/>
        </w:sectPr>
      </w:pPr>
    </w:p>
    <w:bookmarkStart w:id="145" w:name="page146"/>
    <w:bookmarkEnd w:id="145"/>
    <w:p>
      <w:pPr>
        <w:spacing w:after="0" w:line="74" w:lineRule="exact"/>
        <w:rPr>
          <w:sz w:val="20"/>
          <w:szCs w:val="20"/>
          <w:color w:val="auto"/>
        </w:rPr>
      </w:pPr>
    </w:p>
    <w:p>
      <w:pPr>
        <w:ind w:left="1100" w:hanging="444"/>
        <w:spacing w:after="0"/>
        <w:tabs>
          <w:tab w:leader="none" w:pos="1100" w:val="left"/>
        </w:tabs>
        <w:numPr>
          <w:ilvl w:val="0"/>
          <w:numId w:val="86"/>
        </w:numPr>
        <w:rPr>
          <w:rFonts w:ascii="Arial" w:cs="Arial" w:eastAsia="Arial" w:hAnsi="Arial"/>
          <w:sz w:val="20"/>
          <w:szCs w:val="20"/>
          <w:b w:val="1"/>
          <w:bCs w:val="1"/>
          <w:color w:val="auto"/>
        </w:rPr>
      </w:pPr>
      <w:r>
        <w:rPr>
          <w:rFonts w:ascii="Arial" w:cs="Arial" w:eastAsia="Arial" w:hAnsi="Arial"/>
          <w:sz w:val="20"/>
          <w:szCs w:val="20"/>
          <w:color w:val="auto"/>
        </w:rPr>
        <w:t>The purchase price for [***] in the case of termination in accordance with Section 12.2 (a) and/or 14.2.</w:t>
      </w:r>
    </w:p>
    <w:p>
      <w:pPr>
        <w:spacing w:after="0" w:line="74" w:lineRule="exact"/>
        <w:rPr>
          <w:rFonts w:ascii="Arial" w:cs="Arial" w:eastAsia="Arial" w:hAnsi="Arial"/>
          <w:sz w:val="20"/>
          <w:szCs w:val="20"/>
          <w:b w:val="1"/>
          <w:bCs w:val="1"/>
          <w:color w:val="auto"/>
        </w:rPr>
      </w:pPr>
    </w:p>
    <w:p>
      <w:pPr>
        <w:ind w:left="260"/>
        <w:spacing w:after="0"/>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13.2.  Supplier’s Obligations. </w:t>
      </w:r>
      <w:r>
        <w:rPr>
          <w:rFonts w:ascii="Arial" w:cs="Arial" w:eastAsia="Arial" w:hAnsi="Arial"/>
          <w:sz w:val="20"/>
          <w:szCs w:val="20"/>
          <w:color w:val="auto"/>
        </w:rPr>
        <w:t>Upon termination of this Agreement, Supplier will:</w:t>
      </w:r>
    </w:p>
    <w:p>
      <w:pPr>
        <w:spacing w:after="0" w:line="73" w:lineRule="exact"/>
        <w:rPr>
          <w:sz w:val="20"/>
          <w:szCs w:val="20"/>
          <w:color w:val="auto"/>
        </w:rPr>
      </w:pPr>
    </w:p>
    <w:p>
      <w:pPr>
        <w:jc w:val="both"/>
        <w:ind w:right="20" w:firstLine="656"/>
        <w:spacing w:after="0" w:line="285" w:lineRule="auto"/>
        <w:tabs>
          <w:tab w:leader="none" w:pos="1117" w:val="left"/>
        </w:tabs>
        <w:numPr>
          <w:ilvl w:val="1"/>
          <w:numId w:val="87"/>
        </w:numPr>
        <w:rPr>
          <w:rFonts w:ascii="Arial" w:cs="Arial" w:eastAsia="Arial" w:hAnsi="Arial"/>
          <w:sz w:val="18"/>
          <w:szCs w:val="18"/>
          <w:b w:val="1"/>
          <w:bCs w:val="1"/>
          <w:color w:val="auto"/>
        </w:rPr>
      </w:pPr>
      <w:r>
        <w:rPr>
          <w:rFonts w:ascii="Arial" w:cs="Arial" w:eastAsia="Arial" w:hAnsi="Arial"/>
          <w:sz w:val="18"/>
          <w:szCs w:val="18"/>
          <w:color w:val="auto"/>
        </w:rPr>
        <w:t>Stop all work on the date of the termination and terminate all orders and subcontracts that relate to the terminated Agreement except to the extent required to fulfill any obligations set forth in Sections 13 and 14, including transition support as set forth in Section 12.6.</w:t>
      </w:r>
    </w:p>
    <w:p>
      <w:pPr>
        <w:spacing w:after="0" w:line="21" w:lineRule="exact"/>
        <w:rPr>
          <w:rFonts w:ascii="Arial" w:cs="Arial" w:eastAsia="Arial" w:hAnsi="Arial"/>
          <w:sz w:val="18"/>
          <w:szCs w:val="18"/>
          <w:b w:val="1"/>
          <w:bCs w:val="1"/>
          <w:color w:val="auto"/>
        </w:rPr>
      </w:pPr>
    </w:p>
    <w:p>
      <w:pPr>
        <w:ind w:left="1100" w:hanging="444"/>
        <w:spacing w:after="0"/>
        <w:tabs>
          <w:tab w:leader="none" w:pos="1100" w:val="left"/>
        </w:tabs>
        <w:numPr>
          <w:ilvl w:val="1"/>
          <w:numId w:val="87"/>
        </w:numPr>
        <w:rPr>
          <w:rFonts w:ascii="Arial" w:cs="Arial" w:eastAsia="Arial" w:hAnsi="Arial"/>
          <w:sz w:val="20"/>
          <w:szCs w:val="20"/>
          <w:b w:val="1"/>
          <w:bCs w:val="1"/>
          <w:color w:val="auto"/>
        </w:rPr>
      </w:pPr>
      <w:r>
        <w:rPr>
          <w:rFonts w:ascii="Arial" w:cs="Arial" w:eastAsia="Arial" w:hAnsi="Arial"/>
          <w:sz w:val="20"/>
          <w:szCs w:val="20"/>
          <w:color w:val="auto"/>
        </w:rPr>
        <w:t>[***];</w:t>
      </w:r>
    </w:p>
    <w:p>
      <w:pPr>
        <w:spacing w:after="0" w:line="67" w:lineRule="exact"/>
        <w:rPr>
          <w:rFonts w:ascii="Arial" w:cs="Arial" w:eastAsia="Arial" w:hAnsi="Arial"/>
          <w:sz w:val="20"/>
          <w:szCs w:val="20"/>
          <w:b w:val="1"/>
          <w:bCs w:val="1"/>
          <w:color w:val="auto"/>
        </w:rPr>
      </w:pPr>
    </w:p>
    <w:p>
      <w:pPr>
        <w:ind w:left="1080" w:hanging="424"/>
        <w:spacing w:after="0"/>
        <w:tabs>
          <w:tab w:leader="none" w:pos="1080" w:val="left"/>
        </w:tabs>
        <w:numPr>
          <w:ilvl w:val="1"/>
          <w:numId w:val="87"/>
        </w:numPr>
        <w:rPr>
          <w:rFonts w:ascii="Arial" w:cs="Arial" w:eastAsia="Arial" w:hAnsi="Arial"/>
          <w:sz w:val="20"/>
          <w:szCs w:val="20"/>
          <w:b w:val="1"/>
          <w:bCs w:val="1"/>
          <w:color w:val="auto"/>
        </w:rPr>
      </w:pPr>
      <w:r>
        <w:rPr>
          <w:rFonts w:ascii="Arial" w:cs="Arial" w:eastAsia="Arial" w:hAnsi="Arial"/>
          <w:sz w:val="20"/>
          <w:szCs w:val="20"/>
          <w:color w:val="auto"/>
        </w:rPr>
        <w:t>[***]; and</w:t>
      </w:r>
    </w:p>
    <w:p>
      <w:pPr>
        <w:spacing w:after="0" w:line="80" w:lineRule="exact"/>
        <w:rPr>
          <w:rFonts w:ascii="Arial" w:cs="Arial" w:eastAsia="Arial" w:hAnsi="Arial"/>
          <w:sz w:val="20"/>
          <w:szCs w:val="20"/>
          <w:b w:val="1"/>
          <w:bCs w:val="1"/>
          <w:color w:val="auto"/>
        </w:rPr>
      </w:pPr>
    </w:p>
    <w:p>
      <w:pPr>
        <w:ind w:firstLine="656"/>
        <w:spacing w:after="0" w:line="236" w:lineRule="auto"/>
        <w:tabs>
          <w:tab w:leader="none" w:pos="1088" w:val="left"/>
        </w:tabs>
        <w:numPr>
          <w:ilvl w:val="1"/>
          <w:numId w:val="87"/>
        </w:numPr>
        <w:rPr>
          <w:rFonts w:ascii="Arial" w:cs="Arial" w:eastAsia="Arial" w:hAnsi="Arial"/>
          <w:sz w:val="20"/>
          <w:szCs w:val="20"/>
          <w:b w:val="1"/>
          <w:bCs w:val="1"/>
          <w:color w:val="auto"/>
        </w:rPr>
      </w:pPr>
      <w:r>
        <w:rPr>
          <w:rFonts w:ascii="Arial" w:cs="Arial" w:eastAsia="Arial" w:hAnsi="Arial"/>
          <w:sz w:val="20"/>
          <w:szCs w:val="20"/>
          <w:color w:val="auto"/>
        </w:rPr>
        <w:t>Provide transition support in accordance with Section 12.6 if the termination is made by Lucid under Section 12.2 (a) due to the event attributable to Supplier.</w:t>
      </w:r>
    </w:p>
    <w:p>
      <w:pPr>
        <w:spacing w:after="0" w:line="41" w:lineRule="exact"/>
        <w:rPr>
          <w:rFonts w:ascii="Arial" w:cs="Arial" w:eastAsia="Arial" w:hAnsi="Arial"/>
          <w:sz w:val="20"/>
          <w:szCs w:val="20"/>
          <w:b w:val="1"/>
          <w:bCs w:val="1"/>
          <w:color w:val="auto"/>
        </w:rPr>
      </w:pPr>
    </w:p>
    <w:p>
      <w:pPr>
        <w:ind w:left="460" w:hanging="452"/>
        <w:spacing w:after="0"/>
        <w:tabs>
          <w:tab w:leader="none" w:pos="460" w:val="left"/>
        </w:tabs>
        <w:numPr>
          <w:ilvl w:val="0"/>
          <w:numId w:val="88"/>
        </w:numPr>
        <w:rPr>
          <w:rFonts w:ascii="Arial" w:cs="Arial" w:eastAsia="Arial" w:hAnsi="Arial"/>
          <w:sz w:val="20"/>
          <w:szCs w:val="20"/>
          <w:b w:val="1"/>
          <w:bCs w:val="1"/>
          <w:color w:val="auto"/>
        </w:rPr>
      </w:pPr>
      <w:r>
        <w:rPr>
          <w:rFonts w:ascii="Arial" w:cs="Arial" w:eastAsia="Arial" w:hAnsi="Arial"/>
          <w:sz w:val="20"/>
          <w:szCs w:val="20"/>
          <w:b w:val="1"/>
          <w:bCs w:val="1"/>
          <w:color w:val="auto"/>
        </w:rPr>
        <w:t>FORCE MAJEURE</w:t>
      </w:r>
    </w:p>
    <w:p>
      <w:pPr>
        <w:spacing w:after="0" w:line="75" w:lineRule="exact"/>
        <w:rPr>
          <w:sz w:val="20"/>
          <w:szCs w:val="20"/>
          <w:color w:val="auto"/>
        </w:rPr>
      </w:pPr>
    </w:p>
    <w:p>
      <w:pPr>
        <w:ind w:left="260"/>
        <w:spacing w:after="0"/>
        <w:tabs>
          <w:tab w:leader="none" w:pos="860" w:val="left"/>
        </w:tabs>
        <w:rPr>
          <w:sz w:val="20"/>
          <w:szCs w:val="20"/>
          <w:color w:val="auto"/>
        </w:rPr>
      </w:pPr>
      <w:r>
        <w:rPr>
          <w:rFonts w:ascii="Arial" w:cs="Arial" w:eastAsia="Arial" w:hAnsi="Arial"/>
          <w:sz w:val="20"/>
          <w:szCs w:val="20"/>
          <w:b w:val="1"/>
          <w:bCs w:val="1"/>
          <w:color w:val="auto"/>
        </w:rPr>
        <w:t>14.1.</w:t>
      </w:r>
      <w:r>
        <w:rPr>
          <w:sz w:val="20"/>
          <w:szCs w:val="20"/>
          <w:color w:val="auto"/>
        </w:rPr>
        <w:tab/>
      </w:r>
      <w:r>
        <w:rPr>
          <w:rFonts w:ascii="Arial" w:cs="Arial" w:eastAsia="Arial" w:hAnsi="Arial"/>
          <w:sz w:val="18"/>
          <w:szCs w:val="18"/>
          <w:color w:val="auto"/>
        </w:rPr>
        <w:t>No Party will be liable for delay or failure to fulfill its obligations under this Agreement or any PPA when and to the extent such</w:t>
      </w:r>
    </w:p>
    <w:p>
      <w:pPr>
        <w:ind w:left="260"/>
        <w:spacing w:after="0" w:line="226" w:lineRule="auto"/>
        <w:rPr>
          <w:sz w:val="20"/>
          <w:szCs w:val="20"/>
          <w:color w:val="auto"/>
        </w:rPr>
      </w:pPr>
      <w:r>
        <w:rPr>
          <w:rFonts w:ascii="Arial" w:cs="Arial" w:eastAsia="Arial" w:hAnsi="Arial"/>
          <w:sz w:val="18"/>
          <w:szCs w:val="18"/>
          <w:color w:val="auto"/>
        </w:rPr>
        <w:t>failure or delay is caused by or results from acts beyond the impacted party's ("</w:t>
      </w:r>
      <w:r>
        <w:rPr>
          <w:rFonts w:ascii="Arial" w:cs="Arial" w:eastAsia="Arial" w:hAnsi="Arial"/>
          <w:sz w:val="18"/>
          <w:szCs w:val="18"/>
          <w:b w:val="1"/>
          <w:bCs w:val="1"/>
          <w:color w:val="auto"/>
        </w:rPr>
        <w:t>Impacted Party</w:t>
      </w:r>
      <w:r>
        <w:rPr>
          <w:rFonts w:ascii="Arial" w:cs="Arial" w:eastAsia="Arial" w:hAnsi="Arial"/>
          <w:sz w:val="18"/>
          <w:szCs w:val="18"/>
          <w:color w:val="auto"/>
        </w:rPr>
        <w:t xml:space="preserve">") reasonable control </w:t>
      </w:r>
      <w:r>
        <w:rPr>
          <w:rFonts w:ascii="Arial" w:cs="Arial" w:eastAsia="Arial" w:hAnsi="Arial"/>
          <w:sz w:val="18"/>
          <w:szCs w:val="18"/>
          <w:b w:val="1"/>
          <w:bCs w:val="1"/>
          <w:color w:val="auto"/>
        </w:rPr>
        <w:t>(“Force Majeure”)</w:t>
      </w:r>
      <w:r>
        <w:rPr>
          <w:rFonts w:ascii="Arial" w:cs="Arial" w:eastAsia="Arial" w:hAnsi="Arial"/>
          <w:sz w:val="18"/>
          <w:szCs w:val="18"/>
          <w:color w:val="auto"/>
        </w:rPr>
        <w:t>, which may include the following to the extent they comply with this definition: acts of God, natural disasters, actions by any</w:t>
      </w:r>
    </w:p>
    <w:p>
      <w:pPr>
        <w:ind w:left="260"/>
        <w:spacing w:after="0" w:line="236" w:lineRule="auto"/>
        <w:rPr>
          <w:sz w:val="20"/>
          <w:szCs w:val="20"/>
          <w:color w:val="auto"/>
        </w:rPr>
      </w:pPr>
      <w:r>
        <w:rPr>
          <w:rFonts w:ascii="Arial" w:cs="Arial" w:eastAsia="Arial" w:hAnsi="Arial"/>
          <w:sz w:val="18"/>
          <w:szCs w:val="18"/>
          <w:color w:val="auto"/>
        </w:rPr>
        <w:t>governmental authority (whether valid or invalid), wars, terrorism, or sabotage, fire, serious accident, epidemic, pandemic or quarantine</w:t>
      </w:r>
    </w:p>
    <w:p>
      <w:pPr>
        <w:spacing w:after="0" w:line="1" w:lineRule="exact"/>
        <w:rPr>
          <w:sz w:val="20"/>
          <w:szCs w:val="20"/>
          <w:color w:val="auto"/>
        </w:rPr>
      </w:pPr>
    </w:p>
    <w:p>
      <w:pPr>
        <w:ind w:left="260"/>
        <w:spacing w:after="0" w:line="255" w:lineRule="auto"/>
        <w:rPr>
          <w:sz w:val="20"/>
          <w:szCs w:val="20"/>
          <w:color w:val="auto"/>
        </w:rPr>
      </w:pPr>
      <w:r>
        <w:rPr>
          <w:rFonts w:ascii="Arial" w:cs="Arial" w:eastAsia="Arial" w:hAnsi="Arial"/>
          <w:sz w:val="16"/>
          <w:szCs w:val="16"/>
          <w:color w:val="auto"/>
        </w:rPr>
        <w:t>restriction, extreme weather events, provided the Impacted Party has used commercially reasonable efforts to mitigate against the effects of foreseeable Force Majeure occurrences in advance. For the avoidance of doubt, this Section 14 shall not apply to the payment by Lucid</w:t>
      </w:r>
    </w:p>
    <w:p>
      <w:pPr>
        <w:spacing w:after="0" w:line="1" w:lineRule="exact"/>
        <w:rPr>
          <w:sz w:val="20"/>
          <w:szCs w:val="20"/>
          <w:color w:val="auto"/>
        </w:rPr>
      </w:pPr>
    </w:p>
    <w:p>
      <w:pPr>
        <w:ind w:left="260"/>
        <w:spacing w:after="0"/>
        <w:rPr>
          <w:sz w:val="20"/>
          <w:szCs w:val="20"/>
          <w:color w:val="auto"/>
        </w:rPr>
      </w:pPr>
      <w:r>
        <w:rPr>
          <w:rFonts w:ascii="Arial" w:cs="Arial" w:eastAsia="Arial" w:hAnsi="Arial"/>
          <w:sz w:val="20"/>
          <w:szCs w:val="20"/>
          <w:color w:val="auto"/>
        </w:rPr>
        <w:t>of the purchase price for the conforming Goods delivered to Lucid hereunder.</w:t>
      </w:r>
    </w:p>
    <w:p>
      <w:pPr>
        <w:spacing w:after="0" w:line="59" w:lineRule="exact"/>
        <w:rPr>
          <w:sz w:val="20"/>
          <w:szCs w:val="20"/>
          <w:color w:val="auto"/>
        </w:rPr>
      </w:pPr>
    </w:p>
    <w:p>
      <w:pPr>
        <w:ind w:left="260"/>
        <w:spacing w:after="0" w:line="269" w:lineRule="auto"/>
        <w:rPr>
          <w:sz w:val="20"/>
          <w:szCs w:val="20"/>
          <w:color w:val="auto"/>
        </w:rPr>
      </w:pPr>
      <w:r>
        <w:rPr>
          <w:rFonts w:ascii="Arial" w:cs="Arial" w:eastAsia="Arial" w:hAnsi="Arial"/>
          <w:sz w:val="16"/>
          <w:szCs w:val="16"/>
          <w:b w:val="1"/>
          <w:bCs w:val="1"/>
          <w:color w:val="auto"/>
        </w:rPr>
        <w:t xml:space="preserve">14.2. </w:t>
      </w:r>
      <w:r>
        <w:rPr>
          <w:rFonts w:ascii="Arial" w:cs="Arial" w:eastAsia="Arial" w:hAnsi="Arial"/>
          <w:sz w:val="16"/>
          <w:szCs w:val="16"/>
          <w:color w:val="auto"/>
        </w:rPr>
        <w:t>The Impacted Party shall give notice as soon as possible/practicable after the Force Majeure to the other Party, stating the period of</w:t>
      </w:r>
      <w:r>
        <w:rPr>
          <w:rFonts w:ascii="Arial" w:cs="Arial" w:eastAsia="Arial" w:hAnsi="Arial"/>
          <w:sz w:val="16"/>
          <w:szCs w:val="16"/>
          <w:b w:val="1"/>
          <w:bCs w:val="1"/>
          <w:color w:val="auto"/>
        </w:rPr>
        <w:t xml:space="preserve"> </w:t>
      </w:r>
      <w:r>
        <w:rPr>
          <w:rFonts w:ascii="Arial" w:cs="Arial" w:eastAsia="Arial" w:hAnsi="Arial"/>
          <w:sz w:val="16"/>
          <w:szCs w:val="16"/>
          <w:color w:val="auto"/>
        </w:rPr>
        <w:t>time the occurrence is expected to continue. The Impacted Party shall use diligent efforts to end the failure or delay and ensure the effects</w:t>
      </w:r>
    </w:p>
    <w:p>
      <w:pPr>
        <w:spacing w:after="0" w:line="1" w:lineRule="exact"/>
        <w:rPr>
          <w:sz w:val="20"/>
          <w:szCs w:val="20"/>
          <w:color w:val="auto"/>
        </w:rPr>
      </w:pPr>
    </w:p>
    <w:p>
      <w:pPr>
        <w:ind w:left="260"/>
        <w:spacing w:after="0" w:line="226" w:lineRule="auto"/>
        <w:rPr>
          <w:sz w:val="20"/>
          <w:szCs w:val="20"/>
          <w:color w:val="auto"/>
        </w:rPr>
      </w:pPr>
      <w:r>
        <w:rPr>
          <w:rFonts w:ascii="Arial" w:cs="Arial" w:eastAsia="Arial" w:hAnsi="Arial"/>
          <w:sz w:val="18"/>
          <w:szCs w:val="18"/>
          <w:color w:val="auto"/>
        </w:rPr>
        <w:t>of such Force Majeure are minimized. The Impacted Party shall resume the performance of its obligations as soon as reasonably practicable after the removal of the cause. If the Impacted Party's failure or delay remains uncured for a period of [***] days following</w:t>
      </w:r>
    </w:p>
    <w:p>
      <w:pPr>
        <w:ind w:left="260"/>
        <w:spacing w:after="0" w:line="236" w:lineRule="auto"/>
        <w:rPr>
          <w:sz w:val="20"/>
          <w:szCs w:val="20"/>
          <w:color w:val="auto"/>
        </w:rPr>
      </w:pPr>
      <w:r>
        <w:rPr>
          <w:rFonts w:ascii="Arial" w:cs="Arial" w:eastAsia="Arial" w:hAnsi="Arial"/>
          <w:sz w:val="18"/>
          <w:szCs w:val="18"/>
          <w:color w:val="auto"/>
        </w:rPr>
        <w:t>written notice given by it under this Section 14, the other Party may terminate the production pricing agreement upon written notice. In</w:t>
      </w:r>
    </w:p>
    <w:p>
      <w:pPr>
        <w:spacing w:after="0" w:line="1" w:lineRule="exact"/>
        <w:rPr>
          <w:sz w:val="20"/>
          <w:szCs w:val="20"/>
          <w:color w:val="auto"/>
        </w:rPr>
      </w:pPr>
    </w:p>
    <w:p>
      <w:pPr>
        <w:ind w:left="260"/>
        <w:spacing w:after="0" w:line="226" w:lineRule="auto"/>
        <w:rPr>
          <w:sz w:val="20"/>
          <w:szCs w:val="20"/>
          <w:color w:val="auto"/>
        </w:rPr>
      </w:pPr>
      <w:r>
        <w:rPr>
          <w:rFonts w:ascii="Arial" w:cs="Arial" w:eastAsia="Arial" w:hAnsi="Arial"/>
          <w:sz w:val="18"/>
          <w:szCs w:val="18"/>
          <w:color w:val="auto"/>
        </w:rPr>
        <w:t>addition, following the declaration of a Force Majeure by Supplier, the Parties shall discuss in good faith how to mitigate the impact of such Force Majeure, including providing Goods from Supplier’s other facility under the reasonably agreed terms and conditions between</w:t>
      </w:r>
    </w:p>
    <w:p>
      <w:pPr>
        <w:spacing w:after="0" w:line="2" w:lineRule="exact"/>
        <w:rPr>
          <w:sz w:val="20"/>
          <w:szCs w:val="20"/>
          <w:color w:val="auto"/>
        </w:rPr>
      </w:pPr>
    </w:p>
    <w:p>
      <w:pPr>
        <w:ind w:left="260"/>
        <w:spacing w:after="0"/>
        <w:rPr>
          <w:sz w:val="20"/>
          <w:szCs w:val="20"/>
          <w:color w:val="auto"/>
        </w:rPr>
      </w:pPr>
      <w:r>
        <w:rPr>
          <w:rFonts w:ascii="Arial" w:cs="Arial" w:eastAsia="Arial" w:hAnsi="Arial"/>
          <w:sz w:val="20"/>
          <w:szCs w:val="20"/>
          <w:color w:val="auto"/>
        </w:rPr>
        <w:t>the Parties in writing.</w:t>
      </w:r>
    </w:p>
    <w:p>
      <w:pPr>
        <w:spacing w:after="0" w:line="59" w:lineRule="exact"/>
        <w:rPr>
          <w:sz w:val="20"/>
          <w:szCs w:val="20"/>
          <w:color w:val="auto"/>
        </w:rPr>
      </w:pPr>
    </w:p>
    <w:p>
      <w:pPr>
        <w:ind w:left="260"/>
        <w:spacing w:after="0"/>
        <w:tabs>
          <w:tab w:leader="none" w:pos="840" w:val="left"/>
        </w:tabs>
        <w:rPr>
          <w:sz w:val="20"/>
          <w:szCs w:val="20"/>
          <w:color w:val="auto"/>
        </w:rPr>
      </w:pPr>
      <w:r>
        <w:rPr>
          <w:rFonts w:ascii="Arial" w:cs="Arial" w:eastAsia="Arial" w:hAnsi="Arial"/>
          <w:sz w:val="20"/>
          <w:szCs w:val="20"/>
          <w:b w:val="1"/>
          <w:bCs w:val="1"/>
          <w:color w:val="auto"/>
        </w:rPr>
        <w:t>14.3.</w:t>
      </w:r>
      <w:r>
        <w:rPr>
          <w:sz w:val="20"/>
          <w:szCs w:val="20"/>
          <w:color w:val="auto"/>
        </w:rPr>
        <w:tab/>
      </w:r>
      <w:r>
        <w:rPr>
          <w:rFonts w:ascii="Arial" w:cs="Arial" w:eastAsia="Arial" w:hAnsi="Arial"/>
          <w:sz w:val="18"/>
          <w:szCs w:val="18"/>
          <w:b w:val="1"/>
          <w:bCs w:val="1"/>
          <w:color w:val="auto"/>
        </w:rPr>
        <w:t>Intentionally Omitted.</w:t>
      </w:r>
    </w:p>
    <w:p>
      <w:pPr>
        <w:spacing w:after="0" w:line="67"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b w:val="1"/>
          <w:bCs w:val="1"/>
          <w:color w:val="auto"/>
        </w:rPr>
        <w:t>15.</w:t>
      </w:r>
      <w:r>
        <w:rPr>
          <w:sz w:val="20"/>
          <w:szCs w:val="20"/>
          <w:color w:val="auto"/>
        </w:rPr>
        <w:tab/>
      </w:r>
      <w:r>
        <w:rPr>
          <w:rFonts w:ascii="Arial" w:cs="Arial" w:eastAsia="Arial" w:hAnsi="Arial"/>
          <w:sz w:val="19"/>
          <w:szCs w:val="19"/>
          <w:b w:val="1"/>
          <w:bCs w:val="1"/>
          <w:color w:val="auto"/>
        </w:rPr>
        <w:t>INSURANCE.</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color w:val="auto"/>
        </w:rPr>
        <w:t>Supplier will obtain and maintain at its sole cost and expense at least the following types and amounts of insurance coverage: (a) Workers’</w:t>
      </w:r>
    </w:p>
    <w:p>
      <w:pPr>
        <w:spacing w:after="0" w:line="220" w:lineRule="auto"/>
        <w:rPr>
          <w:sz w:val="20"/>
          <w:szCs w:val="20"/>
          <w:color w:val="auto"/>
        </w:rPr>
      </w:pPr>
      <w:r>
        <w:rPr>
          <w:rFonts w:ascii="Arial" w:cs="Arial" w:eastAsia="Arial" w:hAnsi="Arial"/>
          <w:sz w:val="19"/>
          <w:szCs w:val="19"/>
          <w:color w:val="auto"/>
        </w:rPr>
        <w:t>Compensation: [***]; (b) Employer’s Liability: [***]; (c) Commercial General Liability covering liability arising from premises, operations,</w:t>
      </w:r>
    </w:p>
    <w:p>
      <w:pPr>
        <w:spacing w:after="0" w:line="222" w:lineRule="auto"/>
        <w:rPr>
          <w:sz w:val="20"/>
          <w:szCs w:val="20"/>
          <w:color w:val="auto"/>
        </w:rPr>
      </w:pPr>
      <w:r>
        <w:rPr>
          <w:rFonts w:ascii="Arial" w:cs="Arial" w:eastAsia="Arial" w:hAnsi="Arial"/>
          <w:sz w:val="19"/>
          <w:szCs w:val="19"/>
          <w:color w:val="auto"/>
        </w:rPr>
        <w:t>contractual liability, independent contractors, products liability/completed operations, personal injury and advertising injury,: [***];</w:t>
      </w:r>
    </w:p>
    <w:p>
      <w:pPr>
        <w:spacing w:after="0" w:line="1" w:lineRule="exact"/>
        <w:rPr>
          <w:sz w:val="20"/>
          <w:szCs w:val="20"/>
          <w:color w:val="auto"/>
        </w:rPr>
      </w:pPr>
    </w:p>
    <w:p>
      <w:pPr>
        <w:jc w:val="both"/>
        <w:ind w:firstLine="8"/>
        <w:spacing w:after="0" w:line="221" w:lineRule="auto"/>
        <w:tabs>
          <w:tab w:leader="none" w:pos="282" w:val="left"/>
        </w:tabs>
        <w:numPr>
          <w:ilvl w:val="0"/>
          <w:numId w:val="89"/>
        </w:numPr>
        <w:rPr>
          <w:rFonts w:ascii="Arial" w:cs="Arial" w:eastAsia="Arial" w:hAnsi="Arial"/>
          <w:sz w:val="19"/>
          <w:szCs w:val="19"/>
          <w:color w:val="auto"/>
        </w:rPr>
      </w:pPr>
      <w:r>
        <w:rPr>
          <w:rFonts w:ascii="Arial" w:cs="Arial" w:eastAsia="Arial" w:hAnsi="Arial"/>
          <w:sz w:val="19"/>
          <w:szCs w:val="19"/>
          <w:color w:val="auto"/>
        </w:rPr>
        <w:t>Automobile Liability (including owned, non-owned and hired vehicles): [***]; (e) Umbrella/excess insurance on an occurrence basis in excess of the underlying insurance described above with [***]; and (f) to the extent the insurance policies procured by [***] apply, all risk property insurance, subject to standard exclusions providing coverage for Lucid’s property while in Supplier’s care, custody or control. Commercial General Liability Policy and Automobile Liability procured by [***] will include Lucid as an additional insured thereunder and shall contain endorsements stating that the policies are primary and not excess over or contributory with any other valid, applicable, and collectible insurance in force for Lucid. To the extent the insurance policies procured by [***] apply, [***]. Supplier shall furnish to Lucid a certificate showing compliance with these insurance requirements within [***] of Lucid’s written request. Supplier’s insurance broker will provide [***] prior written notice of any termination, non-renewal, or material reduction in the amount or scope of coverage. Lucid may require Supplier to furnish evidence of the foregoing insurance but failure to comply with these insurance requirements will not relieve Supplier of its liability and obligation under this Section.</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181610</wp:posOffset>
            </wp:positionV>
            <wp:extent cx="713232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44" w:lineRule="exact"/>
        <w:rPr>
          <w:sz w:val="20"/>
          <w:szCs w:val="20"/>
          <w:color w:val="auto"/>
        </w:rPr>
      </w:pPr>
    </w:p>
    <w:p>
      <w:pPr>
        <w:spacing w:after="0"/>
        <w:tabs>
          <w:tab w:leader="none" w:pos="1880" w:val="left"/>
        </w:tabs>
        <w:rPr>
          <w:sz w:val="20"/>
          <w:szCs w:val="20"/>
          <w:color w:val="auto"/>
        </w:rPr>
      </w:pPr>
      <w:r>
        <w:rPr>
          <w:rFonts w:ascii="Arial" w:cs="Arial" w:eastAsia="Arial" w:hAnsi="Arial"/>
          <w:sz w:val="20"/>
          <w:szCs w:val="20"/>
          <w:color w:val="auto"/>
        </w:rPr>
        <w:t>Lucid Confidential</w:t>
      </w:r>
      <w:r>
        <w:rPr>
          <w:sz w:val="20"/>
          <w:szCs w:val="20"/>
          <w:color w:val="auto"/>
        </w:rPr>
        <w:tab/>
      </w:r>
      <w:r>
        <w:rPr>
          <w:rFonts w:ascii="Arial" w:cs="Arial" w:eastAsia="Arial" w:hAnsi="Arial"/>
          <w:sz w:val="16"/>
          <w:szCs w:val="16"/>
          <w:color w:val="auto"/>
        </w:rPr>
        <w:t>Parts GTC rev. October 2020</w:t>
      </w:r>
    </w:p>
    <w:p>
      <w:pPr>
        <w:sectPr>
          <w:pgSz w:w="11900" w:h="16838" w:orient="portrait"/>
          <w:cols w:equalWidth="0" w:num="1">
            <w:col w:w="11240"/>
          </w:cols>
          <w:pgMar w:left="320" w:top="1440" w:right="339" w:bottom="1440" w:gutter="0" w:footer="0" w:header="0"/>
        </w:sectPr>
      </w:pPr>
    </w:p>
    <w:bookmarkStart w:id="146" w:name="page147"/>
    <w:bookmarkEnd w:id="146"/>
    <w:p>
      <w:pPr>
        <w:spacing w:after="0" w:line="68" w:lineRule="exact"/>
        <w:rPr>
          <w:sz w:val="20"/>
          <w:szCs w:val="20"/>
          <w:color w:val="auto"/>
        </w:rPr>
      </w:pPr>
    </w:p>
    <w:p>
      <w:pPr>
        <w:ind w:left="460" w:hanging="452"/>
        <w:spacing w:after="0"/>
        <w:tabs>
          <w:tab w:leader="none" w:pos="460" w:val="left"/>
        </w:tabs>
        <w:numPr>
          <w:ilvl w:val="0"/>
          <w:numId w:val="90"/>
        </w:numPr>
        <w:rPr>
          <w:rFonts w:ascii="Arial" w:cs="Arial" w:eastAsia="Arial" w:hAnsi="Arial"/>
          <w:sz w:val="20"/>
          <w:szCs w:val="20"/>
          <w:b w:val="1"/>
          <w:bCs w:val="1"/>
          <w:color w:val="auto"/>
        </w:rPr>
      </w:pPr>
      <w:r>
        <w:rPr>
          <w:rFonts w:ascii="Arial" w:cs="Arial" w:eastAsia="Arial" w:hAnsi="Arial"/>
          <w:sz w:val="20"/>
          <w:szCs w:val="20"/>
          <w:b w:val="1"/>
          <w:bCs w:val="1"/>
          <w:color w:val="auto"/>
        </w:rPr>
        <w:t>INTELLECTUAL PROPERTY</w:t>
      </w:r>
    </w:p>
    <w:p>
      <w:pPr>
        <w:spacing w:after="0" w:line="80" w:lineRule="exact"/>
        <w:rPr>
          <w:rFonts w:ascii="Arial" w:cs="Arial" w:eastAsia="Arial" w:hAnsi="Arial"/>
          <w:sz w:val="20"/>
          <w:szCs w:val="20"/>
          <w:b w:val="1"/>
          <w:bCs w:val="1"/>
          <w:color w:val="auto"/>
        </w:rPr>
      </w:pPr>
    </w:p>
    <w:p>
      <w:pPr>
        <w:ind w:left="600" w:hanging="592"/>
        <w:spacing w:after="0"/>
        <w:tabs>
          <w:tab w:leader="none" w:pos="600" w:val="left"/>
        </w:tabs>
        <w:numPr>
          <w:ilvl w:val="0"/>
          <w:numId w:val="91"/>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Copyrights. </w:t>
      </w:r>
      <w:r>
        <w:rPr>
          <w:rFonts w:ascii="Arial" w:cs="Arial" w:eastAsia="Arial" w:hAnsi="Arial"/>
          <w:sz w:val="20"/>
          <w:szCs w:val="20"/>
          <w:color w:val="auto"/>
        </w:rPr>
        <w:t>Supplier agrees [***].</w:t>
      </w:r>
    </w:p>
    <w:p>
      <w:pPr>
        <w:spacing w:after="0" w:line="67" w:lineRule="exact"/>
        <w:rPr>
          <w:rFonts w:ascii="Arial" w:cs="Arial" w:eastAsia="Arial" w:hAnsi="Arial"/>
          <w:sz w:val="20"/>
          <w:szCs w:val="20"/>
          <w:b w:val="1"/>
          <w:bCs w:val="1"/>
          <w:color w:val="auto"/>
        </w:rPr>
      </w:pPr>
    </w:p>
    <w:p>
      <w:pPr>
        <w:ind w:left="600" w:hanging="592"/>
        <w:spacing w:after="0"/>
        <w:tabs>
          <w:tab w:leader="none" w:pos="600" w:val="left"/>
        </w:tabs>
        <w:numPr>
          <w:ilvl w:val="0"/>
          <w:numId w:val="91"/>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Inventions and Related Rights. </w:t>
      </w:r>
      <w:r>
        <w:rPr>
          <w:rFonts w:ascii="Arial" w:cs="Arial" w:eastAsia="Arial" w:hAnsi="Arial"/>
          <w:sz w:val="20"/>
          <w:szCs w:val="20"/>
          <w:color w:val="auto"/>
        </w:rPr>
        <w:t>Unless otherwise agreed [***].</w:t>
      </w:r>
    </w:p>
    <w:p>
      <w:pPr>
        <w:spacing w:after="0" w:line="80" w:lineRule="exact"/>
        <w:rPr>
          <w:rFonts w:ascii="Arial" w:cs="Arial" w:eastAsia="Arial" w:hAnsi="Arial"/>
          <w:sz w:val="20"/>
          <w:szCs w:val="20"/>
          <w:b w:val="1"/>
          <w:bCs w:val="1"/>
          <w:color w:val="auto"/>
        </w:rPr>
      </w:pPr>
    </w:p>
    <w:p>
      <w:pPr>
        <w:ind w:left="600" w:hanging="592"/>
        <w:spacing w:after="0"/>
        <w:tabs>
          <w:tab w:leader="none" w:pos="600" w:val="left"/>
        </w:tabs>
        <w:numPr>
          <w:ilvl w:val="0"/>
          <w:numId w:val="91"/>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Lucid Intellectual Property Rights. </w:t>
      </w:r>
      <w:r>
        <w:rPr>
          <w:rFonts w:ascii="Arial" w:cs="Arial" w:eastAsia="Arial" w:hAnsi="Arial"/>
          <w:sz w:val="20"/>
          <w:szCs w:val="20"/>
          <w:color w:val="auto"/>
        </w:rPr>
        <w:t>Except as necessary [***].</w:t>
      </w:r>
    </w:p>
    <w:p>
      <w:pPr>
        <w:spacing w:after="0" w:line="80" w:lineRule="exact"/>
        <w:rPr>
          <w:rFonts w:ascii="Arial" w:cs="Arial" w:eastAsia="Arial" w:hAnsi="Arial"/>
          <w:sz w:val="20"/>
          <w:szCs w:val="20"/>
          <w:b w:val="1"/>
          <w:bCs w:val="1"/>
          <w:color w:val="auto"/>
        </w:rPr>
      </w:pPr>
    </w:p>
    <w:p>
      <w:pPr>
        <w:ind w:left="660" w:hanging="652"/>
        <w:spacing w:after="0"/>
        <w:tabs>
          <w:tab w:leader="none" w:pos="660" w:val="left"/>
        </w:tabs>
        <w:numPr>
          <w:ilvl w:val="0"/>
          <w:numId w:val="91"/>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Supplier Cooperation. </w:t>
      </w:r>
      <w:r>
        <w:rPr>
          <w:rFonts w:ascii="Arial" w:cs="Arial" w:eastAsia="Arial" w:hAnsi="Arial"/>
          <w:sz w:val="20"/>
          <w:szCs w:val="20"/>
          <w:color w:val="auto"/>
        </w:rPr>
        <w:t>To the extent that [***].</w:t>
      </w:r>
    </w:p>
    <w:p>
      <w:pPr>
        <w:spacing w:after="0" w:line="67" w:lineRule="exact"/>
        <w:rPr>
          <w:rFonts w:ascii="Arial" w:cs="Arial" w:eastAsia="Arial" w:hAnsi="Arial"/>
          <w:sz w:val="20"/>
          <w:szCs w:val="20"/>
          <w:b w:val="1"/>
          <w:bCs w:val="1"/>
          <w:color w:val="auto"/>
        </w:rPr>
      </w:pPr>
    </w:p>
    <w:p>
      <w:pPr>
        <w:ind w:left="600" w:hanging="592"/>
        <w:spacing w:after="0"/>
        <w:tabs>
          <w:tab w:leader="none" w:pos="600" w:val="left"/>
        </w:tabs>
        <w:numPr>
          <w:ilvl w:val="0"/>
          <w:numId w:val="91"/>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Supplier Licenses. </w:t>
      </w:r>
      <w:r>
        <w:rPr>
          <w:rFonts w:ascii="Arial" w:cs="Arial" w:eastAsia="Arial" w:hAnsi="Arial"/>
          <w:sz w:val="20"/>
          <w:szCs w:val="20"/>
          <w:color w:val="auto"/>
        </w:rPr>
        <w:t>The licenses granted to [***].</w:t>
      </w:r>
    </w:p>
    <w:p>
      <w:pPr>
        <w:spacing w:after="0" w:line="200" w:lineRule="exact"/>
        <w:rPr>
          <w:rFonts w:ascii="Arial" w:cs="Arial" w:eastAsia="Arial" w:hAnsi="Arial"/>
          <w:sz w:val="20"/>
          <w:szCs w:val="20"/>
          <w:b w:val="1"/>
          <w:bCs w:val="1"/>
          <w:color w:val="auto"/>
        </w:rPr>
      </w:pPr>
    </w:p>
    <w:p>
      <w:pPr>
        <w:spacing w:after="0" w:line="231" w:lineRule="exact"/>
        <w:rPr>
          <w:rFonts w:ascii="Arial" w:cs="Arial" w:eastAsia="Arial" w:hAnsi="Arial"/>
          <w:sz w:val="20"/>
          <w:szCs w:val="20"/>
          <w:b w:val="1"/>
          <w:bCs w:val="1"/>
          <w:color w:val="auto"/>
        </w:rPr>
      </w:pPr>
    </w:p>
    <w:p>
      <w:pPr>
        <w:ind w:left="460" w:hanging="452"/>
        <w:spacing w:after="0"/>
        <w:tabs>
          <w:tab w:leader="none" w:pos="460" w:val="left"/>
        </w:tabs>
        <w:numPr>
          <w:ilvl w:val="0"/>
          <w:numId w:val="92"/>
        </w:numPr>
        <w:rPr>
          <w:rFonts w:ascii="Arial" w:cs="Arial" w:eastAsia="Arial" w:hAnsi="Arial"/>
          <w:sz w:val="20"/>
          <w:szCs w:val="20"/>
          <w:b w:val="1"/>
          <w:bCs w:val="1"/>
          <w:color w:val="auto"/>
        </w:rPr>
      </w:pPr>
      <w:r>
        <w:rPr>
          <w:rFonts w:ascii="Arial" w:cs="Arial" w:eastAsia="Arial" w:hAnsi="Arial"/>
          <w:sz w:val="20"/>
          <w:szCs w:val="20"/>
          <w:b w:val="1"/>
          <w:bCs w:val="1"/>
          <w:color w:val="auto"/>
        </w:rPr>
        <w:t>CUSTOMS</w:t>
      </w:r>
    </w:p>
    <w:p>
      <w:pPr>
        <w:spacing w:after="0" w:line="87" w:lineRule="exact"/>
        <w:rPr>
          <w:sz w:val="20"/>
          <w:szCs w:val="20"/>
          <w:color w:val="auto"/>
        </w:rPr>
      </w:pPr>
    </w:p>
    <w:p>
      <w:pPr>
        <w:spacing w:after="0"/>
        <w:rPr>
          <w:sz w:val="20"/>
          <w:szCs w:val="20"/>
          <w:color w:val="auto"/>
        </w:rPr>
      </w:pPr>
      <w:r>
        <w:rPr>
          <w:rFonts w:ascii="Arial" w:cs="Arial" w:eastAsia="Arial" w:hAnsi="Arial"/>
          <w:sz w:val="20"/>
          <w:szCs w:val="20"/>
          <w:color w:val="auto"/>
        </w:rPr>
        <w:t>The following obligations shall apply only to the extent Goods are imported from or exported to the countries listed on Exhibit A.</w:t>
      </w:r>
    </w:p>
    <w:p>
      <w:pPr>
        <w:spacing w:after="0" w:line="67" w:lineRule="exact"/>
        <w:rPr>
          <w:sz w:val="20"/>
          <w:szCs w:val="20"/>
          <w:color w:val="auto"/>
        </w:rPr>
      </w:pPr>
    </w:p>
    <w:p>
      <w:pPr>
        <w:jc w:val="both"/>
        <w:ind w:firstLine="656"/>
        <w:spacing w:after="0" w:line="243" w:lineRule="auto"/>
        <w:tabs>
          <w:tab w:leader="none" w:pos="1076" w:val="left"/>
        </w:tabs>
        <w:numPr>
          <w:ilvl w:val="1"/>
          <w:numId w:val="93"/>
        </w:numPr>
        <w:rPr>
          <w:rFonts w:ascii="Arial" w:cs="Arial" w:eastAsia="Arial" w:hAnsi="Arial"/>
          <w:sz w:val="18"/>
          <w:szCs w:val="18"/>
          <w:b w:val="1"/>
          <w:bCs w:val="1"/>
          <w:color w:val="auto"/>
        </w:rPr>
      </w:pPr>
      <w:r>
        <w:rPr>
          <w:rFonts w:ascii="Arial" w:cs="Arial" w:eastAsia="Arial" w:hAnsi="Arial"/>
          <w:sz w:val="18"/>
          <w:szCs w:val="18"/>
          <w:color w:val="auto"/>
        </w:rPr>
        <w:t>Supplier will promptly notify Lucid in writing of major materials or components used by Supplier to fulfill its obligations under this Agreement that Supplier purchases in a country other than the country in which the Goods are delivered to Lucid. Supplier will furnish Lucid with the documentation and information necessary to establish the country of origin or to comply with the applicable country's rules of origin requirements with respect to the delivered Goods in the format reasonably agreed between the Parties. Supplier will promptly advise Lucid of any duty of the imported major materials or components of the Goods included in the purchase price of the Goods.</w:t>
      </w:r>
    </w:p>
    <w:p>
      <w:pPr>
        <w:spacing w:after="0" w:line="59" w:lineRule="exact"/>
        <w:rPr>
          <w:rFonts w:ascii="Arial" w:cs="Arial" w:eastAsia="Arial" w:hAnsi="Arial"/>
          <w:sz w:val="18"/>
          <w:szCs w:val="18"/>
          <w:b w:val="1"/>
          <w:bCs w:val="1"/>
          <w:color w:val="auto"/>
        </w:rPr>
      </w:pPr>
    </w:p>
    <w:p>
      <w:pPr>
        <w:jc w:val="both"/>
        <w:ind w:firstLine="656"/>
        <w:spacing w:after="0" w:line="226" w:lineRule="auto"/>
        <w:tabs>
          <w:tab w:leader="none" w:pos="1115" w:val="left"/>
        </w:tabs>
        <w:numPr>
          <w:ilvl w:val="1"/>
          <w:numId w:val="93"/>
        </w:numPr>
        <w:rPr>
          <w:rFonts w:ascii="Arial" w:cs="Arial" w:eastAsia="Arial" w:hAnsi="Arial"/>
          <w:sz w:val="19"/>
          <w:szCs w:val="19"/>
          <w:b w:val="1"/>
          <w:bCs w:val="1"/>
          <w:color w:val="auto"/>
        </w:rPr>
      </w:pPr>
      <w:r>
        <w:rPr>
          <w:rFonts w:ascii="Arial" w:cs="Arial" w:eastAsia="Arial" w:hAnsi="Arial"/>
          <w:sz w:val="19"/>
          <w:szCs w:val="19"/>
          <w:color w:val="auto"/>
        </w:rPr>
        <w:t>The rights to and benefits of any duty drawback, in accordance with the Incoterms, including rights developed by substitution and rights which may be acquired from Supplier's suppliers and export credits in connection with the Goods delivered to Lucid, to the extent transferable to Lucid, are the property of Lucid, and any increase of the custom duty or duties in connection with the Goods delivered to Lucid and/or any materials or components thereof is assumed by Lucid unless otherwise expressly provided herein. Supplier will provide all documentation and information and take any necessary steps to drawback any duty, taxes or fees paid to, and to receive export credits from, the government of the country of origin upon exportation of the Goods from such country.</w:t>
      </w:r>
    </w:p>
    <w:p>
      <w:pPr>
        <w:spacing w:after="0" w:line="48" w:lineRule="exact"/>
        <w:rPr>
          <w:rFonts w:ascii="Arial" w:cs="Arial" w:eastAsia="Arial" w:hAnsi="Arial"/>
          <w:sz w:val="19"/>
          <w:szCs w:val="19"/>
          <w:b w:val="1"/>
          <w:bCs w:val="1"/>
          <w:color w:val="auto"/>
        </w:rPr>
      </w:pPr>
    </w:p>
    <w:p>
      <w:pPr>
        <w:jc w:val="both"/>
        <w:ind w:firstLine="656"/>
        <w:spacing w:after="0" w:line="225" w:lineRule="auto"/>
        <w:tabs>
          <w:tab w:leader="none" w:pos="1065" w:val="left"/>
        </w:tabs>
        <w:numPr>
          <w:ilvl w:val="1"/>
          <w:numId w:val="93"/>
        </w:numPr>
        <w:rPr>
          <w:rFonts w:ascii="Arial" w:cs="Arial" w:eastAsia="Arial" w:hAnsi="Arial"/>
          <w:sz w:val="19"/>
          <w:szCs w:val="19"/>
          <w:b w:val="1"/>
          <w:bCs w:val="1"/>
          <w:color w:val="auto"/>
        </w:rPr>
      </w:pPr>
      <w:r>
        <w:rPr>
          <w:rFonts w:ascii="Arial" w:cs="Arial" w:eastAsia="Arial" w:hAnsi="Arial"/>
          <w:sz w:val="19"/>
          <w:szCs w:val="19"/>
          <w:color w:val="auto"/>
        </w:rPr>
        <w:t>The responsibility for customs duty and customs brokers' fees will be determined in accordance with the Incoterms stated in this Agreement. If Lucid is responsible for customs duties, it will be responsible for normal duties only and any additional or special duties occurring due to the cause other than Supplier’s failure to comply with applicable law. To the extent incurred due to Supplier failure to comply with applicable law, Supplier will be responsible for any special duties caused by such failure to the extent permitted under the law of the country of importation. Supplier will provide Lucid or the appropriate governmental authority all documentation and information required by law or regulation or otherwise necessary to determine the proper minimum duty to be paid upon the importation of the Goods into any country or to obtain any refunds or drawbacks of duties paid.</w:t>
      </w:r>
    </w:p>
    <w:p>
      <w:pPr>
        <w:spacing w:after="0" w:line="64" w:lineRule="exact"/>
        <w:rPr>
          <w:rFonts w:ascii="Arial" w:cs="Arial" w:eastAsia="Arial" w:hAnsi="Arial"/>
          <w:sz w:val="19"/>
          <w:szCs w:val="19"/>
          <w:b w:val="1"/>
          <w:bCs w:val="1"/>
          <w:color w:val="auto"/>
        </w:rPr>
      </w:pPr>
    </w:p>
    <w:p>
      <w:pPr>
        <w:jc w:val="both"/>
        <w:ind w:firstLine="656"/>
        <w:spacing w:after="0" w:line="220" w:lineRule="auto"/>
        <w:tabs>
          <w:tab w:leader="none" w:pos="1182" w:val="left"/>
        </w:tabs>
        <w:numPr>
          <w:ilvl w:val="1"/>
          <w:numId w:val="93"/>
        </w:numPr>
        <w:rPr>
          <w:rFonts w:ascii="Arial" w:cs="Arial" w:eastAsia="Arial" w:hAnsi="Arial"/>
          <w:sz w:val="20"/>
          <w:szCs w:val="20"/>
          <w:b w:val="1"/>
          <w:bCs w:val="1"/>
          <w:color w:val="auto"/>
        </w:rPr>
      </w:pPr>
      <w:r>
        <w:rPr>
          <w:rFonts w:ascii="Arial" w:cs="Arial" w:eastAsia="Arial" w:hAnsi="Arial"/>
          <w:sz w:val="20"/>
          <w:szCs w:val="20"/>
          <w:color w:val="auto"/>
        </w:rPr>
        <w:t>If Lucid is responsible for importing the Goods into a country (other than U.S.A.) under this Agreement or the applicable pricing agreement, Supplier will advise Lucid if the importation or exportation of the Goods requires an import or export license; provided that Lucid will inform Supplier in advance of the country into which the Goods will be imported and requests Supplier to provide such information. Supplier will assist Lucid in obtaining any such license.</w:t>
      </w:r>
    </w:p>
    <w:p>
      <w:pPr>
        <w:spacing w:after="0" w:line="61" w:lineRule="exact"/>
        <w:rPr>
          <w:rFonts w:ascii="Arial" w:cs="Arial" w:eastAsia="Arial" w:hAnsi="Arial"/>
          <w:sz w:val="20"/>
          <w:szCs w:val="20"/>
          <w:b w:val="1"/>
          <w:bCs w:val="1"/>
          <w:color w:val="auto"/>
        </w:rPr>
      </w:pPr>
    </w:p>
    <w:p>
      <w:pPr>
        <w:jc w:val="both"/>
        <w:ind w:firstLine="656"/>
        <w:spacing w:after="0" w:line="220" w:lineRule="auto"/>
        <w:tabs>
          <w:tab w:leader="none" w:pos="1308" w:val="left"/>
        </w:tabs>
        <w:numPr>
          <w:ilvl w:val="1"/>
          <w:numId w:val="93"/>
        </w:numPr>
        <w:rPr>
          <w:rFonts w:ascii="Arial" w:cs="Arial" w:eastAsia="Arial" w:hAnsi="Arial"/>
          <w:sz w:val="20"/>
          <w:szCs w:val="20"/>
          <w:b w:val="1"/>
          <w:bCs w:val="1"/>
          <w:color w:val="auto"/>
        </w:rPr>
      </w:pPr>
      <w:r>
        <w:rPr>
          <w:rFonts w:ascii="Arial" w:cs="Arial" w:eastAsia="Arial" w:hAnsi="Arial"/>
          <w:sz w:val="20"/>
          <w:szCs w:val="20"/>
          <w:color w:val="auto"/>
        </w:rPr>
        <w:t>To the extent reasonably practicable, Supplier will provide to Lucid and the appropriate governmental agency the documentation necessary to determine the admissibility and the effect of entry of the Goods into the country listed in Exhibit [A] in which the Goods are imported by Lucid. Supplier warrants, to the best of its knowledge, that the information regarding the import or export of the Goods supplied to Lucid is true and correct in every material respect.</w:t>
      </w:r>
    </w:p>
    <w:p>
      <w:pPr>
        <w:spacing w:after="0" w:line="41" w:lineRule="exact"/>
        <w:rPr>
          <w:rFonts w:ascii="Arial" w:cs="Arial" w:eastAsia="Arial" w:hAnsi="Arial"/>
          <w:sz w:val="20"/>
          <w:szCs w:val="20"/>
          <w:b w:val="1"/>
          <w:bCs w:val="1"/>
          <w:color w:val="auto"/>
        </w:rPr>
      </w:pPr>
    </w:p>
    <w:p>
      <w:pPr>
        <w:ind w:left="440" w:hanging="432"/>
        <w:spacing w:after="0"/>
        <w:tabs>
          <w:tab w:leader="none" w:pos="440" w:val="left"/>
        </w:tabs>
        <w:numPr>
          <w:ilvl w:val="0"/>
          <w:numId w:val="94"/>
        </w:numPr>
        <w:rPr>
          <w:rFonts w:ascii="Arial" w:cs="Arial" w:eastAsia="Arial" w:hAnsi="Arial"/>
          <w:sz w:val="20"/>
          <w:szCs w:val="20"/>
          <w:b w:val="1"/>
          <w:bCs w:val="1"/>
          <w:color w:val="auto"/>
        </w:rPr>
      </w:pPr>
      <w:r>
        <w:rPr>
          <w:rFonts w:ascii="Arial" w:cs="Arial" w:eastAsia="Arial" w:hAnsi="Arial"/>
          <w:sz w:val="20"/>
          <w:szCs w:val="20"/>
          <w:b w:val="1"/>
          <w:bCs w:val="1"/>
          <w:color w:val="auto"/>
        </w:rPr>
        <w:t>AUDITS, INSPECTION, REPORTS</w:t>
      </w:r>
    </w:p>
    <w:p>
      <w:pPr>
        <w:spacing w:after="0" w:line="75" w:lineRule="exact"/>
        <w:rPr>
          <w:sz w:val="20"/>
          <w:szCs w:val="20"/>
          <w:color w:val="auto"/>
        </w:rPr>
      </w:pPr>
    </w:p>
    <w:p>
      <w:pPr>
        <w:ind w:left="400"/>
        <w:spacing w:after="0"/>
        <w:tabs>
          <w:tab w:leader="none" w:pos="1020" w:val="left"/>
        </w:tabs>
        <w:rPr>
          <w:sz w:val="20"/>
          <w:szCs w:val="20"/>
          <w:color w:val="auto"/>
        </w:rPr>
      </w:pPr>
      <w:r>
        <w:rPr>
          <w:rFonts w:ascii="Arial" w:cs="Arial" w:eastAsia="Arial" w:hAnsi="Arial"/>
          <w:sz w:val="20"/>
          <w:szCs w:val="20"/>
          <w:b w:val="1"/>
          <w:bCs w:val="1"/>
          <w:color w:val="auto"/>
        </w:rPr>
        <w:t>18.1.</w:t>
      </w:r>
      <w:r>
        <w:rPr>
          <w:sz w:val="20"/>
          <w:szCs w:val="20"/>
          <w:color w:val="auto"/>
        </w:rPr>
        <w:tab/>
      </w:r>
      <w:r>
        <w:rPr>
          <w:rFonts w:ascii="Arial" w:cs="Arial" w:eastAsia="Arial" w:hAnsi="Arial"/>
          <w:sz w:val="18"/>
          <w:szCs w:val="18"/>
          <w:b w:val="1"/>
          <w:bCs w:val="1"/>
          <w:color w:val="auto"/>
        </w:rPr>
        <w:t xml:space="preserve">Documentation and Reports. </w:t>
      </w:r>
      <w:r>
        <w:rPr>
          <w:rFonts w:ascii="Arial" w:cs="Arial" w:eastAsia="Arial" w:hAnsi="Arial"/>
          <w:sz w:val="18"/>
          <w:szCs w:val="18"/>
          <w:color w:val="auto"/>
        </w:rPr>
        <w:t>Supplier will, at Supplier’s expense, provide Lucid with documentation and reports reasonably</w:t>
      </w:r>
    </w:p>
    <w:p>
      <w:pPr>
        <w:ind w:left="400"/>
        <w:spacing w:after="0" w:line="220" w:lineRule="auto"/>
        <w:rPr>
          <w:sz w:val="20"/>
          <w:szCs w:val="20"/>
          <w:color w:val="auto"/>
        </w:rPr>
      </w:pPr>
      <w:r>
        <w:rPr>
          <w:rFonts w:ascii="Arial" w:cs="Arial" w:eastAsia="Arial" w:hAnsi="Arial"/>
          <w:sz w:val="20"/>
          <w:szCs w:val="20"/>
          <w:color w:val="auto"/>
        </w:rPr>
        <w:t>requested by Lucid in the form and format agreed between the Parties regarding the Goods, and Spot Orders accepted by Supplier or Production Orders.</w:t>
      </w:r>
    </w:p>
    <w:p>
      <w:pPr>
        <w:spacing w:after="0" w:line="56" w:lineRule="exact"/>
        <w:rPr>
          <w:sz w:val="20"/>
          <w:szCs w:val="20"/>
          <w:color w:val="auto"/>
        </w:rPr>
      </w:pPr>
    </w:p>
    <w:p>
      <w:pPr>
        <w:ind w:left="400"/>
        <w:spacing w:after="0" w:line="239" w:lineRule="auto"/>
        <w:rPr>
          <w:sz w:val="20"/>
          <w:szCs w:val="20"/>
          <w:color w:val="auto"/>
        </w:rPr>
      </w:pPr>
      <w:r>
        <w:rPr>
          <w:rFonts w:ascii="Arial" w:cs="Arial" w:eastAsia="Arial" w:hAnsi="Arial"/>
          <w:sz w:val="20"/>
          <w:szCs w:val="20"/>
          <w:b w:val="1"/>
          <w:bCs w:val="1"/>
          <w:color w:val="auto"/>
        </w:rPr>
        <w:t xml:space="preserve">18.2. Audit; Inspection. </w:t>
      </w:r>
      <w:r>
        <w:rPr>
          <w:rFonts w:ascii="Arial" w:cs="Arial" w:eastAsia="Arial" w:hAnsi="Arial"/>
          <w:sz w:val="20"/>
          <w:szCs w:val="20"/>
          <w:color w:val="auto"/>
        </w:rPr>
        <w:t>During the term of this Agreement and [***] year thereafter, for the sole purpose of ensuring Supplier’s</w:t>
      </w:r>
      <w:r>
        <w:rPr>
          <w:rFonts w:ascii="Arial" w:cs="Arial" w:eastAsia="Arial" w:hAnsi="Arial"/>
          <w:sz w:val="20"/>
          <w:szCs w:val="20"/>
          <w:b w:val="1"/>
          <w:bCs w:val="1"/>
          <w:color w:val="auto"/>
        </w:rPr>
        <w:t xml:space="preserve"> </w:t>
      </w:r>
      <w:r>
        <w:rPr>
          <w:rFonts w:ascii="Arial" w:cs="Arial" w:eastAsia="Arial" w:hAnsi="Arial"/>
          <w:sz w:val="20"/>
          <w:szCs w:val="20"/>
          <w:color w:val="auto"/>
        </w:rPr>
        <w:t>compliance with the terms of the Agreement Lucid may, upon</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190500</wp:posOffset>
            </wp:positionV>
            <wp:extent cx="713232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58" w:lineRule="exact"/>
        <w:rPr>
          <w:sz w:val="20"/>
          <w:szCs w:val="20"/>
          <w:color w:val="auto"/>
        </w:rPr>
      </w:pPr>
    </w:p>
    <w:p>
      <w:pPr>
        <w:spacing w:after="0"/>
        <w:tabs>
          <w:tab w:leader="none" w:pos="1880" w:val="left"/>
        </w:tabs>
        <w:rPr>
          <w:sz w:val="20"/>
          <w:szCs w:val="20"/>
          <w:color w:val="auto"/>
        </w:rPr>
      </w:pPr>
      <w:r>
        <w:rPr>
          <w:rFonts w:ascii="Arial" w:cs="Arial" w:eastAsia="Arial" w:hAnsi="Arial"/>
          <w:sz w:val="20"/>
          <w:szCs w:val="20"/>
          <w:color w:val="auto"/>
        </w:rPr>
        <w:t>Lucid Confidential</w:t>
      </w:r>
      <w:r>
        <w:rPr>
          <w:sz w:val="20"/>
          <w:szCs w:val="20"/>
          <w:color w:val="auto"/>
        </w:rPr>
        <w:tab/>
      </w:r>
      <w:r>
        <w:rPr>
          <w:rFonts w:ascii="Arial" w:cs="Arial" w:eastAsia="Arial" w:hAnsi="Arial"/>
          <w:sz w:val="16"/>
          <w:szCs w:val="16"/>
          <w:color w:val="auto"/>
        </w:rPr>
        <w:t>Parts GTC rev. October 2020</w:t>
      </w:r>
    </w:p>
    <w:p>
      <w:pPr>
        <w:sectPr>
          <w:pgSz w:w="11900" w:h="16838" w:orient="portrait"/>
          <w:cols w:equalWidth="0" w:num="1">
            <w:col w:w="11240"/>
          </w:cols>
          <w:pgMar w:left="320" w:top="1440" w:right="339" w:bottom="1440" w:gutter="0" w:footer="0" w:header="0"/>
        </w:sectPr>
      </w:pPr>
    </w:p>
    <w:bookmarkStart w:id="147" w:name="page148"/>
    <w:bookmarkEnd w:id="147"/>
    <w:p>
      <w:pPr>
        <w:spacing w:after="0" w:line="74" w:lineRule="exact"/>
        <w:rPr>
          <w:sz w:val="20"/>
          <w:szCs w:val="20"/>
          <w:color w:val="auto"/>
        </w:rPr>
      </w:pPr>
    </w:p>
    <w:p>
      <w:pPr>
        <w:ind w:left="400"/>
        <w:spacing w:after="0"/>
        <w:rPr>
          <w:sz w:val="20"/>
          <w:szCs w:val="20"/>
          <w:color w:val="auto"/>
        </w:rPr>
      </w:pPr>
      <w:r>
        <w:rPr>
          <w:rFonts w:ascii="Arial" w:cs="Arial" w:eastAsia="Arial" w:hAnsi="Arial"/>
          <w:sz w:val="18"/>
          <w:szCs w:val="18"/>
          <w:color w:val="auto"/>
        </w:rPr>
        <w:t>reasonable advance written notice and after obtaining the prior written consent of Supplier, which shall not be unreasonably conditioned,</w:t>
      </w:r>
    </w:p>
    <w:p>
      <w:pPr>
        <w:spacing w:after="0" w:line="12" w:lineRule="exact"/>
        <w:rPr>
          <w:sz w:val="20"/>
          <w:szCs w:val="20"/>
          <w:color w:val="auto"/>
        </w:rPr>
      </w:pPr>
    </w:p>
    <w:p>
      <w:pPr>
        <w:ind w:left="400"/>
        <w:spacing w:after="0" w:line="255" w:lineRule="auto"/>
        <w:rPr>
          <w:sz w:val="20"/>
          <w:szCs w:val="20"/>
          <w:color w:val="auto"/>
        </w:rPr>
      </w:pPr>
      <w:r>
        <w:rPr>
          <w:rFonts w:ascii="Arial" w:cs="Arial" w:eastAsia="Arial" w:hAnsi="Arial"/>
          <w:sz w:val="16"/>
          <w:szCs w:val="16"/>
          <w:color w:val="auto"/>
        </w:rPr>
        <w:t>withheld or delayed by Supplier, send its authorized representatives to: (i) examine and audit all pertinent documents and materials in the possession or under the control of Supplier relating to any of Supplier's obligations under this Agreement or any payments requested</w:t>
      </w:r>
    </w:p>
    <w:p>
      <w:pPr>
        <w:ind w:left="400"/>
        <w:spacing w:after="0" w:line="235" w:lineRule="auto"/>
        <w:rPr>
          <w:sz w:val="20"/>
          <w:szCs w:val="20"/>
          <w:color w:val="auto"/>
        </w:rPr>
      </w:pPr>
      <w:r>
        <w:rPr>
          <w:rFonts w:ascii="Arial" w:cs="Arial" w:eastAsia="Arial" w:hAnsi="Arial"/>
          <w:sz w:val="18"/>
          <w:szCs w:val="18"/>
          <w:color w:val="auto"/>
        </w:rPr>
        <w:t>by Supplier pursuant to this Agreement and (ii) inspect Supplier’s facilities in the area approved by Supplier (such approval will not be</w:t>
      </w:r>
    </w:p>
    <w:p>
      <w:pPr>
        <w:ind w:left="400"/>
        <w:spacing w:after="0" w:line="226" w:lineRule="auto"/>
        <w:rPr>
          <w:sz w:val="20"/>
          <w:szCs w:val="20"/>
          <w:color w:val="auto"/>
        </w:rPr>
      </w:pPr>
      <w:r>
        <w:rPr>
          <w:rFonts w:ascii="Arial" w:cs="Arial" w:eastAsia="Arial" w:hAnsi="Arial"/>
          <w:sz w:val="18"/>
          <w:szCs w:val="18"/>
          <w:color w:val="auto"/>
        </w:rPr>
        <w:t>unreasonably withheld by Supplier) and, subject to the Confidentiality Agreement. Details of such audit and inspection shall be reasonably agreed between the Parties in advance. Supplier will ensure that Supplier personnel who are knowledgeable of the relevant</w:t>
      </w:r>
    </w:p>
    <w:p>
      <w:pPr>
        <w:ind w:left="400"/>
        <w:spacing w:after="0" w:line="236" w:lineRule="auto"/>
        <w:rPr>
          <w:sz w:val="20"/>
          <w:szCs w:val="20"/>
          <w:color w:val="auto"/>
        </w:rPr>
      </w:pPr>
      <w:r>
        <w:rPr>
          <w:rFonts w:ascii="Arial" w:cs="Arial" w:eastAsia="Arial" w:hAnsi="Arial"/>
          <w:sz w:val="18"/>
          <w:szCs w:val="18"/>
          <w:color w:val="auto"/>
        </w:rPr>
        <w:t>facilities attend such inspections. Supplier shall maintain all pertinent books and records relating to this Agreement in accordance with</w:t>
      </w:r>
    </w:p>
    <w:p>
      <w:pPr>
        <w:spacing w:after="0" w:line="1" w:lineRule="exact"/>
        <w:rPr>
          <w:sz w:val="20"/>
          <w:szCs w:val="20"/>
          <w:color w:val="auto"/>
        </w:rPr>
      </w:pPr>
    </w:p>
    <w:p>
      <w:pPr>
        <w:jc w:val="both"/>
        <w:ind w:left="400"/>
        <w:spacing w:after="0" w:line="226" w:lineRule="auto"/>
        <w:rPr>
          <w:sz w:val="20"/>
          <w:szCs w:val="20"/>
          <w:color w:val="auto"/>
        </w:rPr>
      </w:pPr>
      <w:r>
        <w:rPr>
          <w:rFonts w:ascii="Arial" w:cs="Arial" w:eastAsia="Arial" w:hAnsi="Arial"/>
          <w:sz w:val="18"/>
          <w:szCs w:val="18"/>
          <w:color w:val="auto"/>
        </w:rPr>
        <w:t>generally accepted accounting principles consistently applied, and shall keep the books and records (i) for a period of [***] years after completion of Services or delivery of Supplies pursuant to the applicable Spot Order accepted by Supplier or Production Order, or (ii)</w:t>
      </w:r>
    </w:p>
    <w:p>
      <w:pPr>
        <w:spacing w:after="0" w:line="2" w:lineRule="exact"/>
        <w:rPr>
          <w:sz w:val="20"/>
          <w:szCs w:val="20"/>
          <w:color w:val="auto"/>
        </w:rPr>
      </w:pPr>
    </w:p>
    <w:p>
      <w:pPr>
        <w:ind w:left="400"/>
        <w:spacing w:after="0"/>
        <w:rPr>
          <w:sz w:val="20"/>
          <w:szCs w:val="20"/>
          <w:color w:val="auto"/>
        </w:rPr>
      </w:pPr>
      <w:r>
        <w:rPr>
          <w:rFonts w:ascii="Arial" w:cs="Arial" w:eastAsia="Arial" w:hAnsi="Arial"/>
          <w:sz w:val="20"/>
          <w:szCs w:val="20"/>
          <w:color w:val="auto"/>
        </w:rPr>
        <w:t>the maximum period required by applicable law, whichever period is greater.</w:t>
      </w:r>
    </w:p>
    <w:p>
      <w:pPr>
        <w:spacing w:after="0" w:line="59" w:lineRule="exact"/>
        <w:rPr>
          <w:sz w:val="20"/>
          <w:szCs w:val="20"/>
          <w:color w:val="auto"/>
        </w:rPr>
      </w:pPr>
    </w:p>
    <w:p>
      <w:pPr>
        <w:ind w:left="400"/>
        <w:spacing w:after="0" w:line="239" w:lineRule="auto"/>
        <w:rPr>
          <w:sz w:val="20"/>
          <w:szCs w:val="20"/>
          <w:color w:val="auto"/>
        </w:rPr>
      </w:pPr>
      <w:r>
        <w:rPr>
          <w:rFonts w:ascii="Arial" w:cs="Arial" w:eastAsia="Arial" w:hAnsi="Arial"/>
          <w:sz w:val="18"/>
          <w:szCs w:val="18"/>
          <w:b w:val="1"/>
          <w:bCs w:val="1"/>
          <w:color w:val="auto"/>
        </w:rPr>
        <w:t>18.3. Exceptions</w:t>
      </w:r>
      <w:r>
        <w:rPr>
          <w:rFonts w:ascii="Arial" w:cs="Arial" w:eastAsia="Arial" w:hAnsi="Arial"/>
          <w:sz w:val="18"/>
          <w:szCs w:val="18"/>
          <w:color w:val="auto"/>
        </w:rPr>
        <w:t>. Notwithstanding anything to the contrary in this Section 18, in no event shall Supplier be required to disclose any</w:t>
      </w:r>
      <w:r>
        <w:rPr>
          <w:rFonts w:ascii="Arial" w:cs="Arial" w:eastAsia="Arial" w:hAnsi="Arial"/>
          <w:sz w:val="18"/>
          <w:szCs w:val="18"/>
          <w:b w:val="1"/>
          <w:bCs w:val="1"/>
          <w:color w:val="auto"/>
        </w:rPr>
        <w:t xml:space="preserve"> </w:t>
      </w:r>
      <w:r>
        <w:rPr>
          <w:rFonts w:ascii="Arial" w:cs="Arial" w:eastAsia="Arial" w:hAnsi="Arial"/>
          <w:sz w:val="18"/>
          <w:szCs w:val="18"/>
          <w:color w:val="auto"/>
        </w:rPr>
        <w:t>information: (i) of which disclosure is prohibited by any applicable Law, (ii) constituting proprietary, confidential or privacy information</w:t>
      </w:r>
    </w:p>
    <w:p>
      <w:pPr>
        <w:spacing w:after="0" w:line="1" w:lineRule="exact"/>
        <w:rPr>
          <w:sz w:val="20"/>
          <w:szCs w:val="20"/>
          <w:color w:val="auto"/>
        </w:rPr>
      </w:pPr>
    </w:p>
    <w:p>
      <w:pPr>
        <w:ind w:left="400"/>
        <w:spacing w:after="0" w:line="227" w:lineRule="auto"/>
        <w:rPr>
          <w:sz w:val="20"/>
          <w:szCs w:val="20"/>
          <w:color w:val="auto"/>
        </w:rPr>
      </w:pPr>
      <w:r>
        <w:rPr>
          <w:rFonts w:ascii="Arial" w:cs="Arial" w:eastAsia="Arial" w:hAnsi="Arial"/>
          <w:sz w:val="20"/>
          <w:szCs w:val="20"/>
          <w:color w:val="auto"/>
        </w:rPr>
        <w:t>of Supplier or any third party, or (iii) protected by the attorney-client communication privilege, attorney work product, or similar legal privilege.</w:t>
      </w:r>
    </w:p>
    <w:p>
      <w:pPr>
        <w:spacing w:after="0" w:line="42" w:lineRule="exact"/>
        <w:rPr>
          <w:sz w:val="20"/>
          <w:szCs w:val="20"/>
          <w:color w:val="auto"/>
        </w:rPr>
      </w:pPr>
    </w:p>
    <w:p>
      <w:pPr>
        <w:jc w:val="both"/>
        <w:ind w:firstLine="8"/>
        <w:spacing w:after="0" w:line="226" w:lineRule="auto"/>
        <w:tabs>
          <w:tab w:leader="none" w:pos="499" w:val="left"/>
        </w:tabs>
        <w:numPr>
          <w:ilvl w:val="0"/>
          <w:numId w:val="95"/>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PUBLICITY; USE OF LUCID NAME; THIRD PARTY SALES. </w:t>
      </w:r>
      <w:r>
        <w:rPr>
          <w:rFonts w:ascii="Arial" w:cs="Arial" w:eastAsia="Arial" w:hAnsi="Arial"/>
          <w:sz w:val="19"/>
          <w:szCs w:val="19"/>
          <w:color w:val="auto"/>
        </w:rPr>
        <w:t>During and after the term of the Agreement, neither Party may,</w:t>
      </w:r>
      <w:r>
        <w:rPr>
          <w:rFonts w:ascii="Arial" w:cs="Arial" w:eastAsia="Arial" w:hAnsi="Arial"/>
          <w:sz w:val="19"/>
          <w:szCs w:val="19"/>
          <w:b w:val="1"/>
          <w:bCs w:val="1"/>
          <w:color w:val="auto"/>
        </w:rPr>
        <w:t xml:space="preserve"> </w:t>
      </w:r>
      <w:r>
        <w:rPr>
          <w:rFonts w:ascii="Arial" w:cs="Arial" w:eastAsia="Arial" w:hAnsi="Arial"/>
          <w:sz w:val="19"/>
          <w:szCs w:val="19"/>
          <w:color w:val="auto"/>
        </w:rPr>
        <w:t>without the prior written consent of the other Party, in any manner publish the fact that the Parties have contracted to sell and purchase Goods and/or Services, or use the name or trademarks of the other, or its affiliates or their products. Neither Party will have any right or license to use the trademarks, service marks or logos (collectively “Marks”) of the other Party for any reason without the other Party’s prior written consent. Supplier will not place its or any third party's trademark or other designation on the part without written permission from Lucid. If the Parties agree that any of Lucid’s Marks is adhered to the Goods or any part thereof ("</w:t>
      </w:r>
      <w:r>
        <w:rPr>
          <w:rFonts w:ascii="Arial" w:cs="Arial" w:eastAsia="Arial" w:hAnsi="Arial"/>
          <w:sz w:val="19"/>
          <w:szCs w:val="19"/>
          <w:b w:val="1"/>
          <w:bCs w:val="1"/>
          <w:color w:val="auto"/>
        </w:rPr>
        <w:t>Marked Parts</w:t>
      </w:r>
      <w:r>
        <w:rPr>
          <w:rFonts w:ascii="Arial" w:cs="Arial" w:eastAsia="Arial" w:hAnsi="Arial"/>
          <w:sz w:val="19"/>
          <w:szCs w:val="19"/>
          <w:color w:val="auto"/>
        </w:rPr>
        <w:t>"), Supplier will not sell such Marked Parts to third parties without Lucid's prior written consent.</w:t>
      </w:r>
    </w:p>
    <w:p>
      <w:pPr>
        <w:spacing w:after="0" w:line="58" w:lineRule="exact"/>
        <w:rPr>
          <w:rFonts w:ascii="Arial" w:cs="Arial" w:eastAsia="Arial" w:hAnsi="Arial"/>
          <w:sz w:val="19"/>
          <w:szCs w:val="19"/>
          <w:b w:val="1"/>
          <w:bCs w:val="1"/>
          <w:color w:val="auto"/>
        </w:rPr>
      </w:pPr>
    </w:p>
    <w:p>
      <w:pPr>
        <w:jc w:val="both"/>
        <w:ind w:firstLine="8"/>
        <w:spacing w:after="0" w:line="216" w:lineRule="auto"/>
        <w:tabs>
          <w:tab w:leader="none" w:pos="442" w:val="left"/>
        </w:tabs>
        <w:numPr>
          <w:ilvl w:val="0"/>
          <w:numId w:val="95"/>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TAXES. </w:t>
      </w:r>
      <w:r>
        <w:rPr>
          <w:rFonts w:ascii="Arial" w:cs="Arial" w:eastAsia="Arial" w:hAnsi="Arial"/>
          <w:sz w:val="20"/>
          <w:szCs w:val="20"/>
          <w:color w:val="auto"/>
        </w:rPr>
        <w:t>Supplier shall, to the extent in accordance with agreed Incoterms, pay any and all taxes, duties, and import fees, if any, arising</w:t>
      </w:r>
      <w:r>
        <w:rPr>
          <w:rFonts w:ascii="Arial" w:cs="Arial" w:eastAsia="Arial" w:hAnsi="Arial"/>
          <w:sz w:val="20"/>
          <w:szCs w:val="20"/>
          <w:b w:val="1"/>
          <w:bCs w:val="1"/>
          <w:color w:val="auto"/>
        </w:rPr>
        <w:t xml:space="preserve"> </w:t>
      </w:r>
      <w:r>
        <w:rPr>
          <w:rFonts w:ascii="Arial" w:cs="Arial" w:eastAsia="Arial" w:hAnsi="Arial"/>
          <w:sz w:val="20"/>
          <w:szCs w:val="20"/>
          <w:color w:val="auto"/>
        </w:rPr>
        <w:t>before transfer of title of the Goods from Supplier to Lucid. Lucid shall pay any and all sales, services and use or similar taxes related to the purchase of the Goods arising after the transfer of title of the Goods from Supplier to Lucid. Each Party shall cooperate with reasonable requests of the other Party in any efforts to obtain exemption from, or to minimize, any taxes related to the supply and purchase of Goods hereunder.</w:t>
      </w:r>
    </w:p>
    <w:p>
      <w:pPr>
        <w:spacing w:after="0" w:line="58" w:lineRule="exact"/>
        <w:rPr>
          <w:rFonts w:ascii="Arial" w:cs="Arial" w:eastAsia="Arial" w:hAnsi="Arial"/>
          <w:sz w:val="20"/>
          <w:szCs w:val="20"/>
          <w:b w:val="1"/>
          <w:bCs w:val="1"/>
          <w:color w:val="auto"/>
        </w:rPr>
      </w:pPr>
    </w:p>
    <w:p>
      <w:pPr>
        <w:ind w:left="460" w:hanging="452"/>
        <w:spacing w:after="0"/>
        <w:tabs>
          <w:tab w:leader="none" w:pos="460" w:val="left"/>
        </w:tabs>
        <w:numPr>
          <w:ilvl w:val="0"/>
          <w:numId w:val="95"/>
        </w:numPr>
        <w:rPr>
          <w:rFonts w:ascii="Arial" w:cs="Arial" w:eastAsia="Arial" w:hAnsi="Arial"/>
          <w:sz w:val="20"/>
          <w:szCs w:val="20"/>
          <w:b w:val="1"/>
          <w:bCs w:val="1"/>
          <w:color w:val="auto"/>
        </w:rPr>
      </w:pPr>
      <w:r>
        <w:rPr>
          <w:rFonts w:ascii="Arial" w:cs="Arial" w:eastAsia="Arial" w:hAnsi="Arial"/>
          <w:sz w:val="20"/>
          <w:szCs w:val="20"/>
          <w:b w:val="1"/>
          <w:bCs w:val="1"/>
          <w:color w:val="auto"/>
        </w:rPr>
        <w:t>COMPLIANCE WITH LAWS; FORCED LABOR. SUSTAINABILITY</w:t>
      </w:r>
    </w:p>
    <w:p>
      <w:pPr>
        <w:spacing w:after="0" w:line="87" w:lineRule="exact"/>
        <w:rPr>
          <w:sz w:val="20"/>
          <w:szCs w:val="20"/>
          <w:color w:val="auto"/>
        </w:rPr>
      </w:pPr>
    </w:p>
    <w:p>
      <w:pPr>
        <w:spacing w:after="0"/>
        <w:rPr>
          <w:sz w:val="20"/>
          <w:szCs w:val="20"/>
          <w:color w:val="auto"/>
        </w:rPr>
      </w:pPr>
      <w:r>
        <w:rPr>
          <w:rFonts w:ascii="Arial" w:cs="Arial" w:eastAsia="Arial" w:hAnsi="Arial"/>
          <w:sz w:val="19"/>
          <w:szCs w:val="19"/>
          <w:color w:val="auto"/>
        </w:rPr>
        <w:t>To the extent applicable to Supplier’s sale of Goods to Lucid as contemplated under this Agreement, Supplier agrees as follows:</w:t>
      </w:r>
    </w:p>
    <w:p>
      <w:pPr>
        <w:spacing w:after="0" w:line="73" w:lineRule="exact"/>
        <w:rPr>
          <w:sz w:val="20"/>
          <w:szCs w:val="20"/>
          <w:color w:val="auto"/>
        </w:rPr>
      </w:pPr>
    </w:p>
    <w:p>
      <w:pPr>
        <w:ind w:left="400"/>
        <w:spacing w:after="0" w:line="278" w:lineRule="auto"/>
        <w:rPr>
          <w:sz w:val="20"/>
          <w:szCs w:val="20"/>
          <w:color w:val="auto"/>
        </w:rPr>
      </w:pPr>
      <w:r>
        <w:rPr>
          <w:rFonts w:ascii="Arial" w:cs="Arial" w:eastAsia="Arial" w:hAnsi="Arial"/>
          <w:sz w:val="16"/>
          <w:szCs w:val="16"/>
          <w:b w:val="1"/>
          <w:bCs w:val="1"/>
          <w:color w:val="auto"/>
        </w:rPr>
        <w:t>21.1. Compliance with Laws</w:t>
      </w:r>
      <w:r>
        <w:rPr>
          <w:rFonts w:ascii="Arial" w:cs="Arial" w:eastAsia="Arial" w:hAnsi="Arial"/>
          <w:sz w:val="16"/>
          <w:szCs w:val="16"/>
          <w:color w:val="auto"/>
        </w:rPr>
        <w:t>. Supplier, and any Goods or Services supplied by Supplier, shall comply with all applicable laws, rules,</w:t>
      </w:r>
      <w:r>
        <w:rPr>
          <w:rFonts w:ascii="Arial" w:cs="Arial" w:eastAsia="Arial" w:hAnsi="Arial"/>
          <w:sz w:val="16"/>
          <w:szCs w:val="16"/>
          <w:b w:val="1"/>
          <w:bCs w:val="1"/>
          <w:color w:val="auto"/>
        </w:rPr>
        <w:t xml:space="preserve"> </w:t>
      </w:r>
      <w:r>
        <w:rPr>
          <w:rFonts w:ascii="Arial" w:cs="Arial" w:eastAsia="Arial" w:hAnsi="Arial"/>
          <w:sz w:val="16"/>
          <w:szCs w:val="16"/>
          <w:color w:val="auto"/>
        </w:rPr>
        <w:t>regulations, orders, conventions, ordinances, standards and other Government Requirements of the United States or political subdivision</w:t>
      </w:r>
    </w:p>
    <w:p>
      <w:pPr>
        <w:spacing w:after="0" w:line="1" w:lineRule="exact"/>
        <w:rPr>
          <w:sz w:val="20"/>
          <w:szCs w:val="20"/>
          <w:color w:val="auto"/>
        </w:rPr>
      </w:pPr>
    </w:p>
    <w:p>
      <w:pPr>
        <w:jc w:val="both"/>
        <w:ind w:left="400"/>
        <w:spacing w:after="0" w:line="226" w:lineRule="auto"/>
        <w:rPr>
          <w:sz w:val="20"/>
          <w:szCs w:val="20"/>
          <w:color w:val="auto"/>
        </w:rPr>
      </w:pPr>
      <w:r>
        <w:rPr>
          <w:rFonts w:ascii="Arial" w:cs="Arial" w:eastAsia="Arial" w:hAnsi="Arial"/>
          <w:sz w:val="18"/>
          <w:szCs w:val="18"/>
          <w:color w:val="auto"/>
        </w:rPr>
        <w:t>having jurisdiction over any of Supplier’s activities hereunder, or that relate to the manufacture, labeling, transportation, importation, exportation, taxation, licensing, approval or certification of the Goods or Services, including those relating to environmental matters,</w:t>
      </w:r>
    </w:p>
    <w:p>
      <w:pPr>
        <w:ind w:left="400"/>
        <w:spacing w:after="0" w:line="236" w:lineRule="auto"/>
        <w:rPr>
          <w:sz w:val="20"/>
          <w:szCs w:val="20"/>
          <w:color w:val="auto"/>
        </w:rPr>
      </w:pPr>
      <w:r>
        <w:rPr>
          <w:rFonts w:ascii="Arial" w:cs="Arial" w:eastAsia="Arial" w:hAnsi="Arial"/>
          <w:sz w:val="18"/>
          <w:szCs w:val="18"/>
          <w:color w:val="auto"/>
        </w:rPr>
        <w:t>wages, hours and conditions of employment, Subcontractor selection, discrimination, occupational health/safety and motor vehicle</w:t>
      </w:r>
    </w:p>
    <w:p>
      <w:pPr>
        <w:spacing w:after="0" w:line="1" w:lineRule="exact"/>
        <w:rPr>
          <w:sz w:val="20"/>
          <w:szCs w:val="20"/>
          <w:color w:val="auto"/>
        </w:rPr>
      </w:pPr>
    </w:p>
    <w:p>
      <w:pPr>
        <w:ind w:left="400"/>
        <w:spacing w:after="0" w:line="226" w:lineRule="auto"/>
        <w:rPr>
          <w:sz w:val="20"/>
          <w:szCs w:val="20"/>
          <w:color w:val="auto"/>
        </w:rPr>
      </w:pPr>
      <w:r>
        <w:rPr>
          <w:rFonts w:ascii="Arial" w:cs="Arial" w:eastAsia="Arial" w:hAnsi="Arial"/>
          <w:sz w:val="18"/>
          <w:szCs w:val="18"/>
          <w:color w:val="auto"/>
        </w:rPr>
        <w:t>safety. Supplier further represents that (i) neither it nor any of its Subcontractors will utilize slave, prisoner or any other form of forced or involuntary labor in the supply of Goods or provision of Services under this Agreement and (ii) it and its Subcontractors will comply</w:t>
      </w:r>
    </w:p>
    <w:p>
      <w:pPr>
        <w:ind w:left="400"/>
        <w:spacing w:after="0" w:line="236" w:lineRule="auto"/>
        <w:rPr>
          <w:sz w:val="20"/>
          <w:szCs w:val="20"/>
          <w:color w:val="auto"/>
        </w:rPr>
      </w:pPr>
      <w:r>
        <w:rPr>
          <w:rFonts w:ascii="Arial" w:cs="Arial" w:eastAsia="Arial" w:hAnsi="Arial"/>
          <w:sz w:val="18"/>
          <w:szCs w:val="18"/>
          <w:color w:val="auto"/>
        </w:rPr>
        <w:t>with all applicable laws regarding employment of underage or child labor and shall not employ children under the age of 16. Without</w:t>
      </w:r>
    </w:p>
    <w:p>
      <w:pPr>
        <w:spacing w:after="0" w:line="1" w:lineRule="exact"/>
        <w:rPr>
          <w:sz w:val="20"/>
          <w:szCs w:val="20"/>
          <w:color w:val="auto"/>
        </w:rPr>
      </w:pPr>
    </w:p>
    <w:p>
      <w:pPr>
        <w:ind w:left="400"/>
        <w:spacing w:after="0" w:line="226" w:lineRule="auto"/>
        <w:rPr>
          <w:sz w:val="20"/>
          <w:szCs w:val="20"/>
          <w:color w:val="auto"/>
        </w:rPr>
      </w:pPr>
      <w:r>
        <w:rPr>
          <w:rFonts w:ascii="Arial" w:cs="Arial" w:eastAsia="Arial" w:hAnsi="Arial"/>
          <w:sz w:val="18"/>
          <w:szCs w:val="18"/>
          <w:color w:val="auto"/>
        </w:rPr>
        <w:t>limiting this requirement Supplier agrees that it will not export, re-export, sell, resell or transfer any customer data or any export-controlled commodity, technical data or software (i) in violation of any law, regulation, order, policy or other limitation imposed by the</w:t>
      </w:r>
    </w:p>
    <w:p>
      <w:pPr>
        <w:ind w:left="400"/>
        <w:spacing w:after="0" w:line="236" w:lineRule="auto"/>
        <w:rPr>
          <w:sz w:val="20"/>
          <w:szCs w:val="20"/>
          <w:color w:val="auto"/>
        </w:rPr>
      </w:pPr>
      <w:r>
        <w:rPr>
          <w:rFonts w:ascii="Arial" w:cs="Arial" w:eastAsia="Arial" w:hAnsi="Arial"/>
          <w:sz w:val="18"/>
          <w:szCs w:val="18"/>
          <w:color w:val="auto"/>
        </w:rPr>
        <w:t>United States (including the U.S. Foreign Corrupt Practices Act and the United States Export Administration regulations) or any other</w:t>
      </w:r>
    </w:p>
    <w:p>
      <w:pPr>
        <w:spacing w:after="0" w:line="1" w:lineRule="exact"/>
        <w:rPr>
          <w:sz w:val="20"/>
          <w:szCs w:val="20"/>
          <w:color w:val="auto"/>
        </w:rPr>
      </w:pPr>
    </w:p>
    <w:p>
      <w:pPr>
        <w:ind w:left="400"/>
        <w:spacing w:after="0" w:line="215" w:lineRule="auto"/>
        <w:rPr>
          <w:sz w:val="20"/>
          <w:szCs w:val="20"/>
          <w:color w:val="auto"/>
        </w:rPr>
      </w:pPr>
      <w:r>
        <w:rPr>
          <w:rFonts w:ascii="Arial" w:cs="Arial" w:eastAsia="Arial" w:hAnsi="Arial"/>
          <w:sz w:val="19"/>
          <w:szCs w:val="19"/>
          <w:color w:val="auto"/>
        </w:rPr>
        <w:t>government authority with jurisdiction (including other applicable international anti-corruption laws); (ii) to any country for which an export license or other governmental approval is required at the time of export, without first obtaining all necessary licenses or</w:t>
      </w:r>
    </w:p>
    <w:p>
      <w:pPr>
        <w:ind w:left="400"/>
        <w:spacing w:after="0"/>
        <w:rPr>
          <w:sz w:val="20"/>
          <w:szCs w:val="20"/>
          <w:color w:val="auto"/>
        </w:rPr>
      </w:pPr>
      <w:r>
        <w:rPr>
          <w:rFonts w:ascii="Arial" w:cs="Arial" w:eastAsia="Arial" w:hAnsi="Arial"/>
          <w:sz w:val="20"/>
          <w:szCs w:val="20"/>
          <w:color w:val="auto"/>
        </w:rPr>
        <w:t>equivalent or (iii) to any country</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181610</wp:posOffset>
            </wp:positionV>
            <wp:extent cx="713232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44" w:lineRule="exact"/>
        <w:rPr>
          <w:sz w:val="20"/>
          <w:szCs w:val="20"/>
          <w:color w:val="auto"/>
        </w:rPr>
      </w:pPr>
    </w:p>
    <w:p>
      <w:pPr>
        <w:spacing w:after="0"/>
        <w:tabs>
          <w:tab w:leader="none" w:pos="1880" w:val="left"/>
        </w:tabs>
        <w:rPr>
          <w:sz w:val="20"/>
          <w:szCs w:val="20"/>
          <w:color w:val="auto"/>
        </w:rPr>
      </w:pPr>
      <w:r>
        <w:rPr>
          <w:rFonts w:ascii="Arial" w:cs="Arial" w:eastAsia="Arial" w:hAnsi="Arial"/>
          <w:sz w:val="20"/>
          <w:szCs w:val="20"/>
          <w:color w:val="auto"/>
        </w:rPr>
        <w:t>Lucid Confidential</w:t>
      </w:r>
      <w:r>
        <w:rPr>
          <w:sz w:val="20"/>
          <w:szCs w:val="20"/>
          <w:color w:val="auto"/>
        </w:rPr>
        <w:tab/>
      </w:r>
      <w:r>
        <w:rPr>
          <w:rFonts w:ascii="Arial" w:cs="Arial" w:eastAsia="Arial" w:hAnsi="Arial"/>
          <w:sz w:val="16"/>
          <w:szCs w:val="16"/>
          <w:color w:val="auto"/>
        </w:rPr>
        <w:t>Parts GTC rev. October 2020</w:t>
      </w:r>
    </w:p>
    <w:p>
      <w:pPr>
        <w:sectPr>
          <w:pgSz w:w="11900" w:h="16838" w:orient="portrait"/>
          <w:cols w:equalWidth="0" w:num="1">
            <w:col w:w="11240"/>
          </w:cols>
          <w:pgMar w:left="320" w:top="1440" w:right="339" w:bottom="1440" w:gutter="0" w:footer="0" w:header="0"/>
        </w:sectPr>
      </w:pPr>
    </w:p>
    <w:bookmarkStart w:id="148" w:name="page149"/>
    <w:bookmarkEnd w:id="148"/>
    <w:p>
      <w:pPr>
        <w:spacing w:after="0" w:line="74" w:lineRule="exact"/>
        <w:rPr>
          <w:sz w:val="20"/>
          <w:szCs w:val="20"/>
          <w:color w:val="auto"/>
        </w:rPr>
      </w:pPr>
    </w:p>
    <w:p>
      <w:pPr>
        <w:ind w:left="400"/>
        <w:spacing w:after="0"/>
        <w:rPr>
          <w:sz w:val="20"/>
          <w:szCs w:val="20"/>
          <w:color w:val="auto"/>
        </w:rPr>
      </w:pPr>
      <w:r>
        <w:rPr>
          <w:rFonts w:ascii="Arial" w:cs="Arial" w:eastAsia="Arial" w:hAnsi="Arial"/>
          <w:sz w:val="19"/>
          <w:szCs w:val="19"/>
          <w:color w:val="auto"/>
        </w:rPr>
        <w:t>as to which the United States maintains an embargo or to a national or resident thereof, or to any person or entity on the U.S.</w:t>
      </w:r>
    </w:p>
    <w:p>
      <w:pPr>
        <w:ind w:left="400"/>
        <w:spacing w:after="0" w:line="226" w:lineRule="auto"/>
        <w:rPr>
          <w:sz w:val="20"/>
          <w:szCs w:val="20"/>
          <w:color w:val="auto"/>
        </w:rPr>
      </w:pPr>
      <w:r>
        <w:rPr>
          <w:rFonts w:ascii="Arial" w:cs="Arial" w:eastAsia="Arial" w:hAnsi="Arial"/>
          <w:sz w:val="18"/>
          <w:szCs w:val="18"/>
          <w:color w:val="auto"/>
        </w:rPr>
        <w:t>Department of Treasury’s List of Specially Designated Nationals or the U.S. Department of Commerce’s Table of Denial Orders. To the extent that Goods will be transported into the United States, Supplier represents that either (a) it is C-TPAT-certified by U.S. Customs &amp;</w:t>
      </w:r>
    </w:p>
    <w:p>
      <w:pPr>
        <w:ind w:left="400"/>
        <w:spacing w:after="0" w:line="236" w:lineRule="auto"/>
        <w:rPr>
          <w:sz w:val="20"/>
          <w:szCs w:val="20"/>
          <w:color w:val="auto"/>
        </w:rPr>
      </w:pPr>
      <w:r>
        <w:rPr>
          <w:rFonts w:ascii="Arial" w:cs="Arial" w:eastAsia="Arial" w:hAnsi="Arial"/>
          <w:sz w:val="18"/>
          <w:szCs w:val="18"/>
          <w:color w:val="auto"/>
        </w:rPr>
        <w:t>Border Protection, and will maintain that certification throughout the term of the Agreement, or (b) it will, if applicable, comply with the</w:t>
      </w:r>
    </w:p>
    <w:p>
      <w:pPr>
        <w:spacing w:after="0" w:line="1" w:lineRule="exact"/>
        <w:rPr>
          <w:sz w:val="20"/>
          <w:szCs w:val="20"/>
          <w:color w:val="auto"/>
        </w:rPr>
      </w:pPr>
    </w:p>
    <w:p>
      <w:pPr>
        <w:ind w:left="400"/>
        <w:spacing w:after="0" w:line="255" w:lineRule="auto"/>
        <w:rPr>
          <w:sz w:val="20"/>
          <w:szCs w:val="20"/>
          <w:color w:val="auto"/>
        </w:rPr>
      </w:pPr>
      <w:r>
        <w:rPr>
          <w:rFonts w:ascii="Arial" w:cs="Arial" w:eastAsia="Arial" w:hAnsi="Arial"/>
          <w:sz w:val="16"/>
          <w:szCs w:val="16"/>
          <w:color w:val="auto"/>
        </w:rPr>
        <w:t>C-TPAT (Customs-Trade Partnership Against Terrorism) security procedures that may be found on the Customs website at www.cbp.gov (or such other website that the C-TPAT security procedures may be moved to by the U.S. Government). At Lucid’s request, Supplier</w:t>
      </w:r>
    </w:p>
    <w:p>
      <w:pPr>
        <w:spacing w:after="0" w:line="1" w:lineRule="exact"/>
        <w:rPr>
          <w:sz w:val="20"/>
          <w:szCs w:val="20"/>
          <w:color w:val="auto"/>
        </w:rPr>
      </w:pPr>
    </w:p>
    <w:p>
      <w:pPr>
        <w:ind w:left="400"/>
        <w:spacing w:after="0"/>
        <w:rPr>
          <w:sz w:val="20"/>
          <w:szCs w:val="20"/>
          <w:color w:val="auto"/>
        </w:rPr>
      </w:pPr>
      <w:r>
        <w:rPr>
          <w:rFonts w:ascii="Arial" w:cs="Arial" w:eastAsia="Arial" w:hAnsi="Arial"/>
          <w:sz w:val="20"/>
          <w:szCs w:val="20"/>
          <w:color w:val="auto"/>
        </w:rPr>
        <w:t>shall certify in writing its compliance with the foregoing.</w:t>
      </w:r>
    </w:p>
    <w:p>
      <w:pPr>
        <w:spacing w:after="0" w:line="59" w:lineRule="exact"/>
        <w:rPr>
          <w:sz w:val="20"/>
          <w:szCs w:val="20"/>
          <w:color w:val="auto"/>
        </w:rPr>
      </w:pPr>
    </w:p>
    <w:p>
      <w:pPr>
        <w:ind w:left="400"/>
        <w:spacing w:after="0" w:line="239" w:lineRule="auto"/>
        <w:rPr>
          <w:sz w:val="20"/>
          <w:szCs w:val="20"/>
          <w:color w:val="auto"/>
        </w:rPr>
      </w:pPr>
      <w:r>
        <w:rPr>
          <w:rFonts w:ascii="Arial" w:cs="Arial" w:eastAsia="Arial" w:hAnsi="Arial"/>
          <w:sz w:val="18"/>
          <w:szCs w:val="18"/>
          <w:b w:val="1"/>
          <w:bCs w:val="1"/>
          <w:color w:val="auto"/>
        </w:rPr>
        <w:t>21.2. Sustainability</w:t>
      </w:r>
      <w:r>
        <w:rPr>
          <w:rFonts w:ascii="Arial" w:cs="Arial" w:eastAsia="Arial" w:hAnsi="Arial"/>
          <w:sz w:val="18"/>
          <w:szCs w:val="18"/>
          <w:color w:val="auto"/>
        </w:rPr>
        <w:t>. Lucid and Supplier each acknowledge the importance of maintaining a sustainable supply chain, in which their</w:t>
      </w:r>
      <w:r>
        <w:rPr>
          <w:rFonts w:ascii="Arial" w:cs="Arial" w:eastAsia="Arial" w:hAnsi="Arial"/>
          <w:sz w:val="18"/>
          <w:szCs w:val="18"/>
          <w:b w:val="1"/>
          <w:bCs w:val="1"/>
          <w:color w:val="auto"/>
        </w:rPr>
        <w:t xml:space="preserve"> </w:t>
      </w:r>
      <w:r>
        <w:rPr>
          <w:rFonts w:ascii="Arial" w:cs="Arial" w:eastAsia="Arial" w:hAnsi="Arial"/>
          <w:sz w:val="18"/>
          <w:szCs w:val="18"/>
          <w:color w:val="auto"/>
        </w:rPr>
        <w:t>vendors and suppliers make the commercially reasonable efforts to comply in full with all (i) applicable laws (including Section 1502 of</w:t>
      </w:r>
    </w:p>
    <w:p>
      <w:pPr>
        <w:ind w:left="400"/>
        <w:spacing w:after="0" w:line="236" w:lineRule="auto"/>
        <w:rPr>
          <w:sz w:val="20"/>
          <w:szCs w:val="20"/>
          <w:color w:val="auto"/>
        </w:rPr>
      </w:pPr>
      <w:r>
        <w:rPr>
          <w:rFonts w:ascii="Arial" w:cs="Arial" w:eastAsia="Arial" w:hAnsi="Arial"/>
          <w:sz w:val="18"/>
          <w:szCs w:val="18"/>
          <w:color w:val="auto"/>
        </w:rPr>
        <w:t>the Dodd Frank Act), and (ii) industry standards and Lucid policies which are provided to in advance and consented by Supplier (such</w:t>
      </w:r>
    </w:p>
    <w:p>
      <w:pPr>
        <w:ind w:left="400"/>
        <w:spacing w:after="0" w:line="226" w:lineRule="auto"/>
        <w:rPr>
          <w:sz w:val="20"/>
          <w:szCs w:val="20"/>
          <w:color w:val="auto"/>
        </w:rPr>
      </w:pPr>
      <w:r>
        <w:rPr>
          <w:rFonts w:ascii="Arial" w:cs="Arial" w:eastAsia="Arial" w:hAnsi="Arial"/>
          <w:sz w:val="18"/>
          <w:szCs w:val="18"/>
          <w:color w:val="auto"/>
        </w:rPr>
        <w:t>consent will not be unreasonably withheld) with respect to sustainable labor practices, including robust safety standards and a zero-tolerance policy with respect to child or forced labor (collectively, the “</w:t>
      </w:r>
      <w:r>
        <w:rPr>
          <w:rFonts w:ascii="Arial" w:cs="Arial" w:eastAsia="Arial" w:hAnsi="Arial"/>
          <w:sz w:val="18"/>
          <w:szCs w:val="18"/>
          <w:b w:val="1"/>
          <w:bCs w:val="1"/>
          <w:u w:val="single" w:color="auto"/>
          <w:color w:val="auto"/>
        </w:rPr>
        <w:t>Sustainability Standards</w:t>
      </w:r>
      <w:r>
        <w:rPr>
          <w:rFonts w:ascii="Arial" w:cs="Arial" w:eastAsia="Arial" w:hAnsi="Arial"/>
          <w:sz w:val="18"/>
          <w:szCs w:val="18"/>
          <w:color w:val="auto"/>
        </w:rPr>
        <w:t>”). Accordingly, the Parties agree as</w:t>
      </w:r>
    </w:p>
    <w:p>
      <w:pPr>
        <w:spacing w:after="0" w:line="2" w:lineRule="exact"/>
        <w:rPr>
          <w:sz w:val="20"/>
          <w:szCs w:val="20"/>
          <w:color w:val="auto"/>
        </w:rPr>
      </w:pPr>
    </w:p>
    <w:p>
      <w:pPr>
        <w:ind w:left="400"/>
        <w:spacing w:after="0"/>
        <w:rPr>
          <w:sz w:val="20"/>
          <w:szCs w:val="20"/>
          <w:color w:val="auto"/>
        </w:rPr>
      </w:pPr>
      <w:r>
        <w:rPr>
          <w:rFonts w:ascii="Arial" w:cs="Arial" w:eastAsia="Arial" w:hAnsi="Arial"/>
          <w:sz w:val="20"/>
          <w:szCs w:val="20"/>
          <w:color w:val="auto"/>
        </w:rPr>
        <w:t>follows:</w:t>
      </w:r>
    </w:p>
    <w:p>
      <w:pPr>
        <w:spacing w:after="0" w:line="65" w:lineRule="exact"/>
        <w:rPr>
          <w:sz w:val="20"/>
          <w:szCs w:val="20"/>
          <w:color w:val="auto"/>
        </w:rPr>
      </w:pPr>
    </w:p>
    <w:p>
      <w:pPr>
        <w:jc w:val="both"/>
        <w:ind w:firstLine="656"/>
        <w:spacing w:after="0" w:line="220" w:lineRule="auto"/>
        <w:tabs>
          <w:tab w:leader="none" w:pos="1103" w:val="left"/>
        </w:tabs>
        <w:numPr>
          <w:ilvl w:val="1"/>
          <w:numId w:val="96"/>
        </w:numPr>
        <w:rPr>
          <w:rFonts w:ascii="Arial" w:cs="Arial" w:eastAsia="Arial" w:hAnsi="Arial"/>
          <w:sz w:val="20"/>
          <w:szCs w:val="20"/>
          <w:b w:val="1"/>
          <w:bCs w:val="1"/>
          <w:color w:val="auto"/>
        </w:rPr>
      </w:pPr>
      <w:r>
        <w:rPr>
          <w:rFonts w:ascii="Arial" w:cs="Arial" w:eastAsia="Arial" w:hAnsi="Arial"/>
          <w:sz w:val="20"/>
          <w:szCs w:val="20"/>
          <w:color w:val="auto"/>
        </w:rPr>
        <w:t>if Supplier becomes aware of a reasonable suspicion based on a legitimate fact, Supplier shall commercially reasonable efforts to contractually require its new suppliers and sub-suppliers to only procure Minerals from facilities that comply with the Sustainability Standards for purposes of production of Goods. “</w:t>
      </w:r>
      <w:r>
        <w:rPr>
          <w:rFonts w:ascii="Arial" w:cs="Arial" w:eastAsia="Arial" w:hAnsi="Arial"/>
          <w:sz w:val="20"/>
          <w:szCs w:val="20"/>
          <w:b w:val="1"/>
          <w:bCs w:val="1"/>
          <w:u w:val="single" w:color="auto"/>
          <w:color w:val="auto"/>
        </w:rPr>
        <w:t>Minerals</w:t>
      </w:r>
      <w:r>
        <w:rPr>
          <w:rFonts w:ascii="Arial" w:cs="Arial" w:eastAsia="Arial" w:hAnsi="Arial"/>
          <w:sz w:val="20"/>
          <w:szCs w:val="20"/>
          <w:color w:val="auto"/>
        </w:rPr>
        <w:t>” means any form of cobalt and/or ‘conflict minerals’ reasonably agreed between the Parties taking the term used in Lucid’s Supplier Quality Manual into account.</w:t>
      </w:r>
    </w:p>
    <w:p>
      <w:pPr>
        <w:spacing w:after="0" w:line="47" w:lineRule="exact"/>
        <w:rPr>
          <w:rFonts w:ascii="Arial" w:cs="Arial" w:eastAsia="Arial" w:hAnsi="Arial"/>
          <w:sz w:val="20"/>
          <w:szCs w:val="20"/>
          <w:b w:val="1"/>
          <w:bCs w:val="1"/>
          <w:color w:val="auto"/>
        </w:rPr>
      </w:pPr>
    </w:p>
    <w:p>
      <w:pPr>
        <w:jc w:val="both"/>
        <w:ind w:firstLine="656"/>
        <w:spacing w:after="0" w:line="231" w:lineRule="auto"/>
        <w:tabs>
          <w:tab w:leader="none" w:pos="1223" w:val="left"/>
        </w:tabs>
        <w:numPr>
          <w:ilvl w:val="1"/>
          <w:numId w:val="96"/>
        </w:numPr>
        <w:rPr>
          <w:rFonts w:ascii="Arial" w:cs="Arial" w:eastAsia="Arial" w:hAnsi="Arial"/>
          <w:sz w:val="18"/>
          <w:szCs w:val="18"/>
          <w:b w:val="1"/>
          <w:bCs w:val="1"/>
          <w:color w:val="auto"/>
        </w:rPr>
      </w:pPr>
      <w:r>
        <w:rPr>
          <w:rFonts w:ascii="Arial" w:cs="Arial" w:eastAsia="Arial" w:hAnsi="Arial"/>
          <w:sz w:val="18"/>
          <w:szCs w:val="18"/>
          <w:color w:val="auto"/>
        </w:rPr>
        <w:t>After the Effective Date, upon Lucid’s request with reasonable notice and Supplier’s consent (such consent shall not be unreasonably withheld) and no more frequently than once per calendar year, if the Parties agree that there is a reasonable suspicion based on a legitimate fact that Supplier’s supplier fails to comply with the Sustainability Standards, Supplier shall at its expense investigate (each, a “</w:t>
      </w:r>
      <w:r>
        <w:rPr>
          <w:rFonts w:ascii="Arial" w:cs="Arial" w:eastAsia="Arial" w:hAnsi="Arial"/>
          <w:sz w:val="18"/>
          <w:szCs w:val="18"/>
          <w:b w:val="1"/>
          <w:bCs w:val="1"/>
          <w:u w:val="single" w:color="auto"/>
          <w:color w:val="auto"/>
        </w:rPr>
        <w:t>Minerals Investigation</w:t>
      </w:r>
      <w:r>
        <w:rPr>
          <w:rFonts w:ascii="Arial" w:cs="Arial" w:eastAsia="Arial" w:hAnsi="Arial"/>
          <w:sz w:val="18"/>
          <w:szCs w:val="18"/>
          <w:color w:val="auto"/>
        </w:rPr>
        <w:t>”) to confirm that such suppliers of Minerals and/or Goods produced with Minerals comply with the Sustainability Standards (collectively, “</w:t>
      </w:r>
      <w:r>
        <w:rPr>
          <w:rFonts w:ascii="Arial" w:cs="Arial" w:eastAsia="Arial" w:hAnsi="Arial"/>
          <w:sz w:val="18"/>
          <w:szCs w:val="18"/>
          <w:b w:val="1"/>
          <w:bCs w:val="1"/>
          <w:u w:val="single" w:color="auto"/>
          <w:color w:val="auto"/>
        </w:rPr>
        <w:t>Minerals Suppliers</w:t>
      </w:r>
      <w:r>
        <w:rPr>
          <w:rFonts w:ascii="Arial" w:cs="Arial" w:eastAsia="Arial" w:hAnsi="Arial"/>
          <w:sz w:val="18"/>
          <w:szCs w:val="18"/>
          <w:color w:val="auto"/>
        </w:rPr>
        <w:t>”). Supplier shall conduct each Minerals Investigation in accordance with all applicable industry and audit standards. The Parties shall discuss in good faith with respect to using an independent third-party audit firm with relevant industry experience, reasonably satisfactory to Lucid. Supplier shall make its commercially reasonable efforts to (i) accommodate Lucid’s requirements with respect to the scope and methodology of each Minerals Investigation, and (ii) schedule each Minerals Investigation to facilitate Lucid’s annual compliance reporting. Supplier will provide Lucid with a copy of the result of each Mineral Investigation within</w:t>
      </w:r>
    </w:p>
    <w:p>
      <w:pPr>
        <w:spacing w:after="0" w:line="5" w:lineRule="exact"/>
        <w:rPr>
          <w:rFonts w:ascii="Arial" w:cs="Arial" w:eastAsia="Arial" w:hAnsi="Arial"/>
          <w:sz w:val="18"/>
          <w:szCs w:val="18"/>
          <w:b w:val="1"/>
          <w:bCs w:val="1"/>
          <w:color w:val="auto"/>
        </w:rPr>
      </w:pPr>
    </w:p>
    <w:p>
      <w:pPr>
        <w:ind w:firstLine="8"/>
        <w:spacing w:after="0" w:line="227" w:lineRule="auto"/>
        <w:tabs>
          <w:tab w:leader="none" w:pos="504" w:val="left"/>
        </w:tabs>
        <w:numPr>
          <w:ilvl w:val="0"/>
          <w:numId w:val="96"/>
        </w:numPr>
        <w:rPr>
          <w:rFonts w:ascii="Arial" w:cs="Arial" w:eastAsia="Arial" w:hAnsi="Arial"/>
          <w:sz w:val="20"/>
          <w:szCs w:val="20"/>
          <w:color w:val="auto"/>
        </w:rPr>
      </w:pPr>
      <w:r>
        <w:rPr>
          <w:rFonts w:ascii="Arial" w:cs="Arial" w:eastAsia="Arial" w:hAnsi="Arial"/>
          <w:sz w:val="20"/>
          <w:szCs w:val="20"/>
          <w:color w:val="auto"/>
        </w:rPr>
        <w:t>days after the completion. Supplier shall also cooperate with and enable Lucid to conduct an separate audit at Lucid’s expense, if requested by Lucid and practically feasible.</w:t>
      </w:r>
    </w:p>
    <w:p>
      <w:pPr>
        <w:spacing w:after="0" w:line="48" w:lineRule="exact"/>
        <w:rPr>
          <w:rFonts w:ascii="Arial" w:cs="Arial" w:eastAsia="Arial" w:hAnsi="Arial"/>
          <w:sz w:val="20"/>
          <w:szCs w:val="20"/>
          <w:color w:val="auto"/>
        </w:rPr>
      </w:pPr>
    </w:p>
    <w:p>
      <w:pPr>
        <w:jc w:val="both"/>
        <w:ind w:firstLine="656"/>
        <w:spacing w:after="0" w:line="227" w:lineRule="auto"/>
        <w:tabs>
          <w:tab w:leader="none" w:pos="1146" w:val="left"/>
        </w:tabs>
        <w:numPr>
          <w:ilvl w:val="1"/>
          <w:numId w:val="97"/>
        </w:numPr>
        <w:rPr>
          <w:rFonts w:ascii="Arial" w:cs="Arial" w:eastAsia="Arial" w:hAnsi="Arial"/>
          <w:sz w:val="20"/>
          <w:szCs w:val="20"/>
          <w:b w:val="1"/>
          <w:bCs w:val="1"/>
          <w:color w:val="auto"/>
        </w:rPr>
      </w:pPr>
      <w:r>
        <w:rPr>
          <w:rFonts w:ascii="Arial" w:cs="Arial" w:eastAsia="Arial" w:hAnsi="Arial"/>
          <w:sz w:val="20"/>
          <w:szCs w:val="20"/>
          <w:color w:val="auto"/>
        </w:rPr>
        <w:t>If and to the extent that a Minerals Investigation reveals that any Minerals Supplier has failed to comply with one or more Sustainability Standards, then the Parties shall promptly discuss in good faith how to improve the situation, including, but not limited to, the following:</w:t>
      </w:r>
    </w:p>
    <w:p>
      <w:pPr>
        <w:spacing w:after="0" w:line="49" w:lineRule="exact"/>
        <w:rPr>
          <w:rFonts w:ascii="Arial" w:cs="Arial" w:eastAsia="Arial" w:hAnsi="Arial"/>
          <w:sz w:val="20"/>
          <w:szCs w:val="20"/>
          <w:b w:val="1"/>
          <w:bCs w:val="1"/>
          <w:color w:val="auto"/>
        </w:rPr>
      </w:pPr>
    </w:p>
    <w:p>
      <w:pPr>
        <w:jc w:val="both"/>
        <w:ind w:firstLine="1547"/>
        <w:spacing w:after="0" w:line="220" w:lineRule="auto"/>
        <w:tabs>
          <w:tab w:leader="none" w:pos="2083" w:val="left"/>
        </w:tabs>
        <w:numPr>
          <w:ilvl w:val="2"/>
          <w:numId w:val="97"/>
        </w:numPr>
        <w:rPr>
          <w:rFonts w:ascii="Arial" w:cs="Arial" w:eastAsia="Arial" w:hAnsi="Arial"/>
          <w:sz w:val="20"/>
          <w:szCs w:val="20"/>
          <w:color w:val="auto"/>
        </w:rPr>
      </w:pPr>
      <w:r>
        <w:rPr>
          <w:rFonts w:ascii="Arial" w:cs="Arial" w:eastAsia="Arial" w:hAnsi="Arial"/>
          <w:sz w:val="20"/>
          <w:szCs w:val="20"/>
          <w:color w:val="auto"/>
        </w:rPr>
        <w:t>Supplier shall promptly: (1) cause the affected Minerals Supplier(s) to comply in full with the Sustainability Standards and provide evidence to Lucid that the issue is corrected; and/or (2) remove the affected Mineral(s) Supplier(s) from its supply chain for this Agreement and only procure such Mineral(s) from Minerals Supplier(s) that comply in full with the Sustainability Standards; and</w:t>
      </w:r>
    </w:p>
    <w:p>
      <w:pPr>
        <w:spacing w:after="0" w:line="61" w:lineRule="exact"/>
        <w:rPr>
          <w:rFonts w:ascii="Arial" w:cs="Arial" w:eastAsia="Arial" w:hAnsi="Arial"/>
          <w:sz w:val="20"/>
          <w:szCs w:val="20"/>
          <w:color w:val="auto"/>
        </w:rPr>
      </w:pPr>
    </w:p>
    <w:p>
      <w:pPr>
        <w:jc w:val="both"/>
        <w:ind w:firstLine="1539"/>
        <w:spacing w:after="0" w:line="218" w:lineRule="auto"/>
        <w:tabs>
          <w:tab w:leader="none" w:pos="2073" w:val="left"/>
        </w:tabs>
        <w:numPr>
          <w:ilvl w:val="2"/>
          <w:numId w:val="97"/>
        </w:numPr>
        <w:rPr>
          <w:rFonts w:ascii="Arial" w:cs="Arial" w:eastAsia="Arial" w:hAnsi="Arial"/>
          <w:sz w:val="20"/>
          <w:szCs w:val="20"/>
          <w:color w:val="auto"/>
        </w:rPr>
      </w:pPr>
      <w:r>
        <w:rPr>
          <w:rFonts w:ascii="Arial" w:cs="Arial" w:eastAsia="Arial" w:hAnsi="Arial"/>
          <w:sz w:val="20"/>
          <w:szCs w:val="20"/>
          <w:color w:val="auto"/>
        </w:rPr>
        <w:t>if Supplier cannot take an actions set forth in Section 21.2(c)(i) above, Supplier shall promptly notify Lucid in writing to that end, and Lucid may immediately terminate the affected Spot Orders or Releases with no liability. In the event of any such termination, the Parties shall comply with Section 13 (Obligations Upon Termination) of this Agreement, but Lucid shall have no obligations with respect to any materials, work-in-process, or finished inventory which incorporate any Minerals from the Minerals Supplier(s) that failed to comply with one or more Sustainability Standards.</w:t>
      </w:r>
    </w:p>
    <w:p>
      <w:pPr>
        <w:spacing w:after="0" w:line="43" w:lineRule="exact"/>
        <w:rPr>
          <w:sz w:val="20"/>
          <w:szCs w:val="20"/>
          <w:color w:val="auto"/>
        </w:rPr>
      </w:pPr>
    </w:p>
    <w:p>
      <w:pPr>
        <w:ind w:left="500" w:hanging="492"/>
        <w:spacing w:after="0"/>
        <w:tabs>
          <w:tab w:leader="none" w:pos="500" w:val="left"/>
        </w:tabs>
        <w:numPr>
          <w:ilvl w:val="0"/>
          <w:numId w:val="98"/>
        </w:numPr>
        <w:rPr>
          <w:rFonts w:ascii="Arial" w:cs="Arial" w:eastAsia="Arial" w:hAnsi="Arial"/>
          <w:sz w:val="20"/>
          <w:szCs w:val="20"/>
          <w:b w:val="1"/>
          <w:bCs w:val="1"/>
          <w:color w:val="auto"/>
        </w:rPr>
      </w:pPr>
      <w:r>
        <w:rPr>
          <w:rFonts w:ascii="Arial" w:cs="Arial" w:eastAsia="Arial" w:hAnsi="Arial"/>
          <w:sz w:val="20"/>
          <w:szCs w:val="20"/>
          <w:b w:val="1"/>
          <w:bCs w:val="1"/>
          <w:color w:val="auto"/>
        </w:rPr>
        <w:t>MISCELLANEOUS</w:t>
      </w:r>
    </w:p>
    <w:p>
      <w:pPr>
        <w:spacing w:after="0" w:line="81" w:lineRule="exact"/>
        <w:rPr>
          <w:sz w:val="20"/>
          <w:szCs w:val="20"/>
          <w:color w:val="auto"/>
        </w:rPr>
      </w:pPr>
    </w:p>
    <w:p>
      <w:pPr>
        <w:jc w:val="both"/>
        <w:ind w:left="400"/>
        <w:spacing w:after="0" w:line="239" w:lineRule="auto"/>
        <w:rPr>
          <w:sz w:val="20"/>
          <w:szCs w:val="20"/>
          <w:color w:val="auto"/>
        </w:rPr>
      </w:pPr>
      <w:r>
        <w:rPr>
          <w:rFonts w:ascii="Arial" w:cs="Arial" w:eastAsia="Arial" w:hAnsi="Arial"/>
          <w:sz w:val="20"/>
          <w:szCs w:val="20"/>
          <w:b w:val="1"/>
          <w:bCs w:val="1"/>
          <w:color w:val="auto"/>
        </w:rPr>
        <w:t xml:space="preserve">22.1. Amendment. </w:t>
      </w:r>
      <w:r>
        <w:rPr>
          <w:rFonts w:ascii="Arial" w:cs="Arial" w:eastAsia="Arial" w:hAnsi="Arial"/>
          <w:sz w:val="20"/>
          <w:szCs w:val="20"/>
          <w:color w:val="auto"/>
        </w:rPr>
        <w:t>This Agreement may be amended or modified only by an express writing signed by an authorized representative of</w:t>
      </w:r>
      <w:r>
        <w:rPr>
          <w:rFonts w:ascii="Arial" w:cs="Arial" w:eastAsia="Arial" w:hAnsi="Arial"/>
          <w:sz w:val="20"/>
          <w:szCs w:val="20"/>
          <w:b w:val="1"/>
          <w:bCs w:val="1"/>
          <w:color w:val="auto"/>
        </w:rPr>
        <w:t xml:space="preserve"> </w:t>
      </w:r>
      <w:r>
        <w:rPr>
          <w:rFonts w:ascii="Arial" w:cs="Arial" w:eastAsia="Arial" w:hAnsi="Arial"/>
          <w:sz w:val="20"/>
          <w:szCs w:val="20"/>
          <w:color w:val="auto"/>
        </w:rPr>
        <w:t>each Party.</w:t>
      </w:r>
    </w:p>
    <w:p>
      <w:pPr>
        <w:spacing w:after="0" w:line="41" w:lineRule="exact"/>
        <w:rPr>
          <w:sz w:val="20"/>
          <w:szCs w:val="20"/>
          <w:color w:val="auto"/>
        </w:rPr>
      </w:pPr>
    </w:p>
    <w:p>
      <w:pPr>
        <w:jc w:val="both"/>
        <w:ind w:left="400"/>
        <w:spacing w:after="0" w:line="230" w:lineRule="auto"/>
        <w:rPr>
          <w:sz w:val="20"/>
          <w:szCs w:val="20"/>
          <w:color w:val="auto"/>
        </w:rPr>
      </w:pPr>
      <w:r>
        <w:rPr>
          <w:rFonts w:ascii="Arial" w:cs="Arial" w:eastAsia="Arial" w:hAnsi="Arial"/>
          <w:sz w:val="20"/>
          <w:szCs w:val="20"/>
          <w:b w:val="1"/>
          <w:bCs w:val="1"/>
          <w:color w:val="auto"/>
        </w:rPr>
        <w:t xml:space="preserve">22.2. Assignment. </w:t>
      </w:r>
      <w:r>
        <w:rPr>
          <w:rFonts w:ascii="Arial" w:cs="Arial" w:eastAsia="Arial" w:hAnsi="Arial"/>
          <w:sz w:val="20"/>
          <w:szCs w:val="20"/>
          <w:color w:val="auto"/>
        </w:rPr>
        <w:t>This Agreement may not be assigned by a Party without the prior written consent of the other Party, and any</w:t>
      </w:r>
      <w:r>
        <w:rPr>
          <w:rFonts w:ascii="Arial" w:cs="Arial" w:eastAsia="Arial" w:hAnsi="Arial"/>
          <w:sz w:val="20"/>
          <w:szCs w:val="20"/>
          <w:b w:val="1"/>
          <w:bCs w:val="1"/>
          <w:color w:val="auto"/>
        </w:rPr>
        <w:t xml:space="preserve"> </w:t>
      </w:r>
      <w:r>
        <w:rPr>
          <w:rFonts w:ascii="Arial" w:cs="Arial" w:eastAsia="Arial" w:hAnsi="Arial"/>
          <w:sz w:val="20"/>
          <w:szCs w:val="20"/>
          <w:color w:val="auto"/>
        </w:rPr>
        <w:t>attempt to do so shall be void; provided, however, that each Party may assign, as a whole, but not partially, this Agreement and any production pricing agreement to its</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190500</wp:posOffset>
            </wp:positionV>
            <wp:extent cx="713232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58" w:lineRule="exact"/>
        <w:rPr>
          <w:sz w:val="20"/>
          <w:szCs w:val="20"/>
          <w:color w:val="auto"/>
        </w:rPr>
      </w:pPr>
    </w:p>
    <w:p>
      <w:pPr>
        <w:spacing w:after="0"/>
        <w:tabs>
          <w:tab w:leader="none" w:pos="1880" w:val="left"/>
        </w:tabs>
        <w:rPr>
          <w:sz w:val="20"/>
          <w:szCs w:val="20"/>
          <w:color w:val="auto"/>
        </w:rPr>
      </w:pPr>
      <w:r>
        <w:rPr>
          <w:rFonts w:ascii="Arial" w:cs="Arial" w:eastAsia="Arial" w:hAnsi="Arial"/>
          <w:sz w:val="20"/>
          <w:szCs w:val="20"/>
          <w:color w:val="auto"/>
        </w:rPr>
        <w:t>Lucid Confidential</w:t>
      </w:r>
      <w:r>
        <w:rPr>
          <w:sz w:val="20"/>
          <w:szCs w:val="20"/>
          <w:color w:val="auto"/>
        </w:rPr>
        <w:tab/>
      </w:r>
      <w:r>
        <w:rPr>
          <w:rFonts w:ascii="Arial" w:cs="Arial" w:eastAsia="Arial" w:hAnsi="Arial"/>
          <w:sz w:val="16"/>
          <w:szCs w:val="16"/>
          <w:color w:val="auto"/>
        </w:rPr>
        <w:t>Parts GTC rev. October 2020</w:t>
      </w:r>
    </w:p>
    <w:p>
      <w:pPr>
        <w:sectPr>
          <w:pgSz w:w="11900" w:h="16838" w:orient="portrait"/>
          <w:cols w:equalWidth="0" w:num="1">
            <w:col w:w="11240"/>
          </w:cols>
          <w:pgMar w:left="320" w:top="1440" w:right="339" w:bottom="1440" w:gutter="0" w:footer="0" w:header="0"/>
        </w:sectPr>
      </w:pPr>
    </w:p>
    <w:bookmarkStart w:id="149" w:name="page150"/>
    <w:bookmarkEnd w:id="149"/>
    <w:p>
      <w:pPr>
        <w:spacing w:after="0" w:line="74" w:lineRule="exact"/>
        <w:rPr>
          <w:sz w:val="20"/>
          <w:szCs w:val="20"/>
          <w:color w:val="auto"/>
        </w:rPr>
      </w:pPr>
    </w:p>
    <w:p>
      <w:pPr>
        <w:ind w:left="400"/>
        <w:spacing w:after="0"/>
        <w:rPr>
          <w:sz w:val="20"/>
          <w:szCs w:val="20"/>
          <w:color w:val="auto"/>
        </w:rPr>
      </w:pPr>
      <w:r>
        <w:rPr>
          <w:rFonts w:ascii="Arial" w:cs="Arial" w:eastAsia="Arial" w:hAnsi="Arial"/>
          <w:sz w:val="18"/>
          <w:szCs w:val="18"/>
          <w:color w:val="auto"/>
        </w:rPr>
        <w:t>Affiliate. Lucid may also assign, as a whole, but not partially, this Agreement and the production pricing agreement to an acquiring third</w:t>
      </w:r>
    </w:p>
    <w:p>
      <w:pPr>
        <w:spacing w:after="0" w:line="12" w:lineRule="exact"/>
        <w:rPr>
          <w:sz w:val="20"/>
          <w:szCs w:val="20"/>
          <w:color w:val="auto"/>
        </w:rPr>
      </w:pPr>
    </w:p>
    <w:p>
      <w:pPr>
        <w:ind w:left="400"/>
        <w:spacing w:after="0" w:line="226" w:lineRule="auto"/>
        <w:rPr>
          <w:sz w:val="20"/>
          <w:szCs w:val="20"/>
          <w:color w:val="auto"/>
        </w:rPr>
      </w:pPr>
      <w:r>
        <w:rPr>
          <w:rFonts w:ascii="Arial" w:cs="Arial" w:eastAsia="Arial" w:hAnsi="Arial"/>
          <w:sz w:val="18"/>
          <w:szCs w:val="18"/>
          <w:color w:val="auto"/>
        </w:rPr>
        <w:t>party without the prior written consent of the other Party without the prior written consent of Supplier in connection with a merger or sale of all or substantially all of Lucid’s assets unless such acquiring third party or any of its Affiliates is a competitor of Supplier, in</w:t>
      </w:r>
    </w:p>
    <w:p>
      <w:pPr>
        <w:spacing w:after="0" w:line="2" w:lineRule="exact"/>
        <w:rPr>
          <w:sz w:val="20"/>
          <w:szCs w:val="20"/>
          <w:color w:val="auto"/>
        </w:rPr>
      </w:pPr>
    </w:p>
    <w:p>
      <w:pPr>
        <w:ind w:left="400"/>
        <w:spacing w:after="0"/>
        <w:rPr>
          <w:sz w:val="20"/>
          <w:szCs w:val="20"/>
          <w:color w:val="auto"/>
        </w:rPr>
      </w:pPr>
      <w:r>
        <w:rPr>
          <w:rFonts w:ascii="Arial" w:cs="Arial" w:eastAsia="Arial" w:hAnsi="Arial"/>
          <w:sz w:val="20"/>
          <w:szCs w:val="20"/>
          <w:color w:val="auto"/>
        </w:rPr>
        <w:t>which case Lucid shall obtain the prior written consent of Supplier.</w:t>
      </w:r>
    </w:p>
    <w:p>
      <w:pPr>
        <w:spacing w:after="0" w:line="59" w:lineRule="exact"/>
        <w:rPr>
          <w:sz w:val="20"/>
          <w:szCs w:val="20"/>
          <w:color w:val="auto"/>
        </w:rPr>
      </w:pPr>
    </w:p>
    <w:p>
      <w:pPr>
        <w:ind w:left="400"/>
        <w:spacing w:after="0"/>
        <w:tabs>
          <w:tab w:leader="none" w:pos="960" w:val="left"/>
        </w:tabs>
        <w:rPr>
          <w:sz w:val="20"/>
          <w:szCs w:val="20"/>
          <w:color w:val="auto"/>
        </w:rPr>
      </w:pPr>
      <w:r>
        <w:rPr>
          <w:rFonts w:ascii="Arial" w:cs="Arial" w:eastAsia="Arial" w:hAnsi="Arial"/>
          <w:sz w:val="20"/>
          <w:szCs w:val="20"/>
          <w:b w:val="1"/>
          <w:bCs w:val="1"/>
          <w:color w:val="auto"/>
        </w:rPr>
        <w:t>22.3.</w:t>
      </w:r>
      <w:r>
        <w:rPr>
          <w:sz w:val="20"/>
          <w:szCs w:val="20"/>
          <w:color w:val="auto"/>
        </w:rPr>
        <w:tab/>
      </w:r>
      <w:r>
        <w:rPr>
          <w:rFonts w:ascii="Arial" w:cs="Arial" w:eastAsia="Arial" w:hAnsi="Arial"/>
          <w:sz w:val="18"/>
          <w:szCs w:val="18"/>
          <w:b w:val="1"/>
          <w:bCs w:val="1"/>
          <w:color w:val="auto"/>
        </w:rPr>
        <w:t xml:space="preserve">Change of Ownership. </w:t>
      </w:r>
      <w:r>
        <w:rPr>
          <w:rFonts w:ascii="Arial" w:cs="Arial" w:eastAsia="Arial" w:hAnsi="Arial"/>
          <w:sz w:val="18"/>
          <w:szCs w:val="18"/>
          <w:color w:val="auto"/>
        </w:rPr>
        <w:t>Notwithstanding Section 22.2, [***].</w:t>
      </w:r>
    </w:p>
    <w:p>
      <w:pPr>
        <w:spacing w:after="0" w:line="67" w:lineRule="exact"/>
        <w:rPr>
          <w:sz w:val="20"/>
          <w:szCs w:val="20"/>
          <w:color w:val="auto"/>
        </w:rPr>
      </w:pPr>
    </w:p>
    <w:p>
      <w:pPr>
        <w:ind w:left="400"/>
        <w:spacing w:after="0" w:line="247" w:lineRule="auto"/>
        <w:rPr>
          <w:sz w:val="20"/>
          <w:szCs w:val="20"/>
          <w:color w:val="auto"/>
        </w:rPr>
      </w:pPr>
      <w:r>
        <w:rPr>
          <w:rFonts w:ascii="Arial" w:cs="Arial" w:eastAsia="Arial" w:hAnsi="Arial"/>
          <w:sz w:val="18"/>
          <w:szCs w:val="18"/>
          <w:b w:val="1"/>
          <w:bCs w:val="1"/>
          <w:color w:val="auto"/>
        </w:rPr>
        <w:t xml:space="preserve">22.4. Construction. </w:t>
      </w:r>
      <w:r>
        <w:rPr>
          <w:rFonts w:ascii="Arial" w:cs="Arial" w:eastAsia="Arial" w:hAnsi="Arial"/>
          <w:sz w:val="18"/>
          <w:szCs w:val="18"/>
          <w:color w:val="auto"/>
        </w:rPr>
        <w:t>The section headings in the Agreement are for convenience only and are not to be considered in construing or</w:t>
      </w:r>
      <w:r>
        <w:rPr>
          <w:rFonts w:ascii="Arial" w:cs="Arial" w:eastAsia="Arial" w:hAnsi="Arial"/>
          <w:sz w:val="18"/>
          <w:szCs w:val="18"/>
          <w:b w:val="1"/>
          <w:bCs w:val="1"/>
          <w:color w:val="auto"/>
        </w:rPr>
        <w:t xml:space="preserve"> </w:t>
      </w:r>
      <w:r>
        <w:rPr>
          <w:rFonts w:ascii="Arial" w:cs="Arial" w:eastAsia="Arial" w:hAnsi="Arial"/>
          <w:sz w:val="18"/>
          <w:szCs w:val="18"/>
          <w:color w:val="auto"/>
        </w:rPr>
        <w:t>interpreting the Agreement. The words “will” and “shall” are used in a mandatory, not a permissive, sense, and shall be deemed to have</w:t>
      </w:r>
    </w:p>
    <w:p>
      <w:pPr>
        <w:spacing w:after="0" w:line="1" w:lineRule="exact"/>
        <w:rPr>
          <w:sz w:val="20"/>
          <w:szCs w:val="20"/>
          <w:color w:val="auto"/>
        </w:rPr>
      </w:pPr>
    </w:p>
    <w:p>
      <w:pPr>
        <w:ind w:left="400"/>
        <w:spacing w:after="0" w:line="220" w:lineRule="auto"/>
        <w:rPr>
          <w:sz w:val="20"/>
          <w:szCs w:val="20"/>
          <w:color w:val="auto"/>
        </w:rPr>
      </w:pPr>
      <w:r>
        <w:rPr>
          <w:rFonts w:ascii="Arial" w:cs="Arial" w:eastAsia="Arial" w:hAnsi="Arial"/>
          <w:sz w:val="20"/>
          <w:szCs w:val="20"/>
          <w:color w:val="auto"/>
        </w:rPr>
        <w:t>the same meaning, and the word “including” is intended to be exemplary, not exhaustive, and will be deemed followed by “without limitation.” Any requirement to obtain a Party’s consent is a requirement to obtain such consent in each instance.</w:t>
      </w:r>
    </w:p>
    <w:p>
      <w:pPr>
        <w:spacing w:after="0" w:line="50" w:lineRule="exact"/>
        <w:rPr>
          <w:sz w:val="20"/>
          <w:szCs w:val="20"/>
          <w:color w:val="auto"/>
        </w:rPr>
      </w:pPr>
    </w:p>
    <w:p>
      <w:pPr>
        <w:ind w:left="400"/>
        <w:spacing w:after="0"/>
        <w:tabs>
          <w:tab w:leader="none" w:pos="980" w:val="left"/>
        </w:tabs>
        <w:rPr>
          <w:sz w:val="20"/>
          <w:szCs w:val="20"/>
          <w:color w:val="auto"/>
        </w:rPr>
      </w:pPr>
      <w:r>
        <w:rPr>
          <w:rFonts w:ascii="Arial" w:cs="Arial" w:eastAsia="Arial" w:hAnsi="Arial"/>
          <w:sz w:val="20"/>
          <w:szCs w:val="20"/>
          <w:b w:val="1"/>
          <w:bCs w:val="1"/>
          <w:color w:val="auto"/>
        </w:rPr>
        <w:t>22.5.</w:t>
      </w:r>
      <w:r>
        <w:rPr>
          <w:sz w:val="20"/>
          <w:szCs w:val="20"/>
          <w:color w:val="auto"/>
        </w:rPr>
        <w:tab/>
      </w:r>
      <w:r>
        <w:rPr>
          <w:rFonts w:ascii="Arial" w:cs="Arial" w:eastAsia="Arial" w:hAnsi="Arial"/>
          <w:sz w:val="18"/>
          <w:szCs w:val="18"/>
          <w:b w:val="1"/>
          <w:bCs w:val="1"/>
          <w:color w:val="auto"/>
        </w:rPr>
        <w:t xml:space="preserve">Dispute Resolution. </w:t>
      </w:r>
      <w:r>
        <w:rPr>
          <w:rFonts w:ascii="Arial" w:cs="Arial" w:eastAsia="Arial" w:hAnsi="Arial"/>
          <w:sz w:val="18"/>
          <w:szCs w:val="18"/>
          <w:color w:val="auto"/>
        </w:rPr>
        <w:t>If there is a dispute between the Parties arising under this Agreement or any production pricing agreement,</w:t>
      </w:r>
    </w:p>
    <w:p>
      <w:pPr>
        <w:ind w:left="400"/>
        <w:spacing w:after="0" w:line="255" w:lineRule="auto"/>
        <w:rPr>
          <w:sz w:val="20"/>
          <w:szCs w:val="20"/>
          <w:color w:val="auto"/>
        </w:rPr>
      </w:pPr>
      <w:r>
        <w:rPr>
          <w:rFonts w:ascii="Arial" w:cs="Arial" w:eastAsia="Arial" w:hAnsi="Arial"/>
          <w:sz w:val="16"/>
          <w:szCs w:val="16"/>
          <w:color w:val="auto"/>
        </w:rPr>
        <w:t>the Parties agree to escalate the matter for discussion and resolution by designated members of their senior management teams. If these designated members fail to resolve such dispute within [***] days after their initial discussion (the “Amicable Settlement Period”), the</w:t>
      </w:r>
    </w:p>
    <w:p>
      <w:pPr>
        <w:ind w:left="400"/>
        <w:spacing w:after="0" w:line="235" w:lineRule="auto"/>
        <w:rPr>
          <w:sz w:val="20"/>
          <w:szCs w:val="20"/>
          <w:color w:val="auto"/>
        </w:rPr>
      </w:pPr>
      <w:r>
        <w:rPr>
          <w:rFonts w:ascii="Arial" w:cs="Arial" w:eastAsia="Arial" w:hAnsi="Arial"/>
          <w:sz w:val="18"/>
          <w:szCs w:val="18"/>
          <w:color w:val="auto"/>
        </w:rPr>
        <w:t>Parties may mutually agree to resolve such dispute through a non-binding mediation in San Francisco, California. If the Parties agree to</w:t>
      </w:r>
    </w:p>
    <w:p>
      <w:pPr>
        <w:ind w:left="400"/>
        <w:spacing w:after="0" w:line="215" w:lineRule="auto"/>
        <w:rPr>
          <w:sz w:val="20"/>
          <w:szCs w:val="20"/>
          <w:color w:val="auto"/>
        </w:rPr>
      </w:pPr>
      <w:r>
        <w:rPr>
          <w:rFonts w:ascii="Arial" w:cs="Arial" w:eastAsia="Arial" w:hAnsi="Arial"/>
          <w:sz w:val="19"/>
          <w:szCs w:val="19"/>
          <w:color w:val="auto"/>
        </w:rPr>
        <w:t>resolve such dispute through a non-binding mediation, the Parties will choose the mediator from a list of qualified mediators in California office of the JAMS mediation service. Each party will pay one-half of the expenses of the mediation. No mediation may</w:t>
      </w:r>
    </w:p>
    <w:p>
      <w:pPr>
        <w:ind w:left="400"/>
        <w:spacing w:after="0" w:line="234" w:lineRule="auto"/>
        <w:rPr>
          <w:sz w:val="20"/>
          <w:szCs w:val="20"/>
          <w:color w:val="auto"/>
        </w:rPr>
      </w:pPr>
      <w:r>
        <w:rPr>
          <w:rFonts w:ascii="Arial" w:cs="Arial" w:eastAsia="Arial" w:hAnsi="Arial"/>
          <w:sz w:val="18"/>
          <w:szCs w:val="18"/>
          <w:color w:val="auto"/>
        </w:rPr>
        <w:t>commence until the completion of the Amicable Settlement Period. If the parties are unable to agree on an initiation of such non-binding</w:t>
      </w:r>
    </w:p>
    <w:p>
      <w:pPr>
        <w:spacing w:after="0" w:line="1" w:lineRule="exact"/>
        <w:rPr>
          <w:sz w:val="20"/>
          <w:szCs w:val="20"/>
          <w:color w:val="auto"/>
        </w:rPr>
      </w:pPr>
    </w:p>
    <w:p>
      <w:pPr>
        <w:ind w:left="400" w:right="20"/>
        <w:spacing w:after="0" w:line="226" w:lineRule="auto"/>
        <w:rPr>
          <w:sz w:val="20"/>
          <w:szCs w:val="20"/>
          <w:color w:val="auto"/>
        </w:rPr>
      </w:pPr>
      <w:r>
        <w:rPr>
          <w:rFonts w:ascii="Arial" w:cs="Arial" w:eastAsia="Arial" w:hAnsi="Arial"/>
          <w:sz w:val="18"/>
          <w:szCs w:val="18"/>
          <w:color w:val="auto"/>
        </w:rPr>
        <w:t xml:space="preserve">mediation within [***] days after the Amicable Settlement Period expires or the meditation cannot resolve the dispute, such dispute shall be referred to and finally resolved by arbitration in accordance with the </w:t>
      </w:r>
      <w:r>
        <w:rPr>
          <w:rFonts w:ascii="Arial" w:cs="Arial" w:eastAsia="Arial" w:hAnsi="Arial"/>
          <w:sz w:val="18"/>
          <w:szCs w:val="18"/>
          <w:color w:val="454545"/>
        </w:rPr>
        <w:t>Commercial Arbitration Rules of</w:t>
      </w:r>
      <w:r>
        <w:rPr>
          <w:rFonts w:ascii="Arial" w:cs="Arial" w:eastAsia="Arial" w:hAnsi="Arial"/>
          <w:sz w:val="18"/>
          <w:szCs w:val="18"/>
          <w:color w:val="auto"/>
        </w:rPr>
        <w:t xml:space="preserve"> the American Arbitration</w:t>
      </w:r>
    </w:p>
    <w:p>
      <w:pPr>
        <w:spacing w:after="0" w:line="2" w:lineRule="exact"/>
        <w:rPr>
          <w:sz w:val="20"/>
          <w:szCs w:val="20"/>
          <w:color w:val="auto"/>
        </w:rPr>
      </w:pPr>
    </w:p>
    <w:p>
      <w:pPr>
        <w:ind w:left="400"/>
        <w:spacing w:after="0" w:line="226" w:lineRule="auto"/>
        <w:rPr>
          <w:sz w:val="20"/>
          <w:szCs w:val="20"/>
          <w:color w:val="auto"/>
        </w:rPr>
      </w:pPr>
      <w:r>
        <w:rPr>
          <w:rFonts w:ascii="Arial" w:cs="Arial" w:eastAsia="Arial" w:hAnsi="Arial"/>
          <w:sz w:val="18"/>
          <w:szCs w:val="18"/>
          <w:color w:val="auto"/>
        </w:rPr>
        <w:t>Association for the time being in force, which rules are deemed incorporated by reference into this Section. The arbitration will be conducted by a single arbitrator selected by agreement of the Parties or, failing such agreement, appointed in accordance with the said</w:t>
      </w:r>
    </w:p>
    <w:p>
      <w:pPr>
        <w:ind w:left="400"/>
        <w:spacing w:after="0" w:line="236" w:lineRule="auto"/>
        <w:rPr>
          <w:sz w:val="20"/>
          <w:szCs w:val="20"/>
          <w:color w:val="auto"/>
        </w:rPr>
      </w:pPr>
      <w:r>
        <w:rPr>
          <w:rFonts w:ascii="Arial" w:cs="Arial" w:eastAsia="Arial" w:hAnsi="Arial"/>
          <w:sz w:val="18"/>
          <w:szCs w:val="18"/>
          <w:color w:val="auto"/>
        </w:rPr>
        <w:t>rules. The arbitration will be conducted in the English language in San Francisco, California. Each Party will bear its own expenses in</w:t>
      </w:r>
    </w:p>
    <w:p>
      <w:pPr>
        <w:spacing w:after="0" w:line="1" w:lineRule="exact"/>
        <w:rPr>
          <w:sz w:val="20"/>
          <w:szCs w:val="20"/>
          <w:color w:val="auto"/>
        </w:rPr>
      </w:pPr>
    </w:p>
    <w:p>
      <w:pPr>
        <w:ind w:left="400"/>
        <w:spacing w:after="0" w:line="226" w:lineRule="auto"/>
        <w:rPr>
          <w:sz w:val="20"/>
          <w:szCs w:val="20"/>
          <w:color w:val="auto"/>
        </w:rPr>
      </w:pPr>
      <w:r>
        <w:rPr>
          <w:rFonts w:ascii="Arial" w:cs="Arial" w:eastAsia="Arial" w:hAnsi="Arial"/>
          <w:sz w:val="18"/>
          <w:szCs w:val="18"/>
          <w:color w:val="auto"/>
        </w:rPr>
        <w:t>the arbitration and will share equally the costs of the arbitration; provided, however, that the arbitrator may, in its discretion, award reasonable costs and fees to the prevailing Party. Judgment upon the award rendered in the arbitration may be entered in any court of</w:t>
      </w:r>
    </w:p>
    <w:p>
      <w:pPr>
        <w:ind w:left="400"/>
        <w:spacing w:after="0" w:line="236" w:lineRule="auto"/>
        <w:rPr>
          <w:sz w:val="20"/>
          <w:szCs w:val="20"/>
          <w:color w:val="auto"/>
        </w:rPr>
      </w:pPr>
      <w:r>
        <w:rPr>
          <w:rFonts w:ascii="Arial" w:cs="Arial" w:eastAsia="Arial" w:hAnsi="Arial"/>
          <w:sz w:val="18"/>
          <w:szCs w:val="18"/>
          <w:color w:val="auto"/>
        </w:rPr>
        <w:t>competent jurisdiction. Notwithstanding the foregoing, each Party shall have the right to apply at any time to a judicial authority for</w:t>
      </w:r>
    </w:p>
    <w:p>
      <w:pPr>
        <w:spacing w:after="0" w:line="1" w:lineRule="exact"/>
        <w:rPr>
          <w:sz w:val="20"/>
          <w:szCs w:val="20"/>
          <w:color w:val="auto"/>
        </w:rPr>
      </w:pPr>
    </w:p>
    <w:p>
      <w:pPr>
        <w:ind w:left="400"/>
        <w:spacing w:after="0" w:line="220" w:lineRule="auto"/>
        <w:rPr>
          <w:sz w:val="20"/>
          <w:szCs w:val="20"/>
          <w:color w:val="auto"/>
        </w:rPr>
      </w:pPr>
      <w:r>
        <w:rPr>
          <w:rFonts w:ascii="Arial" w:cs="Arial" w:eastAsia="Arial" w:hAnsi="Arial"/>
          <w:sz w:val="20"/>
          <w:szCs w:val="20"/>
          <w:color w:val="auto"/>
        </w:rPr>
        <w:t>appropriate injunctive relief (or other interim or conservatory measures), and by doing so will not be deemed to have breached its agreement to arbitrate or to have impaired the powers reserved to the arbitrator.</w:t>
      </w:r>
    </w:p>
    <w:p>
      <w:pPr>
        <w:spacing w:after="0" w:line="50" w:lineRule="exact"/>
        <w:rPr>
          <w:sz w:val="20"/>
          <w:szCs w:val="20"/>
          <w:color w:val="auto"/>
        </w:rPr>
      </w:pPr>
    </w:p>
    <w:p>
      <w:pPr>
        <w:ind w:left="400"/>
        <w:spacing w:after="0"/>
        <w:tabs>
          <w:tab w:leader="none" w:pos="960" w:val="left"/>
        </w:tabs>
        <w:rPr>
          <w:sz w:val="20"/>
          <w:szCs w:val="20"/>
          <w:color w:val="auto"/>
        </w:rPr>
      </w:pPr>
      <w:r>
        <w:rPr>
          <w:rFonts w:ascii="Arial" w:cs="Arial" w:eastAsia="Arial" w:hAnsi="Arial"/>
          <w:sz w:val="20"/>
          <w:szCs w:val="20"/>
          <w:b w:val="1"/>
          <w:bCs w:val="1"/>
          <w:color w:val="auto"/>
        </w:rPr>
        <w:t>22.6.</w:t>
      </w:r>
      <w:r>
        <w:rPr>
          <w:sz w:val="20"/>
          <w:szCs w:val="20"/>
          <w:color w:val="auto"/>
        </w:rPr>
        <w:tab/>
      </w:r>
      <w:r>
        <w:rPr>
          <w:rFonts w:ascii="Arial" w:cs="Arial" w:eastAsia="Arial" w:hAnsi="Arial"/>
          <w:sz w:val="18"/>
          <w:szCs w:val="18"/>
          <w:b w:val="1"/>
          <w:bCs w:val="1"/>
          <w:color w:val="auto"/>
        </w:rPr>
        <w:t xml:space="preserve">Electronic Communication. </w:t>
      </w:r>
      <w:r>
        <w:rPr>
          <w:rFonts w:ascii="Arial" w:cs="Arial" w:eastAsia="Arial" w:hAnsi="Arial"/>
          <w:sz w:val="18"/>
          <w:szCs w:val="18"/>
          <w:color w:val="auto"/>
        </w:rPr>
        <w:t>Supplier will comply with the method of electronic communications reasonably requested by Lucid</w:t>
      </w:r>
    </w:p>
    <w:p>
      <w:pPr>
        <w:ind w:left="400"/>
        <w:spacing w:after="0" w:line="226" w:lineRule="auto"/>
        <w:rPr>
          <w:sz w:val="20"/>
          <w:szCs w:val="20"/>
          <w:color w:val="auto"/>
        </w:rPr>
      </w:pPr>
      <w:r>
        <w:rPr>
          <w:rFonts w:ascii="Arial" w:cs="Arial" w:eastAsia="Arial" w:hAnsi="Arial"/>
          <w:sz w:val="18"/>
          <w:szCs w:val="18"/>
          <w:color w:val="auto"/>
        </w:rPr>
        <w:t>from time to time, including the system used to maintain electronic versions of Specifications and to provide notification of and to track modifications to such Specifications, and requirements for electronic funds transfer, order transmission, electronic signature and</w:t>
      </w:r>
    </w:p>
    <w:p>
      <w:pPr>
        <w:spacing w:after="0" w:line="2" w:lineRule="exact"/>
        <w:rPr>
          <w:sz w:val="20"/>
          <w:szCs w:val="20"/>
          <w:color w:val="auto"/>
        </w:rPr>
      </w:pPr>
    </w:p>
    <w:p>
      <w:pPr>
        <w:ind w:left="400"/>
        <w:spacing w:after="0"/>
        <w:rPr>
          <w:sz w:val="20"/>
          <w:szCs w:val="20"/>
          <w:color w:val="auto"/>
        </w:rPr>
      </w:pPr>
      <w:r>
        <w:rPr>
          <w:rFonts w:ascii="Arial" w:cs="Arial" w:eastAsia="Arial" w:hAnsi="Arial"/>
          <w:sz w:val="20"/>
          <w:szCs w:val="20"/>
          <w:color w:val="auto"/>
        </w:rPr>
        <w:t>communication .</w:t>
      </w:r>
    </w:p>
    <w:p>
      <w:pPr>
        <w:spacing w:after="0" w:line="59" w:lineRule="exact"/>
        <w:rPr>
          <w:sz w:val="20"/>
          <w:szCs w:val="20"/>
          <w:color w:val="auto"/>
        </w:rPr>
      </w:pPr>
    </w:p>
    <w:p>
      <w:pPr>
        <w:ind w:left="400"/>
        <w:spacing w:after="0" w:line="239" w:lineRule="auto"/>
        <w:rPr>
          <w:sz w:val="20"/>
          <w:szCs w:val="20"/>
          <w:color w:val="auto"/>
        </w:rPr>
      </w:pPr>
      <w:r>
        <w:rPr>
          <w:rFonts w:ascii="Arial" w:cs="Arial" w:eastAsia="Arial" w:hAnsi="Arial"/>
          <w:sz w:val="18"/>
          <w:szCs w:val="18"/>
          <w:b w:val="1"/>
          <w:bCs w:val="1"/>
          <w:color w:val="auto"/>
        </w:rPr>
        <w:t xml:space="preserve">22.7. Affiliate Participation Agreement. </w:t>
      </w:r>
      <w:r>
        <w:rPr>
          <w:rFonts w:ascii="Arial" w:cs="Arial" w:eastAsia="Arial" w:hAnsi="Arial"/>
          <w:sz w:val="18"/>
          <w:szCs w:val="18"/>
          <w:color w:val="auto"/>
        </w:rPr>
        <w:t>Affiliates of Supplier may elect to sell Goods, Development Goods and/or Services to</w:t>
      </w:r>
      <w:r>
        <w:rPr>
          <w:rFonts w:ascii="Arial" w:cs="Arial" w:eastAsia="Arial" w:hAnsi="Arial"/>
          <w:sz w:val="18"/>
          <w:szCs w:val="18"/>
          <w:b w:val="1"/>
          <w:bCs w:val="1"/>
          <w:color w:val="auto"/>
        </w:rPr>
        <w:t xml:space="preserve"> </w:t>
      </w:r>
      <w:r>
        <w:rPr>
          <w:rFonts w:ascii="Arial" w:cs="Arial" w:eastAsia="Arial" w:hAnsi="Arial"/>
          <w:sz w:val="18"/>
          <w:szCs w:val="18"/>
          <w:color w:val="auto"/>
        </w:rPr>
        <w:t>Lucid, and, upon such election, shall do so under the terms and conditions of this Agreement by execution of an Affiliate Participation</w:t>
      </w:r>
    </w:p>
    <w:p>
      <w:pPr>
        <w:spacing w:after="0" w:line="1" w:lineRule="exact"/>
        <w:rPr>
          <w:sz w:val="20"/>
          <w:szCs w:val="20"/>
          <w:color w:val="auto"/>
        </w:rPr>
      </w:pPr>
    </w:p>
    <w:p>
      <w:pPr>
        <w:ind w:left="400"/>
        <w:spacing w:after="0"/>
        <w:rPr>
          <w:sz w:val="20"/>
          <w:szCs w:val="20"/>
          <w:color w:val="auto"/>
        </w:rPr>
      </w:pPr>
      <w:r>
        <w:rPr>
          <w:rFonts w:ascii="Arial" w:cs="Arial" w:eastAsia="Arial" w:hAnsi="Arial"/>
          <w:sz w:val="20"/>
          <w:szCs w:val="20"/>
          <w:color w:val="auto"/>
        </w:rPr>
        <w:t xml:space="preserve">Agreement in the form attached hereto as </w:t>
      </w:r>
      <w:r>
        <w:rPr>
          <w:rFonts w:ascii="Arial" w:cs="Arial" w:eastAsia="Arial" w:hAnsi="Arial"/>
          <w:sz w:val="20"/>
          <w:szCs w:val="20"/>
          <w:u w:val="single" w:color="auto"/>
          <w:color w:val="auto"/>
        </w:rPr>
        <w:t>Exhibit C</w:t>
      </w:r>
      <w:r>
        <w:rPr>
          <w:rFonts w:ascii="Arial" w:cs="Arial" w:eastAsia="Arial" w:hAnsi="Arial"/>
          <w:sz w:val="20"/>
          <w:szCs w:val="20"/>
          <w:color w:val="auto"/>
        </w:rPr>
        <w:t xml:space="preserve"> (“</w:t>
      </w:r>
      <w:r>
        <w:rPr>
          <w:rFonts w:ascii="Arial" w:cs="Arial" w:eastAsia="Arial" w:hAnsi="Arial"/>
          <w:sz w:val="20"/>
          <w:szCs w:val="20"/>
          <w:b w:val="1"/>
          <w:bCs w:val="1"/>
          <w:color w:val="auto"/>
        </w:rPr>
        <w:t>Affiliate Participation Agreement</w:t>
      </w:r>
      <w:r>
        <w:rPr>
          <w:rFonts w:ascii="Arial" w:cs="Arial" w:eastAsia="Arial" w:hAnsi="Arial"/>
          <w:sz w:val="20"/>
          <w:szCs w:val="20"/>
          <w:color w:val="auto"/>
        </w:rPr>
        <w:t>”).</w:t>
      </w:r>
    </w:p>
    <w:p>
      <w:pPr>
        <w:spacing w:after="0" w:line="59" w:lineRule="exact"/>
        <w:rPr>
          <w:sz w:val="20"/>
          <w:szCs w:val="20"/>
          <w:color w:val="auto"/>
        </w:rPr>
      </w:pPr>
    </w:p>
    <w:p>
      <w:pPr>
        <w:ind w:left="400"/>
        <w:spacing w:after="0" w:line="239" w:lineRule="auto"/>
        <w:rPr>
          <w:sz w:val="20"/>
          <w:szCs w:val="20"/>
          <w:color w:val="auto"/>
        </w:rPr>
      </w:pPr>
      <w:r>
        <w:rPr>
          <w:rFonts w:ascii="Arial" w:cs="Arial" w:eastAsia="Arial" w:hAnsi="Arial"/>
          <w:sz w:val="18"/>
          <w:szCs w:val="18"/>
          <w:b w:val="1"/>
          <w:bCs w:val="1"/>
          <w:color w:val="auto"/>
        </w:rPr>
        <w:t xml:space="preserve">22.8. Entire Agreement. </w:t>
      </w:r>
      <w:r>
        <w:rPr>
          <w:rFonts w:ascii="Arial" w:cs="Arial" w:eastAsia="Arial" w:hAnsi="Arial"/>
          <w:sz w:val="18"/>
          <w:szCs w:val="18"/>
          <w:color w:val="auto"/>
        </w:rPr>
        <w:t>This Agreement, together with all related exhibits and schedules, and all other agreements incorporating this</w:t>
      </w:r>
      <w:r>
        <w:rPr>
          <w:rFonts w:ascii="Arial" w:cs="Arial" w:eastAsia="Arial" w:hAnsi="Arial"/>
          <w:sz w:val="18"/>
          <w:szCs w:val="18"/>
          <w:b w:val="1"/>
          <w:bCs w:val="1"/>
          <w:color w:val="auto"/>
        </w:rPr>
        <w:t xml:space="preserve"> </w:t>
      </w:r>
      <w:r>
        <w:rPr>
          <w:rFonts w:ascii="Arial" w:cs="Arial" w:eastAsia="Arial" w:hAnsi="Arial"/>
          <w:sz w:val="18"/>
          <w:szCs w:val="18"/>
          <w:color w:val="auto"/>
        </w:rPr>
        <w:t>GTC by reference including the letter agreement dated September 1, 2022 titled “Sanyo 2170M Japan Cells for Lucid” between Lucid</w:t>
      </w:r>
    </w:p>
    <w:p>
      <w:pPr>
        <w:ind w:left="400"/>
        <w:spacing w:after="0" w:line="236" w:lineRule="auto"/>
        <w:rPr>
          <w:sz w:val="20"/>
          <w:szCs w:val="20"/>
          <w:color w:val="auto"/>
        </w:rPr>
      </w:pPr>
      <w:r>
        <w:rPr>
          <w:rFonts w:ascii="Arial" w:cs="Arial" w:eastAsia="Arial" w:hAnsi="Arial"/>
          <w:sz w:val="18"/>
          <w:szCs w:val="18"/>
          <w:color w:val="auto"/>
        </w:rPr>
        <w:t>and SANYO Electric Co., Ltd. constitute the sole and entire agreement of the Parties with respect to the subject matter contained herein</w:t>
      </w:r>
    </w:p>
    <w:p>
      <w:pPr>
        <w:ind w:left="400"/>
        <w:spacing w:after="0" w:line="220" w:lineRule="auto"/>
        <w:rPr>
          <w:sz w:val="20"/>
          <w:szCs w:val="20"/>
          <w:color w:val="auto"/>
        </w:rPr>
      </w:pPr>
      <w:r>
        <w:rPr>
          <w:rFonts w:ascii="Arial" w:cs="Arial" w:eastAsia="Arial" w:hAnsi="Arial"/>
          <w:sz w:val="20"/>
          <w:szCs w:val="20"/>
          <w:color w:val="auto"/>
        </w:rPr>
        <w:t>and supersedes all other prior and contemporaneous understandings, agreements, representations, and warranties, both written and oral, regarding such subject matter.</w:t>
      </w:r>
    </w:p>
    <w:p>
      <w:pPr>
        <w:spacing w:after="0" w:line="56" w:lineRule="exact"/>
        <w:rPr>
          <w:sz w:val="20"/>
          <w:szCs w:val="20"/>
          <w:color w:val="auto"/>
        </w:rPr>
      </w:pPr>
    </w:p>
    <w:p>
      <w:pPr>
        <w:ind w:left="400"/>
        <w:spacing w:after="0" w:line="239" w:lineRule="auto"/>
        <w:rPr>
          <w:sz w:val="20"/>
          <w:szCs w:val="20"/>
          <w:color w:val="auto"/>
        </w:rPr>
      </w:pPr>
      <w:r>
        <w:rPr>
          <w:rFonts w:ascii="Arial" w:cs="Arial" w:eastAsia="Arial" w:hAnsi="Arial"/>
          <w:sz w:val="20"/>
          <w:szCs w:val="20"/>
          <w:b w:val="1"/>
          <w:bCs w:val="1"/>
          <w:color w:val="auto"/>
        </w:rPr>
        <w:t xml:space="preserve">22.9. Execution. </w:t>
      </w:r>
      <w:r>
        <w:rPr>
          <w:rFonts w:ascii="Arial" w:cs="Arial" w:eastAsia="Arial" w:hAnsi="Arial"/>
          <w:sz w:val="20"/>
          <w:szCs w:val="20"/>
          <w:color w:val="auto"/>
        </w:rPr>
        <w:t>This Agreement may be executed in any number of counterpart originals and may be delivered and signed by</w:t>
      </w:r>
      <w:r>
        <w:rPr>
          <w:rFonts w:ascii="Arial" w:cs="Arial" w:eastAsia="Arial" w:hAnsi="Arial"/>
          <w:sz w:val="20"/>
          <w:szCs w:val="20"/>
          <w:b w:val="1"/>
          <w:bCs w:val="1"/>
          <w:color w:val="auto"/>
        </w:rPr>
        <w:t xml:space="preserve"> </w:t>
      </w:r>
      <w:r>
        <w:rPr>
          <w:rFonts w:ascii="Arial" w:cs="Arial" w:eastAsia="Arial" w:hAnsi="Arial"/>
          <w:sz w:val="20"/>
          <w:szCs w:val="20"/>
          <w:color w:val="auto"/>
        </w:rPr>
        <w:t>electronic means and such electronic copies of this Agreement shall be binding as an original.</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190500</wp:posOffset>
            </wp:positionV>
            <wp:extent cx="713232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58" w:lineRule="exact"/>
        <w:rPr>
          <w:sz w:val="20"/>
          <w:szCs w:val="20"/>
          <w:color w:val="auto"/>
        </w:rPr>
      </w:pPr>
    </w:p>
    <w:p>
      <w:pPr>
        <w:spacing w:after="0"/>
        <w:tabs>
          <w:tab w:leader="none" w:pos="1880" w:val="left"/>
        </w:tabs>
        <w:rPr>
          <w:sz w:val="20"/>
          <w:szCs w:val="20"/>
          <w:color w:val="auto"/>
        </w:rPr>
      </w:pPr>
      <w:r>
        <w:rPr>
          <w:rFonts w:ascii="Arial" w:cs="Arial" w:eastAsia="Arial" w:hAnsi="Arial"/>
          <w:sz w:val="20"/>
          <w:szCs w:val="20"/>
          <w:color w:val="auto"/>
        </w:rPr>
        <w:t>Lucid Confidential</w:t>
      </w:r>
      <w:r>
        <w:rPr>
          <w:sz w:val="20"/>
          <w:szCs w:val="20"/>
          <w:color w:val="auto"/>
        </w:rPr>
        <w:tab/>
      </w:r>
      <w:r>
        <w:rPr>
          <w:rFonts w:ascii="Arial" w:cs="Arial" w:eastAsia="Arial" w:hAnsi="Arial"/>
          <w:sz w:val="16"/>
          <w:szCs w:val="16"/>
          <w:color w:val="auto"/>
        </w:rPr>
        <w:t>Parts GTC rev. October 2020</w:t>
      </w:r>
    </w:p>
    <w:p>
      <w:pPr>
        <w:sectPr>
          <w:pgSz w:w="11900" w:h="16838" w:orient="portrait"/>
          <w:cols w:equalWidth="0" w:num="1">
            <w:col w:w="11240"/>
          </w:cols>
          <w:pgMar w:left="320" w:top="1440" w:right="339" w:bottom="1440" w:gutter="0" w:footer="0" w:header="0"/>
        </w:sectPr>
      </w:pPr>
    </w:p>
    <w:bookmarkStart w:id="150" w:name="page151"/>
    <w:bookmarkEnd w:id="150"/>
    <w:p>
      <w:pPr>
        <w:spacing w:after="0" w:line="62" w:lineRule="exact"/>
        <w:rPr>
          <w:sz w:val="20"/>
          <w:szCs w:val="20"/>
          <w:color w:val="auto"/>
        </w:rPr>
      </w:pPr>
    </w:p>
    <w:p>
      <w:pPr>
        <w:ind w:left="400"/>
        <w:spacing w:after="0"/>
        <w:tabs>
          <w:tab w:leader="none" w:pos="1080" w:val="left"/>
        </w:tabs>
        <w:rPr>
          <w:sz w:val="20"/>
          <w:szCs w:val="20"/>
          <w:color w:val="auto"/>
        </w:rPr>
      </w:pPr>
      <w:r>
        <w:rPr>
          <w:rFonts w:ascii="Arial" w:cs="Arial" w:eastAsia="Arial" w:hAnsi="Arial"/>
          <w:sz w:val="20"/>
          <w:szCs w:val="20"/>
          <w:b w:val="1"/>
          <w:bCs w:val="1"/>
          <w:color w:val="auto"/>
        </w:rPr>
        <w:t>22.10.</w:t>
      </w:r>
      <w:r>
        <w:rPr>
          <w:sz w:val="20"/>
          <w:szCs w:val="20"/>
          <w:color w:val="auto"/>
        </w:rPr>
        <w:tab/>
      </w:r>
      <w:r>
        <w:rPr>
          <w:rFonts w:ascii="Arial" w:cs="Arial" w:eastAsia="Arial" w:hAnsi="Arial"/>
          <w:sz w:val="18"/>
          <w:szCs w:val="18"/>
          <w:b w:val="1"/>
          <w:bCs w:val="1"/>
          <w:color w:val="auto"/>
        </w:rPr>
        <w:t xml:space="preserve">Governing Law. </w:t>
      </w:r>
      <w:r>
        <w:rPr>
          <w:rFonts w:ascii="Arial" w:cs="Arial" w:eastAsia="Arial" w:hAnsi="Arial"/>
          <w:sz w:val="18"/>
          <w:szCs w:val="18"/>
          <w:color w:val="auto"/>
        </w:rPr>
        <w:t>This Agreement will be governed by the laws of the State of New York, United States, excluding its rules on</w:t>
      </w:r>
    </w:p>
    <w:p>
      <w:pPr>
        <w:ind w:left="400"/>
        <w:spacing w:after="0" w:line="226" w:lineRule="auto"/>
        <w:rPr>
          <w:sz w:val="20"/>
          <w:szCs w:val="20"/>
          <w:color w:val="auto"/>
        </w:rPr>
      </w:pPr>
      <w:r>
        <w:rPr>
          <w:rFonts w:ascii="Arial" w:cs="Arial" w:eastAsia="Arial" w:hAnsi="Arial"/>
          <w:sz w:val="18"/>
          <w:szCs w:val="18"/>
          <w:color w:val="auto"/>
        </w:rPr>
        <w:t>the conflict of laws. The Parties explicitly exclude the applicability to this Agreement, the production pricing agreement and any Spot Order accepted by Supplier, Production Order and Release pursuant to this Agreement, of the United Nations Convention on the</w:t>
      </w:r>
    </w:p>
    <w:p>
      <w:pPr>
        <w:spacing w:after="0" w:line="2" w:lineRule="exact"/>
        <w:rPr>
          <w:sz w:val="20"/>
          <w:szCs w:val="20"/>
          <w:color w:val="auto"/>
        </w:rPr>
      </w:pPr>
    </w:p>
    <w:p>
      <w:pPr>
        <w:ind w:left="400"/>
        <w:spacing w:after="0"/>
        <w:rPr>
          <w:sz w:val="20"/>
          <w:szCs w:val="20"/>
          <w:color w:val="auto"/>
        </w:rPr>
      </w:pPr>
      <w:r>
        <w:rPr>
          <w:rFonts w:ascii="Arial" w:cs="Arial" w:eastAsia="Arial" w:hAnsi="Arial"/>
          <w:sz w:val="20"/>
          <w:szCs w:val="20"/>
          <w:color w:val="auto"/>
        </w:rPr>
        <w:t>Contracts for the International Sale of Goods.</w:t>
      </w:r>
    </w:p>
    <w:p>
      <w:pPr>
        <w:spacing w:after="0" w:line="59" w:lineRule="exact"/>
        <w:rPr>
          <w:sz w:val="20"/>
          <w:szCs w:val="20"/>
          <w:color w:val="auto"/>
        </w:rPr>
      </w:pPr>
    </w:p>
    <w:p>
      <w:pPr>
        <w:ind w:left="400"/>
        <w:spacing w:after="0" w:line="239" w:lineRule="auto"/>
        <w:rPr>
          <w:sz w:val="20"/>
          <w:szCs w:val="20"/>
          <w:color w:val="auto"/>
        </w:rPr>
      </w:pPr>
      <w:r>
        <w:rPr>
          <w:rFonts w:ascii="Arial" w:cs="Arial" w:eastAsia="Arial" w:hAnsi="Arial"/>
          <w:sz w:val="18"/>
          <w:szCs w:val="18"/>
          <w:b w:val="1"/>
          <w:bCs w:val="1"/>
          <w:color w:val="auto"/>
        </w:rPr>
        <w:t xml:space="preserve">22.11. Order of Precedence. </w:t>
      </w:r>
      <w:r>
        <w:rPr>
          <w:rFonts w:ascii="Arial" w:cs="Arial" w:eastAsia="Arial" w:hAnsi="Arial"/>
          <w:sz w:val="18"/>
          <w:szCs w:val="18"/>
          <w:color w:val="auto"/>
        </w:rPr>
        <w:t>In the event of a conflict between this GTC and any other document that references this GTC, unless</w:t>
      </w:r>
      <w:r>
        <w:rPr>
          <w:rFonts w:ascii="Arial" w:cs="Arial" w:eastAsia="Arial" w:hAnsi="Arial"/>
          <w:sz w:val="18"/>
          <w:szCs w:val="18"/>
          <w:b w:val="1"/>
          <w:bCs w:val="1"/>
          <w:color w:val="auto"/>
        </w:rPr>
        <w:t xml:space="preserve"> </w:t>
      </w:r>
      <w:r>
        <w:rPr>
          <w:rFonts w:ascii="Arial" w:cs="Arial" w:eastAsia="Arial" w:hAnsi="Arial"/>
          <w:sz w:val="18"/>
          <w:szCs w:val="18"/>
          <w:color w:val="auto"/>
        </w:rPr>
        <w:t>otherwise specifically agreed between the Parties in writing, the order of precedence is: (i) the applicable Spot Order accepted by</w:t>
      </w:r>
    </w:p>
    <w:p>
      <w:pPr>
        <w:ind w:left="400"/>
        <w:spacing w:after="0" w:line="236" w:lineRule="auto"/>
        <w:rPr>
          <w:sz w:val="20"/>
          <w:szCs w:val="20"/>
          <w:color w:val="auto"/>
        </w:rPr>
      </w:pPr>
      <w:r>
        <w:rPr>
          <w:rFonts w:ascii="Arial" w:cs="Arial" w:eastAsia="Arial" w:hAnsi="Arial"/>
          <w:sz w:val="18"/>
          <w:szCs w:val="18"/>
          <w:color w:val="auto"/>
        </w:rPr>
        <w:t>Supplier or Production Order; (ii) the applicable production pricing agreement; (iii) this GTC; and (iv) any other exhibits or attachments</w:t>
      </w:r>
    </w:p>
    <w:p>
      <w:pPr>
        <w:ind w:left="400"/>
        <w:spacing w:after="0" w:line="220" w:lineRule="auto"/>
        <w:rPr>
          <w:sz w:val="20"/>
          <w:szCs w:val="20"/>
          <w:color w:val="auto"/>
        </w:rPr>
      </w:pPr>
      <w:r>
        <w:rPr>
          <w:rFonts w:ascii="Arial" w:cs="Arial" w:eastAsia="Arial" w:hAnsi="Arial"/>
          <w:sz w:val="20"/>
          <w:szCs w:val="20"/>
          <w:color w:val="auto"/>
        </w:rPr>
        <w:t>to this GTC, including any SOW, except that the terms of this GTC regarding Warranty (Section 5.8(b)), Limitation of Liability (Section 10) and Confidentiality (Section 11) shall prevail over the terms of any other document.</w:t>
      </w:r>
    </w:p>
    <w:p>
      <w:pPr>
        <w:spacing w:after="0" w:line="50" w:lineRule="exact"/>
        <w:rPr>
          <w:sz w:val="20"/>
          <w:szCs w:val="20"/>
          <w:color w:val="auto"/>
        </w:rPr>
      </w:pPr>
    </w:p>
    <w:p>
      <w:pPr>
        <w:ind w:left="400"/>
        <w:spacing w:after="0"/>
        <w:tabs>
          <w:tab w:leader="none" w:pos="1100" w:val="left"/>
        </w:tabs>
        <w:rPr>
          <w:sz w:val="20"/>
          <w:szCs w:val="20"/>
          <w:color w:val="auto"/>
        </w:rPr>
      </w:pPr>
      <w:r>
        <w:rPr>
          <w:rFonts w:ascii="Arial" w:cs="Arial" w:eastAsia="Arial" w:hAnsi="Arial"/>
          <w:sz w:val="20"/>
          <w:szCs w:val="20"/>
          <w:b w:val="1"/>
          <w:bCs w:val="1"/>
          <w:color w:val="auto"/>
        </w:rPr>
        <w:t>22.12.</w:t>
      </w:r>
      <w:r>
        <w:rPr>
          <w:sz w:val="20"/>
          <w:szCs w:val="20"/>
          <w:color w:val="auto"/>
        </w:rPr>
        <w:tab/>
      </w:r>
      <w:r>
        <w:rPr>
          <w:rFonts w:ascii="Arial" w:cs="Arial" w:eastAsia="Arial" w:hAnsi="Arial"/>
          <w:sz w:val="18"/>
          <w:szCs w:val="18"/>
          <w:b w:val="1"/>
          <w:bCs w:val="1"/>
          <w:color w:val="auto"/>
        </w:rPr>
        <w:t xml:space="preserve">Relationship of Parties. </w:t>
      </w:r>
      <w:r>
        <w:rPr>
          <w:rFonts w:ascii="Arial" w:cs="Arial" w:eastAsia="Arial" w:hAnsi="Arial"/>
          <w:sz w:val="18"/>
          <w:szCs w:val="18"/>
          <w:color w:val="auto"/>
        </w:rPr>
        <w:t>Nothing in this Agreement creates a joint venture, partnership, or other form of business association</w:t>
      </w:r>
    </w:p>
    <w:p>
      <w:pPr>
        <w:ind w:left="400"/>
        <w:spacing w:after="0" w:line="220" w:lineRule="auto"/>
        <w:rPr>
          <w:sz w:val="20"/>
          <w:szCs w:val="20"/>
          <w:color w:val="auto"/>
        </w:rPr>
      </w:pPr>
      <w:r>
        <w:rPr>
          <w:rFonts w:ascii="Arial" w:cs="Arial" w:eastAsia="Arial" w:hAnsi="Arial"/>
          <w:sz w:val="20"/>
          <w:szCs w:val="20"/>
          <w:color w:val="auto"/>
        </w:rPr>
        <w:t>between the Parties. Neither Party shall act in a manner that expresses or implies a relationship other than that of independent contractor, nor bind the other Party.</w:t>
      </w:r>
    </w:p>
    <w:p>
      <w:pPr>
        <w:spacing w:after="0" w:line="50" w:lineRule="exact"/>
        <w:rPr>
          <w:sz w:val="20"/>
          <w:szCs w:val="20"/>
          <w:color w:val="auto"/>
        </w:rPr>
      </w:pPr>
    </w:p>
    <w:p>
      <w:pPr>
        <w:ind w:left="400"/>
        <w:spacing w:after="0"/>
        <w:tabs>
          <w:tab w:leader="none" w:pos="1120" w:val="left"/>
        </w:tabs>
        <w:rPr>
          <w:sz w:val="20"/>
          <w:szCs w:val="20"/>
          <w:color w:val="auto"/>
        </w:rPr>
      </w:pPr>
      <w:r>
        <w:rPr>
          <w:rFonts w:ascii="Arial" w:cs="Arial" w:eastAsia="Arial" w:hAnsi="Arial"/>
          <w:sz w:val="20"/>
          <w:szCs w:val="20"/>
          <w:b w:val="1"/>
          <w:bCs w:val="1"/>
          <w:color w:val="auto"/>
        </w:rPr>
        <w:t>22.13.</w:t>
      </w:r>
      <w:r>
        <w:rPr>
          <w:sz w:val="20"/>
          <w:szCs w:val="20"/>
          <w:color w:val="auto"/>
        </w:rPr>
        <w:tab/>
      </w:r>
      <w:r>
        <w:rPr>
          <w:rFonts w:ascii="Arial" w:cs="Arial" w:eastAsia="Arial" w:hAnsi="Arial"/>
          <w:sz w:val="18"/>
          <w:szCs w:val="18"/>
          <w:b w:val="1"/>
          <w:bCs w:val="1"/>
          <w:color w:val="auto"/>
        </w:rPr>
        <w:t xml:space="preserve">Severability. </w:t>
      </w:r>
      <w:r>
        <w:rPr>
          <w:rFonts w:ascii="Arial" w:cs="Arial" w:eastAsia="Arial" w:hAnsi="Arial"/>
          <w:sz w:val="18"/>
          <w:szCs w:val="18"/>
          <w:color w:val="auto"/>
        </w:rPr>
        <w:t>If one or more provisions of this Agreement or the production pricing agreement are held to be unenforceable,</w:t>
      </w:r>
    </w:p>
    <w:p>
      <w:pPr>
        <w:ind w:left="400"/>
        <w:spacing w:after="0" w:line="226" w:lineRule="auto"/>
        <w:rPr>
          <w:sz w:val="20"/>
          <w:szCs w:val="20"/>
          <w:color w:val="auto"/>
        </w:rPr>
      </w:pPr>
      <w:r>
        <w:rPr>
          <w:rFonts w:ascii="Arial" w:cs="Arial" w:eastAsia="Arial" w:hAnsi="Arial"/>
          <w:sz w:val="18"/>
          <w:szCs w:val="18"/>
          <w:color w:val="auto"/>
        </w:rPr>
        <w:t>then such provision shall be excluded from this Agreement production pricing agreement and the balance of the Agreement shall be enforceable in accordance with its terms. Each Party will be entitled to seek equitable relief, including injunction, in order to protect its</w:t>
      </w:r>
    </w:p>
    <w:p>
      <w:pPr>
        <w:ind w:left="400"/>
        <w:spacing w:after="0" w:line="236" w:lineRule="auto"/>
        <w:rPr>
          <w:sz w:val="20"/>
          <w:szCs w:val="20"/>
          <w:color w:val="auto"/>
        </w:rPr>
      </w:pPr>
      <w:r>
        <w:rPr>
          <w:rFonts w:ascii="Arial" w:cs="Arial" w:eastAsia="Arial" w:hAnsi="Arial"/>
          <w:sz w:val="18"/>
          <w:szCs w:val="18"/>
          <w:color w:val="auto"/>
        </w:rPr>
        <w:t>Confidential Information and other Intellectual Property Rights. The failure of either Party to enforce any right resulting from breach of</w:t>
      </w:r>
    </w:p>
    <w:p>
      <w:pPr>
        <w:spacing w:after="0" w:line="1" w:lineRule="exact"/>
        <w:rPr>
          <w:sz w:val="20"/>
          <w:szCs w:val="20"/>
          <w:color w:val="auto"/>
        </w:rPr>
      </w:pPr>
    </w:p>
    <w:p>
      <w:pPr>
        <w:ind w:left="400"/>
        <w:spacing w:after="0" w:line="220" w:lineRule="auto"/>
        <w:rPr>
          <w:sz w:val="20"/>
          <w:szCs w:val="20"/>
          <w:color w:val="auto"/>
        </w:rPr>
      </w:pPr>
      <w:r>
        <w:rPr>
          <w:rFonts w:ascii="Arial" w:cs="Arial" w:eastAsia="Arial" w:hAnsi="Arial"/>
          <w:sz w:val="20"/>
          <w:szCs w:val="20"/>
          <w:color w:val="auto"/>
        </w:rPr>
        <w:t>any provision of this Agreement or the applicable production pricing agreement by the other Party will not be deemed a waiver of any right relating to such breach or any subsequent breach of such provision or of any other right hereunder.</w:t>
      </w:r>
    </w:p>
    <w:p>
      <w:pPr>
        <w:spacing w:after="0" w:line="56" w:lineRule="exact"/>
        <w:rPr>
          <w:sz w:val="20"/>
          <w:szCs w:val="20"/>
          <w:color w:val="auto"/>
        </w:rPr>
      </w:pPr>
    </w:p>
    <w:p>
      <w:pPr>
        <w:ind w:left="400"/>
        <w:spacing w:after="0" w:line="239" w:lineRule="auto"/>
        <w:rPr>
          <w:sz w:val="20"/>
          <w:szCs w:val="20"/>
          <w:color w:val="auto"/>
        </w:rPr>
      </w:pPr>
      <w:r>
        <w:rPr>
          <w:rFonts w:ascii="Arial" w:cs="Arial" w:eastAsia="Arial" w:hAnsi="Arial"/>
          <w:sz w:val="18"/>
          <w:szCs w:val="18"/>
          <w:b w:val="1"/>
          <w:bCs w:val="1"/>
          <w:color w:val="auto"/>
        </w:rPr>
        <w:t xml:space="preserve">22.14. Subcontracting. </w:t>
      </w:r>
      <w:r>
        <w:rPr>
          <w:rFonts w:ascii="Arial" w:cs="Arial" w:eastAsia="Arial" w:hAnsi="Arial"/>
          <w:sz w:val="18"/>
          <w:szCs w:val="18"/>
          <w:color w:val="auto"/>
        </w:rPr>
        <w:t>Supplier must not subcontract any of its obligations under this Agreement without the prior written consent of</w:t>
      </w:r>
      <w:r>
        <w:rPr>
          <w:rFonts w:ascii="Arial" w:cs="Arial" w:eastAsia="Arial" w:hAnsi="Arial"/>
          <w:sz w:val="18"/>
          <w:szCs w:val="18"/>
          <w:b w:val="1"/>
          <w:bCs w:val="1"/>
          <w:color w:val="auto"/>
        </w:rPr>
        <w:t xml:space="preserve"> </w:t>
      </w:r>
      <w:r>
        <w:rPr>
          <w:rFonts w:ascii="Arial" w:cs="Arial" w:eastAsia="Arial" w:hAnsi="Arial"/>
          <w:sz w:val="18"/>
          <w:szCs w:val="18"/>
          <w:color w:val="auto"/>
        </w:rPr>
        <w:t>Lucid except to Supplier’s Affiliate, in which case Supplier remains responsible for such obligations. Any consent of Lucid will not</w:t>
      </w:r>
    </w:p>
    <w:p>
      <w:pPr>
        <w:spacing w:after="0" w:line="1" w:lineRule="exact"/>
        <w:rPr>
          <w:sz w:val="20"/>
          <w:szCs w:val="20"/>
          <w:color w:val="auto"/>
        </w:rPr>
      </w:pPr>
    </w:p>
    <w:p>
      <w:pPr>
        <w:ind w:left="400"/>
        <w:spacing w:after="0" w:line="227" w:lineRule="auto"/>
        <w:rPr>
          <w:sz w:val="20"/>
          <w:szCs w:val="20"/>
          <w:color w:val="auto"/>
        </w:rPr>
      </w:pPr>
      <w:r>
        <w:rPr>
          <w:rFonts w:ascii="Arial" w:cs="Arial" w:eastAsia="Arial" w:hAnsi="Arial"/>
          <w:sz w:val="20"/>
          <w:szCs w:val="20"/>
          <w:color w:val="auto"/>
        </w:rPr>
        <w:t>release Supplier from or limit any of Supplier’s obligations under this Agreement. Supplier warrants and guarantees that all subcontractors’ performances will satisfy all requirements applicable to Supplier under this Agreement.</w:t>
      </w:r>
    </w:p>
    <w:p>
      <w:pPr>
        <w:spacing w:after="0" w:line="42" w:lineRule="exact"/>
        <w:rPr>
          <w:sz w:val="20"/>
          <w:szCs w:val="20"/>
          <w:color w:val="auto"/>
        </w:rPr>
      </w:pPr>
    </w:p>
    <w:p>
      <w:pPr>
        <w:ind w:left="400"/>
        <w:spacing w:after="0" w:line="247" w:lineRule="auto"/>
        <w:rPr>
          <w:sz w:val="20"/>
          <w:szCs w:val="20"/>
          <w:color w:val="auto"/>
        </w:rPr>
      </w:pPr>
      <w:r>
        <w:rPr>
          <w:rFonts w:ascii="Arial" w:cs="Arial" w:eastAsia="Arial" w:hAnsi="Arial"/>
          <w:sz w:val="18"/>
          <w:szCs w:val="18"/>
          <w:b w:val="1"/>
          <w:bCs w:val="1"/>
          <w:color w:val="auto"/>
        </w:rPr>
        <w:t xml:space="preserve">22.15. Survival. </w:t>
      </w:r>
      <w:r>
        <w:rPr>
          <w:rFonts w:ascii="Arial" w:cs="Arial" w:eastAsia="Arial" w:hAnsi="Arial"/>
          <w:sz w:val="18"/>
          <w:szCs w:val="18"/>
          <w:color w:val="auto"/>
        </w:rPr>
        <w:t>The obligations, covenants, and agreements of each Party under this Agreement that by their nature are intended to</w:t>
      </w:r>
      <w:r>
        <w:rPr>
          <w:rFonts w:ascii="Arial" w:cs="Arial" w:eastAsia="Arial" w:hAnsi="Arial"/>
          <w:sz w:val="18"/>
          <w:szCs w:val="18"/>
          <w:b w:val="1"/>
          <w:bCs w:val="1"/>
          <w:color w:val="auto"/>
        </w:rPr>
        <w:t xml:space="preserve"> </w:t>
      </w:r>
      <w:r>
        <w:rPr>
          <w:rFonts w:ascii="Arial" w:cs="Arial" w:eastAsia="Arial" w:hAnsi="Arial"/>
          <w:sz w:val="18"/>
          <w:szCs w:val="18"/>
          <w:color w:val="auto"/>
        </w:rPr>
        <w:t>survive the expiration or termination of the Agreement, including those contained in Sections 2.11 (Prohibition on Cell Resale), Sections</w:t>
      </w:r>
    </w:p>
    <w:p>
      <w:pPr>
        <w:ind w:left="400"/>
        <w:spacing w:after="0" w:line="220" w:lineRule="auto"/>
        <w:rPr>
          <w:sz w:val="20"/>
          <w:szCs w:val="20"/>
          <w:color w:val="auto"/>
        </w:rPr>
      </w:pPr>
      <w:r>
        <w:rPr>
          <w:rFonts w:ascii="Arial" w:cs="Arial" w:eastAsia="Arial" w:hAnsi="Arial"/>
          <w:sz w:val="18"/>
          <w:szCs w:val="18"/>
          <w:color w:val="auto"/>
        </w:rPr>
        <w:t>4 (Service and Support), 5 (Quality), 6 (Warranty), 7 (Remedies), 9 (Indemnification), 10 (Limitation of Liability), 11 (Confidentiality),</w:t>
      </w:r>
    </w:p>
    <w:p>
      <w:pPr>
        <w:jc w:val="both"/>
        <w:ind w:left="400"/>
        <w:spacing w:after="0" w:line="222" w:lineRule="auto"/>
        <w:rPr>
          <w:sz w:val="20"/>
          <w:szCs w:val="20"/>
          <w:color w:val="auto"/>
        </w:rPr>
      </w:pPr>
      <w:r>
        <w:rPr>
          <w:rFonts w:ascii="Arial" w:cs="Arial" w:eastAsia="Arial" w:hAnsi="Arial"/>
          <w:sz w:val="20"/>
          <w:szCs w:val="20"/>
          <w:color w:val="auto"/>
        </w:rPr>
        <w:t>12 (Term and Termination), 13 (Obligations Upon Termination), 16 (Intellectual Property), 18 (Audits, Inspection, Reports), 19 (Publicity; Use of Lucid Name; Third Party Sales), 21 (Compliance with Laws; Forced Labor), and 22 (Miscellaneous) shall survive the expiration or termination of the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190500</wp:posOffset>
            </wp:positionV>
            <wp:extent cx="713232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58" w:lineRule="exact"/>
        <w:rPr>
          <w:sz w:val="20"/>
          <w:szCs w:val="20"/>
          <w:color w:val="auto"/>
        </w:rPr>
      </w:pPr>
    </w:p>
    <w:p>
      <w:pPr>
        <w:spacing w:after="0"/>
        <w:tabs>
          <w:tab w:leader="none" w:pos="1880" w:val="left"/>
        </w:tabs>
        <w:rPr>
          <w:sz w:val="20"/>
          <w:szCs w:val="20"/>
          <w:color w:val="auto"/>
        </w:rPr>
      </w:pPr>
      <w:r>
        <w:rPr>
          <w:rFonts w:ascii="Arial" w:cs="Arial" w:eastAsia="Arial" w:hAnsi="Arial"/>
          <w:sz w:val="20"/>
          <w:szCs w:val="20"/>
          <w:color w:val="auto"/>
        </w:rPr>
        <w:t>Lucid Confidential</w:t>
      </w:r>
      <w:r>
        <w:rPr>
          <w:sz w:val="20"/>
          <w:szCs w:val="20"/>
          <w:color w:val="auto"/>
        </w:rPr>
        <w:tab/>
      </w:r>
      <w:r>
        <w:rPr>
          <w:rFonts w:ascii="Arial" w:cs="Arial" w:eastAsia="Arial" w:hAnsi="Arial"/>
          <w:sz w:val="16"/>
          <w:szCs w:val="16"/>
          <w:color w:val="auto"/>
        </w:rPr>
        <w:t>Parts GTC rev. October 2020</w:t>
      </w:r>
    </w:p>
    <w:p>
      <w:pPr>
        <w:sectPr>
          <w:pgSz w:w="11900" w:h="16838" w:orient="portrait"/>
          <w:cols w:equalWidth="0" w:num="1">
            <w:col w:w="11240"/>
          </w:cols>
          <w:pgMar w:left="320" w:top="1440" w:right="339" w:bottom="1440" w:gutter="0" w:footer="0" w:header="0"/>
        </w:sectPr>
      </w:pPr>
    </w:p>
    <w:bookmarkStart w:id="151" w:name="page152"/>
    <w:bookmarkEnd w:id="151"/>
    <w:p>
      <w:pPr>
        <w:spacing w:after="0" w:line="74" w:lineRule="exact"/>
        <w:rPr>
          <w:sz w:val="20"/>
          <w:szCs w:val="20"/>
          <w:color w:val="auto"/>
        </w:rPr>
      </w:pPr>
    </w:p>
    <w:p>
      <w:pPr>
        <w:ind w:left="20"/>
        <w:spacing w:after="0"/>
        <w:rPr>
          <w:sz w:val="20"/>
          <w:szCs w:val="20"/>
          <w:color w:val="auto"/>
        </w:rPr>
      </w:pPr>
      <w:r>
        <w:rPr>
          <w:rFonts w:ascii="Arial" w:cs="Arial" w:eastAsia="Arial" w:hAnsi="Arial"/>
          <w:sz w:val="16"/>
          <w:szCs w:val="16"/>
          <w:color w:val="auto"/>
        </w:rPr>
        <w:t>By signing below, each Party agrees to be bound by the terms and conditions of this GTC as of the Effective Date referenced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339725</wp:posOffset>
            </wp:positionV>
            <wp:extent cx="7140575" cy="186880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31">
                      <a:extLst>
                        <a:ext uri="{28A0092B-C50C-407E-A947-70E740481C1C}"/>
                      </a:extLst>
                    </a:blip>
                    <a:srcRect/>
                    <a:stretch>
                      <a:fillRect/>
                    </a:stretch>
                  </pic:blipFill>
                  <pic:spPr bwMode="auto">
                    <a:xfrm>
                      <a:off x="0" y="0"/>
                      <a:ext cx="7140575" cy="1868805"/>
                    </a:xfrm>
                    <a:prstGeom prst="rect">
                      <a:avLst/>
                    </a:prstGeom>
                    <a:noFill/>
                  </pic:spPr>
                </pic:pic>
              </a:graphicData>
            </a:graphic>
          </wp:anchor>
        </w:drawing>
      </w:r>
    </w:p>
    <w:p>
      <w:pPr>
        <w:sectPr>
          <w:pgSz w:w="11900" w:h="16838" w:orient="portrait"/>
          <w:cols w:equalWidth="0" w:num="1">
            <w:col w:w="10880"/>
          </w:cols>
          <w:pgMar w:left="320" w:top="1440" w:right="699" w:bottom="1440" w:gutter="0" w:footer="0" w:header="0"/>
        </w:sectPr>
      </w:pPr>
    </w:p>
    <w:p>
      <w:pPr>
        <w:spacing w:after="0" w:line="200" w:lineRule="exact"/>
        <w:rPr>
          <w:sz w:val="20"/>
          <w:szCs w:val="20"/>
          <w:color w:val="auto"/>
        </w:rPr>
      </w:pPr>
    </w:p>
    <w:p>
      <w:pPr>
        <w:spacing w:after="0" w:line="339" w:lineRule="exact"/>
        <w:rPr>
          <w:sz w:val="20"/>
          <w:szCs w:val="20"/>
          <w:color w:val="auto"/>
        </w:rPr>
      </w:pPr>
    </w:p>
    <w:tbl>
      <w:tblPr>
        <w:tblLayout w:type="fixed"/>
        <w:tblInd w:w="80" w:type="dxa"/>
        <w:tblCellMar>
          <w:top w:w="0" w:type="dxa"/>
          <w:left w:w="0" w:type="dxa"/>
          <w:bottom w:w="0" w:type="dxa"/>
          <w:right w:w="0" w:type="dxa"/>
        </w:tblCellMar>
      </w:tblPr>
      <w:tr>
        <w:trPr>
          <w:trHeight w:val="256"/>
        </w:trPr>
        <w:tc>
          <w:tcPr>
            <w:tcW w:w="1020" w:type="dxa"/>
            <w:vAlign w:val="bottom"/>
          </w:tcPr>
          <w:p>
            <w:pPr>
              <w:spacing w:after="0"/>
              <w:rPr>
                <w:sz w:val="22"/>
                <w:szCs w:val="22"/>
                <w:color w:val="auto"/>
              </w:rPr>
            </w:pPr>
          </w:p>
        </w:tc>
        <w:tc>
          <w:tcPr>
            <w:tcW w:w="3940" w:type="dxa"/>
            <w:vAlign w:val="bottom"/>
          </w:tcPr>
          <w:p>
            <w:pPr>
              <w:ind w:left="1240"/>
              <w:spacing w:after="0"/>
              <w:rPr>
                <w:sz w:val="20"/>
                <w:szCs w:val="20"/>
                <w:color w:val="auto"/>
              </w:rPr>
            </w:pPr>
            <w:r>
              <w:rPr>
                <w:rFonts w:ascii="Arial" w:cs="Arial" w:eastAsia="Arial" w:hAnsi="Arial"/>
                <w:sz w:val="20"/>
                <w:szCs w:val="20"/>
                <w:b w:val="1"/>
                <w:bCs w:val="1"/>
                <w:color w:val="auto"/>
              </w:rPr>
              <w:t>Supplier</w:t>
            </w:r>
          </w:p>
        </w:tc>
        <w:tc>
          <w:tcPr>
            <w:tcW w:w="0" w:type="dxa"/>
            <w:vAlign w:val="bottom"/>
          </w:tcPr>
          <w:p>
            <w:pPr>
              <w:spacing w:after="0"/>
              <w:rPr>
                <w:sz w:val="1"/>
                <w:szCs w:val="1"/>
                <w:color w:val="auto"/>
              </w:rPr>
            </w:pPr>
          </w:p>
        </w:tc>
      </w:tr>
      <w:tr>
        <w:trPr>
          <w:trHeight w:val="364"/>
        </w:trPr>
        <w:tc>
          <w:tcPr>
            <w:tcW w:w="1020" w:type="dxa"/>
            <w:vAlign w:val="bottom"/>
          </w:tcPr>
          <w:p>
            <w:pPr>
              <w:spacing w:after="0"/>
              <w:rPr>
                <w:sz w:val="20"/>
                <w:szCs w:val="20"/>
                <w:color w:val="auto"/>
              </w:rPr>
            </w:pPr>
            <w:r>
              <w:rPr>
                <w:rFonts w:ascii="Arial" w:cs="Arial" w:eastAsia="Arial" w:hAnsi="Arial"/>
                <w:sz w:val="20"/>
                <w:szCs w:val="20"/>
                <w:color w:val="auto"/>
              </w:rPr>
              <w:t>By:</w:t>
            </w:r>
          </w:p>
        </w:tc>
        <w:tc>
          <w:tcPr>
            <w:tcW w:w="3940" w:type="dxa"/>
            <w:vAlign w:val="bottom"/>
          </w:tcPr>
          <w:p>
            <w:pPr>
              <w:ind w:left="60"/>
              <w:spacing w:after="0"/>
              <w:rPr>
                <w:sz w:val="20"/>
                <w:szCs w:val="20"/>
                <w:color w:val="auto"/>
              </w:rPr>
            </w:pPr>
            <w:r>
              <w:rPr>
                <w:rFonts w:ascii="Arial" w:cs="Arial" w:eastAsia="Arial" w:hAnsi="Arial"/>
                <w:sz w:val="20"/>
                <w:szCs w:val="20"/>
                <w:color w:val="auto"/>
              </w:rPr>
              <w:t>/s/ Yasuaki Takamoto</w:t>
            </w:r>
          </w:p>
        </w:tc>
        <w:tc>
          <w:tcPr>
            <w:tcW w:w="0" w:type="dxa"/>
            <w:vAlign w:val="bottom"/>
          </w:tcPr>
          <w:p>
            <w:pPr>
              <w:spacing w:after="0"/>
              <w:rPr>
                <w:sz w:val="1"/>
                <w:szCs w:val="1"/>
                <w:color w:val="auto"/>
              </w:rPr>
            </w:pPr>
          </w:p>
        </w:tc>
      </w:tr>
      <w:tr>
        <w:trPr>
          <w:trHeight w:val="118"/>
        </w:trPr>
        <w:tc>
          <w:tcPr>
            <w:tcW w:w="1020" w:type="dxa"/>
            <w:vAlign w:val="bottom"/>
            <w:vMerge w:val="restart"/>
          </w:tcPr>
          <w:p>
            <w:pPr>
              <w:spacing w:after="0"/>
              <w:rPr>
                <w:sz w:val="20"/>
                <w:szCs w:val="20"/>
                <w:color w:val="auto"/>
              </w:rPr>
            </w:pPr>
            <w:r>
              <w:rPr>
                <w:rFonts w:ascii="Arial" w:cs="Arial" w:eastAsia="Arial" w:hAnsi="Arial"/>
                <w:sz w:val="20"/>
                <w:szCs w:val="20"/>
                <w:color w:val="auto"/>
              </w:rPr>
              <w:t>Printed:</w:t>
            </w:r>
          </w:p>
        </w:tc>
        <w:tc>
          <w:tcPr>
            <w:tcW w:w="39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7"/>
        </w:trPr>
        <w:tc>
          <w:tcPr>
            <w:tcW w:w="1020" w:type="dxa"/>
            <w:vAlign w:val="bottom"/>
            <w:vMerge w:val="continue"/>
          </w:tcPr>
          <w:p>
            <w:pPr>
              <w:spacing w:after="0"/>
              <w:rPr>
                <w:sz w:val="19"/>
                <w:szCs w:val="19"/>
                <w:color w:val="auto"/>
              </w:rPr>
            </w:pPr>
          </w:p>
        </w:tc>
        <w:tc>
          <w:tcPr>
            <w:tcW w:w="3940" w:type="dxa"/>
            <w:vAlign w:val="bottom"/>
            <w:vMerge w:val="restart"/>
          </w:tcPr>
          <w:p>
            <w:pPr>
              <w:ind w:left="60"/>
              <w:spacing w:after="0"/>
              <w:rPr>
                <w:sz w:val="20"/>
                <w:szCs w:val="20"/>
                <w:color w:val="auto"/>
              </w:rPr>
            </w:pPr>
            <w:r>
              <w:rPr>
                <w:rFonts w:ascii="Arial" w:cs="Arial" w:eastAsia="Arial" w:hAnsi="Arial"/>
                <w:sz w:val="20"/>
                <w:szCs w:val="20"/>
                <w:color w:val="auto"/>
              </w:rPr>
              <w:t>Yasuaki Takamoto</w:t>
            </w:r>
          </w:p>
        </w:tc>
        <w:tc>
          <w:tcPr>
            <w:tcW w:w="0" w:type="dxa"/>
            <w:vAlign w:val="bottom"/>
          </w:tcPr>
          <w:p>
            <w:pPr>
              <w:spacing w:after="0"/>
              <w:rPr>
                <w:sz w:val="1"/>
                <w:szCs w:val="1"/>
                <w:color w:val="auto"/>
              </w:rPr>
            </w:pPr>
          </w:p>
        </w:tc>
      </w:tr>
      <w:tr>
        <w:trPr>
          <w:trHeight w:val="122"/>
        </w:trPr>
        <w:tc>
          <w:tcPr>
            <w:tcW w:w="1020" w:type="dxa"/>
            <w:vAlign w:val="bottom"/>
          </w:tcPr>
          <w:p>
            <w:pPr>
              <w:spacing w:after="0"/>
              <w:rPr>
                <w:sz w:val="10"/>
                <w:szCs w:val="10"/>
                <w:color w:val="auto"/>
              </w:rPr>
            </w:pPr>
          </w:p>
        </w:tc>
        <w:tc>
          <w:tcPr>
            <w:tcW w:w="39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1020" w:type="dxa"/>
            <w:vAlign w:val="bottom"/>
            <w:vMerge w:val="restart"/>
          </w:tcPr>
          <w:p>
            <w:pPr>
              <w:spacing w:after="0"/>
              <w:rPr>
                <w:sz w:val="20"/>
                <w:szCs w:val="20"/>
                <w:color w:val="auto"/>
              </w:rPr>
            </w:pPr>
            <w:r>
              <w:rPr>
                <w:rFonts w:ascii="Arial" w:cs="Arial" w:eastAsia="Arial" w:hAnsi="Arial"/>
                <w:sz w:val="20"/>
                <w:szCs w:val="20"/>
                <w:color w:val="auto"/>
              </w:rPr>
              <w:t>Title:</w:t>
            </w:r>
          </w:p>
        </w:tc>
        <w:tc>
          <w:tcPr>
            <w:tcW w:w="39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7"/>
        </w:trPr>
        <w:tc>
          <w:tcPr>
            <w:tcW w:w="1020" w:type="dxa"/>
            <w:vAlign w:val="bottom"/>
            <w:vMerge w:val="continue"/>
          </w:tcPr>
          <w:p>
            <w:pPr>
              <w:spacing w:after="0"/>
              <w:rPr>
                <w:sz w:val="19"/>
                <w:szCs w:val="19"/>
                <w:color w:val="auto"/>
              </w:rPr>
            </w:pPr>
          </w:p>
        </w:tc>
        <w:tc>
          <w:tcPr>
            <w:tcW w:w="3940" w:type="dxa"/>
            <w:vAlign w:val="bottom"/>
            <w:vMerge w:val="restart"/>
          </w:tcPr>
          <w:p>
            <w:pPr>
              <w:ind w:left="60"/>
              <w:spacing w:after="0"/>
              <w:rPr>
                <w:sz w:val="20"/>
                <w:szCs w:val="20"/>
                <w:color w:val="auto"/>
              </w:rPr>
            </w:pPr>
            <w:r>
              <w:rPr>
                <w:rFonts w:ascii="Arial" w:cs="Arial" w:eastAsia="Arial" w:hAnsi="Arial"/>
                <w:sz w:val="20"/>
                <w:szCs w:val="20"/>
                <w:color w:val="auto"/>
              </w:rPr>
              <w:t>President</w:t>
            </w:r>
          </w:p>
        </w:tc>
        <w:tc>
          <w:tcPr>
            <w:tcW w:w="0" w:type="dxa"/>
            <w:vAlign w:val="bottom"/>
          </w:tcPr>
          <w:p>
            <w:pPr>
              <w:spacing w:after="0"/>
              <w:rPr>
                <w:sz w:val="1"/>
                <w:szCs w:val="1"/>
                <w:color w:val="auto"/>
              </w:rPr>
            </w:pPr>
          </w:p>
        </w:tc>
      </w:tr>
      <w:tr>
        <w:trPr>
          <w:trHeight w:val="121"/>
        </w:trPr>
        <w:tc>
          <w:tcPr>
            <w:tcW w:w="1020" w:type="dxa"/>
            <w:vAlign w:val="bottom"/>
          </w:tcPr>
          <w:p>
            <w:pPr>
              <w:spacing w:after="0"/>
              <w:rPr>
                <w:sz w:val="10"/>
                <w:szCs w:val="10"/>
                <w:color w:val="auto"/>
              </w:rPr>
            </w:pPr>
          </w:p>
        </w:tc>
        <w:tc>
          <w:tcPr>
            <w:tcW w:w="39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1020" w:type="dxa"/>
            <w:vAlign w:val="bottom"/>
            <w:vMerge w:val="restart"/>
          </w:tcPr>
          <w:p>
            <w:pPr>
              <w:spacing w:after="0"/>
              <w:rPr>
                <w:sz w:val="20"/>
                <w:szCs w:val="20"/>
                <w:color w:val="auto"/>
              </w:rPr>
            </w:pPr>
            <w:r>
              <w:rPr>
                <w:rFonts w:ascii="Arial" w:cs="Arial" w:eastAsia="Arial" w:hAnsi="Arial"/>
                <w:sz w:val="20"/>
                <w:szCs w:val="20"/>
                <w:color w:val="auto"/>
              </w:rPr>
              <w:t>Date:</w:t>
            </w:r>
          </w:p>
        </w:tc>
        <w:tc>
          <w:tcPr>
            <w:tcW w:w="39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7"/>
        </w:trPr>
        <w:tc>
          <w:tcPr>
            <w:tcW w:w="1020" w:type="dxa"/>
            <w:vAlign w:val="bottom"/>
            <w:vMerge w:val="continue"/>
          </w:tcPr>
          <w:p>
            <w:pPr>
              <w:spacing w:after="0"/>
              <w:rPr>
                <w:sz w:val="19"/>
                <w:szCs w:val="19"/>
                <w:color w:val="auto"/>
              </w:rPr>
            </w:pPr>
          </w:p>
        </w:tc>
        <w:tc>
          <w:tcPr>
            <w:tcW w:w="3940" w:type="dxa"/>
            <w:vAlign w:val="bottom"/>
            <w:vMerge w:val="restart"/>
          </w:tcPr>
          <w:p>
            <w:pPr>
              <w:ind w:left="60"/>
              <w:spacing w:after="0"/>
              <w:rPr>
                <w:sz w:val="20"/>
                <w:szCs w:val="20"/>
                <w:color w:val="auto"/>
              </w:rPr>
            </w:pPr>
            <w:r>
              <w:rPr>
                <w:rFonts w:ascii="Arial" w:cs="Arial" w:eastAsia="Arial" w:hAnsi="Arial"/>
                <w:sz w:val="20"/>
                <w:szCs w:val="20"/>
                <w:color w:val="auto"/>
              </w:rPr>
              <w:t>Dec 7, 2022</w:t>
            </w:r>
          </w:p>
        </w:tc>
        <w:tc>
          <w:tcPr>
            <w:tcW w:w="0" w:type="dxa"/>
            <w:vAlign w:val="bottom"/>
          </w:tcPr>
          <w:p>
            <w:pPr>
              <w:spacing w:after="0"/>
              <w:rPr>
                <w:sz w:val="1"/>
                <w:szCs w:val="1"/>
                <w:color w:val="auto"/>
              </w:rPr>
            </w:pPr>
          </w:p>
        </w:tc>
      </w:tr>
      <w:tr>
        <w:trPr>
          <w:trHeight w:val="122"/>
        </w:trPr>
        <w:tc>
          <w:tcPr>
            <w:tcW w:w="1020" w:type="dxa"/>
            <w:vAlign w:val="bottom"/>
          </w:tcPr>
          <w:p>
            <w:pPr>
              <w:spacing w:after="0"/>
              <w:rPr>
                <w:sz w:val="10"/>
                <w:szCs w:val="10"/>
                <w:color w:val="auto"/>
              </w:rPr>
            </w:pPr>
          </w:p>
        </w:tc>
        <w:tc>
          <w:tcPr>
            <w:tcW w:w="39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1020" w:type="dxa"/>
            <w:vAlign w:val="bottom"/>
          </w:tcPr>
          <w:p>
            <w:pPr>
              <w:spacing w:after="0"/>
              <w:rPr>
                <w:sz w:val="10"/>
                <w:szCs w:val="10"/>
                <w:color w:val="auto"/>
              </w:rPr>
            </w:pPr>
          </w:p>
        </w:tc>
        <w:tc>
          <w:tcPr>
            <w:tcW w:w="39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40" w:lineRule="exact"/>
        <w:rPr>
          <w:sz w:val="20"/>
          <w:szCs w:val="20"/>
          <w:color w:val="auto"/>
        </w:rPr>
      </w:pPr>
    </w:p>
    <w:p>
      <w:pPr>
        <w:ind w:left="40" w:right="360"/>
        <w:spacing w:after="0" w:line="229" w:lineRule="auto"/>
        <w:rPr>
          <w:sz w:val="20"/>
          <w:szCs w:val="20"/>
          <w:color w:val="auto"/>
        </w:rPr>
      </w:pPr>
      <w:r>
        <w:rPr>
          <w:rFonts w:ascii="Arial" w:cs="Arial" w:eastAsia="Arial" w:hAnsi="Arial"/>
          <w:sz w:val="20"/>
          <w:szCs w:val="20"/>
          <w:color w:val="auto"/>
        </w:rPr>
        <w:t>Address: 1-1 Matsushita-cho, Moriguchi City, Osaka, Japan 570-8511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9" w:lineRule="exact"/>
        <w:rPr>
          <w:sz w:val="20"/>
          <w:szCs w:val="20"/>
          <w:color w:val="auto"/>
        </w:rPr>
      </w:pPr>
    </w:p>
    <w:p>
      <w:pPr>
        <w:spacing w:after="0" w:line="1" w:lineRule="exact"/>
        <w:rPr>
          <w:sz w:val="1"/>
          <w:szCs w:val="1"/>
          <w:color w:val="auto"/>
        </w:rPr>
      </w:pPr>
    </w:p>
    <w:tbl>
      <w:tblPr>
        <w:tblLayout w:type="fixed"/>
        <w:tblInd w:w="40" w:type="dxa"/>
        <w:tblCellMar>
          <w:top w:w="0" w:type="dxa"/>
          <w:left w:w="0" w:type="dxa"/>
          <w:bottom w:w="0" w:type="dxa"/>
          <w:right w:w="0" w:type="dxa"/>
        </w:tblCellMar>
      </w:tblPr>
      <w:tr>
        <w:trPr>
          <w:trHeight w:val="256"/>
        </w:trPr>
        <w:tc>
          <w:tcPr>
            <w:tcW w:w="1040" w:type="dxa"/>
            <w:vAlign w:val="bottom"/>
          </w:tcPr>
          <w:p>
            <w:pPr>
              <w:spacing w:after="0"/>
              <w:rPr>
                <w:sz w:val="22"/>
                <w:szCs w:val="22"/>
                <w:color w:val="auto"/>
              </w:rPr>
            </w:pPr>
          </w:p>
        </w:tc>
        <w:tc>
          <w:tcPr>
            <w:tcW w:w="3940" w:type="dxa"/>
            <w:vAlign w:val="bottom"/>
          </w:tcPr>
          <w:p>
            <w:pPr>
              <w:ind w:left="920"/>
              <w:spacing w:after="0"/>
              <w:rPr>
                <w:sz w:val="20"/>
                <w:szCs w:val="20"/>
                <w:color w:val="auto"/>
              </w:rPr>
            </w:pPr>
            <w:r>
              <w:rPr>
                <w:rFonts w:ascii="Arial" w:cs="Arial" w:eastAsia="Arial" w:hAnsi="Arial"/>
                <w:sz w:val="20"/>
                <w:szCs w:val="20"/>
                <w:b w:val="1"/>
                <w:bCs w:val="1"/>
                <w:color w:val="auto"/>
              </w:rPr>
              <w:t>Lucid USA, Inc.</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0"/>
                <w:szCs w:val="20"/>
                <w:color w:val="auto"/>
              </w:rPr>
            </w:pPr>
            <w:r>
              <w:rPr>
                <w:rFonts w:ascii="Arial" w:cs="Arial" w:eastAsia="Arial" w:hAnsi="Arial"/>
                <w:sz w:val="20"/>
                <w:szCs w:val="20"/>
                <w:color w:val="auto"/>
              </w:rPr>
              <w:t>By:</w:t>
            </w:r>
          </w:p>
        </w:tc>
        <w:tc>
          <w:tcPr>
            <w:tcW w:w="3940" w:type="dxa"/>
            <w:vAlign w:val="bottom"/>
          </w:tcPr>
          <w:p>
            <w:pPr>
              <w:ind w:left="60"/>
              <w:spacing w:after="0"/>
              <w:rPr>
                <w:sz w:val="20"/>
                <w:szCs w:val="20"/>
                <w:color w:val="auto"/>
              </w:rPr>
            </w:pPr>
            <w:r>
              <w:rPr>
                <w:rFonts w:ascii="Arial" w:cs="Arial" w:eastAsia="Arial" w:hAnsi="Arial"/>
                <w:sz w:val="20"/>
                <w:szCs w:val="20"/>
                <w:color w:val="auto"/>
              </w:rPr>
              <w:t>/s/ Sherry House</w:t>
            </w:r>
          </w:p>
        </w:tc>
        <w:tc>
          <w:tcPr>
            <w:tcW w:w="0" w:type="dxa"/>
            <w:vAlign w:val="bottom"/>
          </w:tcPr>
          <w:p>
            <w:pPr>
              <w:spacing w:after="0"/>
              <w:rPr>
                <w:sz w:val="1"/>
                <w:szCs w:val="1"/>
                <w:color w:val="auto"/>
              </w:rPr>
            </w:pPr>
          </w:p>
        </w:tc>
      </w:tr>
      <w:tr>
        <w:trPr>
          <w:trHeight w:val="118"/>
        </w:trPr>
        <w:tc>
          <w:tcPr>
            <w:tcW w:w="1040" w:type="dxa"/>
            <w:vAlign w:val="bottom"/>
            <w:vMerge w:val="restart"/>
          </w:tcPr>
          <w:p>
            <w:pPr>
              <w:spacing w:after="0"/>
              <w:rPr>
                <w:sz w:val="20"/>
                <w:szCs w:val="20"/>
                <w:color w:val="auto"/>
              </w:rPr>
            </w:pPr>
            <w:r>
              <w:rPr>
                <w:rFonts w:ascii="Arial" w:cs="Arial" w:eastAsia="Arial" w:hAnsi="Arial"/>
                <w:sz w:val="20"/>
                <w:szCs w:val="20"/>
                <w:color w:val="auto"/>
              </w:rPr>
              <w:t>Printed:</w:t>
            </w:r>
          </w:p>
        </w:tc>
        <w:tc>
          <w:tcPr>
            <w:tcW w:w="39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7"/>
        </w:trPr>
        <w:tc>
          <w:tcPr>
            <w:tcW w:w="1040" w:type="dxa"/>
            <w:vAlign w:val="bottom"/>
            <w:vMerge w:val="continue"/>
          </w:tcPr>
          <w:p>
            <w:pPr>
              <w:spacing w:after="0"/>
              <w:rPr>
                <w:sz w:val="19"/>
                <w:szCs w:val="19"/>
                <w:color w:val="auto"/>
              </w:rPr>
            </w:pPr>
          </w:p>
        </w:tc>
        <w:tc>
          <w:tcPr>
            <w:tcW w:w="3940" w:type="dxa"/>
            <w:vAlign w:val="bottom"/>
            <w:vMerge w:val="restart"/>
          </w:tcPr>
          <w:p>
            <w:pPr>
              <w:ind w:left="60"/>
              <w:spacing w:after="0"/>
              <w:rPr>
                <w:sz w:val="20"/>
                <w:szCs w:val="20"/>
                <w:color w:val="auto"/>
              </w:rPr>
            </w:pPr>
            <w:r>
              <w:rPr>
                <w:rFonts w:ascii="Arial" w:cs="Arial" w:eastAsia="Arial" w:hAnsi="Arial"/>
                <w:sz w:val="20"/>
                <w:szCs w:val="20"/>
                <w:color w:val="auto"/>
              </w:rPr>
              <w:t>Sherry House</w:t>
            </w:r>
          </w:p>
        </w:tc>
        <w:tc>
          <w:tcPr>
            <w:tcW w:w="0" w:type="dxa"/>
            <w:vAlign w:val="bottom"/>
          </w:tcPr>
          <w:p>
            <w:pPr>
              <w:spacing w:after="0"/>
              <w:rPr>
                <w:sz w:val="1"/>
                <w:szCs w:val="1"/>
                <w:color w:val="auto"/>
              </w:rPr>
            </w:pPr>
          </w:p>
        </w:tc>
      </w:tr>
      <w:tr>
        <w:trPr>
          <w:trHeight w:val="122"/>
        </w:trPr>
        <w:tc>
          <w:tcPr>
            <w:tcW w:w="1040" w:type="dxa"/>
            <w:vAlign w:val="bottom"/>
          </w:tcPr>
          <w:p>
            <w:pPr>
              <w:spacing w:after="0"/>
              <w:rPr>
                <w:sz w:val="10"/>
                <w:szCs w:val="10"/>
                <w:color w:val="auto"/>
              </w:rPr>
            </w:pPr>
          </w:p>
        </w:tc>
        <w:tc>
          <w:tcPr>
            <w:tcW w:w="39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1040" w:type="dxa"/>
            <w:vAlign w:val="bottom"/>
            <w:vMerge w:val="restart"/>
          </w:tcPr>
          <w:p>
            <w:pPr>
              <w:spacing w:after="0"/>
              <w:rPr>
                <w:sz w:val="20"/>
                <w:szCs w:val="20"/>
                <w:color w:val="auto"/>
              </w:rPr>
            </w:pPr>
            <w:r>
              <w:rPr>
                <w:rFonts w:ascii="Arial" w:cs="Arial" w:eastAsia="Arial" w:hAnsi="Arial"/>
                <w:sz w:val="20"/>
                <w:szCs w:val="20"/>
                <w:color w:val="auto"/>
              </w:rPr>
              <w:t>Title:</w:t>
            </w:r>
          </w:p>
        </w:tc>
        <w:tc>
          <w:tcPr>
            <w:tcW w:w="39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7"/>
        </w:trPr>
        <w:tc>
          <w:tcPr>
            <w:tcW w:w="1040" w:type="dxa"/>
            <w:vAlign w:val="bottom"/>
            <w:vMerge w:val="continue"/>
          </w:tcPr>
          <w:p>
            <w:pPr>
              <w:spacing w:after="0"/>
              <w:rPr>
                <w:sz w:val="19"/>
                <w:szCs w:val="19"/>
                <w:color w:val="auto"/>
              </w:rPr>
            </w:pPr>
          </w:p>
        </w:tc>
        <w:tc>
          <w:tcPr>
            <w:tcW w:w="3940" w:type="dxa"/>
            <w:vAlign w:val="bottom"/>
            <w:vMerge w:val="restart"/>
          </w:tcPr>
          <w:p>
            <w:pPr>
              <w:ind w:left="60"/>
              <w:spacing w:after="0"/>
              <w:rPr>
                <w:sz w:val="20"/>
                <w:szCs w:val="20"/>
                <w:color w:val="auto"/>
              </w:rPr>
            </w:pPr>
            <w:r>
              <w:rPr>
                <w:rFonts w:ascii="Arial" w:cs="Arial" w:eastAsia="Arial" w:hAnsi="Arial"/>
                <w:sz w:val="20"/>
                <w:szCs w:val="20"/>
                <w:color w:val="auto"/>
              </w:rPr>
              <w:t>Chief Financial Officer</w:t>
            </w:r>
          </w:p>
        </w:tc>
        <w:tc>
          <w:tcPr>
            <w:tcW w:w="0" w:type="dxa"/>
            <w:vAlign w:val="bottom"/>
          </w:tcPr>
          <w:p>
            <w:pPr>
              <w:spacing w:after="0"/>
              <w:rPr>
                <w:sz w:val="1"/>
                <w:szCs w:val="1"/>
                <w:color w:val="auto"/>
              </w:rPr>
            </w:pPr>
          </w:p>
        </w:tc>
      </w:tr>
      <w:tr>
        <w:trPr>
          <w:trHeight w:val="121"/>
        </w:trPr>
        <w:tc>
          <w:tcPr>
            <w:tcW w:w="1040" w:type="dxa"/>
            <w:vAlign w:val="bottom"/>
          </w:tcPr>
          <w:p>
            <w:pPr>
              <w:spacing w:after="0"/>
              <w:rPr>
                <w:sz w:val="10"/>
                <w:szCs w:val="10"/>
                <w:color w:val="auto"/>
              </w:rPr>
            </w:pPr>
          </w:p>
        </w:tc>
        <w:tc>
          <w:tcPr>
            <w:tcW w:w="39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1040" w:type="dxa"/>
            <w:vAlign w:val="bottom"/>
            <w:vMerge w:val="restart"/>
          </w:tcPr>
          <w:p>
            <w:pPr>
              <w:spacing w:after="0"/>
              <w:rPr>
                <w:sz w:val="20"/>
                <w:szCs w:val="20"/>
                <w:color w:val="auto"/>
              </w:rPr>
            </w:pPr>
            <w:r>
              <w:rPr>
                <w:rFonts w:ascii="Arial" w:cs="Arial" w:eastAsia="Arial" w:hAnsi="Arial"/>
                <w:sz w:val="20"/>
                <w:szCs w:val="20"/>
                <w:color w:val="auto"/>
              </w:rPr>
              <w:t>Date:</w:t>
            </w:r>
          </w:p>
        </w:tc>
        <w:tc>
          <w:tcPr>
            <w:tcW w:w="39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7"/>
        </w:trPr>
        <w:tc>
          <w:tcPr>
            <w:tcW w:w="1040" w:type="dxa"/>
            <w:vAlign w:val="bottom"/>
            <w:vMerge w:val="continue"/>
          </w:tcPr>
          <w:p>
            <w:pPr>
              <w:spacing w:after="0"/>
              <w:rPr>
                <w:sz w:val="19"/>
                <w:szCs w:val="19"/>
                <w:color w:val="auto"/>
              </w:rPr>
            </w:pPr>
          </w:p>
        </w:tc>
        <w:tc>
          <w:tcPr>
            <w:tcW w:w="3940" w:type="dxa"/>
            <w:vAlign w:val="bottom"/>
            <w:vMerge w:val="restart"/>
          </w:tcPr>
          <w:p>
            <w:pPr>
              <w:ind w:left="60"/>
              <w:spacing w:after="0"/>
              <w:rPr>
                <w:sz w:val="20"/>
                <w:szCs w:val="20"/>
                <w:color w:val="auto"/>
              </w:rPr>
            </w:pPr>
            <w:r>
              <w:rPr>
                <w:rFonts w:ascii="Arial" w:cs="Arial" w:eastAsia="Arial" w:hAnsi="Arial"/>
                <w:sz w:val="20"/>
                <w:szCs w:val="20"/>
                <w:color w:val="auto"/>
              </w:rPr>
              <w:t>12/12/2022</w:t>
            </w:r>
          </w:p>
        </w:tc>
        <w:tc>
          <w:tcPr>
            <w:tcW w:w="0" w:type="dxa"/>
            <w:vAlign w:val="bottom"/>
          </w:tcPr>
          <w:p>
            <w:pPr>
              <w:spacing w:after="0"/>
              <w:rPr>
                <w:sz w:val="1"/>
                <w:szCs w:val="1"/>
                <w:color w:val="auto"/>
              </w:rPr>
            </w:pPr>
          </w:p>
        </w:tc>
      </w:tr>
      <w:tr>
        <w:trPr>
          <w:trHeight w:val="122"/>
        </w:trPr>
        <w:tc>
          <w:tcPr>
            <w:tcW w:w="1040" w:type="dxa"/>
            <w:vAlign w:val="bottom"/>
          </w:tcPr>
          <w:p>
            <w:pPr>
              <w:spacing w:after="0"/>
              <w:rPr>
                <w:sz w:val="10"/>
                <w:szCs w:val="10"/>
                <w:color w:val="auto"/>
              </w:rPr>
            </w:pPr>
          </w:p>
        </w:tc>
        <w:tc>
          <w:tcPr>
            <w:tcW w:w="39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1040" w:type="dxa"/>
            <w:vAlign w:val="bottom"/>
          </w:tcPr>
          <w:p>
            <w:pPr>
              <w:spacing w:after="0"/>
              <w:rPr>
                <w:sz w:val="10"/>
                <w:szCs w:val="10"/>
                <w:color w:val="auto"/>
              </w:rPr>
            </w:pPr>
          </w:p>
        </w:tc>
        <w:tc>
          <w:tcPr>
            <w:tcW w:w="39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348" w:lineRule="exact"/>
        <w:rPr>
          <w:sz w:val="20"/>
          <w:szCs w:val="20"/>
          <w:color w:val="auto"/>
        </w:rPr>
      </w:pPr>
    </w:p>
    <w:p>
      <w:pPr>
        <w:spacing w:after="0"/>
        <w:rPr>
          <w:sz w:val="20"/>
          <w:szCs w:val="20"/>
          <w:color w:val="auto"/>
        </w:rPr>
      </w:pPr>
      <w:r>
        <w:rPr>
          <w:rFonts w:ascii="Arial" w:cs="Arial" w:eastAsia="Arial" w:hAnsi="Arial"/>
          <w:sz w:val="20"/>
          <w:szCs w:val="20"/>
          <w:color w:val="auto"/>
        </w:rPr>
        <w:t>Address: 7373 Gateway Blvd. Newark, CA 94560, USA</w:t>
      </w:r>
    </w:p>
    <w:p>
      <w:pPr>
        <w:spacing w:after="0" w:line="300" w:lineRule="exact"/>
        <w:rPr>
          <w:sz w:val="20"/>
          <w:szCs w:val="20"/>
          <w:color w:val="auto"/>
        </w:rPr>
      </w:pPr>
    </w:p>
    <w:p>
      <w:pPr>
        <w:sectPr>
          <w:pgSz w:w="11900" w:h="16838" w:orient="portrait"/>
          <w:cols w:equalWidth="0" w:num="2">
            <w:col w:w="5140" w:space="720"/>
            <w:col w:w="5020"/>
          </w:cols>
          <w:pgMar w:left="320" w:top="1440" w:right="699" w:bottom="1440" w:gutter="0" w:footer="0" w:header="0"/>
          <w:type w:val="continuous"/>
        </w:sectPr>
      </w:pPr>
    </w:p>
    <w:p>
      <w:pPr>
        <w:spacing w:after="0" w:line="200" w:lineRule="exact"/>
        <w:rPr>
          <w:sz w:val="20"/>
          <w:szCs w:val="20"/>
          <w:color w:val="auto"/>
        </w:rPr>
      </w:pPr>
    </w:p>
    <w:p>
      <w:pPr>
        <w:spacing w:after="0" w:line="309" w:lineRule="exact"/>
        <w:rPr>
          <w:sz w:val="20"/>
          <w:szCs w:val="20"/>
          <w:color w:val="auto"/>
        </w:rPr>
      </w:pPr>
    </w:p>
    <w:p>
      <w:pPr>
        <w:jc w:val="center"/>
        <w:ind w:right="-35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219710</wp:posOffset>
            </wp:positionV>
            <wp:extent cx="713232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spacing w:after="0"/>
        <w:tabs>
          <w:tab w:leader="none" w:pos="1880" w:val="left"/>
        </w:tabs>
        <w:rPr>
          <w:sz w:val="20"/>
          <w:szCs w:val="20"/>
          <w:color w:val="auto"/>
        </w:rPr>
      </w:pPr>
      <w:r>
        <w:rPr>
          <w:rFonts w:ascii="Arial" w:cs="Arial" w:eastAsia="Arial" w:hAnsi="Arial"/>
          <w:sz w:val="20"/>
          <w:szCs w:val="20"/>
          <w:color w:val="auto"/>
        </w:rPr>
        <w:t>Lucid Confidential</w:t>
      </w:r>
      <w:r>
        <w:rPr>
          <w:sz w:val="20"/>
          <w:szCs w:val="20"/>
          <w:color w:val="auto"/>
        </w:rPr>
        <w:tab/>
      </w:r>
      <w:r>
        <w:rPr>
          <w:rFonts w:ascii="Arial" w:cs="Arial" w:eastAsia="Arial" w:hAnsi="Arial"/>
          <w:sz w:val="16"/>
          <w:szCs w:val="16"/>
          <w:color w:val="auto"/>
        </w:rPr>
        <w:t>Parts GTC rev. October 2020</w:t>
      </w:r>
    </w:p>
    <w:p>
      <w:pPr>
        <w:sectPr>
          <w:pgSz w:w="11900" w:h="16838" w:orient="portrait"/>
          <w:cols w:equalWidth="0" w:num="1">
            <w:col w:w="10880"/>
          </w:cols>
          <w:pgMar w:left="320" w:top="1440" w:right="699" w:bottom="1440" w:gutter="0" w:footer="0" w:header="0"/>
          <w:type w:val="continuous"/>
        </w:sectPr>
      </w:pPr>
    </w:p>
    <w:bookmarkStart w:id="152" w:name="page153"/>
    <w:bookmarkEnd w:id="152"/>
    <w:p>
      <w:pPr>
        <w:spacing w:after="0" w:line="6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SCHEDULE 1 - DEFINITIONS</w:t>
      </w:r>
    </w:p>
    <w:p>
      <w:pPr>
        <w:spacing w:after="0" w:line="81"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means with respect to an entity, any other entity or person controlling, controlled by, or under common control with, such entity. For purposes of the Agreement, "control" means possessing, directly or indirectly, the power to direct or cause the direction of the</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management, policies or operations of an entity, whether through ownership of voting securities, by contract or otherwise.</w:t>
      </w:r>
    </w:p>
    <w:p>
      <w:pPr>
        <w:spacing w:after="0" w:line="59"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Affiliate Participation Agreement</w:t>
      </w:r>
      <w:r>
        <w:rPr>
          <w:rFonts w:ascii="Arial" w:cs="Arial" w:eastAsia="Arial" w:hAnsi="Arial"/>
          <w:sz w:val="20"/>
          <w:szCs w:val="20"/>
          <w:color w:val="auto"/>
        </w:rPr>
        <w:t>” means an agreement in the form of Exhibit C.</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Agreed Application</w:t>
      </w:r>
      <w:r>
        <w:rPr>
          <w:rFonts w:ascii="Arial" w:cs="Arial" w:eastAsia="Arial" w:hAnsi="Arial"/>
          <w:sz w:val="20"/>
          <w:szCs w:val="20"/>
          <w:color w:val="auto"/>
        </w:rPr>
        <w:t>” means the [***].</w:t>
      </w:r>
    </w:p>
    <w:p>
      <w:pPr>
        <w:spacing w:after="0" w:line="81" w:lineRule="exact"/>
        <w:rPr>
          <w:sz w:val="20"/>
          <w:szCs w:val="20"/>
          <w:color w:val="auto"/>
        </w:rPr>
      </w:pPr>
    </w:p>
    <w:p>
      <w:pPr>
        <w:jc w:val="both"/>
        <w:spacing w:after="0" w:line="239"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Agreement</w:t>
      </w:r>
      <w:r>
        <w:rPr>
          <w:rFonts w:ascii="Arial" w:cs="Arial" w:eastAsia="Arial" w:hAnsi="Arial"/>
          <w:sz w:val="20"/>
          <w:szCs w:val="20"/>
          <w:color w:val="auto"/>
        </w:rPr>
        <w:t>” means, collectively, (i) this GTC, (ii) any product pricing agreement and (ii) any Spot Order accepted by Supplier, Production Order, Release or other document that incorporates by reference this GTC.</w:t>
      </w:r>
    </w:p>
    <w:p>
      <w:pPr>
        <w:spacing w:after="0" w:line="41"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Battery Modules</w:t>
      </w:r>
      <w:r>
        <w:rPr>
          <w:rFonts w:ascii="Arial" w:cs="Arial" w:eastAsia="Arial" w:hAnsi="Arial"/>
          <w:sz w:val="20"/>
          <w:szCs w:val="20"/>
          <w:color w:val="auto"/>
        </w:rPr>
        <w:t>” means Li-Ion battery modules manufactured by or for Lucid with Goods, to be used in Agreed Application.</w:t>
      </w:r>
    </w:p>
    <w:p>
      <w:pPr>
        <w:spacing w:after="0" w:line="81"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Claims</w:t>
      </w:r>
      <w:r>
        <w:rPr>
          <w:rFonts w:ascii="Arial" w:cs="Arial" w:eastAsia="Arial" w:hAnsi="Arial"/>
          <w:sz w:val="20"/>
          <w:szCs w:val="20"/>
          <w:color w:val="auto"/>
        </w:rPr>
        <w:t>” has the meaning set forth in Section 9.1.</w:t>
      </w:r>
    </w:p>
    <w:p>
      <w:pPr>
        <w:spacing w:after="0" w:line="81"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Commercially Reasonable Efforts</w:t>
      </w:r>
      <w:r>
        <w:rPr>
          <w:rFonts w:ascii="Arial" w:cs="Arial" w:eastAsia="Arial" w:hAnsi="Arial"/>
          <w:sz w:val="18"/>
          <w:szCs w:val="18"/>
          <w:color w:val="auto"/>
        </w:rPr>
        <w:t>” means taking all such steps and performing in such a manner as a well-managed company would undertake where it was acting in a determined, prudent and reasonable manner to achieve a particular desired result for its own benefit.</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Confidentiality Agreement</w:t>
      </w:r>
      <w:r>
        <w:rPr>
          <w:rFonts w:ascii="Arial" w:cs="Arial" w:eastAsia="Arial" w:hAnsi="Arial"/>
          <w:sz w:val="20"/>
          <w:szCs w:val="20"/>
          <w:color w:val="auto"/>
        </w:rPr>
        <w:t>” means the then-current signed non-disclosure agreement between Lucid and Supplier.</w:t>
      </w:r>
    </w:p>
    <w:p>
      <w:pPr>
        <w:spacing w:after="0" w:line="81"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Confidential Information</w:t>
      </w:r>
      <w:r>
        <w:rPr>
          <w:rFonts w:ascii="Arial" w:cs="Arial" w:eastAsia="Arial" w:hAnsi="Arial"/>
          <w:sz w:val="20"/>
          <w:szCs w:val="20"/>
          <w:color w:val="auto"/>
        </w:rPr>
        <w:t>” has the meaning set forth in the Confidentiality Agreement.</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Corrective Action</w:t>
      </w:r>
      <w:r>
        <w:rPr>
          <w:rFonts w:ascii="Arial" w:cs="Arial" w:eastAsia="Arial" w:hAnsi="Arial"/>
          <w:sz w:val="20"/>
          <w:szCs w:val="20"/>
          <w:color w:val="auto"/>
        </w:rPr>
        <w:t>” has the meaning set forth in Section 6.9.</w:t>
      </w:r>
    </w:p>
    <w:p>
      <w:pPr>
        <w:spacing w:after="0" w:line="81"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Directed Supplier</w:t>
      </w:r>
      <w:r>
        <w:rPr>
          <w:rFonts w:ascii="Arial" w:cs="Arial" w:eastAsia="Arial" w:hAnsi="Arial"/>
          <w:sz w:val="20"/>
          <w:szCs w:val="20"/>
          <w:color w:val="auto"/>
        </w:rPr>
        <w:t>” has the meaning set forth in Section 2.8.</w:t>
      </w:r>
    </w:p>
    <w:p>
      <w:pPr>
        <w:spacing w:after="0" w:line="81"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Development Goods</w:t>
      </w:r>
      <w:r>
        <w:rPr>
          <w:rFonts w:ascii="Arial" w:cs="Arial" w:eastAsia="Arial" w:hAnsi="Arial"/>
          <w:sz w:val="20"/>
          <w:szCs w:val="20"/>
          <w:color w:val="auto"/>
        </w:rPr>
        <w:t>” means the Goods developed by Supplier solely for use in Agreed Application in accordance with a written development agreement between the Parties.</w:t>
      </w:r>
    </w:p>
    <w:p>
      <w:pPr>
        <w:spacing w:after="0" w:line="5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EDI</w:t>
      </w:r>
      <w:r>
        <w:rPr>
          <w:rFonts w:ascii="Arial" w:cs="Arial" w:eastAsia="Arial" w:hAnsi="Arial"/>
          <w:sz w:val="18"/>
          <w:szCs w:val="18"/>
          <w:color w:val="auto"/>
        </w:rPr>
        <w:t>” means the electronic data interchange system or information management system specified by Lucid and consented by Supplier, which consent shall not be unreasonably withheld, that facilitates automated communication of information in electronic format between the</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Parties.</w:t>
      </w:r>
    </w:p>
    <w:p>
      <w:pPr>
        <w:spacing w:after="0" w:line="59" w:lineRule="exact"/>
        <w:rPr>
          <w:sz w:val="20"/>
          <w:szCs w:val="20"/>
          <w:color w:val="auto"/>
        </w:rPr>
      </w:pPr>
    </w:p>
    <w:p>
      <w:pPr>
        <w:jc w:val="both"/>
        <w:ind w:right="20"/>
        <w:spacing w:after="0" w:line="232"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Equipment</w:t>
      </w:r>
      <w:r>
        <w:rPr>
          <w:rFonts w:ascii="Arial" w:cs="Arial" w:eastAsia="Arial" w:hAnsi="Arial"/>
          <w:sz w:val="20"/>
          <w:szCs w:val="20"/>
          <w:color w:val="auto"/>
        </w:rPr>
        <w:t>” means all capital equipment on which Tooling is used in order to develop, manufacture, test, package, deliver and/or service the Goods and Development Goods.</w:t>
      </w:r>
    </w:p>
    <w:p>
      <w:pPr>
        <w:spacing w:after="0" w:line="55" w:lineRule="exact"/>
        <w:rPr>
          <w:sz w:val="20"/>
          <w:szCs w:val="20"/>
          <w:color w:val="auto"/>
        </w:rPr>
      </w:pPr>
    </w:p>
    <w:p>
      <w:pPr>
        <w:jc w:val="both"/>
        <w:ind w:right="20"/>
        <w:spacing w:after="0" w:line="239"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Field Service Action</w:t>
      </w:r>
      <w:r>
        <w:rPr>
          <w:rFonts w:ascii="Arial" w:cs="Arial" w:eastAsia="Arial" w:hAnsi="Arial"/>
          <w:sz w:val="20"/>
          <w:szCs w:val="20"/>
          <w:color w:val="auto"/>
        </w:rPr>
        <w:t>” means any recall, service campaign or other service action whether performed by Lucid or Supplier, including actions mandated by Government Requirement.</w:t>
      </w:r>
    </w:p>
    <w:p>
      <w:pPr>
        <w:spacing w:after="0" w:line="41"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Force Majeure</w:t>
      </w:r>
      <w:r>
        <w:rPr>
          <w:rFonts w:ascii="Arial" w:cs="Arial" w:eastAsia="Arial" w:hAnsi="Arial"/>
          <w:sz w:val="20"/>
          <w:szCs w:val="20"/>
          <w:color w:val="auto"/>
        </w:rPr>
        <w:t>” has the meaning set forth in Section 14.1.</w:t>
      </w:r>
    </w:p>
    <w:p>
      <w:pPr>
        <w:spacing w:after="0" w:line="81" w:lineRule="exact"/>
        <w:rPr>
          <w:sz w:val="20"/>
          <w:szCs w:val="20"/>
          <w:color w:val="auto"/>
        </w:rPr>
      </w:pPr>
    </w:p>
    <w:p>
      <w:pPr>
        <w:jc w:val="both"/>
        <w:spacing w:after="0" w:line="239"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Goods</w:t>
      </w:r>
      <w:r>
        <w:rPr>
          <w:rFonts w:ascii="Arial" w:cs="Arial" w:eastAsia="Arial" w:hAnsi="Arial"/>
          <w:sz w:val="20"/>
          <w:szCs w:val="20"/>
          <w:color w:val="auto"/>
        </w:rPr>
        <w:t>” means the lithium-ion battery cells Supplier provides to Lucid under this Agreement and the applicable production pricing agreement.</w:t>
      </w:r>
    </w:p>
    <w:p>
      <w:pPr>
        <w:spacing w:after="0" w:line="4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Government Requirement</w:t>
      </w:r>
      <w:r>
        <w:rPr>
          <w:rFonts w:ascii="Arial" w:cs="Arial" w:eastAsia="Arial" w:hAnsi="Arial"/>
          <w:sz w:val="18"/>
          <w:szCs w:val="18"/>
          <w:color w:val="auto"/>
        </w:rPr>
        <w:t>” means any law or requirement of a government or governmental agency, including those that apply to new or used vehicles or components or systems or subsystems thereof or for use with a vehicle, including safety, materials, environmental</w:t>
      </w:r>
    </w:p>
    <w:p>
      <w:pPr>
        <w:spacing w:after="0" w:line="1" w:lineRule="exact"/>
        <w:rPr>
          <w:sz w:val="20"/>
          <w:szCs w:val="20"/>
          <w:color w:val="auto"/>
        </w:rPr>
      </w:pPr>
    </w:p>
    <w:p>
      <w:pPr>
        <w:jc w:val="both"/>
        <w:spacing w:after="0" w:line="220" w:lineRule="auto"/>
        <w:rPr>
          <w:sz w:val="20"/>
          <w:szCs w:val="20"/>
          <w:color w:val="auto"/>
        </w:rPr>
      </w:pPr>
      <w:r>
        <w:rPr>
          <w:rFonts w:ascii="Arial" w:cs="Arial" w:eastAsia="Arial" w:hAnsi="Arial"/>
          <w:sz w:val="20"/>
          <w:szCs w:val="20"/>
          <w:color w:val="auto"/>
        </w:rPr>
        <w:t>protection, recycling and end of life disposal requirements. A Government Requirement may include specific warranty terms or periods of coverage, Corrective Actions or Field Service Actions required by the government.</w:t>
      </w:r>
    </w:p>
    <w:p>
      <w:pPr>
        <w:spacing w:after="0" w:line="56"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Impacted Party</w:t>
      </w:r>
      <w:r>
        <w:rPr>
          <w:rFonts w:ascii="Arial" w:cs="Arial" w:eastAsia="Arial" w:hAnsi="Arial"/>
          <w:sz w:val="20"/>
          <w:szCs w:val="20"/>
          <w:color w:val="auto"/>
        </w:rPr>
        <w:t>” has the meaning set forth in Section 14.1.</w:t>
      </w:r>
    </w:p>
    <w:p>
      <w:pPr>
        <w:spacing w:after="0" w:line="81"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Indemnified Parties</w:t>
      </w:r>
      <w:r>
        <w:rPr>
          <w:rFonts w:ascii="Arial" w:cs="Arial" w:eastAsia="Arial" w:hAnsi="Arial"/>
          <w:sz w:val="20"/>
          <w:szCs w:val="20"/>
          <w:color w:val="auto"/>
        </w:rPr>
        <w:t>” has the meaning set forth in Section 9.1.</w:t>
      </w:r>
    </w:p>
    <w:p>
      <w:pPr>
        <w:spacing w:after="0" w:line="67" w:lineRule="exact"/>
        <w:rPr>
          <w:sz w:val="20"/>
          <w:szCs w:val="20"/>
          <w:color w:val="auto"/>
        </w:rPr>
      </w:pPr>
    </w:p>
    <w:p>
      <w:pPr>
        <w:jc w:val="both"/>
        <w:spacing w:after="0" w:line="24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Intellectual Property Rights</w:t>
      </w:r>
      <w:r>
        <w:rPr>
          <w:rFonts w:ascii="Arial" w:cs="Arial" w:eastAsia="Arial" w:hAnsi="Arial"/>
          <w:sz w:val="19"/>
          <w:szCs w:val="19"/>
          <w:color w:val="auto"/>
        </w:rPr>
        <w:t>” means all current and future rights in copyrights, trade secrets, trademarks, mask works, patents, trade dress, moral rights, industrial design rights, utility models (“petty patents”), know-how and other intellectual property rights, whether unregistered, registered or comprising an application for registration, that may exist anywhere in the world.</w:t>
      </w:r>
    </w:p>
    <w:p>
      <w:pPr>
        <w:spacing w:after="0" w:line="38"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Losses</w:t>
      </w:r>
      <w:r>
        <w:rPr>
          <w:rFonts w:ascii="Arial" w:cs="Arial" w:eastAsia="Arial" w:hAnsi="Arial"/>
          <w:sz w:val="20"/>
          <w:szCs w:val="20"/>
          <w:color w:val="auto"/>
        </w:rPr>
        <w:t>” has the meaning set forth in Section 9.1.</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37" w:lineRule="exact"/>
        <w:rPr>
          <w:sz w:val="20"/>
          <w:szCs w:val="20"/>
          <w:color w:val="auto"/>
        </w:rPr>
      </w:pPr>
    </w:p>
    <w:p>
      <w:pPr>
        <w:spacing w:after="0"/>
        <w:tabs>
          <w:tab w:leader="none" w:pos="2000" w:val="left"/>
        </w:tabs>
        <w:rPr>
          <w:sz w:val="20"/>
          <w:szCs w:val="20"/>
          <w:color w:val="auto"/>
        </w:rPr>
      </w:pPr>
      <w:r>
        <w:rPr>
          <w:rFonts w:ascii="Arial" w:cs="Arial" w:eastAsia="Arial" w:hAnsi="Arial"/>
          <w:sz w:val="20"/>
          <w:szCs w:val="20"/>
          <w:color w:val="auto"/>
        </w:rPr>
        <w:t>Lucid Confidential</w:t>
      </w:r>
      <w:r>
        <w:rPr>
          <w:sz w:val="20"/>
          <w:szCs w:val="20"/>
          <w:color w:val="auto"/>
        </w:rPr>
        <w:tab/>
      </w:r>
      <w:r>
        <w:rPr>
          <w:rFonts w:ascii="Arial" w:cs="Arial" w:eastAsia="Arial" w:hAnsi="Arial"/>
          <w:sz w:val="19"/>
          <w:szCs w:val="19"/>
          <w:color w:val="auto"/>
        </w:rPr>
        <w:t>Parts GTC rev. October 2020</w:t>
      </w:r>
    </w:p>
    <w:p>
      <w:pPr>
        <w:sectPr>
          <w:pgSz w:w="11900" w:h="16838" w:orient="portrait"/>
          <w:cols w:equalWidth="0" w:num="1">
            <w:col w:w="11240"/>
          </w:cols>
          <w:pgMar w:left="320" w:top="1440" w:right="339" w:bottom="1440" w:gutter="0" w:footer="0" w:header="0"/>
        </w:sectPr>
      </w:pPr>
    </w:p>
    <w:bookmarkStart w:id="153" w:name="page154"/>
    <w:bookmarkEnd w:id="153"/>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Lucid Property</w:t>
      </w:r>
      <w:r>
        <w:rPr>
          <w:rFonts w:ascii="Arial" w:cs="Arial" w:eastAsia="Arial" w:hAnsi="Arial"/>
          <w:sz w:val="18"/>
          <w:szCs w:val="18"/>
          <w:color w:val="auto"/>
        </w:rPr>
        <w:t>” means all Property owned or fully paid for by Lucid except in case Lucid has paid for it through the purchase of Goods.</w:t>
      </w:r>
    </w:p>
    <w:p>
      <w:pPr>
        <w:spacing w:after="0" w:line="104"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Lucid Supplier Quality Manual</w:t>
      </w:r>
      <w:r>
        <w:rPr>
          <w:rFonts w:ascii="Arial" w:cs="Arial" w:eastAsia="Arial" w:hAnsi="Arial"/>
          <w:sz w:val="20"/>
          <w:szCs w:val="20"/>
          <w:color w:val="auto"/>
        </w:rPr>
        <w:t>” means a mutually agreed document describing quality control system.</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Lucid Technology</w:t>
      </w:r>
      <w:r>
        <w:rPr>
          <w:rFonts w:ascii="Arial" w:cs="Arial" w:eastAsia="Arial" w:hAnsi="Arial"/>
          <w:sz w:val="20"/>
          <w:szCs w:val="20"/>
          <w:color w:val="auto"/>
        </w:rPr>
        <w:t>” means all [***].</w:t>
      </w:r>
    </w:p>
    <w:p>
      <w:pPr>
        <w:spacing w:after="0" w:line="81" w:lineRule="exact"/>
        <w:rPr>
          <w:sz w:val="20"/>
          <w:szCs w:val="20"/>
          <w:color w:val="auto"/>
        </w:rPr>
      </w:pPr>
    </w:p>
    <w:p>
      <w:pPr>
        <w:spacing w:after="0" w:line="239"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Spot Order</w:t>
      </w:r>
      <w:r>
        <w:rPr>
          <w:rFonts w:ascii="Arial" w:cs="Arial" w:eastAsia="Arial" w:hAnsi="Arial"/>
          <w:sz w:val="20"/>
          <w:szCs w:val="20"/>
          <w:color w:val="auto"/>
        </w:rPr>
        <w:t>" means a Lucid one-time purchase order transmitted to Supplier via Lucid's EDI, e-mail, facsimile or delivered to Supplier in a paper format.</w:t>
      </w:r>
    </w:p>
    <w:p>
      <w:pPr>
        <w:spacing w:after="0" w:line="41"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PPAP</w:t>
      </w:r>
      <w:r>
        <w:rPr>
          <w:rFonts w:ascii="Arial" w:cs="Arial" w:eastAsia="Arial" w:hAnsi="Arial"/>
          <w:sz w:val="20"/>
          <w:szCs w:val="20"/>
          <w:color w:val="auto"/>
        </w:rPr>
        <w:t>” has the meaning set forth in Section 5.2.</w:t>
      </w:r>
    </w:p>
    <w:p>
      <w:pPr>
        <w:spacing w:after="0" w:line="81"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Participant</w:t>
      </w:r>
      <w:r>
        <w:rPr>
          <w:rFonts w:ascii="Arial" w:cs="Arial" w:eastAsia="Arial" w:hAnsi="Arial"/>
          <w:sz w:val="20"/>
          <w:szCs w:val="20"/>
          <w:color w:val="auto"/>
        </w:rPr>
        <w:t>” means any Affiliate of Supplier that enters into an Affiliate Participation Agreement.</w:t>
      </w:r>
    </w:p>
    <w:p>
      <w:pPr>
        <w:spacing w:after="0" w:line="81" w:lineRule="exact"/>
        <w:rPr>
          <w:sz w:val="20"/>
          <w:szCs w:val="20"/>
          <w:color w:val="auto"/>
        </w:rPr>
      </w:pPr>
    </w:p>
    <w:p>
      <w:pPr>
        <w:ind w:right="20"/>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Production Order</w:t>
      </w:r>
      <w:r>
        <w:rPr>
          <w:rFonts w:ascii="Arial" w:cs="Arial" w:eastAsia="Arial" w:hAnsi="Arial"/>
          <w:sz w:val="18"/>
          <w:szCs w:val="18"/>
          <w:color w:val="auto"/>
        </w:rPr>
        <w:t>” means a purchase order documenting Lucid’s anticipated needs for Goods for use in commercial production of the Agreed Applications for a period of time stated in such Production Order, transmitted to Supplier via EDI, e-mail, facsimile or paper format.</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Production Period</w:t>
      </w:r>
      <w:r>
        <w:rPr>
          <w:rFonts w:ascii="Arial" w:cs="Arial" w:eastAsia="Arial" w:hAnsi="Arial"/>
          <w:sz w:val="20"/>
          <w:szCs w:val="20"/>
          <w:color w:val="auto"/>
        </w:rPr>
        <w:t>” means the period during which Lucid requires Supplier’s Goods for use in production of Lucid products.</w:t>
      </w:r>
    </w:p>
    <w:p>
      <w:pPr>
        <w:spacing w:after="0" w:line="81" w:lineRule="exact"/>
        <w:rPr>
          <w:sz w:val="20"/>
          <w:szCs w:val="20"/>
          <w:color w:val="auto"/>
        </w:rPr>
      </w:pPr>
    </w:p>
    <w:p>
      <w:pPr>
        <w:ind w:right="20"/>
        <w:spacing w:after="0" w:line="232"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Property</w:t>
      </w:r>
      <w:r>
        <w:rPr>
          <w:rFonts w:ascii="Arial" w:cs="Arial" w:eastAsia="Arial" w:hAnsi="Arial"/>
          <w:sz w:val="20"/>
          <w:szCs w:val="20"/>
          <w:color w:val="auto"/>
        </w:rPr>
        <w:t>” means all supplies, materials, and other property used by Supplier to produce, store or transport the Goods or Development Goods under this Agreement.</w:t>
      </w:r>
    </w:p>
    <w:p>
      <w:pPr>
        <w:spacing w:after="0" w:line="55" w:lineRule="exact"/>
        <w:rPr>
          <w:sz w:val="20"/>
          <w:szCs w:val="20"/>
          <w:color w:val="auto"/>
        </w:rPr>
      </w:pPr>
    </w:p>
    <w:p>
      <w:pPr>
        <w:spacing w:after="0" w:line="26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RASIC</w:t>
      </w:r>
      <w:r>
        <w:rPr>
          <w:rFonts w:ascii="Arial" w:cs="Arial" w:eastAsia="Arial" w:hAnsi="Arial"/>
          <w:sz w:val="19"/>
          <w:szCs w:val="19"/>
          <w:color w:val="auto"/>
        </w:rPr>
        <w:t>” means the matrix establishing roles and responsibilities in a directed buy arrangement or setting forth the allocation of responsibility, approval, support, information and consultation rights and obligations among the Parties and the Directed Supplier.</w:t>
      </w:r>
    </w:p>
    <w:p>
      <w:pPr>
        <w:spacing w:after="0" w:line="19" w:lineRule="exact"/>
        <w:rPr>
          <w:sz w:val="20"/>
          <w:szCs w:val="20"/>
          <w:color w:val="auto"/>
        </w:rPr>
      </w:pPr>
    </w:p>
    <w:p>
      <w:pPr>
        <w:spacing w:after="0" w:line="239"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Release</w:t>
      </w:r>
      <w:r>
        <w:rPr>
          <w:rFonts w:ascii="Arial" w:cs="Arial" w:eastAsia="Arial" w:hAnsi="Arial"/>
          <w:sz w:val="20"/>
          <w:szCs w:val="20"/>
          <w:color w:val="auto"/>
        </w:rPr>
        <w:t>” means a written communication issued by Lucid or its designee pursuant to an accepted Production Order that identifies a specific quantity of Goods to be delivered by the date specified therein.</w:t>
      </w:r>
    </w:p>
    <w:p>
      <w:pPr>
        <w:spacing w:after="0" w:line="55"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Service Period</w:t>
      </w:r>
      <w:r>
        <w:rPr>
          <w:rFonts w:ascii="Arial" w:cs="Arial" w:eastAsia="Arial" w:hAnsi="Arial"/>
          <w:sz w:val="20"/>
          <w:szCs w:val="20"/>
          <w:color w:val="auto"/>
        </w:rPr>
        <w:t>” has the meaning set forth in Section 4.</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Specifications</w:t>
      </w:r>
      <w:r>
        <w:rPr>
          <w:rFonts w:ascii="Arial" w:cs="Arial" w:eastAsia="Arial" w:hAnsi="Arial"/>
          <w:sz w:val="18"/>
          <w:szCs w:val="18"/>
          <w:color w:val="auto"/>
        </w:rPr>
        <w:t>” means (i) the performance documents, instructions and requirements provided by Lucid and agreed by Supplier in writing,</w:t>
      </w:r>
    </w:p>
    <w:p>
      <w:pPr>
        <w:spacing w:after="0" w:line="18" w:lineRule="exact"/>
        <w:rPr>
          <w:sz w:val="20"/>
          <w:szCs w:val="20"/>
          <w:color w:val="auto"/>
        </w:rPr>
      </w:pPr>
    </w:p>
    <w:p>
      <w:pPr>
        <w:ind w:right="20"/>
        <w:spacing w:after="0" w:line="220" w:lineRule="auto"/>
        <w:rPr>
          <w:sz w:val="20"/>
          <w:szCs w:val="20"/>
          <w:color w:val="auto"/>
        </w:rPr>
      </w:pPr>
      <w:r>
        <w:rPr>
          <w:rFonts w:ascii="Arial" w:cs="Arial" w:eastAsia="Arial" w:hAnsi="Arial"/>
          <w:sz w:val="20"/>
          <w:szCs w:val="20"/>
          <w:color w:val="auto"/>
        </w:rPr>
        <w:t>including any documents referenced in any bill of materials or Spot Order or Production Order, and (ii) drawings, samples or other descriptions provided by both Parties and approved in writing by both Parties relating to Goods or Development Goods.</w:t>
      </w:r>
    </w:p>
    <w:p>
      <w:pPr>
        <w:spacing w:after="0" w:line="56"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Subcontractor</w:t>
      </w:r>
      <w:r>
        <w:rPr>
          <w:rFonts w:ascii="Arial" w:cs="Arial" w:eastAsia="Arial" w:hAnsi="Arial"/>
          <w:sz w:val="20"/>
          <w:szCs w:val="20"/>
          <w:color w:val="auto"/>
        </w:rPr>
        <w:t>” means a third party manufacturing the Goods for Supplier.</w:t>
      </w:r>
    </w:p>
    <w:p>
      <w:pPr>
        <w:spacing w:after="0" w:line="81"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Supplier Technology</w:t>
      </w:r>
      <w:r>
        <w:rPr>
          <w:rFonts w:ascii="Arial" w:cs="Arial" w:eastAsia="Arial" w:hAnsi="Arial"/>
          <w:sz w:val="20"/>
          <w:szCs w:val="20"/>
          <w:color w:val="auto"/>
        </w:rPr>
        <w:t>” means [***].</w:t>
      </w:r>
    </w:p>
    <w:p>
      <w:pPr>
        <w:spacing w:after="0" w:line="67" w:lineRule="exact"/>
        <w:rPr>
          <w:sz w:val="20"/>
          <w:szCs w:val="20"/>
          <w:color w:val="auto"/>
        </w:rPr>
      </w:pPr>
    </w:p>
    <w:p>
      <w:pPr>
        <w:ind w:right="20"/>
        <w:spacing w:after="0" w:line="239"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Tooling</w:t>
      </w:r>
      <w:r>
        <w:rPr>
          <w:rFonts w:ascii="Arial" w:cs="Arial" w:eastAsia="Arial" w:hAnsi="Arial"/>
          <w:sz w:val="20"/>
          <w:szCs w:val="20"/>
          <w:color w:val="auto"/>
        </w:rPr>
        <w:t>” means fixtures, gauges, jigs, dies, molds, and patterns, used in connection with the development, manufacturing, testing, packaging or delivery of the Goods or Development Goods.</w:t>
      </w:r>
    </w:p>
    <w:p>
      <w:pPr>
        <w:spacing w:after="0" w:line="55"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Work Product</w:t>
      </w:r>
      <w:r>
        <w:rPr>
          <w:rFonts w:ascii="Arial" w:cs="Arial" w:eastAsia="Arial" w:hAnsi="Arial"/>
          <w:sz w:val="20"/>
          <w:szCs w:val="20"/>
          <w:color w:val="auto"/>
        </w:rPr>
        <w:t>” means all documents, work product and other materials [***].</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51" w:lineRule="exact"/>
        <w:rPr>
          <w:sz w:val="20"/>
          <w:szCs w:val="20"/>
          <w:color w:val="auto"/>
        </w:rPr>
      </w:pPr>
    </w:p>
    <w:p>
      <w:pPr>
        <w:spacing w:after="0"/>
        <w:tabs>
          <w:tab w:leader="none" w:pos="2000" w:val="left"/>
        </w:tabs>
        <w:rPr>
          <w:sz w:val="20"/>
          <w:szCs w:val="20"/>
          <w:color w:val="auto"/>
        </w:rPr>
      </w:pPr>
      <w:r>
        <w:rPr>
          <w:rFonts w:ascii="Arial" w:cs="Arial" w:eastAsia="Arial" w:hAnsi="Arial"/>
          <w:sz w:val="20"/>
          <w:szCs w:val="20"/>
          <w:color w:val="auto"/>
        </w:rPr>
        <w:t>Lucid Confidential</w:t>
      </w:r>
      <w:r>
        <w:rPr>
          <w:sz w:val="20"/>
          <w:szCs w:val="20"/>
          <w:color w:val="auto"/>
        </w:rPr>
        <w:tab/>
      </w:r>
      <w:r>
        <w:rPr>
          <w:rFonts w:ascii="Arial" w:cs="Arial" w:eastAsia="Arial" w:hAnsi="Arial"/>
          <w:sz w:val="19"/>
          <w:szCs w:val="19"/>
          <w:color w:val="auto"/>
        </w:rPr>
        <w:t>Parts GTC rev. October 2020</w:t>
      </w:r>
    </w:p>
    <w:p>
      <w:pPr>
        <w:sectPr>
          <w:pgSz w:w="11900" w:h="16838" w:orient="portrait"/>
          <w:cols w:equalWidth="0" w:num="1">
            <w:col w:w="11240"/>
          </w:cols>
          <w:pgMar w:left="320" w:top="1440" w:right="339" w:bottom="1440" w:gutter="0" w:footer="0" w:header="0"/>
        </w:sectPr>
      </w:pPr>
    </w:p>
    <w:bookmarkStart w:id="154" w:name="page155"/>
    <w:bookmarkEnd w:id="154"/>
    <w:p>
      <w:pPr>
        <w:spacing w:after="0" w:line="197" w:lineRule="exact"/>
        <w:rPr>
          <w:sz w:val="20"/>
          <w:szCs w:val="20"/>
          <w:color w:val="auto"/>
        </w:rPr>
      </w:pPr>
    </w:p>
    <w:p>
      <w:pPr>
        <w:jc w:val="center"/>
        <w:ind w:right="-1100"/>
        <w:spacing w:after="0"/>
        <w:rPr>
          <w:sz w:val="20"/>
          <w:szCs w:val="20"/>
          <w:color w:val="auto"/>
        </w:rPr>
      </w:pPr>
      <w:r>
        <w:rPr>
          <w:rFonts w:ascii="Arial" w:cs="Arial" w:eastAsia="Arial" w:hAnsi="Arial"/>
          <w:sz w:val="20"/>
          <w:szCs w:val="20"/>
          <w:b w:val="1"/>
          <w:bCs w:val="1"/>
          <w:color w:val="auto"/>
        </w:rPr>
        <w:t>Exhibit A</w:t>
      </w:r>
    </w:p>
    <w:p>
      <w:pPr>
        <w:jc w:val="center"/>
        <w:ind w:right="-1100"/>
        <w:spacing w:after="0"/>
        <w:rPr>
          <w:sz w:val="20"/>
          <w:szCs w:val="20"/>
          <w:color w:val="auto"/>
        </w:rPr>
      </w:pPr>
      <w:r>
        <w:rPr>
          <w:rFonts w:ascii="Arial" w:cs="Arial" w:eastAsia="Arial" w:hAnsi="Arial"/>
          <w:sz w:val="18"/>
          <w:szCs w:val="18"/>
          <w:b w:val="1"/>
          <w:bCs w:val="1"/>
          <w:color w:val="auto"/>
        </w:rPr>
        <w:t>List of Countries</w:t>
      </w:r>
    </w:p>
    <w:p>
      <w:pPr>
        <w:spacing w:after="0" w:line="203" w:lineRule="exact"/>
        <w:rPr>
          <w:sz w:val="20"/>
          <w:szCs w:val="20"/>
          <w:color w:val="auto"/>
        </w:rPr>
      </w:pPr>
    </w:p>
    <w:p>
      <w:pPr>
        <w:ind w:left="5400"/>
        <w:spacing w:after="0"/>
        <w:rPr>
          <w:sz w:val="20"/>
          <w:szCs w:val="20"/>
          <w:color w:val="auto"/>
        </w:rPr>
      </w:pPr>
      <w:r>
        <w:rPr>
          <w:rFonts w:ascii="Arial" w:cs="Arial" w:eastAsia="Arial" w:hAnsi="Arial"/>
          <w:sz w:val="20"/>
          <w:szCs w:val="20"/>
          <w:b w:val="1"/>
          <w:bCs w:val="1"/>
          <w:color w:val="auto"/>
        </w:rPr>
        <w:t>[***]</w:t>
      </w:r>
    </w:p>
    <w:p>
      <w:pPr>
        <w:spacing w:after="0" w:line="200" w:lineRule="exact"/>
        <w:rPr>
          <w:sz w:val="20"/>
          <w:szCs w:val="20"/>
          <w:color w:val="auto"/>
        </w:rPr>
      </w:pPr>
    </w:p>
    <w:p>
      <w:pPr>
        <w:spacing w:after="0" w:line="275" w:lineRule="exact"/>
        <w:rPr>
          <w:sz w:val="20"/>
          <w:szCs w:val="20"/>
          <w:color w:val="auto"/>
        </w:rPr>
      </w:pPr>
    </w:p>
    <w:p>
      <w:pPr>
        <w:ind w:left="5460"/>
        <w:spacing w:after="0"/>
        <w:rPr>
          <w:sz w:val="20"/>
          <w:szCs w:val="20"/>
          <w:color w:val="auto"/>
        </w:rPr>
      </w:pPr>
      <w:r>
        <w:rPr>
          <w:rFonts w:ascii="Arial" w:cs="Arial" w:eastAsia="Arial" w:hAnsi="Arial"/>
          <w:sz w:val="22"/>
          <w:szCs w:val="22"/>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7" w:lineRule="exact"/>
        <w:rPr>
          <w:sz w:val="20"/>
          <w:szCs w:val="20"/>
          <w:color w:val="auto"/>
        </w:rPr>
      </w:pPr>
    </w:p>
    <w:p>
      <w:pPr>
        <w:spacing w:after="0"/>
        <w:tabs>
          <w:tab w:leader="none" w:pos="2000" w:val="left"/>
        </w:tabs>
        <w:rPr>
          <w:sz w:val="20"/>
          <w:szCs w:val="20"/>
          <w:color w:val="auto"/>
        </w:rPr>
      </w:pPr>
      <w:r>
        <w:rPr>
          <w:rFonts w:ascii="Arial" w:cs="Arial" w:eastAsia="Arial" w:hAnsi="Arial"/>
          <w:sz w:val="20"/>
          <w:szCs w:val="20"/>
          <w:color w:val="auto"/>
        </w:rPr>
        <w:t>Lucid Confidential</w:t>
      </w:r>
      <w:r>
        <w:rPr>
          <w:sz w:val="20"/>
          <w:szCs w:val="20"/>
          <w:color w:val="auto"/>
        </w:rPr>
        <w:tab/>
      </w:r>
      <w:r>
        <w:rPr>
          <w:rFonts w:ascii="Arial" w:cs="Arial" w:eastAsia="Arial" w:hAnsi="Arial"/>
          <w:sz w:val="19"/>
          <w:szCs w:val="19"/>
          <w:color w:val="auto"/>
        </w:rPr>
        <w:t>Parts GTC rev. October 2020</w:t>
      </w:r>
    </w:p>
    <w:p>
      <w:pPr>
        <w:sectPr>
          <w:pgSz w:w="11900" w:h="16838" w:orient="portrait"/>
          <w:cols w:equalWidth="0" w:num="1">
            <w:col w:w="10139"/>
          </w:cols>
          <w:pgMar w:left="320" w:top="1440" w:right="1440" w:bottom="1440" w:gutter="0" w:footer="0" w:header="0"/>
        </w:sectPr>
      </w:pPr>
    </w:p>
    <w:bookmarkStart w:id="155" w:name="page156"/>
    <w:bookmarkEnd w:id="155"/>
    <w:p>
      <w:pPr>
        <w:jc w:val="center"/>
        <w:spacing w:after="0"/>
        <w:rPr>
          <w:sz w:val="20"/>
          <w:szCs w:val="20"/>
          <w:color w:val="auto"/>
        </w:rPr>
      </w:pPr>
      <w:r>
        <w:rPr>
          <w:rFonts w:ascii="Arial" w:cs="Arial" w:eastAsia="Arial" w:hAnsi="Arial"/>
          <w:sz w:val="20"/>
          <w:szCs w:val="20"/>
          <w:b w:val="1"/>
          <w:bCs w:val="1"/>
          <w:color w:val="auto"/>
        </w:rPr>
        <w:t>Exhibit B</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Root Cause Analysis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B-2</w:t>
      </w:r>
    </w:p>
    <w:p>
      <w:pPr>
        <w:sectPr>
          <w:pgSz w:w="11900" w:h="16838" w:orient="portrait"/>
          <w:cols w:equalWidth="0" w:num="1">
            <w:col w:w="9019"/>
          </w:cols>
          <w:pgMar w:left="1440" w:top="1399" w:right="1440" w:bottom="1440" w:gutter="0" w:footer="0" w:header="0"/>
        </w:sectPr>
      </w:pPr>
    </w:p>
    <w:bookmarkStart w:id="156" w:name="page157"/>
    <w:bookmarkEnd w:id="156"/>
    <w:p>
      <w:pPr>
        <w:jc w:val="center"/>
        <w:spacing w:after="0"/>
        <w:rPr>
          <w:sz w:val="20"/>
          <w:szCs w:val="20"/>
          <w:color w:val="auto"/>
        </w:rPr>
      </w:pPr>
      <w:r>
        <w:rPr>
          <w:rFonts w:ascii="Arial" w:cs="Arial" w:eastAsia="Arial" w:hAnsi="Arial"/>
          <w:sz w:val="20"/>
          <w:szCs w:val="20"/>
          <w:b w:val="1"/>
          <w:bCs w:val="1"/>
          <w:color w:val="auto"/>
        </w:rPr>
        <w:t>EXHIBIT C</w:t>
      </w:r>
    </w:p>
    <w:p>
      <w:pPr>
        <w:jc w:val="center"/>
        <w:spacing w:after="0"/>
        <w:rPr>
          <w:sz w:val="20"/>
          <w:szCs w:val="20"/>
          <w:color w:val="auto"/>
        </w:rPr>
      </w:pPr>
      <w:r>
        <w:rPr>
          <w:rFonts w:ascii="Arial" w:cs="Arial" w:eastAsia="Arial" w:hAnsi="Arial"/>
          <w:sz w:val="20"/>
          <w:szCs w:val="20"/>
          <w:b w:val="1"/>
          <w:bCs w:val="1"/>
          <w:color w:val="auto"/>
        </w:rPr>
        <w:t>AFFILIATE PARTICIPATION AGREEMENT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This AFFILIATE PARTICIPATION AGREEMENT  (</w:t>
      </w:r>
      <w:r>
        <w:rPr>
          <w:rFonts w:ascii="Arial" w:cs="Arial" w:eastAsia="Arial" w:hAnsi="Arial"/>
          <w:sz w:val="18"/>
          <w:szCs w:val="18"/>
          <w:b w:val="1"/>
          <w:bCs w:val="1"/>
          <w:color w:val="auto"/>
        </w:rPr>
        <w:t>“Participation Agreement”</w:t>
      </w:r>
      <w:r>
        <w:rPr>
          <w:rFonts w:ascii="Arial" w:cs="Arial" w:eastAsia="Arial" w:hAnsi="Arial"/>
          <w:sz w:val="18"/>
          <w:szCs w:val="18"/>
          <w:color w:val="auto"/>
        </w:rPr>
        <w:t>) is entered into as of ____________ ____, 20____ (the</w:t>
      </w:r>
    </w:p>
    <w:p>
      <w:pPr>
        <w:spacing w:after="0"/>
        <w:tabs>
          <w:tab w:leader="none" w:pos="500" w:val="left"/>
          <w:tab w:leader="none" w:pos="1420" w:val="left"/>
          <w:tab w:leader="none" w:pos="2140" w:val="left"/>
          <w:tab w:leader="none" w:pos="2500" w:val="left"/>
          <w:tab w:leader="none" w:pos="2940" w:val="left"/>
          <w:tab w:leader="none" w:pos="3780" w:val="left"/>
          <w:tab w:leader="none" w:pos="4980" w:val="left"/>
          <w:tab w:leader="none" w:pos="6380" w:val="left"/>
          <w:tab w:leader="none" w:pos="7260" w:val="left"/>
          <w:tab w:leader="none" w:pos="7520" w:val="left"/>
          <w:tab w:leader="none" w:pos="8780" w:val="left"/>
          <w:tab w:leader="none" w:pos="9860" w:val="left"/>
          <w:tab w:leader="none" w:pos="10380" w:val="left"/>
          <w:tab w:leader="none" w:pos="11080" w:val="left"/>
        </w:tabs>
        <w:rPr>
          <w:sz w:val="20"/>
          <w:szCs w:val="20"/>
          <w:color w:val="auto"/>
        </w:rPr>
      </w:pPr>
      <w:r>
        <w:rPr>
          <w:rFonts w:ascii="Arial" w:cs="Arial" w:eastAsia="Arial" w:hAnsi="Arial"/>
          <w:sz w:val="20"/>
          <w:szCs w:val="20"/>
          <w:b w:val="1"/>
          <w:bCs w:val="1"/>
          <w:color w:val="auto"/>
        </w:rPr>
        <w:t>“PA</w:t>
        <w:tab/>
        <w:t>Effective</w:t>
        <w:tab/>
        <w:t>Date”</w:t>
      </w:r>
      <w:r>
        <w:rPr>
          <w:rFonts w:ascii="Arial" w:cs="Arial" w:eastAsia="Arial" w:hAnsi="Arial"/>
          <w:sz w:val="20"/>
          <w:szCs w:val="20"/>
          <w:color w:val="auto"/>
        </w:rPr>
        <w:t>)</w:t>
      </w:r>
      <w:r>
        <w:rPr>
          <w:sz w:val="20"/>
          <w:szCs w:val="20"/>
          <w:color w:val="auto"/>
        </w:rPr>
        <w:tab/>
      </w:r>
      <w:r>
        <w:rPr>
          <w:rFonts w:ascii="Arial" w:cs="Arial" w:eastAsia="Arial" w:hAnsi="Arial"/>
          <w:sz w:val="20"/>
          <w:szCs w:val="20"/>
          <w:color w:val="auto"/>
        </w:rPr>
        <w:t>by</w:t>
        <w:tab/>
        <w:t>and</w:t>
        <w:tab/>
        <w:t>between</w:t>
      </w:r>
      <w:r>
        <w:rPr>
          <w:sz w:val="20"/>
          <w:szCs w:val="20"/>
          <w:color w:val="auto"/>
        </w:rPr>
        <w:tab/>
      </w:r>
      <w:r>
        <w:rPr>
          <w:rFonts w:ascii="Arial" w:cs="Arial" w:eastAsia="Arial" w:hAnsi="Arial"/>
          <w:sz w:val="20"/>
          <w:szCs w:val="20"/>
          <w:b w:val="1"/>
          <w:bCs w:val="1"/>
          <w:color w:val="auto"/>
        </w:rPr>
        <w:t>[SUPPLIER</w:t>
        <w:tab/>
        <w:t>AFFILIATE’S</w:t>
        <w:tab/>
        <w:t>NAME]</w:t>
      </w:r>
      <w:r>
        <w:rPr>
          <w:rFonts w:ascii="Arial" w:cs="Arial" w:eastAsia="Arial" w:hAnsi="Arial"/>
          <w:sz w:val="20"/>
          <w:szCs w:val="20"/>
          <w:color w:val="auto"/>
        </w:rPr>
        <w:t>,</w:t>
      </w:r>
      <w:r>
        <w:rPr>
          <w:sz w:val="20"/>
          <w:szCs w:val="20"/>
          <w:color w:val="auto"/>
        </w:rPr>
        <w:tab/>
      </w:r>
      <w:r>
        <w:rPr>
          <w:rFonts w:ascii="Arial" w:cs="Arial" w:eastAsia="Arial" w:hAnsi="Arial"/>
          <w:sz w:val="20"/>
          <w:szCs w:val="20"/>
          <w:color w:val="auto"/>
        </w:rPr>
        <w:t>a</w:t>
        <w:tab/>
        <w:t>___________</w:t>
        <w:tab/>
        <w:t>corporation</w:t>
        <w:tab/>
        <w:t>with</w:t>
        <w:tab/>
        <w:t>offices</w:t>
      </w:r>
      <w:r>
        <w:rPr>
          <w:sz w:val="20"/>
          <w:szCs w:val="20"/>
          <w:color w:val="auto"/>
        </w:rPr>
        <w:tab/>
      </w:r>
      <w:r>
        <w:rPr>
          <w:rFonts w:ascii="Arial" w:cs="Arial" w:eastAsia="Arial" w:hAnsi="Arial"/>
          <w:sz w:val="16"/>
          <w:szCs w:val="16"/>
          <w:color w:val="auto"/>
        </w:rPr>
        <w:t>at</w:t>
      </w:r>
    </w:p>
    <w:p>
      <w:pPr>
        <w:spacing w:after="0" w:line="219" w:lineRule="auto"/>
        <w:rPr>
          <w:sz w:val="20"/>
          <w:szCs w:val="20"/>
          <w:color w:val="auto"/>
        </w:rPr>
      </w:pPr>
      <w:r>
        <w:rPr>
          <w:rFonts w:ascii="Arial" w:cs="Arial" w:eastAsia="Arial" w:hAnsi="Arial"/>
          <w:sz w:val="18"/>
          <w:szCs w:val="18"/>
          <w:color w:val="auto"/>
        </w:rPr>
        <w:t>_________________________________________________________ (</w:t>
      </w:r>
      <w:r>
        <w:rPr>
          <w:rFonts w:ascii="Arial" w:cs="Arial" w:eastAsia="Arial" w:hAnsi="Arial"/>
          <w:sz w:val="18"/>
          <w:szCs w:val="18"/>
          <w:b w:val="1"/>
          <w:bCs w:val="1"/>
          <w:color w:val="auto"/>
        </w:rPr>
        <w:t>“Affiliate”</w:t>
      </w:r>
      <w:r>
        <w:rPr>
          <w:rFonts w:ascii="Arial" w:cs="Arial" w:eastAsia="Arial" w:hAnsi="Arial"/>
          <w:sz w:val="18"/>
          <w:szCs w:val="18"/>
          <w:color w:val="auto"/>
        </w:rPr>
        <w:t>), and LUCID USA, Inc., a corporation duly organized</w:t>
      </w:r>
    </w:p>
    <w:p>
      <w:pPr>
        <w:spacing w:after="0" w:line="1"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and existing under the laws of the State of Delaware, USA, having its principal place of business at 7373 Gateway Blvd Newark, CA 94560 USA (“</w:t>
      </w:r>
      <w:r>
        <w:rPr>
          <w:rFonts w:ascii="Arial" w:cs="Arial" w:eastAsia="Arial" w:hAnsi="Arial"/>
          <w:sz w:val="20"/>
          <w:szCs w:val="20"/>
          <w:b w:val="1"/>
          <w:bCs w:val="1"/>
          <w:color w:val="auto"/>
        </w:rPr>
        <w:t>LUCID</w:t>
      </w:r>
      <w:r>
        <w:rPr>
          <w:rFonts w:ascii="Arial" w:cs="Arial" w:eastAsia="Arial" w:hAnsi="Arial"/>
          <w:sz w:val="20"/>
          <w:szCs w:val="20"/>
          <w:color w:val="auto"/>
        </w:rPr>
        <w:t>”).</w:t>
      </w:r>
    </w:p>
    <w:p>
      <w:pPr>
        <w:spacing w:after="0" w:line="191" w:lineRule="exact"/>
        <w:rPr>
          <w:sz w:val="20"/>
          <w:szCs w:val="20"/>
          <w:color w:val="auto"/>
        </w:rPr>
      </w:pPr>
    </w:p>
    <w:p>
      <w:pPr>
        <w:ind w:right="20"/>
        <w:spacing w:after="0" w:line="232" w:lineRule="auto"/>
        <w:rPr>
          <w:sz w:val="20"/>
          <w:szCs w:val="20"/>
          <w:color w:val="auto"/>
        </w:rPr>
      </w:pPr>
      <w:r>
        <w:rPr>
          <w:rFonts w:ascii="Arial" w:cs="Arial" w:eastAsia="Arial" w:hAnsi="Arial"/>
          <w:sz w:val="20"/>
          <w:szCs w:val="20"/>
          <w:color w:val="auto"/>
        </w:rPr>
        <w:t>WHEREAS, Panasonic Energy Co., Ltd. (</w:t>
      </w:r>
      <w:r>
        <w:rPr>
          <w:rFonts w:ascii="Arial" w:cs="Arial" w:eastAsia="Arial" w:hAnsi="Arial"/>
          <w:sz w:val="20"/>
          <w:szCs w:val="20"/>
          <w:b w:val="1"/>
          <w:bCs w:val="1"/>
          <w:color w:val="auto"/>
        </w:rPr>
        <w:t>“Supplier”</w:t>
      </w:r>
      <w:r>
        <w:rPr>
          <w:rFonts w:ascii="Arial" w:cs="Arial" w:eastAsia="Arial" w:hAnsi="Arial"/>
          <w:sz w:val="20"/>
          <w:szCs w:val="20"/>
          <w:color w:val="auto"/>
        </w:rPr>
        <w:t>) and LUCID have entered into a General Terms and Conditions for Prototype and Production Parts and Services dated as of December 1, 2022 (the “</w:t>
      </w:r>
      <w:r>
        <w:rPr>
          <w:rFonts w:ascii="Arial" w:cs="Arial" w:eastAsia="Arial" w:hAnsi="Arial"/>
          <w:sz w:val="20"/>
          <w:szCs w:val="20"/>
          <w:b w:val="1"/>
          <w:bCs w:val="1"/>
          <w:color w:val="auto"/>
        </w:rPr>
        <w:t>GTC</w:t>
      </w:r>
      <w:r>
        <w:rPr>
          <w:rFonts w:ascii="Arial" w:cs="Arial" w:eastAsia="Arial" w:hAnsi="Arial"/>
          <w:sz w:val="20"/>
          <w:szCs w:val="20"/>
          <w:color w:val="auto"/>
        </w:rPr>
        <w:t>”);</w:t>
      </w:r>
    </w:p>
    <w:p>
      <w:pPr>
        <w:spacing w:after="0" w:line="196" w:lineRule="exact"/>
        <w:rPr>
          <w:sz w:val="20"/>
          <w:szCs w:val="20"/>
          <w:color w:val="auto"/>
        </w:rPr>
      </w:pPr>
    </w:p>
    <w:p>
      <w:pPr>
        <w:ind w:right="20"/>
        <w:spacing w:after="0" w:line="236" w:lineRule="auto"/>
        <w:rPr>
          <w:sz w:val="20"/>
          <w:szCs w:val="20"/>
          <w:color w:val="auto"/>
        </w:rPr>
      </w:pPr>
      <w:r>
        <w:rPr>
          <w:rFonts w:ascii="Arial" w:cs="Arial" w:eastAsia="Arial" w:hAnsi="Arial"/>
          <w:sz w:val="20"/>
          <w:szCs w:val="20"/>
          <w:color w:val="auto"/>
        </w:rPr>
        <w:t>WHEREAS, upon execution and delivery of this Participation Agreement, Affiliate will have certain rights (including the right to sell Goods, Development Goods and/or Services ordered by LUCID) and obligations under the GTC; and</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color w:val="auto"/>
        </w:rPr>
        <w:t>WHEREAS, Affiliate desires to have such rights and obligations.</w:t>
      </w:r>
    </w:p>
    <w:p>
      <w:pPr>
        <w:spacing w:after="0" w:line="216" w:lineRule="exact"/>
        <w:rPr>
          <w:sz w:val="20"/>
          <w:szCs w:val="20"/>
          <w:color w:val="auto"/>
        </w:rPr>
      </w:pPr>
    </w:p>
    <w:p>
      <w:pPr>
        <w:spacing w:after="0"/>
        <w:rPr>
          <w:sz w:val="20"/>
          <w:szCs w:val="20"/>
          <w:color w:val="auto"/>
        </w:rPr>
      </w:pPr>
      <w:r>
        <w:rPr>
          <w:rFonts w:ascii="Arial" w:cs="Arial" w:eastAsia="Arial" w:hAnsi="Arial"/>
          <w:sz w:val="19"/>
          <w:szCs w:val="19"/>
          <w:color w:val="auto"/>
        </w:rPr>
        <w:t>NOW, THEREFORE, for good and valuable consideration, the receipt and sufficiency of which is hereby acknowledged, Affiliate and</w:t>
      </w:r>
    </w:p>
    <w:p>
      <w:pPr>
        <w:spacing w:after="0"/>
        <w:rPr>
          <w:sz w:val="20"/>
          <w:szCs w:val="20"/>
          <w:color w:val="auto"/>
        </w:rPr>
      </w:pPr>
      <w:r>
        <w:rPr>
          <w:rFonts w:ascii="Arial" w:cs="Arial" w:eastAsia="Arial" w:hAnsi="Arial"/>
          <w:sz w:val="20"/>
          <w:szCs w:val="20"/>
          <w:color w:val="auto"/>
        </w:rPr>
        <w:t>LUCID agree as follows:</w:t>
      </w:r>
    </w:p>
    <w:p>
      <w:pPr>
        <w:spacing w:after="0" w:line="186" w:lineRule="exact"/>
        <w:rPr>
          <w:sz w:val="20"/>
          <w:szCs w:val="20"/>
          <w:color w:val="auto"/>
        </w:rPr>
      </w:pPr>
    </w:p>
    <w:p>
      <w:pPr>
        <w:ind w:left="360" w:hanging="352"/>
        <w:spacing w:after="0"/>
        <w:tabs>
          <w:tab w:leader="none" w:pos="360" w:val="left"/>
        </w:tabs>
        <w:numPr>
          <w:ilvl w:val="0"/>
          <w:numId w:val="99"/>
        </w:numPr>
        <w:rPr>
          <w:rFonts w:ascii="Arial" w:cs="Arial" w:eastAsia="Arial" w:hAnsi="Arial"/>
          <w:sz w:val="20"/>
          <w:szCs w:val="20"/>
          <w:b w:val="1"/>
          <w:bCs w:val="1"/>
          <w:color w:val="auto"/>
        </w:rPr>
      </w:pPr>
      <w:r>
        <w:rPr>
          <w:rFonts w:ascii="Arial" w:cs="Arial" w:eastAsia="Arial" w:hAnsi="Arial"/>
          <w:sz w:val="20"/>
          <w:szCs w:val="20"/>
          <w:color w:val="auto"/>
        </w:rPr>
        <w:t>Capitalized terms used in this Participation Agreement but not defined shall have the meanings given in the GTC.</w:t>
      </w:r>
    </w:p>
    <w:p>
      <w:pPr>
        <w:spacing w:after="0" w:line="215" w:lineRule="exact"/>
        <w:rPr>
          <w:rFonts w:ascii="Arial" w:cs="Arial" w:eastAsia="Arial" w:hAnsi="Arial"/>
          <w:sz w:val="20"/>
          <w:szCs w:val="20"/>
          <w:b w:val="1"/>
          <w:bCs w:val="1"/>
          <w:color w:val="auto"/>
        </w:rPr>
      </w:pPr>
    </w:p>
    <w:p>
      <w:pPr>
        <w:jc w:val="both"/>
        <w:ind w:firstLine="8"/>
        <w:spacing w:after="0" w:line="223" w:lineRule="auto"/>
        <w:tabs>
          <w:tab w:leader="none" w:pos="481" w:val="left"/>
        </w:tabs>
        <w:numPr>
          <w:ilvl w:val="0"/>
          <w:numId w:val="99"/>
        </w:numPr>
        <w:rPr>
          <w:rFonts w:ascii="Arial" w:cs="Arial" w:eastAsia="Arial" w:hAnsi="Arial"/>
          <w:sz w:val="20"/>
          <w:szCs w:val="20"/>
          <w:b w:val="1"/>
          <w:bCs w:val="1"/>
          <w:color w:val="auto"/>
        </w:rPr>
      </w:pPr>
      <w:r>
        <w:rPr>
          <w:rFonts w:ascii="Arial" w:cs="Arial" w:eastAsia="Arial" w:hAnsi="Arial"/>
          <w:sz w:val="20"/>
          <w:szCs w:val="20"/>
          <w:color w:val="auto"/>
        </w:rPr>
        <w:t>Under the terms and conditions of the GTC and this Participation Agreement, LUCID and Affiliate may enter into Spot Orders, Production Orders, Releases, production pricing agreements and other agreements pursuant to which Affiliate shall deliver Goods, Development Goods and/or Services to LUCID.</w:t>
      </w:r>
    </w:p>
    <w:p>
      <w:pPr>
        <w:spacing w:after="0" w:line="195" w:lineRule="exact"/>
        <w:rPr>
          <w:rFonts w:ascii="Arial" w:cs="Arial" w:eastAsia="Arial" w:hAnsi="Arial"/>
          <w:sz w:val="20"/>
          <w:szCs w:val="20"/>
          <w:b w:val="1"/>
          <w:bCs w:val="1"/>
          <w:color w:val="auto"/>
        </w:rPr>
      </w:pPr>
    </w:p>
    <w:p>
      <w:pPr>
        <w:ind w:firstLine="8"/>
        <w:spacing w:after="0" w:line="242" w:lineRule="auto"/>
        <w:tabs>
          <w:tab w:leader="none" w:pos="468" w:val="left"/>
        </w:tabs>
        <w:numPr>
          <w:ilvl w:val="0"/>
          <w:numId w:val="99"/>
        </w:numPr>
        <w:rPr>
          <w:rFonts w:ascii="Arial" w:cs="Arial" w:eastAsia="Arial" w:hAnsi="Arial"/>
          <w:sz w:val="19"/>
          <w:szCs w:val="19"/>
          <w:b w:val="1"/>
          <w:bCs w:val="1"/>
          <w:color w:val="auto"/>
        </w:rPr>
      </w:pPr>
      <w:r>
        <w:rPr>
          <w:rFonts w:ascii="Arial" w:cs="Arial" w:eastAsia="Arial" w:hAnsi="Arial"/>
          <w:sz w:val="19"/>
          <w:szCs w:val="19"/>
          <w:color w:val="auto"/>
        </w:rPr>
        <w:t>LUCID will make all payments that are properly due and payable of purchase prices, fees and expenses under the GTC and this Participation Agreement in connection with the purchase of Goods, Development Goods and/or Services performed by Affiliate.</w:t>
      </w:r>
    </w:p>
    <w:p>
      <w:pPr>
        <w:spacing w:after="0" w:line="193" w:lineRule="exact"/>
        <w:rPr>
          <w:rFonts w:ascii="Arial" w:cs="Arial" w:eastAsia="Arial" w:hAnsi="Arial"/>
          <w:sz w:val="19"/>
          <w:szCs w:val="19"/>
          <w:b w:val="1"/>
          <w:bCs w:val="1"/>
          <w:color w:val="auto"/>
        </w:rPr>
      </w:pPr>
    </w:p>
    <w:p>
      <w:pPr>
        <w:jc w:val="both"/>
        <w:ind w:firstLine="8"/>
        <w:spacing w:after="0" w:line="238" w:lineRule="auto"/>
        <w:tabs>
          <w:tab w:leader="none" w:pos="388" w:val="left"/>
        </w:tabs>
        <w:numPr>
          <w:ilvl w:val="0"/>
          <w:numId w:val="99"/>
        </w:numPr>
        <w:rPr>
          <w:rFonts w:ascii="Arial" w:cs="Arial" w:eastAsia="Arial" w:hAnsi="Arial"/>
          <w:sz w:val="18"/>
          <w:szCs w:val="18"/>
          <w:b w:val="1"/>
          <w:bCs w:val="1"/>
          <w:color w:val="auto"/>
        </w:rPr>
      </w:pPr>
      <w:r>
        <w:rPr>
          <w:rFonts w:ascii="Arial" w:cs="Arial" w:eastAsia="Arial" w:hAnsi="Arial"/>
          <w:sz w:val="18"/>
          <w:szCs w:val="18"/>
          <w:color w:val="auto"/>
        </w:rPr>
        <w:t>The term of this Participation Agreement shall commence on the PA Effective Date and continue until the expiration or termination of the GTC, unless earlier terminated as provided below. The termination rights set forth in the GTC shall apply equally to each party’s rights of termination with respect to this Participation Agreement and any Spot Orders accepted by Supplier, Production Orders, Releases, production pricing agreements and other agreements entered into pursuant to the GTC. Affiliate shall have all of the rights and obligations of Supplier under the GTC and will be bound by all of the terms and conditions of the GTC as though it was Supplier thereunder, as such terms and conditions may be modified or amended from time to time by Supplier and LUCID. Notwithstanding the foregoing, (i) Affiliate shall not have any right to amend, assign or terminate the GTC and (ii) termination of this Participation Agreement shall not affect the GTC.</w:t>
      </w:r>
    </w:p>
    <w:p>
      <w:pPr>
        <w:spacing w:after="0" w:line="183" w:lineRule="exact"/>
        <w:rPr>
          <w:rFonts w:ascii="Arial" w:cs="Arial" w:eastAsia="Arial" w:hAnsi="Arial"/>
          <w:sz w:val="18"/>
          <w:szCs w:val="18"/>
          <w:b w:val="1"/>
          <w:bCs w:val="1"/>
          <w:color w:val="auto"/>
        </w:rPr>
      </w:pPr>
    </w:p>
    <w:p>
      <w:pPr>
        <w:ind w:left="440" w:hanging="432"/>
        <w:spacing w:after="0"/>
        <w:tabs>
          <w:tab w:leader="none" w:pos="440" w:val="left"/>
        </w:tabs>
        <w:numPr>
          <w:ilvl w:val="0"/>
          <w:numId w:val="99"/>
        </w:numPr>
        <w:rPr>
          <w:rFonts w:ascii="Arial" w:cs="Arial" w:eastAsia="Arial" w:hAnsi="Arial"/>
          <w:sz w:val="19"/>
          <w:szCs w:val="19"/>
          <w:b w:val="1"/>
          <w:bCs w:val="1"/>
          <w:color w:val="auto"/>
        </w:rPr>
      </w:pPr>
      <w:r>
        <w:rPr>
          <w:rFonts w:ascii="Arial" w:cs="Arial" w:eastAsia="Arial" w:hAnsi="Arial"/>
          <w:sz w:val="19"/>
          <w:szCs w:val="19"/>
          <w:color w:val="auto"/>
        </w:rPr>
        <w:t>Affiliate’s address for notice purposes is as follows, or such new address(es) as may from time to time be provided by Affiliate to</w:t>
      </w:r>
    </w:p>
    <w:p>
      <w:pPr>
        <w:spacing w:after="0"/>
        <w:rPr>
          <w:rFonts w:ascii="Arial" w:cs="Arial" w:eastAsia="Arial" w:hAnsi="Arial"/>
          <w:sz w:val="19"/>
          <w:szCs w:val="19"/>
          <w:b w:val="1"/>
          <w:bCs w:val="1"/>
          <w:color w:val="auto"/>
        </w:rPr>
      </w:pPr>
      <w:r>
        <w:rPr>
          <w:rFonts w:ascii="Arial" w:cs="Arial" w:eastAsia="Arial" w:hAnsi="Arial"/>
          <w:sz w:val="20"/>
          <w:szCs w:val="20"/>
          <w:color w:val="auto"/>
        </w:rPr>
        <w:t>LUCID:</w:t>
      </w:r>
    </w:p>
    <w:p>
      <w:pPr>
        <w:spacing w:after="0" w:line="188"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With copy to: ___________________________</w:t>
      </w:r>
    </w:p>
    <w:p>
      <w:pPr>
        <w:spacing w:after="0" w:line="207" w:lineRule="auto"/>
        <w:tabs>
          <w:tab w:leader="none" w:pos="4540" w:val="left"/>
        </w:tabs>
        <w:rPr>
          <w:sz w:val="20"/>
          <w:szCs w:val="20"/>
          <w:color w:val="auto"/>
        </w:rPr>
      </w:pPr>
      <w:r>
        <w:rPr>
          <w:rFonts w:ascii="Arial" w:cs="Arial" w:eastAsia="Arial" w:hAnsi="Arial"/>
          <w:sz w:val="19"/>
          <w:szCs w:val="19"/>
          <w:color w:val="auto"/>
        </w:rPr>
        <w:t>__________________________________________</w:t>
      </w:r>
      <w:r>
        <w:rPr>
          <w:sz w:val="20"/>
          <w:szCs w:val="20"/>
          <w:color w:val="auto"/>
        </w:rPr>
        <w:tab/>
      </w:r>
      <w:r>
        <w:rPr>
          <w:rFonts w:ascii="Arial" w:cs="Arial" w:eastAsia="Arial" w:hAnsi="Arial"/>
          <w:sz w:val="19"/>
          <w:szCs w:val="19"/>
          <w:color w:val="auto"/>
        </w:rPr>
        <w:t>______________________________________</w:t>
      </w:r>
    </w:p>
    <w:p>
      <w:pPr>
        <w:spacing w:after="0" w:line="223" w:lineRule="auto"/>
        <w:tabs>
          <w:tab w:leader="none" w:pos="4540" w:val="left"/>
        </w:tabs>
        <w:rPr>
          <w:sz w:val="20"/>
          <w:szCs w:val="20"/>
          <w:color w:val="auto"/>
        </w:rPr>
      </w:pPr>
      <w:r>
        <w:rPr>
          <w:rFonts w:ascii="Arial" w:cs="Arial" w:eastAsia="Arial" w:hAnsi="Arial"/>
          <w:sz w:val="19"/>
          <w:szCs w:val="19"/>
          <w:color w:val="auto"/>
        </w:rPr>
        <w:t>__________________________________________</w:t>
      </w:r>
      <w:r>
        <w:rPr>
          <w:sz w:val="20"/>
          <w:szCs w:val="20"/>
          <w:color w:val="auto"/>
        </w:rPr>
        <w:tab/>
      </w:r>
      <w:r>
        <w:rPr>
          <w:rFonts w:ascii="Arial" w:cs="Arial" w:eastAsia="Arial" w:hAnsi="Arial"/>
          <w:sz w:val="19"/>
          <w:szCs w:val="19"/>
          <w:color w:val="auto"/>
        </w:rPr>
        <w:t>______________________________________</w:t>
      </w:r>
    </w:p>
    <w:p>
      <w:pPr>
        <w:spacing w:after="0"/>
        <w:rPr>
          <w:sz w:val="20"/>
          <w:szCs w:val="20"/>
          <w:color w:val="auto"/>
        </w:rPr>
      </w:pPr>
      <w:r>
        <w:rPr>
          <w:rFonts w:ascii="Arial" w:cs="Arial" w:eastAsia="Arial" w:hAnsi="Arial"/>
          <w:sz w:val="20"/>
          <w:szCs w:val="20"/>
          <w:color w:val="auto"/>
        </w:rPr>
        <w:t>Attn: 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C-1</w:t>
      </w:r>
    </w:p>
    <w:p>
      <w:pPr>
        <w:sectPr>
          <w:pgSz w:w="11900" w:h="16838" w:orient="portrait"/>
          <w:cols w:equalWidth="0" w:num="1">
            <w:col w:w="11240"/>
          </w:cols>
          <w:pgMar w:left="320" w:top="1394" w:right="339" w:bottom="1440" w:gutter="0" w:footer="0" w:header="0"/>
        </w:sectPr>
      </w:pPr>
    </w:p>
    <w:bookmarkStart w:id="157" w:name="page158"/>
    <w:bookmarkEnd w:id="157"/>
    <w:p>
      <w:pPr>
        <w:spacing w:after="0" w:line="236" w:lineRule="auto"/>
        <w:rPr>
          <w:sz w:val="20"/>
          <w:szCs w:val="20"/>
          <w:color w:val="auto"/>
        </w:rPr>
      </w:pPr>
      <w:r>
        <w:rPr>
          <w:rFonts w:ascii="Arial" w:cs="Arial" w:eastAsia="Arial" w:hAnsi="Arial"/>
          <w:sz w:val="20"/>
          <w:szCs w:val="20"/>
          <w:color w:val="auto"/>
        </w:rPr>
        <w:t>IN WITNESS WHEREOF, the parties hereto have caused this Agreement to be executed by their respective authorized representatives as of the date first written above.</w:t>
      </w:r>
    </w:p>
    <w:p>
      <w:pPr>
        <w:spacing w:after="0" w:line="220" w:lineRule="exact"/>
        <w:rPr>
          <w:sz w:val="20"/>
          <w:szCs w:val="20"/>
          <w:color w:val="auto"/>
        </w:rPr>
      </w:pPr>
    </w:p>
    <w:tbl>
      <w:tblPr>
        <w:tblLayout w:type="fixed"/>
        <w:tblInd w:w="110" w:type="dxa"/>
        <w:tblCellMar>
          <w:top w:w="0" w:type="dxa"/>
          <w:left w:w="0" w:type="dxa"/>
          <w:bottom w:w="0" w:type="dxa"/>
          <w:right w:w="0" w:type="dxa"/>
        </w:tblCellMar>
      </w:tblPr>
      <w:tr>
        <w:trPr>
          <w:trHeight w:val="270"/>
        </w:trPr>
        <w:tc>
          <w:tcPr>
            <w:tcW w:w="1080" w:type="dxa"/>
            <w:vAlign w:val="bottom"/>
            <w:tcBorders>
              <w:top w:val="single" w:sz="8" w:color="auto"/>
              <w:left w:val="single" w:sz="8" w:color="auto"/>
            </w:tcBorders>
          </w:tcPr>
          <w:p>
            <w:pPr>
              <w:spacing w:after="0"/>
              <w:rPr>
                <w:sz w:val="23"/>
                <w:szCs w:val="23"/>
                <w:color w:val="auto"/>
              </w:rPr>
            </w:pPr>
          </w:p>
        </w:tc>
        <w:tc>
          <w:tcPr>
            <w:tcW w:w="4200" w:type="dxa"/>
            <w:vAlign w:val="bottom"/>
            <w:tcBorders>
              <w:top w:val="single" w:sz="8" w:color="auto"/>
              <w:right w:val="single" w:sz="8" w:color="auto"/>
            </w:tcBorders>
            <w:gridSpan w:val="2"/>
          </w:tcPr>
          <w:p>
            <w:pPr>
              <w:ind w:left="1220"/>
              <w:spacing w:after="0"/>
              <w:rPr>
                <w:sz w:val="20"/>
                <w:szCs w:val="20"/>
                <w:color w:val="auto"/>
              </w:rPr>
            </w:pPr>
            <w:r>
              <w:rPr>
                <w:rFonts w:ascii="Arial" w:cs="Arial" w:eastAsia="Arial" w:hAnsi="Arial"/>
                <w:sz w:val="20"/>
                <w:szCs w:val="20"/>
                <w:b w:val="1"/>
                <w:bCs w:val="1"/>
                <w:color w:val="auto"/>
              </w:rPr>
              <w:t>Affiliate</w:t>
            </w:r>
          </w:p>
        </w:tc>
        <w:tc>
          <w:tcPr>
            <w:tcW w:w="440" w:type="dxa"/>
            <w:vAlign w:val="bottom"/>
            <w:tcBorders>
              <w:right w:val="single" w:sz="8" w:color="auto"/>
            </w:tcBorders>
          </w:tcPr>
          <w:p>
            <w:pPr>
              <w:spacing w:after="0"/>
              <w:rPr>
                <w:sz w:val="23"/>
                <w:szCs w:val="23"/>
                <w:color w:val="auto"/>
              </w:rPr>
            </w:pPr>
          </w:p>
        </w:tc>
        <w:tc>
          <w:tcPr>
            <w:tcW w:w="1080" w:type="dxa"/>
            <w:vAlign w:val="bottom"/>
            <w:tcBorders>
              <w:top w:val="single" w:sz="8" w:color="auto"/>
            </w:tcBorders>
          </w:tcPr>
          <w:p>
            <w:pPr>
              <w:spacing w:after="0"/>
              <w:rPr>
                <w:sz w:val="23"/>
                <w:szCs w:val="23"/>
                <w:color w:val="auto"/>
              </w:rPr>
            </w:pPr>
          </w:p>
        </w:tc>
        <w:tc>
          <w:tcPr>
            <w:tcW w:w="4220" w:type="dxa"/>
            <w:vAlign w:val="bottom"/>
            <w:tcBorders>
              <w:top w:val="single" w:sz="8" w:color="auto"/>
              <w:right w:val="single" w:sz="8" w:color="auto"/>
            </w:tcBorders>
            <w:gridSpan w:val="2"/>
          </w:tcPr>
          <w:p>
            <w:pPr>
              <w:ind w:left="880"/>
              <w:spacing w:after="0"/>
              <w:rPr>
                <w:sz w:val="20"/>
                <w:szCs w:val="20"/>
                <w:color w:val="auto"/>
              </w:rPr>
            </w:pPr>
            <w:r>
              <w:rPr>
                <w:rFonts w:ascii="Arial" w:cs="Arial" w:eastAsia="Arial" w:hAnsi="Arial"/>
                <w:sz w:val="20"/>
                <w:szCs w:val="20"/>
                <w:b w:val="1"/>
                <w:bCs w:val="1"/>
                <w:color w:val="auto"/>
              </w:rPr>
              <w:t>Lucid USA, Inc.</w:t>
            </w:r>
          </w:p>
        </w:tc>
        <w:tc>
          <w:tcPr>
            <w:tcW w:w="0" w:type="dxa"/>
            <w:vAlign w:val="bottom"/>
          </w:tcPr>
          <w:p>
            <w:pPr>
              <w:spacing w:after="0"/>
              <w:rPr>
                <w:sz w:val="1"/>
                <w:szCs w:val="1"/>
                <w:color w:val="auto"/>
              </w:rPr>
            </w:pPr>
          </w:p>
        </w:tc>
      </w:tr>
      <w:tr>
        <w:trPr>
          <w:trHeight w:val="355"/>
        </w:trPr>
        <w:tc>
          <w:tcPr>
            <w:tcW w:w="5280" w:type="dxa"/>
            <w:vAlign w:val="bottom"/>
            <w:tcBorders>
              <w:left w:val="single" w:sz="8" w:color="auto"/>
              <w:right w:val="single" w:sz="8" w:color="auto"/>
            </w:tcBorders>
            <w:gridSpan w:val="3"/>
          </w:tcPr>
          <w:p>
            <w:pPr>
              <w:ind w:left="80"/>
              <w:spacing w:after="0"/>
              <w:rPr>
                <w:sz w:val="20"/>
                <w:szCs w:val="20"/>
                <w:color w:val="auto"/>
              </w:rPr>
            </w:pPr>
            <w:r>
              <w:rPr>
                <w:rFonts w:ascii="Arial" w:cs="Arial" w:eastAsia="Arial" w:hAnsi="Arial"/>
                <w:sz w:val="20"/>
                <w:szCs w:val="20"/>
                <w:color w:val="auto"/>
              </w:rPr>
              <w:t>By:</w:t>
            </w:r>
          </w:p>
        </w:tc>
        <w:tc>
          <w:tcPr>
            <w:tcW w:w="440" w:type="dxa"/>
            <w:vAlign w:val="bottom"/>
            <w:tcBorders>
              <w:right w:val="single" w:sz="8" w:color="auto"/>
            </w:tcBorders>
          </w:tcPr>
          <w:p>
            <w:pPr>
              <w:spacing w:after="0"/>
              <w:rPr>
                <w:sz w:val="24"/>
                <w:szCs w:val="24"/>
                <w:color w:val="auto"/>
              </w:rPr>
            </w:pPr>
          </w:p>
        </w:tc>
        <w:tc>
          <w:tcPr>
            <w:tcW w:w="5300" w:type="dxa"/>
            <w:vAlign w:val="bottom"/>
            <w:tcBorders>
              <w:right w:val="single" w:sz="8" w:color="auto"/>
            </w:tcBorders>
            <w:gridSpan w:val="3"/>
          </w:tcPr>
          <w:p>
            <w:pPr>
              <w:ind w:left="60"/>
              <w:spacing w:after="0"/>
              <w:rPr>
                <w:sz w:val="20"/>
                <w:szCs w:val="20"/>
                <w:color w:val="auto"/>
              </w:rPr>
            </w:pPr>
            <w:r>
              <w:rPr>
                <w:rFonts w:ascii="Arial" w:cs="Arial" w:eastAsia="Arial" w:hAnsi="Arial"/>
                <w:sz w:val="20"/>
                <w:szCs w:val="20"/>
                <w:color w:val="auto"/>
              </w:rPr>
              <w:t>By:</w:t>
            </w:r>
          </w:p>
        </w:tc>
        <w:tc>
          <w:tcPr>
            <w:tcW w:w="0" w:type="dxa"/>
            <w:vAlign w:val="bottom"/>
          </w:tcPr>
          <w:p>
            <w:pPr>
              <w:spacing w:after="0"/>
              <w:rPr>
                <w:sz w:val="1"/>
                <w:szCs w:val="1"/>
                <w:color w:val="auto"/>
              </w:rPr>
            </w:pPr>
          </w:p>
        </w:tc>
      </w:tr>
      <w:tr>
        <w:trPr>
          <w:trHeight w:val="118"/>
        </w:trPr>
        <w:tc>
          <w:tcPr>
            <w:tcW w:w="1080" w:type="dxa"/>
            <w:vAlign w:val="bottom"/>
            <w:tcBorders>
              <w:left w:val="single" w:sz="8" w:color="auto"/>
            </w:tcBorders>
            <w:vMerge w:val="restart"/>
          </w:tcPr>
          <w:p>
            <w:pPr>
              <w:ind w:left="80"/>
              <w:spacing w:after="0"/>
              <w:rPr>
                <w:sz w:val="20"/>
                <w:szCs w:val="20"/>
                <w:color w:val="auto"/>
              </w:rPr>
            </w:pPr>
            <w:r>
              <w:rPr>
                <w:rFonts w:ascii="Arial" w:cs="Arial" w:eastAsia="Arial" w:hAnsi="Arial"/>
                <w:sz w:val="20"/>
                <w:szCs w:val="20"/>
                <w:color w:val="auto"/>
              </w:rPr>
              <w:t>Printed:</w:t>
            </w:r>
          </w:p>
        </w:tc>
        <w:tc>
          <w:tcPr>
            <w:tcW w:w="3840" w:type="dxa"/>
            <w:vAlign w:val="bottom"/>
            <w:tcBorders>
              <w:bottom w:val="single" w:sz="8" w:color="auto"/>
            </w:tcBorders>
          </w:tcPr>
          <w:p>
            <w:pPr>
              <w:spacing w:after="0"/>
              <w:rPr>
                <w:sz w:val="10"/>
                <w:szCs w:val="10"/>
                <w:color w:val="auto"/>
              </w:rPr>
            </w:pPr>
          </w:p>
        </w:tc>
        <w:tc>
          <w:tcPr>
            <w:tcW w:w="360" w:type="dxa"/>
            <w:vAlign w:val="bottom"/>
            <w:tcBorders>
              <w:right w:val="single" w:sz="8" w:color="auto"/>
            </w:tcBorders>
            <w:vMerge w:val="restart"/>
          </w:tcPr>
          <w:p>
            <w:pPr>
              <w:spacing w:after="0"/>
              <w:rPr>
                <w:sz w:val="10"/>
                <w:szCs w:val="10"/>
                <w:color w:val="auto"/>
              </w:rPr>
            </w:pPr>
          </w:p>
        </w:tc>
        <w:tc>
          <w:tcPr>
            <w:tcW w:w="440" w:type="dxa"/>
            <w:vAlign w:val="bottom"/>
            <w:tcBorders>
              <w:right w:val="single" w:sz="8" w:color="auto"/>
            </w:tcBorders>
            <w:vMerge w:val="restart"/>
          </w:tcPr>
          <w:p>
            <w:pPr>
              <w:spacing w:after="0"/>
              <w:rPr>
                <w:sz w:val="10"/>
                <w:szCs w:val="10"/>
                <w:color w:val="auto"/>
              </w:rPr>
            </w:pPr>
          </w:p>
        </w:tc>
        <w:tc>
          <w:tcPr>
            <w:tcW w:w="1080" w:type="dxa"/>
            <w:vAlign w:val="bottom"/>
            <w:vMerge w:val="restart"/>
          </w:tcPr>
          <w:p>
            <w:pPr>
              <w:ind w:left="60"/>
              <w:spacing w:after="0"/>
              <w:rPr>
                <w:sz w:val="20"/>
                <w:szCs w:val="20"/>
                <w:color w:val="auto"/>
              </w:rPr>
            </w:pPr>
            <w:r>
              <w:rPr>
                <w:rFonts w:ascii="Arial" w:cs="Arial" w:eastAsia="Arial" w:hAnsi="Arial"/>
                <w:sz w:val="20"/>
                <w:szCs w:val="20"/>
                <w:color w:val="auto"/>
              </w:rPr>
              <w:t>Printed:</w:t>
            </w:r>
          </w:p>
        </w:tc>
        <w:tc>
          <w:tcPr>
            <w:tcW w:w="3840" w:type="dxa"/>
            <w:vAlign w:val="bottom"/>
            <w:tcBorders>
              <w:bottom w:val="single" w:sz="8" w:color="auto"/>
            </w:tcBorders>
          </w:tcPr>
          <w:p>
            <w:pPr>
              <w:spacing w:after="0"/>
              <w:rPr>
                <w:sz w:val="10"/>
                <w:szCs w:val="10"/>
                <w:color w:val="auto"/>
              </w:rPr>
            </w:pPr>
          </w:p>
        </w:tc>
        <w:tc>
          <w:tcPr>
            <w:tcW w:w="380" w:type="dxa"/>
            <w:vAlign w:val="bottom"/>
            <w:tcBorders>
              <w:right w:val="single" w:sz="8" w:color="auto"/>
            </w:tcBorders>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1080" w:type="dxa"/>
            <w:vAlign w:val="bottom"/>
            <w:tcBorders>
              <w:left w:val="single" w:sz="8" w:color="auto"/>
            </w:tcBorders>
            <w:vMerge w:val="continue"/>
          </w:tcPr>
          <w:p>
            <w:pPr>
              <w:spacing w:after="0"/>
              <w:rPr>
                <w:sz w:val="20"/>
                <w:szCs w:val="20"/>
                <w:color w:val="auto"/>
              </w:rPr>
            </w:pPr>
          </w:p>
        </w:tc>
        <w:tc>
          <w:tcPr>
            <w:tcW w:w="3840" w:type="dxa"/>
            <w:vAlign w:val="bottom"/>
            <w:tcBorders>
              <w:bottom w:val="single" w:sz="8" w:color="auto"/>
            </w:tcBorders>
          </w:tcPr>
          <w:p>
            <w:pPr>
              <w:spacing w:after="0"/>
              <w:rPr>
                <w:sz w:val="20"/>
                <w:szCs w:val="20"/>
                <w:color w:val="auto"/>
              </w:rPr>
            </w:pPr>
          </w:p>
        </w:tc>
        <w:tc>
          <w:tcPr>
            <w:tcW w:w="360" w:type="dxa"/>
            <w:vAlign w:val="bottom"/>
            <w:tcBorders>
              <w:right w:val="single" w:sz="8" w:color="auto"/>
            </w:tcBorders>
            <w:vMerge w:val="continue"/>
          </w:tcPr>
          <w:p>
            <w:pPr>
              <w:spacing w:after="0"/>
              <w:rPr>
                <w:sz w:val="20"/>
                <w:szCs w:val="20"/>
                <w:color w:val="auto"/>
              </w:rPr>
            </w:pPr>
          </w:p>
        </w:tc>
        <w:tc>
          <w:tcPr>
            <w:tcW w:w="440" w:type="dxa"/>
            <w:vAlign w:val="bottom"/>
            <w:tcBorders>
              <w:right w:val="single" w:sz="8" w:color="auto"/>
            </w:tcBorders>
            <w:vMerge w:val="continue"/>
          </w:tcPr>
          <w:p>
            <w:pPr>
              <w:spacing w:after="0"/>
              <w:rPr>
                <w:sz w:val="20"/>
                <w:szCs w:val="20"/>
                <w:color w:val="auto"/>
              </w:rPr>
            </w:pPr>
          </w:p>
        </w:tc>
        <w:tc>
          <w:tcPr>
            <w:tcW w:w="1080" w:type="dxa"/>
            <w:vAlign w:val="bottom"/>
            <w:vMerge w:val="continue"/>
          </w:tcPr>
          <w:p>
            <w:pPr>
              <w:spacing w:after="0"/>
              <w:rPr>
                <w:sz w:val="20"/>
                <w:szCs w:val="20"/>
                <w:color w:val="auto"/>
              </w:rPr>
            </w:pPr>
          </w:p>
        </w:tc>
        <w:tc>
          <w:tcPr>
            <w:tcW w:w="3840" w:type="dxa"/>
            <w:vAlign w:val="bottom"/>
            <w:tcBorders>
              <w:bottom w:val="single" w:sz="8" w:color="auto"/>
            </w:tcBorders>
          </w:tcPr>
          <w:p>
            <w:pPr>
              <w:spacing w:after="0"/>
              <w:rPr>
                <w:sz w:val="20"/>
                <w:szCs w:val="20"/>
                <w:color w:val="auto"/>
              </w:rPr>
            </w:pPr>
          </w:p>
        </w:tc>
        <w:tc>
          <w:tcPr>
            <w:tcW w:w="380" w:type="dxa"/>
            <w:vAlign w:val="bottom"/>
            <w:tcBorders>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080" w:type="dxa"/>
            <w:vAlign w:val="bottom"/>
            <w:tcBorders>
              <w:left w:val="single" w:sz="8" w:color="auto"/>
            </w:tcBorders>
          </w:tcPr>
          <w:p>
            <w:pPr>
              <w:ind w:left="80"/>
              <w:spacing w:after="0"/>
              <w:rPr>
                <w:sz w:val="20"/>
                <w:szCs w:val="20"/>
                <w:color w:val="auto"/>
              </w:rPr>
            </w:pPr>
            <w:r>
              <w:rPr>
                <w:rFonts w:ascii="Arial" w:cs="Arial" w:eastAsia="Arial" w:hAnsi="Arial"/>
                <w:sz w:val="20"/>
                <w:szCs w:val="20"/>
                <w:color w:val="auto"/>
              </w:rPr>
              <w:t>Title:</w:t>
            </w:r>
          </w:p>
        </w:tc>
        <w:tc>
          <w:tcPr>
            <w:tcW w:w="3840" w:type="dxa"/>
            <w:vAlign w:val="bottom"/>
            <w:tcBorders>
              <w:bottom w:val="single" w:sz="8" w:color="auto"/>
            </w:tcBorders>
          </w:tcPr>
          <w:p>
            <w:pPr>
              <w:spacing w:after="0"/>
              <w:rPr>
                <w:sz w:val="20"/>
                <w:szCs w:val="20"/>
                <w:color w:val="auto"/>
              </w:rPr>
            </w:pPr>
          </w:p>
        </w:tc>
        <w:tc>
          <w:tcPr>
            <w:tcW w:w="360" w:type="dxa"/>
            <w:vAlign w:val="bottom"/>
            <w:tcBorders>
              <w:right w:val="single" w:sz="8" w:color="auto"/>
            </w:tcBorders>
          </w:tcPr>
          <w:p>
            <w:pPr>
              <w:spacing w:after="0"/>
              <w:rPr>
                <w:sz w:val="20"/>
                <w:szCs w:val="20"/>
                <w:color w:val="auto"/>
              </w:rPr>
            </w:pPr>
          </w:p>
        </w:tc>
        <w:tc>
          <w:tcPr>
            <w:tcW w:w="440" w:type="dxa"/>
            <w:vAlign w:val="bottom"/>
            <w:tcBorders>
              <w:right w:val="single" w:sz="8" w:color="auto"/>
            </w:tcBorders>
          </w:tcPr>
          <w:p>
            <w:pPr>
              <w:spacing w:after="0"/>
              <w:rPr>
                <w:sz w:val="20"/>
                <w:szCs w:val="20"/>
                <w:color w:val="auto"/>
              </w:rPr>
            </w:pPr>
          </w:p>
        </w:tc>
        <w:tc>
          <w:tcPr>
            <w:tcW w:w="1080" w:type="dxa"/>
            <w:vAlign w:val="bottom"/>
          </w:tcPr>
          <w:p>
            <w:pPr>
              <w:ind w:left="60"/>
              <w:spacing w:after="0"/>
              <w:rPr>
                <w:sz w:val="20"/>
                <w:szCs w:val="20"/>
                <w:color w:val="auto"/>
              </w:rPr>
            </w:pPr>
            <w:r>
              <w:rPr>
                <w:rFonts w:ascii="Arial" w:cs="Arial" w:eastAsia="Arial" w:hAnsi="Arial"/>
                <w:sz w:val="20"/>
                <w:szCs w:val="20"/>
                <w:color w:val="auto"/>
              </w:rPr>
              <w:t>Title:</w:t>
            </w:r>
          </w:p>
        </w:tc>
        <w:tc>
          <w:tcPr>
            <w:tcW w:w="3840" w:type="dxa"/>
            <w:vAlign w:val="bottom"/>
            <w:tcBorders>
              <w:bottom w:val="single" w:sz="8" w:color="auto"/>
            </w:tcBorders>
          </w:tcPr>
          <w:p>
            <w:pPr>
              <w:spacing w:after="0"/>
              <w:rPr>
                <w:sz w:val="20"/>
                <w:szCs w:val="20"/>
                <w:color w:val="auto"/>
              </w:rPr>
            </w:pPr>
          </w:p>
        </w:tc>
        <w:tc>
          <w:tcPr>
            <w:tcW w:w="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1080" w:type="dxa"/>
            <w:vAlign w:val="bottom"/>
            <w:tcBorders>
              <w:left w:val="single" w:sz="8" w:color="auto"/>
            </w:tcBorders>
          </w:tcPr>
          <w:p>
            <w:pPr>
              <w:ind w:left="80"/>
              <w:spacing w:after="0"/>
              <w:rPr>
                <w:sz w:val="20"/>
                <w:szCs w:val="20"/>
                <w:color w:val="auto"/>
              </w:rPr>
            </w:pPr>
            <w:r>
              <w:rPr>
                <w:rFonts w:ascii="Arial" w:cs="Arial" w:eastAsia="Arial" w:hAnsi="Arial"/>
                <w:sz w:val="20"/>
                <w:szCs w:val="20"/>
                <w:color w:val="auto"/>
              </w:rPr>
              <w:t>Date:</w:t>
            </w:r>
          </w:p>
        </w:tc>
        <w:tc>
          <w:tcPr>
            <w:tcW w:w="3840" w:type="dxa"/>
            <w:vAlign w:val="bottom"/>
            <w:tcBorders>
              <w:bottom w:val="single" w:sz="8" w:color="auto"/>
            </w:tcBorders>
          </w:tcPr>
          <w:p>
            <w:pPr>
              <w:spacing w:after="0"/>
              <w:rPr>
                <w:sz w:val="20"/>
                <w:szCs w:val="20"/>
                <w:color w:val="auto"/>
              </w:rPr>
            </w:pPr>
          </w:p>
        </w:tc>
        <w:tc>
          <w:tcPr>
            <w:tcW w:w="360" w:type="dxa"/>
            <w:vAlign w:val="bottom"/>
            <w:tcBorders>
              <w:right w:val="single" w:sz="8" w:color="auto"/>
            </w:tcBorders>
          </w:tcPr>
          <w:p>
            <w:pPr>
              <w:spacing w:after="0"/>
              <w:rPr>
                <w:sz w:val="20"/>
                <w:szCs w:val="20"/>
                <w:color w:val="auto"/>
              </w:rPr>
            </w:pPr>
          </w:p>
        </w:tc>
        <w:tc>
          <w:tcPr>
            <w:tcW w:w="440" w:type="dxa"/>
            <w:vAlign w:val="bottom"/>
            <w:tcBorders>
              <w:right w:val="single" w:sz="8" w:color="auto"/>
            </w:tcBorders>
          </w:tcPr>
          <w:p>
            <w:pPr>
              <w:spacing w:after="0"/>
              <w:rPr>
                <w:sz w:val="20"/>
                <w:szCs w:val="20"/>
                <w:color w:val="auto"/>
              </w:rPr>
            </w:pPr>
          </w:p>
        </w:tc>
        <w:tc>
          <w:tcPr>
            <w:tcW w:w="1080" w:type="dxa"/>
            <w:vAlign w:val="bottom"/>
          </w:tcPr>
          <w:p>
            <w:pPr>
              <w:ind w:left="60"/>
              <w:spacing w:after="0"/>
              <w:rPr>
                <w:sz w:val="20"/>
                <w:szCs w:val="20"/>
                <w:color w:val="auto"/>
              </w:rPr>
            </w:pPr>
            <w:r>
              <w:rPr>
                <w:rFonts w:ascii="Arial" w:cs="Arial" w:eastAsia="Arial" w:hAnsi="Arial"/>
                <w:sz w:val="20"/>
                <w:szCs w:val="20"/>
                <w:color w:val="auto"/>
              </w:rPr>
              <w:t>Date:</w:t>
            </w:r>
          </w:p>
        </w:tc>
        <w:tc>
          <w:tcPr>
            <w:tcW w:w="3840" w:type="dxa"/>
            <w:vAlign w:val="bottom"/>
            <w:tcBorders>
              <w:bottom w:val="single" w:sz="8" w:color="auto"/>
            </w:tcBorders>
          </w:tcPr>
          <w:p>
            <w:pPr>
              <w:spacing w:after="0"/>
              <w:rPr>
                <w:sz w:val="20"/>
                <w:szCs w:val="20"/>
                <w:color w:val="auto"/>
              </w:rPr>
            </w:pPr>
          </w:p>
        </w:tc>
        <w:tc>
          <w:tcPr>
            <w:tcW w:w="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88"/>
        </w:trPr>
        <w:tc>
          <w:tcPr>
            <w:tcW w:w="528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Address:</w:t>
            </w:r>
          </w:p>
        </w:tc>
        <w:tc>
          <w:tcPr>
            <w:tcW w:w="440" w:type="dxa"/>
            <w:vAlign w:val="bottom"/>
            <w:tcBorders>
              <w:right w:val="single" w:sz="8" w:color="auto"/>
            </w:tcBorders>
          </w:tcPr>
          <w:p>
            <w:pPr>
              <w:spacing w:after="0"/>
              <w:rPr>
                <w:sz w:val="24"/>
                <w:szCs w:val="24"/>
                <w:color w:val="auto"/>
              </w:rPr>
            </w:pPr>
          </w:p>
        </w:tc>
        <w:tc>
          <w:tcPr>
            <w:tcW w:w="5300" w:type="dxa"/>
            <w:vAlign w:val="bottom"/>
            <w:tcBorders>
              <w:right w:val="single" w:sz="8" w:color="auto"/>
            </w:tcBorders>
            <w:gridSpan w:val="3"/>
            <w:vMerge w:val="restart"/>
          </w:tcPr>
          <w:p>
            <w:pPr>
              <w:ind w:left="20"/>
              <w:spacing w:after="0"/>
              <w:rPr>
                <w:sz w:val="20"/>
                <w:szCs w:val="20"/>
                <w:color w:val="auto"/>
              </w:rPr>
            </w:pPr>
            <w:r>
              <w:rPr>
                <w:rFonts w:ascii="Arial" w:cs="Arial" w:eastAsia="Arial" w:hAnsi="Arial"/>
                <w:sz w:val="20"/>
                <w:szCs w:val="20"/>
                <w:color w:val="auto"/>
              </w:rPr>
              <w:t>Address: 7373 Gateway Blvd.</w:t>
            </w:r>
          </w:p>
        </w:tc>
        <w:tc>
          <w:tcPr>
            <w:tcW w:w="0" w:type="dxa"/>
            <w:vAlign w:val="bottom"/>
          </w:tcPr>
          <w:p>
            <w:pPr>
              <w:spacing w:after="0"/>
              <w:rPr>
                <w:sz w:val="1"/>
                <w:szCs w:val="1"/>
                <w:color w:val="auto"/>
              </w:rPr>
            </w:pPr>
          </w:p>
        </w:tc>
      </w:tr>
      <w:tr>
        <w:trPr>
          <w:trHeight w:val="60"/>
        </w:trPr>
        <w:tc>
          <w:tcPr>
            <w:tcW w:w="1080" w:type="dxa"/>
            <w:vAlign w:val="bottom"/>
            <w:tcBorders>
              <w:left w:val="single" w:sz="8" w:color="auto"/>
            </w:tcBorders>
          </w:tcPr>
          <w:p>
            <w:pPr>
              <w:spacing w:after="0"/>
              <w:rPr>
                <w:sz w:val="5"/>
                <w:szCs w:val="5"/>
                <w:color w:val="auto"/>
              </w:rPr>
            </w:pPr>
          </w:p>
        </w:tc>
        <w:tc>
          <w:tcPr>
            <w:tcW w:w="3840" w:type="dxa"/>
            <w:vAlign w:val="bottom"/>
          </w:tcPr>
          <w:p>
            <w:pPr>
              <w:spacing w:after="0"/>
              <w:rPr>
                <w:sz w:val="5"/>
                <w:szCs w:val="5"/>
                <w:color w:val="auto"/>
              </w:rPr>
            </w:pPr>
          </w:p>
        </w:tc>
        <w:tc>
          <w:tcPr>
            <w:tcW w:w="360" w:type="dxa"/>
            <w:vAlign w:val="bottom"/>
            <w:tcBorders>
              <w:right w:val="single" w:sz="8" w:color="auto"/>
            </w:tcBorders>
          </w:tcPr>
          <w:p>
            <w:pPr>
              <w:spacing w:after="0"/>
              <w:rPr>
                <w:sz w:val="5"/>
                <w:szCs w:val="5"/>
                <w:color w:val="auto"/>
              </w:rPr>
            </w:pPr>
          </w:p>
        </w:tc>
        <w:tc>
          <w:tcPr>
            <w:tcW w:w="440" w:type="dxa"/>
            <w:vAlign w:val="bottom"/>
            <w:tcBorders>
              <w:right w:val="single" w:sz="8" w:color="auto"/>
            </w:tcBorders>
          </w:tcPr>
          <w:p>
            <w:pPr>
              <w:spacing w:after="0"/>
              <w:rPr>
                <w:sz w:val="5"/>
                <w:szCs w:val="5"/>
                <w:color w:val="auto"/>
              </w:rPr>
            </w:pPr>
          </w:p>
        </w:tc>
        <w:tc>
          <w:tcPr>
            <w:tcW w:w="5300" w:type="dxa"/>
            <w:vAlign w:val="bottom"/>
            <w:tcBorders>
              <w:right w:val="single" w:sz="8" w:color="auto"/>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1080" w:type="dxa"/>
            <w:vAlign w:val="bottom"/>
            <w:tcBorders>
              <w:left w:val="single" w:sz="8" w:color="auto"/>
            </w:tcBorders>
          </w:tcPr>
          <w:p>
            <w:pPr>
              <w:spacing w:after="0"/>
              <w:rPr>
                <w:sz w:val="21"/>
                <w:szCs w:val="21"/>
                <w:color w:val="auto"/>
              </w:rPr>
            </w:pPr>
          </w:p>
        </w:tc>
        <w:tc>
          <w:tcPr>
            <w:tcW w:w="3840" w:type="dxa"/>
            <w:vAlign w:val="bottom"/>
          </w:tcPr>
          <w:p>
            <w:pPr>
              <w:spacing w:after="0"/>
              <w:rPr>
                <w:sz w:val="21"/>
                <w:szCs w:val="21"/>
                <w:color w:val="auto"/>
              </w:rPr>
            </w:pPr>
          </w:p>
        </w:tc>
        <w:tc>
          <w:tcPr>
            <w:tcW w:w="360" w:type="dxa"/>
            <w:vAlign w:val="bottom"/>
            <w:tcBorders>
              <w:right w:val="single" w:sz="8" w:color="auto"/>
            </w:tcBorders>
          </w:tcPr>
          <w:p>
            <w:pPr>
              <w:spacing w:after="0"/>
              <w:rPr>
                <w:sz w:val="21"/>
                <w:szCs w:val="21"/>
                <w:color w:val="auto"/>
              </w:rPr>
            </w:pPr>
          </w:p>
        </w:tc>
        <w:tc>
          <w:tcPr>
            <w:tcW w:w="440" w:type="dxa"/>
            <w:vAlign w:val="bottom"/>
            <w:tcBorders>
              <w:right w:val="single" w:sz="8" w:color="auto"/>
            </w:tcBorders>
          </w:tcPr>
          <w:p>
            <w:pPr>
              <w:spacing w:after="0"/>
              <w:rPr>
                <w:sz w:val="21"/>
                <w:szCs w:val="21"/>
                <w:color w:val="auto"/>
              </w:rPr>
            </w:pPr>
          </w:p>
        </w:tc>
        <w:tc>
          <w:tcPr>
            <w:tcW w:w="5300" w:type="dxa"/>
            <w:vAlign w:val="bottom"/>
            <w:tcBorders>
              <w:right w:val="single" w:sz="8" w:color="auto"/>
            </w:tcBorders>
            <w:gridSpan w:val="3"/>
          </w:tcPr>
          <w:p>
            <w:pPr>
              <w:ind w:left="20"/>
              <w:spacing w:after="0"/>
              <w:rPr>
                <w:sz w:val="20"/>
                <w:szCs w:val="20"/>
                <w:color w:val="auto"/>
              </w:rPr>
            </w:pPr>
            <w:r>
              <w:rPr>
                <w:rFonts w:ascii="Arial" w:cs="Arial" w:eastAsia="Arial" w:hAnsi="Arial"/>
                <w:sz w:val="20"/>
                <w:szCs w:val="20"/>
                <w:color w:val="auto"/>
              </w:rPr>
              <w:t>Newark, CA 94560, USA</w:t>
            </w:r>
          </w:p>
        </w:tc>
        <w:tc>
          <w:tcPr>
            <w:tcW w:w="0" w:type="dxa"/>
            <w:vAlign w:val="bottom"/>
          </w:tcPr>
          <w:p>
            <w:pPr>
              <w:spacing w:after="0"/>
              <w:rPr>
                <w:sz w:val="1"/>
                <w:szCs w:val="1"/>
                <w:color w:val="auto"/>
              </w:rPr>
            </w:pPr>
          </w:p>
        </w:tc>
      </w:tr>
      <w:tr>
        <w:trPr>
          <w:trHeight w:val="104"/>
        </w:trPr>
        <w:tc>
          <w:tcPr>
            <w:tcW w:w="1080" w:type="dxa"/>
            <w:vAlign w:val="bottom"/>
            <w:tcBorders>
              <w:left w:val="single" w:sz="8" w:color="auto"/>
              <w:bottom w:val="single" w:sz="8" w:color="auto"/>
            </w:tcBorders>
          </w:tcPr>
          <w:p>
            <w:pPr>
              <w:spacing w:after="0"/>
              <w:rPr>
                <w:sz w:val="9"/>
                <w:szCs w:val="9"/>
                <w:color w:val="auto"/>
              </w:rPr>
            </w:pPr>
          </w:p>
        </w:tc>
        <w:tc>
          <w:tcPr>
            <w:tcW w:w="3840" w:type="dxa"/>
            <w:vAlign w:val="bottom"/>
            <w:tcBorders>
              <w:bottom w:val="single" w:sz="8" w:color="auto"/>
            </w:tcBorders>
          </w:tcPr>
          <w:p>
            <w:pPr>
              <w:spacing w:after="0"/>
              <w:rPr>
                <w:sz w:val="9"/>
                <w:szCs w:val="9"/>
                <w:color w:val="auto"/>
              </w:rPr>
            </w:pPr>
          </w:p>
        </w:tc>
        <w:tc>
          <w:tcPr>
            <w:tcW w:w="360" w:type="dxa"/>
            <w:vAlign w:val="bottom"/>
            <w:tcBorders>
              <w:bottom w:val="single" w:sz="8" w:color="auto"/>
              <w:right w:val="single" w:sz="8" w:color="auto"/>
            </w:tcBorders>
          </w:tcPr>
          <w:p>
            <w:pPr>
              <w:spacing w:after="0"/>
              <w:rPr>
                <w:sz w:val="9"/>
                <w:szCs w:val="9"/>
                <w:color w:val="auto"/>
              </w:rPr>
            </w:pPr>
          </w:p>
        </w:tc>
        <w:tc>
          <w:tcPr>
            <w:tcW w:w="440" w:type="dxa"/>
            <w:vAlign w:val="bottom"/>
            <w:tcBorders>
              <w:right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3840" w:type="dxa"/>
            <w:vAlign w:val="bottom"/>
            <w:tcBorders>
              <w:bottom w:val="single" w:sz="8" w:color="auto"/>
            </w:tcBorders>
          </w:tcPr>
          <w:p>
            <w:pPr>
              <w:spacing w:after="0"/>
              <w:rPr>
                <w:sz w:val="9"/>
                <w:szCs w:val="9"/>
                <w:color w:val="auto"/>
              </w:rPr>
            </w:pPr>
          </w:p>
        </w:tc>
        <w:tc>
          <w:tcPr>
            <w:tcW w:w="3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C-2</w:t>
      </w:r>
    </w:p>
    <w:p>
      <w:pPr>
        <w:sectPr>
          <w:pgSz w:w="11900" w:h="16838" w:orient="portrait"/>
          <w:cols w:equalWidth="0" w:num="1">
            <w:col w:w="11240"/>
          </w:cols>
          <w:pgMar w:left="320" w:top="1405" w:right="339" w:bottom="1440" w:gutter="0" w:footer="0" w:header="0"/>
        </w:sectPr>
      </w:pPr>
    </w:p>
    <w:bookmarkStart w:id="158" w:name="page159"/>
    <w:bookmarkEnd w:id="158"/>
    <w:p>
      <w:pPr>
        <w:ind w:left="10120"/>
        <w:spacing w:after="0"/>
        <w:rPr>
          <w:sz w:val="20"/>
          <w:szCs w:val="20"/>
          <w:color w:val="auto"/>
        </w:rPr>
      </w:pPr>
      <w:r>
        <w:rPr>
          <w:rFonts w:ascii="Arial" w:cs="Arial" w:eastAsia="Arial" w:hAnsi="Arial"/>
          <w:sz w:val="18"/>
          <w:szCs w:val="18"/>
          <w:b w:val="1"/>
          <w:bCs w:val="1"/>
          <w:color w:val="auto"/>
        </w:rPr>
        <w:t>Exhibit 10.35</w:t>
      </w:r>
    </w:p>
    <w:p>
      <w:pPr>
        <w:spacing w:after="0" w:line="239" w:lineRule="exact"/>
        <w:rPr>
          <w:sz w:val="20"/>
          <w:szCs w:val="20"/>
          <w:color w:val="auto"/>
        </w:rPr>
      </w:pPr>
    </w:p>
    <w:p>
      <w:pPr>
        <w:ind w:right="200"/>
        <w:spacing w:after="0" w:line="269" w:lineRule="auto"/>
        <w:rPr>
          <w:sz w:val="20"/>
          <w:szCs w:val="20"/>
          <w:color w:val="auto"/>
        </w:rPr>
      </w:pPr>
      <w:r>
        <w:rPr>
          <w:rFonts w:ascii="Arial" w:cs="Arial" w:eastAsia="Arial" w:hAnsi="Arial"/>
          <w:sz w:val="16"/>
          <w:szCs w:val="16"/>
          <w:b w:val="1"/>
          <w:bCs w:val="1"/>
          <w:color w:val="auto"/>
        </w:rPr>
        <w:t>Certain identified information has been omitted from this document because it is not material and is the type that the Company customarily and actually treats as private or confidential, and has been marked with “[***]” to indicate where omissions have been</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made.</w:t>
      </w:r>
    </w:p>
    <w:p>
      <w:pPr>
        <w:spacing w:after="0" w:line="200" w:lineRule="exact"/>
        <w:rPr>
          <w:sz w:val="20"/>
          <w:szCs w:val="20"/>
          <w:color w:val="auto"/>
        </w:rPr>
      </w:pPr>
    </w:p>
    <w:tbl>
      <w:tblPr>
        <w:tblLayout w:type="fixed"/>
        <w:tblInd w:w="10" w:type="dxa"/>
        <w:tblCellMar>
          <w:top w:w="0" w:type="dxa"/>
          <w:left w:w="0" w:type="dxa"/>
          <w:bottom w:w="0" w:type="dxa"/>
          <w:right w:w="0" w:type="dxa"/>
        </w:tblCellMar>
      </w:tblPr>
      <w:tr>
        <w:trPr>
          <w:trHeight w:val="250"/>
        </w:trPr>
        <w:tc>
          <w:tcPr>
            <w:tcW w:w="3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240" w:type="dxa"/>
            <w:vAlign w:val="bottom"/>
            <w:gridSpan w:val="2"/>
          </w:tcPr>
          <w:p>
            <w:pPr>
              <w:ind w:left="620"/>
              <w:spacing w:after="0"/>
              <w:rPr>
                <w:sz w:val="20"/>
                <w:szCs w:val="20"/>
                <w:color w:val="auto"/>
              </w:rPr>
            </w:pPr>
            <w:r>
              <w:rPr>
                <w:rFonts w:ascii="Arial" w:cs="Arial" w:eastAsia="Arial" w:hAnsi="Arial"/>
                <w:sz w:val="20"/>
                <w:szCs w:val="20"/>
                <w:color w:val="auto"/>
              </w:rPr>
              <w:t>Production Pricing Agreement</w:t>
            </w:r>
          </w:p>
        </w:tc>
        <w:tc>
          <w:tcPr>
            <w:tcW w:w="23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53"/>
        </w:trPr>
        <w:tc>
          <w:tcPr>
            <w:tcW w:w="3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9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3200" w:type="dxa"/>
            <w:vAlign w:val="bottom"/>
            <w:gridSpan w:val="3"/>
          </w:tcPr>
          <w:p>
            <w:pPr>
              <w:ind w:left="1100"/>
              <w:spacing w:after="0"/>
              <w:rPr>
                <w:sz w:val="20"/>
                <w:szCs w:val="20"/>
                <w:color w:val="auto"/>
              </w:rPr>
            </w:pPr>
            <w:r>
              <w:rPr>
                <w:rFonts w:ascii="Arial" w:cs="Arial" w:eastAsia="Arial" w:hAnsi="Arial"/>
                <w:sz w:val="20"/>
                <w:szCs w:val="20"/>
                <w:b w:val="1"/>
                <w:bCs w:val="1"/>
                <w:color w:val="auto"/>
                <w:w w:val="89"/>
              </w:rPr>
              <w:t>Effective Date</w:t>
            </w:r>
            <w:r>
              <w:rPr>
                <w:rFonts w:ascii="Arial" w:cs="Arial" w:eastAsia="Arial" w:hAnsi="Arial"/>
                <w:sz w:val="20"/>
                <w:szCs w:val="20"/>
                <w:color w:val="auto"/>
                <w:w w:val="89"/>
              </w:rPr>
              <w:t>: 12/1/2022</w:t>
            </w:r>
          </w:p>
        </w:tc>
      </w:tr>
      <w:tr>
        <w:trPr>
          <w:trHeight w:val="34"/>
        </w:trPr>
        <w:tc>
          <w:tcPr>
            <w:tcW w:w="3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9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840" w:type="dxa"/>
            <w:vAlign w:val="bottom"/>
            <w:tcBorders>
              <w:top w:val="single" w:sz="8" w:color="auto"/>
              <w:bottom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r>
      <w:tr>
        <w:trPr>
          <w:trHeight w:val="268"/>
        </w:trPr>
        <w:tc>
          <w:tcPr>
            <w:tcW w:w="31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b w:val="1"/>
                <w:bCs w:val="1"/>
                <w:color w:val="auto"/>
              </w:rPr>
              <w:t>Seller Name</w:t>
            </w:r>
          </w:p>
        </w:tc>
        <w:tc>
          <w:tcPr>
            <w:tcW w:w="8080" w:type="dxa"/>
            <w:vAlign w:val="bottom"/>
            <w:tcBorders>
              <w:right w:val="single" w:sz="8" w:color="auto"/>
            </w:tcBorders>
            <w:gridSpan w:val="5"/>
          </w:tcPr>
          <w:p>
            <w:pPr>
              <w:ind w:left="20"/>
              <w:spacing w:after="0"/>
              <w:rPr>
                <w:sz w:val="20"/>
                <w:szCs w:val="20"/>
                <w:color w:val="auto"/>
              </w:rPr>
            </w:pPr>
            <w:r>
              <w:rPr>
                <w:rFonts w:ascii="Arial" w:cs="Arial" w:eastAsia="Arial" w:hAnsi="Arial"/>
                <w:sz w:val="20"/>
                <w:szCs w:val="20"/>
                <w:color w:val="auto"/>
                <w:w w:val="95"/>
              </w:rPr>
              <w:t>Panasonic Corporation of North America doing business as Panasonic Industrial Devices Sales</w:t>
            </w:r>
          </w:p>
        </w:tc>
        <w:tc>
          <w:tcPr>
            <w:tcW w:w="20" w:type="dxa"/>
            <w:vAlign w:val="bottom"/>
          </w:tcPr>
          <w:p>
            <w:pPr>
              <w:spacing w:after="0"/>
              <w:rPr>
                <w:sz w:val="23"/>
                <w:szCs w:val="23"/>
                <w:color w:val="auto"/>
              </w:rPr>
            </w:pPr>
          </w:p>
        </w:tc>
      </w:tr>
      <w:tr>
        <w:trPr>
          <w:trHeight w:val="257"/>
        </w:trPr>
        <w:tc>
          <w:tcPr>
            <w:tcW w:w="3140" w:type="dxa"/>
            <w:vAlign w:val="bottom"/>
            <w:tcBorders>
              <w:left w:val="single" w:sz="8" w:color="auto"/>
              <w:right w:val="single" w:sz="8" w:color="auto"/>
            </w:tcBorders>
          </w:tcPr>
          <w:p>
            <w:pPr>
              <w:spacing w:after="0"/>
              <w:rPr>
                <w:sz w:val="22"/>
                <w:szCs w:val="22"/>
                <w:color w:val="auto"/>
              </w:rPr>
            </w:pPr>
          </w:p>
        </w:tc>
        <w:tc>
          <w:tcPr>
            <w:tcW w:w="3580" w:type="dxa"/>
            <w:vAlign w:val="bottom"/>
            <w:gridSpan w:val="2"/>
          </w:tcPr>
          <w:p>
            <w:pPr>
              <w:ind w:left="20"/>
              <w:spacing w:after="0"/>
              <w:rPr>
                <w:sz w:val="20"/>
                <w:szCs w:val="20"/>
                <w:color w:val="auto"/>
              </w:rPr>
            </w:pPr>
            <w:r>
              <w:rPr>
                <w:rFonts w:ascii="Arial" w:cs="Arial" w:eastAsia="Arial" w:hAnsi="Arial"/>
                <w:sz w:val="20"/>
                <w:szCs w:val="20"/>
                <w:color w:val="auto"/>
              </w:rPr>
              <w:t>Company of America ("PIDSA”)</w:t>
            </w:r>
          </w:p>
        </w:tc>
        <w:tc>
          <w:tcPr>
            <w:tcW w:w="1320" w:type="dxa"/>
            <w:vAlign w:val="bottom"/>
          </w:tcPr>
          <w:p>
            <w:pPr>
              <w:spacing w:after="0"/>
              <w:rPr>
                <w:sz w:val="22"/>
                <w:szCs w:val="22"/>
                <w:color w:val="auto"/>
              </w:rPr>
            </w:pPr>
          </w:p>
        </w:tc>
        <w:tc>
          <w:tcPr>
            <w:tcW w:w="2340" w:type="dxa"/>
            <w:vAlign w:val="bottom"/>
          </w:tcPr>
          <w:p>
            <w:pPr>
              <w:spacing w:after="0"/>
              <w:rPr>
                <w:sz w:val="22"/>
                <w:szCs w:val="22"/>
                <w:color w:val="auto"/>
              </w:rPr>
            </w:pPr>
          </w:p>
        </w:tc>
        <w:tc>
          <w:tcPr>
            <w:tcW w:w="840" w:type="dxa"/>
            <w:vAlign w:val="bottom"/>
            <w:tcBorders>
              <w:right w:val="single" w:sz="8" w:color="auto"/>
            </w:tcBorders>
          </w:tcPr>
          <w:p>
            <w:pPr>
              <w:spacing w:after="0"/>
              <w:rPr>
                <w:sz w:val="22"/>
                <w:szCs w:val="22"/>
                <w:color w:val="auto"/>
              </w:rPr>
            </w:pPr>
          </w:p>
        </w:tc>
        <w:tc>
          <w:tcPr>
            <w:tcW w:w="20" w:type="dxa"/>
            <w:vAlign w:val="bottom"/>
          </w:tcPr>
          <w:p>
            <w:pPr>
              <w:spacing w:after="0"/>
              <w:rPr>
                <w:sz w:val="22"/>
                <w:szCs w:val="22"/>
                <w:color w:val="auto"/>
              </w:rPr>
            </w:pPr>
          </w:p>
        </w:tc>
      </w:tr>
      <w:tr>
        <w:trPr>
          <w:trHeight w:val="50"/>
        </w:trPr>
        <w:tc>
          <w:tcPr>
            <w:tcW w:w="3140" w:type="dxa"/>
            <w:vAlign w:val="bottom"/>
            <w:tcBorders>
              <w:left w:val="single" w:sz="8" w:color="auto"/>
              <w:bottom w:val="single" w:sz="8" w:color="auto"/>
              <w:right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92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2340" w:type="dxa"/>
            <w:vAlign w:val="bottom"/>
            <w:tcBorders>
              <w:bottom w:val="single" w:sz="8" w:color="auto"/>
            </w:tcBorders>
          </w:tcPr>
          <w:p>
            <w:pPr>
              <w:spacing w:after="0"/>
              <w:rPr>
                <w:sz w:val="4"/>
                <w:szCs w:val="4"/>
                <w:color w:val="auto"/>
              </w:rPr>
            </w:pPr>
          </w:p>
        </w:tc>
        <w:tc>
          <w:tcPr>
            <w:tcW w:w="84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268"/>
        </w:trPr>
        <w:tc>
          <w:tcPr>
            <w:tcW w:w="31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Address</w:t>
            </w:r>
          </w:p>
        </w:tc>
        <w:tc>
          <w:tcPr>
            <w:tcW w:w="3580" w:type="dxa"/>
            <w:vAlign w:val="bottom"/>
            <w:gridSpan w:val="2"/>
          </w:tcPr>
          <w:p>
            <w:pPr>
              <w:ind w:left="20"/>
              <w:spacing w:after="0"/>
              <w:rPr>
                <w:sz w:val="20"/>
                <w:szCs w:val="20"/>
                <w:color w:val="auto"/>
              </w:rPr>
            </w:pPr>
            <w:r>
              <w:rPr>
                <w:rFonts w:ascii="Arial" w:cs="Arial" w:eastAsia="Arial" w:hAnsi="Arial"/>
                <w:sz w:val="20"/>
                <w:szCs w:val="20"/>
                <w:color w:val="auto"/>
              </w:rPr>
              <w:t>2 Riverfront Plaza, Newark, NJ 07102</w:t>
            </w:r>
          </w:p>
        </w:tc>
        <w:tc>
          <w:tcPr>
            <w:tcW w:w="1320" w:type="dxa"/>
            <w:vAlign w:val="bottom"/>
          </w:tcPr>
          <w:p>
            <w:pPr>
              <w:spacing w:after="0"/>
              <w:rPr>
                <w:sz w:val="23"/>
                <w:szCs w:val="23"/>
                <w:color w:val="auto"/>
              </w:rPr>
            </w:pPr>
          </w:p>
        </w:tc>
        <w:tc>
          <w:tcPr>
            <w:tcW w:w="2340" w:type="dxa"/>
            <w:vAlign w:val="bottom"/>
          </w:tcPr>
          <w:p>
            <w:pPr>
              <w:spacing w:after="0"/>
              <w:rPr>
                <w:sz w:val="23"/>
                <w:szCs w:val="23"/>
                <w:color w:val="auto"/>
              </w:rPr>
            </w:pPr>
          </w:p>
        </w:tc>
        <w:tc>
          <w:tcPr>
            <w:tcW w:w="840" w:type="dxa"/>
            <w:vAlign w:val="bottom"/>
            <w:tcBorders>
              <w:right w:val="single" w:sz="8" w:color="auto"/>
            </w:tcBorders>
          </w:tcPr>
          <w:p>
            <w:pPr>
              <w:spacing w:after="0"/>
              <w:rPr>
                <w:sz w:val="23"/>
                <w:szCs w:val="23"/>
                <w:color w:val="auto"/>
              </w:rPr>
            </w:pPr>
          </w:p>
        </w:tc>
        <w:tc>
          <w:tcPr>
            <w:tcW w:w="20" w:type="dxa"/>
            <w:vAlign w:val="bottom"/>
          </w:tcPr>
          <w:p>
            <w:pPr>
              <w:spacing w:after="0"/>
              <w:rPr>
                <w:sz w:val="23"/>
                <w:szCs w:val="23"/>
                <w:color w:val="auto"/>
              </w:rPr>
            </w:pPr>
          </w:p>
        </w:tc>
      </w:tr>
      <w:tr>
        <w:trPr>
          <w:trHeight w:val="50"/>
        </w:trPr>
        <w:tc>
          <w:tcPr>
            <w:tcW w:w="3140" w:type="dxa"/>
            <w:vAlign w:val="bottom"/>
            <w:tcBorders>
              <w:left w:val="single" w:sz="8" w:color="auto"/>
              <w:bottom w:val="single" w:sz="8" w:color="auto"/>
              <w:right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92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2340" w:type="dxa"/>
            <w:vAlign w:val="bottom"/>
            <w:tcBorders>
              <w:bottom w:val="single" w:sz="8" w:color="auto"/>
            </w:tcBorders>
          </w:tcPr>
          <w:p>
            <w:pPr>
              <w:spacing w:after="0"/>
              <w:rPr>
                <w:sz w:val="4"/>
                <w:szCs w:val="4"/>
                <w:color w:val="auto"/>
              </w:rPr>
            </w:pPr>
          </w:p>
        </w:tc>
        <w:tc>
          <w:tcPr>
            <w:tcW w:w="84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268"/>
        </w:trPr>
        <w:tc>
          <w:tcPr>
            <w:tcW w:w="31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Place of Incorporation</w:t>
            </w:r>
          </w:p>
        </w:tc>
        <w:tc>
          <w:tcPr>
            <w:tcW w:w="3580" w:type="dxa"/>
            <w:vAlign w:val="bottom"/>
            <w:gridSpan w:val="2"/>
          </w:tcPr>
          <w:p>
            <w:pPr>
              <w:ind w:left="20"/>
              <w:spacing w:after="0"/>
              <w:rPr>
                <w:sz w:val="20"/>
                <w:szCs w:val="20"/>
                <w:color w:val="auto"/>
              </w:rPr>
            </w:pPr>
            <w:r>
              <w:rPr>
                <w:rFonts w:ascii="Arial" w:cs="Arial" w:eastAsia="Arial" w:hAnsi="Arial"/>
                <w:sz w:val="20"/>
                <w:szCs w:val="20"/>
                <w:color w:val="auto"/>
              </w:rPr>
              <w:t>Delaware</w:t>
            </w:r>
          </w:p>
        </w:tc>
        <w:tc>
          <w:tcPr>
            <w:tcW w:w="1320" w:type="dxa"/>
            <w:vAlign w:val="bottom"/>
          </w:tcPr>
          <w:p>
            <w:pPr>
              <w:spacing w:after="0"/>
              <w:rPr>
                <w:sz w:val="23"/>
                <w:szCs w:val="23"/>
                <w:color w:val="auto"/>
              </w:rPr>
            </w:pPr>
          </w:p>
        </w:tc>
        <w:tc>
          <w:tcPr>
            <w:tcW w:w="2340" w:type="dxa"/>
            <w:vAlign w:val="bottom"/>
          </w:tcPr>
          <w:p>
            <w:pPr>
              <w:spacing w:after="0"/>
              <w:rPr>
                <w:sz w:val="23"/>
                <w:szCs w:val="23"/>
                <w:color w:val="auto"/>
              </w:rPr>
            </w:pPr>
          </w:p>
        </w:tc>
        <w:tc>
          <w:tcPr>
            <w:tcW w:w="840" w:type="dxa"/>
            <w:vAlign w:val="bottom"/>
            <w:tcBorders>
              <w:right w:val="single" w:sz="8" w:color="auto"/>
            </w:tcBorders>
          </w:tcPr>
          <w:p>
            <w:pPr>
              <w:spacing w:after="0"/>
              <w:rPr>
                <w:sz w:val="23"/>
                <w:szCs w:val="23"/>
                <w:color w:val="auto"/>
              </w:rPr>
            </w:pPr>
          </w:p>
        </w:tc>
        <w:tc>
          <w:tcPr>
            <w:tcW w:w="20" w:type="dxa"/>
            <w:vAlign w:val="bottom"/>
          </w:tcPr>
          <w:p>
            <w:pPr>
              <w:spacing w:after="0"/>
              <w:rPr>
                <w:sz w:val="23"/>
                <w:szCs w:val="23"/>
                <w:color w:val="auto"/>
              </w:rPr>
            </w:pPr>
          </w:p>
        </w:tc>
      </w:tr>
      <w:tr>
        <w:trPr>
          <w:trHeight w:val="50"/>
        </w:trPr>
        <w:tc>
          <w:tcPr>
            <w:tcW w:w="3140" w:type="dxa"/>
            <w:vAlign w:val="bottom"/>
            <w:tcBorders>
              <w:left w:val="single" w:sz="8" w:color="auto"/>
              <w:bottom w:val="single" w:sz="8" w:color="auto"/>
              <w:right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92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2340" w:type="dxa"/>
            <w:vAlign w:val="bottom"/>
            <w:tcBorders>
              <w:bottom w:val="single" w:sz="8" w:color="auto"/>
            </w:tcBorders>
          </w:tcPr>
          <w:p>
            <w:pPr>
              <w:spacing w:after="0"/>
              <w:rPr>
                <w:sz w:val="4"/>
                <w:szCs w:val="4"/>
                <w:color w:val="auto"/>
              </w:rPr>
            </w:pPr>
          </w:p>
        </w:tc>
        <w:tc>
          <w:tcPr>
            <w:tcW w:w="84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209"/>
        </w:trPr>
        <w:tc>
          <w:tcPr>
            <w:tcW w:w="3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68"/>
        </w:trPr>
        <w:tc>
          <w:tcPr>
            <w:tcW w:w="31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Commodity Description</w:t>
            </w:r>
          </w:p>
        </w:tc>
        <w:tc>
          <w:tcPr>
            <w:tcW w:w="3580" w:type="dxa"/>
            <w:vAlign w:val="bottom"/>
            <w:gridSpan w:val="2"/>
          </w:tcPr>
          <w:p>
            <w:pPr>
              <w:ind w:left="20"/>
              <w:spacing w:after="0"/>
              <w:rPr>
                <w:sz w:val="20"/>
                <w:szCs w:val="20"/>
                <w:color w:val="auto"/>
              </w:rPr>
            </w:pPr>
            <w:r>
              <w:rPr>
                <w:rFonts w:ascii="Arial" w:cs="Arial" w:eastAsia="Arial" w:hAnsi="Arial"/>
                <w:sz w:val="20"/>
                <w:szCs w:val="20"/>
                <w:color w:val="auto"/>
              </w:rPr>
              <w:t>Battery Cells</w:t>
            </w:r>
          </w:p>
        </w:tc>
        <w:tc>
          <w:tcPr>
            <w:tcW w:w="1320" w:type="dxa"/>
            <w:vAlign w:val="bottom"/>
          </w:tcPr>
          <w:p>
            <w:pPr>
              <w:spacing w:after="0"/>
              <w:rPr>
                <w:sz w:val="23"/>
                <w:szCs w:val="23"/>
                <w:color w:val="auto"/>
              </w:rPr>
            </w:pPr>
          </w:p>
        </w:tc>
        <w:tc>
          <w:tcPr>
            <w:tcW w:w="2340" w:type="dxa"/>
            <w:vAlign w:val="bottom"/>
          </w:tcPr>
          <w:p>
            <w:pPr>
              <w:spacing w:after="0"/>
              <w:rPr>
                <w:sz w:val="23"/>
                <w:szCs w:val="23"/>
                <w:color w:val="auto"/>
              </w:rPr>
            </w:pPr>
          </w:p>
        </w:tc>
        <w:tc>
          <w:tcPr>
            <w:tcW w:w="840" w:type="dxa"/>
            <w:vAlign w:val="bottom"/>
            <w:tcBorders>
              <w:right w:val="single" w:sz="8" w:color="auto"/>
            </w:tcBorders>
          </w:tcPr>
          <w:p>
            <w:pPr>
              <w:spacing w:after="0"/>
              <w:rPr>
                <w:sz w:val="23"/>
                <w:szCs w:val="23"/>
                <w:color w:val="auto"/>
              </w:rPr>
            </w:pPr>
          </w:p>
        </w:tc>
        <w:tc>
          <w:tcPr>
            <w:tcW w:w="20" w:type="dxa"/>
            <w:vAlign w:val="bottom"/>
          </w:tcPr>
          <w:p>
            <w:pPr>
              <w:spacing w:after="0"/>
              <w:rPr>
                <w:sz w:val="23"/>
                <w:szCs w:val="23"/>
                <w:color w:val="auto"/>
              </w:rPr>
            </w:pPr>
          </w:p>
        </w:tc>
      </w:tr>
      <w:tr>
        <w:trPr>
          <w:trHeight w:val="50"/>
        </w:trPr>
        <w:tc>
          <w:tcPr>
            <w:tcW w:w="3140" w:type="dxa"/>
            <w:vAlign w:val="bottom"/>
            <w:tcBorders>
              <w:left w:val="single" w:sz="8" w:color="auto"/>
              <w:bottom w:val="single" w:sz="8" w:color="auto"/>
              <w:right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92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2340" w:type="dxa"/>
            <w:vAlign w:val="bottom"/>
            <w:tcBorders>
              <w:bottom w:val="single" w:sz="8" w:color="auto"/>
            </w:tcBorders>
          </w:tcPr>
          <w:p>
            <w:pPr>
              <w:spacing w:after="0"/>
              <w:rPr>
                <w:sz w:val="4"/>
                <w:szCs w:val="4"/>
                <w:color w:val="auto"/>
              </w:rPr>
            </w:pPr>
          </w:p>
        </w:tc>
        <w:tc>
          <w:tcPr>
            <w:tcW w:w="84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268"/>
        </w:trPr>
        <w:tc>
          <w:tcPr>
            <w:tcW w:w="31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Tier 1 or Tier 2</w:t>
            </w:r>
          </w:p>
        </w:tc>
        <w:tc>
          <w:tcPr>
            <w:tcW w:w="3580" w:type="dxa"/>
            <w:vAlign w:val="bottom"/>
            <w:gridSpan w:val="2"/>
          </w:tcPr>
          <w:p>
            <w:pPr>
              <w:ind w:left="20"/>
              <w:spacing w:after="0"/>
              <w:rPr>
                <w:sz w:val="20"/>
                <w:szCs w:val="20"/>
                <w:color w:val="auto"/>
              </w:rPr>
            </w:pPr>
            <w:r>
              <w:rPr>
                <w:rFonts w:ascii="Arial" w:cs="Arial" w:eastAsia="Arial" w:hAnsi="Arial"/>
                <w:sz w:val="20"/>
                <w:szCs w:val="20"/>
                <w:color w:val="auto"/>
              </w:rPr>
              <w:t>Tier 1</w:t>
            </w:r>
          </w:p>
        </w:tc>
        <w:tc>
          <w:tcPr>
            <w:tcW w:w="1320" w:type="dxa"/>
            <w:vAlign w:val="bottom"/>
          </w:tcPr>
          <w:p>
            <w:pPr>
              <w:spacing w:after="0"/>
              <w:rPr>
                <w:sz w:val="23"/>
                <w:szCs w:val="23"/>
                <w:color w:val="auto"/>
              </w:rPr>
            </w:pPr>
          </w:p>
        </w:tc>
        <w:tc>
          <w:tcPr>
            <w:tcW w:w="2340" w:type="dxa"/>
            <w:vAlign w:val="bottom"/>
          </w:tcPr>
          <w:p>
            <w:pPr>
              <w:spacing w:after="0"/>
              <w:rPr>
                <w:sz w:val="23"/>
                <w:szCs w:val="23"/>
                <w:color w:val="auto"/>
              </w:rPr>
            </w:pPr>
          </w:p>
        </w:tc>
        <w:tc>
          <w:tcPr>
            <w:tcW w:w="840" w:type="dxa"/>
            <w:vAlign w:val="bottom"/>
            <w:tcBorders>
              <w:right w:val="single" w:sz="8" w:color="auto"/>
            </w:tcBorders>
          </w:tcPr>
          <w:p>
            <w:pPr>
              <w:spacing w:after="0"/>
              <w:rPr>
                <w:sz w:val="23"/>
                <w:szCs w:val="23"/>
                <w:color w:val="auto"/>
              </w:rPr>
            </w:pPr>
          </w:p>
        </w:tc>
        <w:tc>
          <w:tcPr>
            <w:tcW w:w="20" w:type="dxa"/>
            <w:vAlign w:val="bottom"/>
          </w:tcPr>
          <w:p>
            <w:pPr>
              <w:spacing w:after="0"/>
              <w:rPr>
                <w:sz w:val="23"/>
                <w:szCs w:val="23"/>
                <w:color w:val="auto"/>
              </w:rPr>
            </w:pPr>
          </w:p>
        </w:tc>
      </w:tr>
      <w:tr>
        <w:trPr>
          <w:trHeight w:val="50"/>
        </w:trPr>
        <w:tc>
          <w:tcPr>
            <w:tcW w:w="3140" w:type="dxa"/>
            <w:vAlign w:val="bottom"/>
            <w:tcBorders>
              <w:left w:val="single" w:sz="8" w:color="auto"/>
              <w:bottom w:val="single" w:sz="8" w:color="auto"/>
              <w:right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92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2340" w:type="dxa"/>
            <w:vAlign w:val="bottom"/>
            <w:tcBorders>
              <w:bottom w:val="single" w:sz="8" w:color="auto"/>
            </w:tcBorders>
          </w:tcPr>
          <w:p>
            <w:pPr>
              <w:spacing w:after="0"/>
              <w:rPr>
                <w:sz w:val="4"/>
                <w:szCs w:val="4"/>
                <w:color w:val="auto"/>
              </w:rPr>
            </w:pPr>
          </w:p>
        </w:tc>
        <w:tc>
          <w:tcPr>
            <w:tcW w:w="84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268"/>
        </w:trPr>
        <w:tc>
          <w:tcPr>
            <w:tcW w:w="31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Supplier Shipping Site Code</w:t>
            </w:r>
          </w:p>
        </w:tc>
        <w:tc>
          <w:tcPr>
            <w:tcW w:w="660" w:type="dxa"/>
            <w:vAlign w:val="bottom"/>
          </w:tcPr>
          <w:p>
            <w:pPr>
              <w:ind w:left="20"/>
              <w:spacing w:after="0"/>
              <w:rPr>
                <w:sz w:val="20"/>
                <w:szCs w:val="20"/>
                <w:color w:val="auto"/>
              </w:rPr>
            </w:pPr>
            <w:r>
              <w:rPr>
                <w:rFonts w:ascii="Arial" w:cs="Arial" w:eastAsia="Arial" w:hAnsi="Arial"/>
                <w:sz w:val="20"/>
                <w:szCs w:val="20"/>
                <w:color w:val="242424"/>
                <w:w w:val="89"/>
              </w:rPr>
              <w:t>113517</w:t>
            </w:r>
          </w:p>
        </w:tc>
        <w:tc>
          <w:tcPr>
            <w:tcW w:w="292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2340" w:type="dxa"/>
            <w:vAlign w:val="bottom"/>
          </w:tcPr>
          <w:p>
            <w:pPr>
              <w:spacing w:after="0"/>
              <w:rPr>
                <w:sz w:val="23"/>
                <w:szCs w:val="23"/>
                <w:color w:val="auto"/>
              </w:rPr>
            </w:pPr>
          </w:p>
        </w:tc>
        <w:tc>
          <w:tcPr>
            <w:tcW w:w="840" w:type="dxa"/>
            <w:vAlign w:val="bottom"/>
            <w:tcBorders>
              <w:right w:val="single" w:sz="8" w:color="auto"/>
            </w:tcBorders>
          </w:tcPr>
          <w:p>
            <w:pPr>
              <w:spacing w:after="0"/>
              <w:rPr>
                <w:sz w:val="23"/>
                <w:szCs w:val="23"/>
                <w:color w:val="auto"/>
              </w:rPr>
            </w:pPr>
          </w:p>
        </w:tc>
        <w:tc>
          <w:tcPr>
            <w:tcW w:w="20" w:type="dxa"/>
            <w:vAlign w:val="bottom"/>
          </w:tcPr>
          <w:p>
            <w:pPr>
              <w:spacing w:after="0"/>
              <w:rPr>
                <w:sz w:val="23"/>
                <w:szCs w:val="23"/>
                <w:color w:val="auto"/>
              </w:rPr>
            </w:pPr>
          </w:p>
        </w:tc>
      </w:tr>
      <w:tr>
        <w:trPr>
          <w:trHeight w:val="50"/>
        </w:trPr>
        <w:tc>
          <w:tcPr>
            <w:tcW w:w="3140" w:type="dxa"/>
            <w:vAlign w:val="bottom"/>
            <w:tcBorders>
              <w:left w:val="single" w:sz="8" w:color="auto"/>
              <w:bottom w:val="single" w:sz="8" w:color="auto"/>
              <w:right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92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2340" w:type="dxa"/>
            <w:vAlign w:val="bottom"/>
            <w:tcBorders>
              <w:bottom w:val="single" w:sz="8" w:color="auto"/>
            </w:tcBorders>
          </w:tcPr>
          <w:p>
            <w:pPr>
              <w:spacing w:after="0"/>
              <w:rPr>
                <w:sz w:val="4"/>
                <w:szCs w:val="4"/>
                <w:color w:val="auto"/>
              </w:rPr>
            </w:pPr>
          </w:p>
        </w:tc>
        <w:tc>
          <w:tcPr>
            <w:tcW w:w="84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268"/>
        </w:trPr>
        <w:tc>
          <w:tcPr>
            <w:tcW w:w="31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Incoterms</w:t>
            </w:r>
          </w:p>
        </w:tc>
        <w:tc>
          <w:tcPr>
            <w:tcW w:w="3580" w:type="dxa"/>
            <w:vAlign w:val="bottom"/>
            <w:gridSpan w:val="2"/>
          </w:tcPr>
          <w:p>
            <w:pPr>
              <w:ind w:left="20"/>
              <w:spacing w:after="0"/>
              <w:rPr>
                <w:sz w:val="20"/>
                <w:szCs w:val="20"/>
                <w:color w:val="auto"/>
              </w:rPr>
            </w:pPr>
            <w:r>
              <w:rPr>
                <w:rFonts w:ascii="Arial" w:cs="Arial" w:eastAsia="Arial" w:hAnsi="Arial"/>
                <w:sz w:val="20"/>
                <w:szCs w:val="20"/>
                <w:color w:val="auto"/>
              </w:rPr>
              <w:t>FCA (Incoterms 2010)</w:t>
            </w:r>
          </w:p>
        </w:tc>
        <w:tc>
          <w:tcPr>
            <w:tcW w:w="1320" w:type="dxa"/>
            <w:vAlign w:val="bottom"/>
          </w:tcPr>
          <w:p>
            <w:pPr>
              <w:spacing w:after="0"/>
              <w:rPr>
                <w:sz w:val="23"/>
                <w:szCs w:val="23"/>
                <w:color w:val="auto"/>
              </w:rPr>
            </w:pPr>
          </w:p>
        </w:tc>
        <w:tc>
          <w:tcPr>
            <w:tcW w:w="2340" w:type="dxa"/>
            <w:vAlign w:val="bottom"/>
          </w:tcPr>
          <w:p>
            <w:pPr>
              <w:spacing w:after="0"/>
              <w:rPr>
                <w:sz w:val="23"/>
                <w:szCs w:val="23"/>
                <w:color w:val="auto"/>
              </w:rPr>
            </w:pPr>
          </w:p>
        </w:tc>
        <w:tc>
          <w:tcPr>
            <w:tcW w:w="840" w:type="dxa"/>
            <w:vAlign w:val="bottom"/>
            <w:tcBorders>
              <w:right w:val="single" w:sz="8" w:color="auto"/>
            </w:tcBorders>
          </w:tcPr>
          <w:p>
            <w:pPr>
              <w:spacing w:after="0"/>
              <w:rPr>
                <w:sz w:val="23"/>
                <w:szCs w:val="23"/>
                <w:color w:val="auto"/>
              </w:rPr>
            </w:pPr>
          </w:p>
        </w:tc>
        <w:tc>
          <w:tcPr>
            <w:tcW w:w="20" w:type="dxa"/>
            <w:vAlign w:val="bottom"/>
          </w:tcPr>
          <w:p>
            <w:pPr>
              <w:spacing w:after="0"/>
              <w:rPr>
                <w:sz w:val="23"/>
                <w:szCs w:val="23"/>
                <w:color w:val="auto"/>
              </w:rPr>
            </w:pPr>
          </w:p>
        </w:tc>
      </w:tr>
      <w:tr>
        <w:trPr>
          <w:trHeight w:val="50"/>
        </w:trPr>
        <w:tc>
          <w:tcPr>
            <w:tcW w:w="3140" w:type="dxa"/>
            <w:vAlign w:val="bottom"/>
            <w:tcBorders>
              <w:left w:val="single" w:sz="8" w:color="auto"/>
              <w:bottom w:val="single" w:sz="8" w:color="auto"/>
              <w:right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92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2340" w:type="dxa"/>
            <w:vAlign w:val="bottom"/>
            <w:tcBorders>
              <w:bottom w:val="single" w:sz="8" w:color="auto"/>
            </w:tcBorders>
          </w:tcPr>
          <w:p>
            <w:pPr>
              <w:spacing w:after="0"/>
              <w:rPr>
                <w:sz w:val="4"/>
                <w:szCs w:val="4"/>
                <w:color w:val="auto"/>
              </w:rPr>
            </w:pPr>
          </w:p>
        </w:tc>
        <w:tc>
          <w:tcPr>
            <w:tcW w:w="84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209"/>
        </w:trPr>
        <w:tc>
          <w:tcPr>
            <w:tcW w:w="3140" w:type="dxa"/>
            <w:vAlign w:val="bottom"/>
            <w:tcBorders>
              <w:left w:val="single" w:sz="8" w:color="auto"/>
              <w:right w:val="single" w:sz="8" w:color="auto"/>
            </w:tcBorders>
          </w:tcPr>
          <w:p>
            <w:pPr>
              <w:ind w:left="40"/>
              <w:spacing w:after="0" w:line="209" w:lineRule="exact"/>
              <w:rPr>
                <w:sz w:val="20"/>
                <w:szCs w:val="20"/>
                <w:color w:val="auto"/>
              </w:rPr>
            </w:pPr>
            <w:r>
              <w:rPr>
                <w:rFonts w:ascii="Arial" w:cs="Arial" w:eastAsia="Arial" w:hAnsi="Arial"/>
                <w:sz w:val="20"/>
                <w:szCs w:val="20"/>
                <w:color w:val="auto"/>
              </w:rPr>
              <w:t>Manufacturing address</w:t>
            </w:r>
          </w:p>
        </w:tc>
        <w:tc>
          <w:tcPr>
            <w:tcW w:w="3580" w:type="dxa"/>
            <w:vAlign w:val="bottom"/>
            <w:gridSpan w:val="2"/>
          </w:tcPr>
          <w:p>
            <w:pPr>
              <w:ind w:left="60"/>
              <w:spacing w:after="0" w:line="209" w:lineRule="exact"/>
              <w:rPr>
                <w:sz w:val="20"/>
                <w:szCs w:val="20"/>
                <w:color w:val="auto"/>
              </w:rPr>
            </w:pPr>
            <w:r>
              <w:rPr>
                <w:rFonts w:ascii="Arial" w:cs="Arial" w:eastAsia="Arial" w:hAnsi="Arial"/>
                <w:sz w:val="20"/>
                <w:szCs w:val="20"/>
                <w:color w:val="auto"/>
              </w:rPr>
              <w:t>Suminoe plant</w:t>
            </w:r>
          </w:p>
        </w:tc>
        <w:tc>
          <w:tcPr>
            <w:tcW w:w="13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3140" w:type="dxa"/>
            <w:vAlign w:val="bottom"/>
            <w:tcBorders>
              <w:left w:val="single" w:sz="8" w:color="auto"/>
              <w:bottom w:val="single" w:sz="8" w:color="auto"/>
              <w:right w:val="single" w:sz="8" w:color="auto"/>
            </w:tcBorders>
          </w:tcPr>
          <w:p>
            <w:pPr>
              <w:spacing w:after="0"/>
              <w:rPr>
                <w:sz w:val="19"/>
                <w:szCs w:val="19"/>
                <w:color w:val="auto"/>
              </w:rPr>
            </w:pPr>
          </w:p>
        </w:tc>
        <w:tc>
          <w:tcPr>
            <w:tcW w:w="8080" w:type="dxa"/>
            <w:vAlign w:val="bottom"/>
            <w:tcBorders>
              <w:bottom w:val="single" w:sz="8" w:color="auto"/>
              <w:right w:val="single" w:sz="8" w:color="auto"/>
            </w:tcBorders>
            <w:gridSpan w:val="5"/>
          </w:tcPr>
          <w:p>
            <w:pPr>
              <w:ind w:left="60"/>
              <w:spacing w:after="0"/>
              <w:rPr>
                <w:sz w:val="20"/>
                <w:szCs w:val="20"/>
                <w:color w:val="auto"/>
              </w:rPr>
            </w:pPr>
            <w:r>
              <w:rPr>
                <w:rFonts w:ascii="Arial" w:cs="Arial" w:eastAsia="Arial" w:hAnsi="Arial"/>
                <w:sz w:val="20"/>
                <w:szCs w:val="20"/>
                <w:color w:val="auto"/>
              </w:rPr>
              <w:t>1-2-63, Hirabayashi-kita, Suminoe-ku, Osaka-shi, Osaka 559-8729, Japan</w:t>
            </w:r>
          </w:p>
        </w:tc>
        <w:tc>
          <w:tcPr>
            <w:tcW w:w="20" w:type="dxa"/>
            <w:vAlign w:val="bottom"/>
          </w:tcPr>
          <w:p>
            <w:pPr>
              <w:spacing w:after="0"/>
              <w:rPr>
                <w:sz w:val="19"/>
                <w:szCs w:val="19"/>
                <w:color w:val="auto"/>
              </w:rPr>
            </w:pPr>
          </w:p>
        </w:tc>
      </w:tr>
      <w:tr>
        <w:trPr>
          <w:trHeight w:val="209"/>
        </w:trPr>
        <w:tc>
          <w:tcPr>
            <w:tcW w:w="3140" w:type="dxa"/>
            <w:vAlign w:val="bottom"/>
            <w:tcBorders>
              <w:left w:val="single" w:sz="8" w:color="auto"/>
              <w:right w:val="single" w:sz="8" w:color="auto"/>
            </w:tcBorders>
          </w:tcPr>
          <w:p>
            <w:pPr>
              <w:ind w:left="40"/>
              <w:spacing w:after="0" w:line="209" w:lineRule="exact"/>
              <w:rPr>
                <w:sz w:val="20"/>
                <w:szCs w:val="20"/>
                <w:color w:val="auto"/>
              </w:rPr>
            </w:pPr>
            <w:r>
              <w:rPr>
                <w:rFonts w:ascii="Arial" w:cs="Arial" w:eastAsia="Arial" w:hAnsi="Arial"/>
                <w:sz w:val="20"/>
                <w:szCs w:val="20"/>
                <w:color w:val="auto"/>
              </w:rPr>
              <w:t>Ship from address</w:t>
            </w:r>
          </w:p>
        </w:tc>
        <w:tc>
          <w:tcPr>
            <w:tcW w:w="8080" w:type="dxa"/>
            <w:vAlign w:val="bottom"/>
            <w:tcBorders>
              <w:right w:val="single" w:sz="8" w:color="auto"/>
            </w:tcBorders>
            <w:gridSpan w:val="5"/>
          </w:tcPr>
          <w:p>
            <w:pPr>
              <w:ind w:left="60"/>
              <w:spacing w:after="0" w:line="209" w:lineRule="exact"/>
              <w:rPr>
                <w:sz w:val="20"/>
                <w:szCs w:val="20"/>
                <w:color w:val="auto"/>
              </w:rPr>
            </w:pPr>
            <w:r>
              <w:rPr>
                <w:rFonts w:ascii="Arial" w:cs="Arial" w:eastAsia="Arial" w:hAnsi="Arial"/>
                <w:sz w:val="20"/>
                <w:szCs w:val="20"/>
                <w:color w:val="242424"/>
              </w:rPr>
              <w:t>9-10 Minatojima Chuo-ku, Kobe-shi, Hyogo-ken 650-0045, Japan</w:t>
            </w:r>
          </w:p>
        </w:tc>
        <w:tc>
          <w:tcPr>
            <w:tcW w:w="20" w:type="dxa"/>
            <w:vAlign w:val="bottom"/>
          </w:tcPr>
          <w:p>
            <w:pPr>
              <w:spacing w:after="0"/>
              <w:rPr>
                <w:sz w:val="18"/>
                <w:szCs w:val="18"/>
                <w:color w:val="auto"/>
              </w:rPr>
            </w:pPr>
          </w:p>
        </w:tc>
      </w:tr>
      <w:tr>
        <w:trPr>
          <w:trHeight w:val="230"/>
        </w:trPr>
        <w:tc>
          <w:tcPr>
            <w:tcW w:w="3140" w:type="dxa"/>
            <w:vAlign w:val="bottom"/>
            <w:tcBorders>
              <w:left w:val="single" w:sz="8" w:color="auto"/>
              <w:bottom w:val="single" w:sz="8" w:color="auto"/>
              <w:right w:val="single" w:sz="8" w:color="auto"/>
            </w:tcBorders>
          </w:tcPr>
          <w:p>
            <w:pPr>
              <w:spacing w:after="0"/>
              <w:rPr>
                <w:sz w:val="19"/>
                <w:szCs w:val="19"/>
                <w:color w:val="auto"/>
              </w:rPr>
            </w:pPr>
          </w:p>
        </w:tc>
        <w:tc>
          <w:tcPr>
            <w:tcW w:w="3580" w:type="dxa"/>
            <w:vAlign w:val="bottom"/>
            <w:tcBorders>
              <w:bottom w:val="single" w:sz="8" w:color="auto"/>
            </w:tcBorders>
            <w:gridSpan w:val="2"/>
          </w:tcPr>
          <w:p>
            <w:pPr>
              <w:ind w:left="60"/>
              <w:spacing w:after="0"/>
              <w:rPr>
                <w:sz w:val="20"/>
                <w:szCs w:val="20"/>
                <w:color w:val="auto"/>
              </w:rPr>
            </w:pPr>
            <w:r>
              <w:rPr>
                <w:rFonts w:ascii="Arial" w:cs="Arial" w:eastAsia="Arial" w:hAnsi="Arial"/>
                <w:sz w:val="20"/>
                <w:szCs w:val="20"/>
                <w:color w:val="242424"/>
              </w:rPr>
              <w:t>(Kobe Port)</w:t>
            </w:r>
          </w:p>
        </w:tc>
        <w:tc>
          <w:tcPr>
            <w:tcW w:w="132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tcPr>
          <w:p>
            <w:pPr>
              <w:spacing w:after="0"/>
              <w:rPr>
                <w:sz w:val="19"/>
                <w:szCs w:val="19"/>
                <w:color w:val="auto"/>
              </w:rPr>
            </w:pPr>
          </w:p>
        </w:tc>
        <w:tc>
          <w:tcPr>
            <w:tcW w:w="840" w:type="dxa"/>
            <w:vAlign w:val="bottom"/>
            <w:tcBorders>
              <w:bottom w:val="single" w:sz="8" w:color="auto"/>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09"/>
        </w:trPr>
        <w:tc>
          <w:tcPr>
            <w:tcW w:w="3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68"/>
        </w:trPr>
        <w:tc>
          <w:tcPr>
            <w:tcW w:w="31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b w:val="1"/>
                <w:bCs w:val="1"/>
                <w:color w:val="auto"/>
              </w:rPr>
              <w:t>Delivery Location</w:t>
            </w:r>
          </w:p>
        </w:tc>
        <w:tc>
          <w:tcPr>
            <w:tcW w:w="3580" w:type="dxa"/>
            <w:vAlign w:val="bottom"/>
            <w:gridSpan w:val="2"/>
          </w:tcPr>
          <w:p>
            <w:pPr>
              <w:ind w:left="20"/>
              <w:spacing w:after="0"/>
              <w:rPr>
                <w:sz w:val="20"/>
                <w:szCs w:val="20"/>
                <w:color w:val="auto"/>
              </w:rPr>
            </w:pPr>
            <w:r>
              <w:rPr>
                <w:rFonts w:ascii="Arial" w:cs="Arial" w:eastAsia="Arial" w:hAnsi="Arial"/>
                <w:sz w:val="20"/>
                <w:szCs w:val="20"/>
                <w:color w:val="auto"/>
              </w:rPr>
              <w:t>Lucid USA, Inc.</w:t>
            </w:r>
          </w:p>
        </w:tc>
        <w:tc>
          <w:tcPr>
            <w:tcW w:w="1320" w:type="dxa"/>
            <w:vAlign w:val="bottom"/>
          </w:tcPr>
          <w:p>
            <w:pPr>
              <w:spacing w:after="0"/>
              <w:rPr>
                <w:sz w:val="23"/>
                <w:szCs w:val="23"/>
                <w:color w:val="auto"/>
              </w:rPr>
            </w:pPr>
          </w:p>
        </w:tc>
        <w:tc>
          <w:tcPr>
            <w:tcW w:w="2340" w:type="dxa"/>
            <w:vAlign w:val="bottom"/>
          </w:tcPr>
          <w:p>
            <w:pPr>
              <w:spacing w:after="0"/>
              <w:rPr>
                <w:sz w:val="23"/>
                <w:szCs w:val="23"/>
                <w:color w:val="auto"/>
              </w:rPr>
            </w:pPr>
          </w:p>
        </w:tc>
        <w:tc>
          <w:tcPr>
            <w:tcW w:w="840" w:type="dxa"/>
            <w:vAlign w:val="bottom"/>
            <w:tcBorders>
              <w:right w:val="single" w:sz="8" w:color="auto"/>
            </w:tcBorders>
          </w:tcPr>
          <w:p>
            <w:pPr>
              <w:spacing w:after="0"/>
              <w:rPr>
                <w:sz w:val="23"/>
                <w:szCs w:val="23"/>
                <w:color w:val="auto"/>
              </w:rPr>
            </w:pPr>
          </w:p>
        </w:tc>
        <w:tc>
          <w:tcPr>
            <w:tcW w:w="20" w:type="dxa"/>
            <w:vAlign w:val="bottom"/>
          </w:tcPr>
          <w:p>
            <w:pPr>
              <w:spacing w:after="0"/>
              <w:rPr>
                <w:sz w:val="23"/>
                <w:szCs w:val="23"/>
                <w:color w:val="auto"/>
              </w:rPr>
            </w:pPr>
          </w:p>
        </w:tc>
      </w:tr>
      <w:tr>
        <w:trPr>
          <w:trHeight w:val="50"/>
        </w:trPr>
        <w:tc>
          <w:tcPr>
            <w:tcW w:w="3140" w:type="dxa"/>
            <w:vAlign w:val="bottom"/>
            <w:tcBorders>
              <w:left w:val="single" w:sz="8" w:color="auto"/>
              <w:bottom w:val="single" w:sz="8" w:color="auto"/>
              <w:right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92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3180" w:type="dxa"/>
            <w:vAlign w:val="bottom"/>
            <w:tcBorders>
              <w:bottom w:val="single" w:sz="8" w:color="auto"/>
              <w:right w:val="single" w:sz="8" w:color="auto"/>
            </w:tcBorders>
            <w:gridSpan w:val="2"/>
          </w:tcPr>
          <w:p>
            <w:pPr>
              <w:spacing w:after="0"/>
              <w:rPr>
                <w:sz w:val="4"/>
                <w:szCs w:val="4"/>
                <w:color w:val="auto"/>
              </w:rPr>
            </w:pPr>
          </w:p>
        </w:tc>
        <w:tc>
          <w:tcPr>
            <w:tcW w:w="20" w:type="dxa"/>
            <w:vAlign w:val="bottom"/>
          </w:tcPr>
          <w:p>
            <w:pPr>
              <w:spacing w:after="0"/>
              <w:rPr>
                <w:sz w:val="4"/>
                <w:szCs w:val="4"/>
                <w:color w:val="auto"/>
              </w:rPr>
            </w:pPr>
          </w:p>
        </w:tc>
      </w:tr>
      <w:tr>
        <w:trPr>
          <w:trHeight w:val="268"/>
        </w:trPr>
        <w:tc>
          <w:tcPr>
            <w:tcW w:w="31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Address</w:t>
            </w:r>
          </w:p>
        </w:tc>
        <w:tc>
          <w:tcPr>
            <w:tcW w:w="8080" w:type="dxa"/>
            <w:vAlign w:val="bottom"/>
            <w:tcBorders>
              <w:right w:val="single" w:sz="8" w:color="auto"/>
            </w:tcBorders>
            <w:gridSpan w:val="5"/>
          </w:tcPr>
          <w:p>
            <w:pPr>
              <w:ind w:left="20"/>
              <w:spacing w:after="0"/>
              <w:rPr>
                <w:sz w:val="20"/>
                <w:szCs w:val="20"/>
                <w:color w:val="auto"/>
              </w:rPr>
            </w:pPr>
            <w:r>
              <w:rPr>
                <w:rFonts w:ascii="Arial" w:cs="Arial" w:eastAsia="Arial" w:hAnsi="Arial"/>
                <w:sz w:val="20"/>
                <w:szCs w:val="20"/>
                <w:color w:val="auto"/>
              </w:rPr>
              <w:t>Lucid Motors Logistics Operations Center, 1115 W. Alameda Dr., Tempe, AZ 85282, USA</w:t>
            </w:r>
          </w:p>
        </w:tc>
        <w:tc>
          <w:tcPr>
            <w:tcW w:w="20" w:type="dxa"/>
            <w:vAlign w:val="bottom"/>
          </w:tcPr>
          <w:p>
            <w:pPr>
              <w:spacing w:after="0"/>
              <w:rPr>
                <w:sz w:val="23"/>
                <w:szCs w:val="23"/>
                <w:color w:val="auto"/>
              </w:rPr>
            </w:pPr>
          </w:p>
        </w:tc>
      </w:tr>
      <w:tr>
        <w:trPr>
          <w:trHeight w:val="50"/>
        </w:trPr>
        <w:tc>
          <w:tcPr>
            <w:tcW w:w="3140" w:type="dxa"/>
            <w:vAlign w:val="bottom"/>
            <w:tcBorders>
              <w:left w:val="single" w:sz="8" w:color="auto"/>
              <w:bottom w:val="single" w:sz="8" w:color="auto"/>
              <w:right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92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2340" w:type="dxa"/>
            <w:vAlign w:val="bottom"/>
            <w:tcBorders>
              <w:bottom w:val="single" w:sz="8" w:color="auto"/>
            </w:tcBorders>
          </w:tcPr>
          <w:p>
            <w:pPr>
              <w:spacing w:after="0"/>
              <w:rPr>
                <w:sz w:val="4"/>
                <w:szCs w:val="4"/>
                <w:color w:val="auto"/>
              </w:rPr>
            </w:pPr>
          </w:p>
        </w:tc>
        <w:tc>
          <w:tcPr>
            <w:tcW w:w="84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358"/>
        </w:trPr>
        <w:tc>
          <w:tcPr>
            <w:tcW w:w="31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68"/>
        </w:trPr>
        <w:tc>
          <w:tcPr>
            <w:tcW w:w="3140" w:type="dxa"/>
            <w:vAlign w:val="bottom"/>
            <w:tcBorders>
              <w:left w:val="single" w:sz="8" w:color="auto"/>
            </w:tcBorders>
          </w:tcPr>
          <w:p>
            <w:pPr>
              <w:ind w:left="40"/>
              <w:spacing w:after="0"/>
              <w:rPr>
                <w:sz w:val="20"/>
                <w:szCs w:val="20"/>
                <w:color w:val="auto"/>
              </w:rPr>
            </w:pPr>
            <w:r>
              <w:rPr>
                <w:rFonts w:ascii="Arial" w:cs="Arial" w:eastAsia="Arial" w:hAnsi="Arial"/>
                <w:sz w:val="20"/>
                <w:szCs w:val="20"/>
                <w:b w:val="1"/>
                <w:bCs w:val="1"/>
                <w:color w:val="auto"/>
              </w:rPr>
              <w:t>Pricing Validity Period</w:t>
            </w:r>
          </w:p>
        </w:tc>
        <w:tc>
          <w:tcPr>
            <w:tcW w:w="660" w:type="dxa"/>
            <w:vAlign w:val="bottom"/>
            <w:tcBorders>
              <w:right w:val="single" w:sz="8" w:color="auto"/>
            </w:tcBorders>
          </w:tcPr>
          <w:p>
            <w:pPr>
              <w:spacing w:after="0"/>
              <w:rPr>
                <w:sz w:val="23"/>
                <w:szCs w:val="23"/>
                <w:color w:val="auto"/>
              </w:rPr>
            </w:pPr>
          </w:p>
        </w:tc>
        <w:tc>
          <w:tcPr>
            <w:tcW w:w="292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2/1/2023</w:t>
            </w:r>
          </w:p>
        </w:tc>
        <w:tc>
          <w:tcPr>
            <w:tcW w:w="132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through</w:t>
            </w:r>
          </w:p>
        </w:tc>
        <w:tc>
          <w:tcPr>
            <w:tcW w:w="2340" w:type="dxa"/>
            <w:vAlign w:val="bottom"/>
          </w:tcPr>
          <w:p>
            <w:pPr>
              <w:jc w:val="right"/>
              <w:ind w:right="1321"/>
              <w:spacing w:after="0"/>
              <w:rPr>
                <w:sz w:val="20"/>
                <w:szCs w:val="20"/>
                <w:color w:val="auto"/>
              </w:rPr>
            </w:pPr>
            <w:r>
              <w:rPr>
                <w:rFonts w:ascii="Arial" w:cs="Arial" w:eastAsia="Arial" w:hAnsi="Arial"/>
                <w:sz w:val="20"/>
                <w:szCs w:val="20"/>
                <w:color w:val="auto"/>
                <w:w w:val="89"/>
              </w:rPr>
              <w:t>12/31/2025</w:t>
            </w:r>
          </w:p>
        </w:tc>
        <w:tc>
          <w:tcPr>
            <w:tcW w:w="840" w:type="dxa"/>
            <w:vAlign w:val="bottom"/>
            <w:tcBorders>
              <w:right w:val="single" w:sz="8" w:color="auto"/>
            </w:tcBorders>
          </w:tcPr>
          <w:p>
            <w:pPr>
              <w:spacing w:after="0"/>
              <w:rPr>
                <w:sz w:val="23"/>
                <w:szCs w:val="23"/>
                <w:color w:val="auto"/>
              </w:rPr>
            </w:pPr>
          </w:p>
        </w:tc>
        <w:tc>
          <w:tcPr>
            <w:tcW w:w="20" w:type="dxa"/>
            <w:vAlign w:val="bottom"/>
          </w:tcPr>
          <w:p>
            <w:pPr>
              <w:spacing w:after="0"/>
              <w:rPr>
                <w:sz w:val="23"/>
                <w:szCs w:val="23"/>
                <w:color w:val="auto"/>
              </w:rPr>
            </w:pPr>
          </w:p>
        </w:tc>
      </w:tr>
      <w:tr>
        <w:trPr>
          <w:trHeight w:val="50"/>
        </w:trPr>
        <w:tc>
          <w:tcPr>
            <w:tcW w:w="3140" w:type="dxa"/>
            <w:vAlign w:val="bottom"/>
            <w:tcBorders>
              <w:left w:val="single" w:sz="8" w:color="auto"/>
              <w:bottom w:val="single" w:sz="8" w:color="auto"/>
            </w:tcBorders>
          </w:tcPr>
          <w:p>
            <w:pPr>
              <w:spacing w:after="0"/>
              <w:rPr>
                <w:sz w:val="4"/>
                <w:szCs w:val="4"/>
                <w:color w:val="auto"/>
              </w:rPr>
            </w:pPr>
          </w:p>
        </w:tc>
        <w:tc>
          <w:tcPr>
            <w:tcW w:w="660" w:type="dxa"/>
            <w:vAlign w:val="bottom"/>
            <w:tcBorders>
              <w:bottom w:val="single" w:sz="8" w:color="auto"/>
              <w:right w:val="single" w:sz="8" w:color="auto"/>
            </w:tcBorders>
          </w:tcPr>
          <w:p>
            <w:pPr>
              <w:spacing w:after="0"/>
              <w:rPr>
                <w:sz w:val="4"/>
                <w:szCs w:val="4"/>
                <w:color w:val="auto"/>
              </w:rPr>
            </w:pPr>
          </w:p>
        </w:tc>
        <w:tc>
          <w:tcPr>
            <w:tcW w:w="2920" w:type="dxa"/>
            <w:vAlign w:val="bottom"/>
            <w:tcBorders>
              <w:bottom w:val="single" w:sz="8" w:color="auto"/>
              <w:right w:val="single" w:sz="8" w:color="auto"/>
            </w:tcBorders>
          </w:tcPr>
          <w:p>
            <w:pPr>
              <w:spacing w:after="0"/>
              <w:rPr>
                <w:sz w:val="4"/>
                <w:szCs w:val="4"/>
                <w:color w:val="auto"/>
              </w:rPr>
            </w:pPr>
          </w:p>
        </w:tc>
        <w:tc>
          <w:tcPr>
            <w:tcW w:w="1320" w:type="dxa"/>
            <w:vAlign w:val="bottom"/>
            <w:tcBorders>
              <w:bottom w:val="single" w:sz="8" w:color="auto"/>
              <w:right w:val="single" w:sz="8" w:color="auto"/>
            </w:tcBorders>
          </w:tcPr>
          <w:p>
            <w:pPr>
              <w:spacing w:after="0"/>
              <w:rPr>
                <w:sz w:val="4"/>
                <w:szCs w:val="4"/>
                <w:color w:val="auto"/>
              </w:rPr>
            </w:pPr>
          </w:p>
        </w:tc>
        <w:tc>
          <w:tcPr>
            <w:tcW w:w="2340" w:type="dxa"/>
            <w:vAlign w:val="bottom"/>
            <w:tcBorders>
              <w:bottom w:val="single" w:sz="8" w:color="auto"/>
            </w:tcBorders>
          </w:tcPr>
          <w:p>
            <w:pPr>
              <w:spacing w:after="0"/>
              <w:rPr>
                <w:sz w:val="4"/>
                <w:szCs w:val="4"/>
                <w:color w:val="auto"/>
              </w:rPr>
            </w:pPr>
          </w:p>
        </w:tc>
        <w:tc>
          <w:tcPr>
            <w:tcW w:w="84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295"/>
        </w:trPr>
        <w:tc>
          <w:tcPr>
            <w:tcW w:w="3140" w:type="dxa"/>
            <w:vAlign w:val="bottom"/>
            <w:tcBorders>
              <w:left w:val="single" w:sz="8" w:color="auto"/>
            </w:tcBorders>
          </w:tcPr>
          <w:p>
            <w:pPr>
              <w:ind w:left="40"/>
              <w:spacing w:after="0"/>
              <w:rPr>
                <w:sz w:val="20"/>
                <w:szCs w:val="20"/>
                <w:color w:val="auto"/>
              </w:rPr>
            </w:pPr>
            <w:r>
              <w:rPr>
                <w:rFonts w:ascii="Arial" w:cs="Arial" w:eastAsia="Arial" w:hAnsi="Arial"/>
                <w:sz w:val="20"/>
                <w:szCs w:val="20"/>
                <w:b w:val="1"/>
                <w:bCs w:val="1"/>
                <w:color w:val="auto"/>
              </w:rPr>
              <w:t>Production Volume</w:t>
            </w:r>
          </w:p>
        </w:tc>
        <w:tc>
          <w:tcPr>
            <w:tcW w:w="660" w:type="dxa"/>
            <w:vAlign w:val="bottom"/>
            <w:tcBorders>
              <w:right w:val="single" w:sz="8" w:color="auto"/>
            </w:tcBorders>
          </w:tcPr>
          <w:p>
            <w:pPr>
              <w:spacing w:after="0"/>
              <w:rPr>
                <w:sz w:val="24"/>
                <w:szCs w:val="24"/>
                <w:color w:val="auto"/>
              </w:rPr>
            </w:pPr>
          </w:p>
        </w:tc>
        <w:tc>
          <w:tcPr>
            <w:tcW w:w="2920" w:type="dxa"/>
            <w:vAlign w:val="bottom"/>
          </w:tcPr>
          <w:p>
            <w:pPr>
              <w:ind w:left="60"/>
              <w:spacing w:after="0"/>
              <w:rPr>
                <w:sz w:val="20"/>
                <w:szCs w:val="20"/>
                <w:color w:val="auto"/>
              </w:rPr>
            </w:pPr>
            <w:r>
              <w:rPr>
                <w:rFonts w:ascii="Arial" w:cs="Arial" w:eastAsia="Arial" w:hAnsi="Arial"/>
                <w:sz w:val="20"/>
                <w:szCs w:val="20"/>
                <w:color w:val="auto"/>
                <w:w w:val="97"/>
              </w:rPr>
              <w:t>As provided in forecast Exhibit C</w:t>
            </w:r>
          </w:p>
        </w:tc>
        <w:tc>
          <w:tcPr>
            <w:tcW w:w="132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63"/>
        </w:trPr>
        <w:tc>
          <w:tcPr>
            <w:tcW w:w="3140" w:type="dxa"/>
            <w:vAlign w:val="bottom"/>
            <w:tcBorders>
              <w:left w:val="single" w:sz="8" w:color="auto"/>
              <w:bottom w:val="single" w:sz="8" w:color="auto"/>
            </w:tcBorders>
          </w:tcPr>
          <w:p>
            <w:pPr>
              <w:spacing w:after="0"/>
              <w:rPr>
                <w:sz w:val="5"/>
                <w:szCs w:val="5"/>
                <w:color w:val="auto"/>
              </w:rPr>
            </w:pPr>
          </w:p>
        </w:tc>
        <w:tc>
          <w:tcPr>
            <w:tcW w:w="660" w:type="dxa"/>
            <w:vAlign w:val="bottom"/>
            <w:tcBorders>
              <w:bottom w:val="single" w:sz="8" w:color="auto"/>
              <w:right w:val="single" w:sz="8" w:color="auto"/>
            </w:tcBorders>
          </w:tcPr>
          <w:p>
            <w:pPr>
              <w:spacing w:after="0"/>
              <w:rPr>
                <w:sz w:val="5"/>
                <w:szCs w:val="5"/>
                <w:color w:val="auto"/>
              </w:rPr>
            </w:pPr>
          </w:p>
        </w:tc>
        <w:tc>
          <w:tcPr>
            <w:tcW w:w="292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2340" w:type="dxa"/>
            <w:vAlign w:val="bottom"/>
            <w:tcBorders>
              <w:bottom w:val="single" w:sz="8" w:color="auto"/>
            </w:tcBorders>
          </w:tcPr>
          <w:p>
            <w:pPr>
              <w:spacing w:after="0"/>
              <w:rPr>
                <w:sz w:val="5"/>
                <w:szCs w:val="5"/>
                <w:color w:val="auto"/>
              </w:rPr>
            </w:pPr>
          </w:p>
        </w:tc>
        <w:tc>
          <w:tcPr>
            <w:tcW w:w="840" w:type="dxa"/>
            <w:vAlign w:val="bottom"/>
            <w:tcBorders>
              <w:bottom w:val="single" w:sz="8" w:color="auto"/>
              <w:right w:val="single" w:sz="8" w:color="auto"/>
            </w:tcBorders>
          </w:tcPr>
          <w:p>
            <w:pPr>
              <w:spacing w:after="0"/>
              <w:rPr>
                <w:sz w:val="5"/>
                <w:szCs w:val="5"/>
                <w:color w:val="auto"/>
              </w:rPr>
            </w:pPr>
          </w:p>
        </w:tc>
        <w:tc>
          <w:tcPr>
            <w:tcW w:w="20" w:type="dxa"/>
            <w:vAlign w:val="bottom"/>
          </w:tcPr>
          <w:p>
            <w:pPr>
              <w:spacing w:after="0"/>
              <w:rPr>
                <w:sz w:val="5"/>
                <w:szCs w:val="5"/>
                <w:color w:val="auto"/>
              </w:rPr>
            </w:pPr>
          </w:p>
        </w:tc>
      </w:tr>
      <w:tr>
        <w:trPr>
          <w:trHeight w:val="268"/>
        </w:trPr>
        <w:tc>
          <w:tcPr>
            <w:tcW w:w="3140" w:type="dxa"/>
            <w:vAlign w:val="bottom"/>
            <w:tcBorders>
              <w:left w:val="single" w:sz="8" w:color="auto"/>
            </w:tcBorders>
          </w:tcPr>
          <w:p>
            <w:pPr>
              <w:ind w:left="40"/>
              <w:spacing w:after="0"/>
              <w:rPr>
                <w:sz w:val="20"/>
                <w:szCs w:val="20"/>
                <w:color w:val="auto"/>
              </w:rPr>
            </w:pPr>
            <w:r>
              <w:rPr>
                <w:rFonts w:ascii="Arial" w:cs="Arial" w:eastAsia="Arial" w:hAnsi="Arial"/>
                <w:sz w:val="20"/>
                <w:szCs w:val="20"/>
                <w:b w:val="1"/>
                <w:bCs w:val="1"/>
                <w:color w:val="auto"/>
              </w:rPr>
              <w:t>Payment Terms</w:t>
            </w:r>
          </w:p>
        </w:tc>
        <w:tc>
          <w:tcPr>
            <w:tcW w:w="660" w:type="dxa"/>
            <w:vAlign w:val="bottom"/>
            <w:tcBorders>
              <w:right w:val="single" w:sz="8" w:color="auto"/>
            </w:tcBorders>
          </w:tcPr>
          <w:p>
            <w:pPr>
              <w:spacing w:after="0"/>
              <w:rPr>
                <w:sz w:val="23"/>
                <w:szCs w:val="23"/>
                <w:color w:val="auto"/>
              </w:rPr>
            </w:pPr>
          </w:p>
        </w:tc>
        <w:tc>
          <w:tcPr>
            <w:tcW w:w="2920" w:type="dxa"/>
            <w:vAlign w:val="bottom"/>
          </w:tcPr>
          <w:p>
            <w:pPr>
              <w:spacing w:after="0"/>
              <w:rPr>
                <w:sz w:val="20"/>
                <w:szCs w:val="20"/>
                <w:color w:val="auto"/>
              </w:rPr>
            </w:pPr>
            <w:r>
              <w:rPr>
                <w:rFonts w:ascii="Arial" w:cs="Arial" w:eastAsia="Arial" w:hAnsi="Arial"/>
                <w:sz w:val="20"/>
                <w:szCs w:val="20"/>
                <w:color w:val="auto"/>
              </w:rPr>
              <w:t>See Section 6 below</w:t>
            </w:r>
          </w:p>
        </w:tc>
        <w:tc>
          <w:tcPr>
            <w:tcW w:w="1320" w:type="dxa"/>
            <w:vAlign w:val="bottom"/>
          </w:tcPr>
          <w:p>
            <w:pPr>
              <w:spacing w:after="0"/>
              <w:rPr>
                <w:sz w:val="23"/>
                <w:szCs w:val="23"/>
                <w:color w:val="auto"/>
              </w:rPr>
            </w:pPr>
          </w:p>
        </w:tc>
        <w:tc>
          <w:tcPr>
            <w:tcW w:w="2340" w:type="dxa"/>
            <w:vAlign w:val="bottom"/>
          </w:tcPr>
          <w:p>
            <w:pPr>
              <w:spacing w:after="0"/>
              <w:rPr>
                <w:sz w:val="23"/>
                <w:szCs w:val="23"/>
                <w:color w:val="auto"/>
              </w:rPr>
            </w:pPr>
          </w:p>
        </w:tc>
        <w:tc>
          <w:tcPr>
            <w:tcW w:w="840" w:type="dxa"/>
            <w:vAlign w:val="bottom"/>
            <w:tcBorders>
              <w:right w:val="single" w:sz="8" w:color="auto"/>
            </w:tcBorders>
          </w:tcPr>
          <w:p>
            <w:pPr>
              <w:spacing w:after="0"/>
              <w:rPr>
                <w:sz w:val="23"/>
                <w:szCs w:val="23"/>
                <w:color w:val="auto"/>
              </w:rPr>
            </w:pPr>
          </w:p>
        </w:tc>
        <w:tc>
          <w:tcPr>
            <w:tcW w:w="20" w:type="dxa"/>
            <w:vAlign w:val="bottom"/>
          </w:tcPr>
          <w:p>
            <w:pPr>
              <w:spacing w:after="0"/>
              <w:rPr>
                <w:sz w:val="23"/>
                <w:szCs w:val="23"/>
                <w:color w:val="auto"/>
              </w:rPr>
            </w:pPr>
          </w:p>
        </w:tc>
      </w:tr>
      <w:tr>
        <w:trPr>
          <w:trHeight w:val="50"/>
        </w:trPr>
        <w:tc>
          <w:tcPr>
            <w:tcW w:w="3140" w:type="dxa"/>
            <w:vAlign w:val="bottom"/>
            <w:tcBorders>
              <w:left w:val="single" w:sz="8" w:color="auto"/>
              <w:bottom w:val="single" w:sz="8" w:color="auto"/>
            </w:tcBorders>
          </w:tcPr>
          <w:p>
            <w:pPr>
              <w:spacing w:after="0"/>
              <w:rPr>
                <w:sz w:val="4"/>
                <w:szCs w:val="4"/>
                <w:color w:val="auto"/>
              </w:rPr>
            </w:pPr>
          </w:p>
        </w:tc>
        <w:tc>
          <w:tcPr>
            <w:tcW w:w="660" w:type="dxa"/>
            <w:vAlign w:val="bottom"/>
            <w:tcBorders>
              <w:bottom w:val="single" w:sz="8" w:color="auto"/>
              <w:right w:val="single" w:sz="8" w:color="auto"/>
            </w:tcBorders>
          </w:tcPr>
          <w:p>
            <w:pPr>
              <w:spacing w:after="0"/>
              <w:rPr>
                <w:sz w:val="4"/>
                <w:szCs w:val="4"/>
                <w:color w:val="auto"/>
              </w:rPr>
            </w:pPr>
          </w:p>
        </w:tc>
        <w:tc>
          <w:tcPr>
            <w:tcW w:w="292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2340" w:type="dxa"/>
            <w:vAlign w:val="bottom"/>
            <w:tcBorders>
              <w:bottom w:val="single" w:sz="8" w:color="auto"/>
            </w:tcBorders>
          </w:tcPr>
          <w:p>
            <w:pPr>
              <w:spacing w:after="0"/>
              <w:rPr>
                <w:sz w:val="4"/>
                <w:szCs w:val="4"/>
                <w:color w:val="auto"/>
              </w:rPr>
            </w:pPr>
          </w:p>
        </w:tc>
        <w:tc>
          <w:tcPr>
            <w:tcW w:w="84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r>
    </w:tbl>
    <w:p>
      <w:pPr>
        <w:spacing w:after="0" w:line="267" w:lineRule="exact"/>
        <w:rPr>
          <w:sz w:val="20"/>
          <w:szCs w:val="20"/>
          <w:color w:val="auto"/>
        </w:rPr>
      </w:pPr>
    </w:p>
    <w:p>
      <w:pPr>
        <w:ind w:left="340" w:right="60" w:hanging="332"/>
        <w:spacing w:after="0" w:line="212" w:lineRule="auto"/>
        <w:tabs>
          <w:tab w:leader="none" w:pos="359" w:val="left"/>
        </w:tabs>
        <w:numPr>
          <w:ilvl w:val="0"/>
          <w:numId w:val="100"/>
        </w:numPr>
        <w:rPr>
          <w:rFonts w:ascii="Arial" w:cs="Arial" w:eastAsia="Arial" w:hAnsi="Arial"/>
          <w:sz w:val="19"/>
          <w:szCs w:val="19"/>
          <w:color w:val="auto"/>
        </w:rPr>
      </w:pPr>
      <w:r>
        <w:rPr>
          <w:rFonts w:ascii="Arial" w:cs="Arial" w:eastAsia="Arial" w:hAnsi="Arial"/>
          <w:sz w:val="19"/>
          <w:szCs w:val="19"/>
          <w:color w:val="auto"/>
        </w:rPr>
        <w:t>This Production Pricing Agreement (Standard) (“</w:t>
      </w:r>
      <w:r>
        <w:rPr>
          <w:rFonts w:ascii="Arial" w:cs="Arial" w:eastAsia="Arial" w:hAnsi="Arial"/>
          <w:sz w:val="19"/>
          <w:szCs w:val="19"/>
          <w:u w:val="single" w:color="auto"/>
          <w:color w:val="auto"/>
        </w:rPr>
        <w:t>PPA</w:t>
      </w:r>
      <w:r>
        <w:rPr>
          <w:rFonts w:ascii="Arial" w:cs="Arial" w:eastAsia="Arial" w:hAnsi="Arial"/>
          <w:sz w:val="19"/>
          <w:szCs w:val="19"/>
          <w:color w:val="auto"/>
        </w:rPr>
        <w:t>”) (i) amends and restates in its entirety the Letter Agreement between Sanyo Electric Co., Ltd., acting through its Mobility Energy Business Division (“</w:t>
      </w:r>
      <w:r>
        <w:rPr>
          <w:rFonts w:ascii="Arial" w:cs="Arial" w:eastAsia="Arial" w:hAnsi="Arial"/>
          <w:sz w:val="19"/>
          <w:szCs w:val="19"/>
          <w:u w:val="single" w:color="auto"/>
          <w:color w:val="auto"/>
        </w:rPr>
        <w:t>Sanyo</w:t>
      </w:r>
      <w:r>
        <w:rPr>
          <w:rFonts w:ascii="Arial" w:cs="Arial" w:eastAsia="Arial" w:hAnsi="Arial"/>
          <w:sz w:val="19"/>
          <w:szCs w:val="19"/>
          <w:color w:val="auto"/>
        </w:rPr>
        <w:t>”) and Lucid USA, Inc. dated September 1</w:t>
      </w:r>
      <w:r>
        <w:rPr>
          <w:rFonts w:ascii="Arial" w:cs="Arial" w:eastAsia="Arial" w:hAnsi="Arial"/>
          <w:sz w:val="24"/>
          <w:szCs w:val="24"/>
          <w:color w:val="auto"/>
          <w:vertAlign w:val="superscript"/>
        </w:rPr>
        <w:t>st</w:t>
      </w:r>
      <w:r>
        <w:rPr>
          <w:rFonts w:ascii="Arial" w:cs="Arial" w:eastAsia="Arial" w:hAnsi="Arial"/>
          <w:sz w:val="19"/>
          <w:szCs w:val="19"/>
          <w:color w:val="auto"/>
        </w:rPr>
        <w:t>, 2022 (“Letter Agreement”), and upon execution of this PPA such Letter Agreement shall be null and void, and (ii) is entered into by Lucid USA, Inc. (“</w:t>
      </w:r>
      <w:r>
        <w:rPr>
          <w:rFonts w:ascii="Arial" w:cs="Arial" w:eastAsia="Arial" w:hAnsi="Arial"/>
          <w:sz w:val="19"/>
          <w:szCs w:val="19"/>
          <w:u w:val="single" w:color="auto"/>
          <w:color w:val="auto"/>
        </w:rPr>
        <w:t>Lucid</w:t>
      </w:r>
      <w:r>
        <w:rPr>
          <w:rFonts w:ascii="Arial" w:cs="Arial" w:eastAsia="Arial" w:hAnsi="Arial"/>
          <w:sz w:val="19"/>
          <w:szCs w:val="19"/>
          <w:color w:val="auto"/>
        </w:rPr>
        <w:t xml:space="preserve">”) and PIDSA (identified above) with respect to the goods described in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Products</w:t>
      </w:r>
      <w:r>
        <w:rPr>
          <w:rFonts w:ascii="Arial" w:cs="Arial" w:eastAsia="Arial" w:hAnsi="Arial"/>
          <w:sz w:val="19"/>
          <w:szCs w:val="19"/>
          <w:color w:val="auto"/>
        </w:rPr>
        <w:t xml:space="preserve">”) and countersigned by Sanyo with respect to the amendment and restatement referenced in (i) above. Sanyo’s countersignature shall be made on this PPA solely in connection with the Letter Agreement and Sanyo shall have no rights or obligations under this PPA. Lucid and PIDSA are each a “Party” and collectively are the “Parties”. The General Terms and Conditions between Panasonic Energy Co., Ltd. and Lucid dated as of </w:t>
      </w:r>
      <w:r>
        <w:rPr>
          <w:rFonts w:ascii="Arial" w:cs="Arial" w:eastAsia="Arial" w:hAnsi="Arial"/>
          <w:sz w:val="19"/>
          <w:szCs w:val="19"/>
          <w:b w:val="1"/>
          <w:bCs w:val="1"/>
          <w:color w:val="auto"/>
        </w:rPr>
        <w:t>December 1</w:t>
      </w:r>
      <w:r>
        <w:rPr>
          <w:rFonts w:ascii="Arial" w:cs="Arial" w:eastAsia="Arial" w:hAnsi="Arial"/>
          <w:sz w:val="24"/>
          <w:szCs w:val="24"/>
          <w:b w:val="1"/>
          <w:bCs w:val="1"/>
          <w:color w:val="auto"/>
          <w:vertAlign w:val="superscript"/>
        </w:rPr>
        <w:t>st</w:t>
      </w:r>
      <w:r>
        <w:rPr>
          <w:rFonts w:ascii="Arial" w:cs="Arial" w:eastAsia="Arial" w:hAnsi="Arial"/>
          <w:sz w:val="19"/>
          <w:szCs w:val="19"/>
          <w:b w:val="1"/>
          <w:bCs w:val="1"/>
          <w:color w:val="auto"/>
        </w:rPr>
        <w:t>, 2022 (“</w:t>
      </w:r>
      <w:r>
        <w:rPr>
          <w:rFonts w:ascii="Arial" w:cs="Arial" w:eastAsia="Arial" w:hAnsi="Arial"/>
          <w:sz w:val="19"/>
          <w:szCs w:val="19"/>
          <w:u w:val="single" w:color="auto"/>
          <w:color w:val="auto"/>
        </w:rPr>
        <w:t>GTC</w:t>
      </w:r>
      <w:r>
        <w:rPr>
          <w:rFonts w:ascii="Arial" w:cs="Arial" w:eastAsia="Arial" w:hAnsi="Arial"/>
          <w:sz w:val="19"/>
          <w:szCs w:val="19"/>
          <w:color w:val="auto"/>
        </w:rPr>
        <w:t>”) are incorporated by reference into this PPA as an integral part hereof. In case of any inconsistencies</w:t>
      </w:r>
      <w:r>
        <w:rPr>
          <w:rFonts w:ascii="Arial" w:cs="Arial" w:eastAsia="Arial" w:hAnsi="Arial"/>
          <w:sz w:val="19"/>
          <w:szCs w:val="19"/>
          <w:b w:val="1"/>
          <w:bCs w:val="1"/>
          <w:color w:val="auto"/>
        </w:rPr>
        <w:t xml:space="preserve"> </w:t>
      </w:r>
      <w:r>
        <w:rPr>
          <w:rFonts w:ascii="Arial" w:cs="Arial" w:eastAsia="Arial" w:hAnsi="Arial"/>
          <w:sz w:val="19"/>
          <w:szCs w:val="19"/>
          <w:color w:val="auto"/>
        </w:rPr>
        <w:t>between the terms of the GTC and the terms of this PPA, the terms of this PPA shall prevail. PIDSA and Lucid are “</w:t>
      </w:r>
      <w:r>
        <w:rPr>
          <w:rFonts w:ascii="Arial" w:cs="Arial" w:eastAsia="Arial" w:hAnsi="Arial"/>
          <w:sz w:val="19"/>
          <w:szCs w:val="19"/>
          <w:u w:val="single" w:color="auto"/>
          <w:color w:val="auto"/>
        </w:rPr>
        <w:t>Parties</w:t>
      </w:r>
      <w:r>
        <w:rPr>
          <w:rFonts w:ascii="Arial" w:cs="Arial" w:eastAsia="Arial" w:hAnsi="Arial"/>
          <w:sz w:val="19"/>
          <w:szCs w:val="19"/>
          <w:color w:val="auto"/>
        </w:rPr>
        <w:t>” and each a “</w:t>
      </w:r>
      <w:r>
        <w:rPr>
          <w:rFonts w:ascii="Arial" w:cs="Arial" w:eastAsia="Arial" w:hAnsi="Arial"/>
          <w:sz w:val="19"/>
          <w:szCs w:val="19"/>
          <w:u w:val="single" w:color="auto"/>
          <w:color w:val="auto"/>
        </w:rPr>
        <w:t>Party</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520700</wp:posOffset>
            </wp:positionV>
            <wp:extent cx="713232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tabs>
          <w:tab w:leader="none" w:pos="4980" w:val="left"/>
        </w:tabs>
        <w:rPr>
          <w:sz w:val="20"/>
          <w:szCs w:val="20"/>
          <w:color w:val="auto"/>
        </w:rPr>
      </w:pPr>
      <w:r>
        <w:rPr>
          <w:rFonts w:ascii="Arial" w:cs="Arial" w:eastAsia="Arial" w:hAnsi="Arial"/>
          <w:sz w:val="20"/>
          <w:szCs w:val="20"/>
          <w:color w:val="auto"/>
        </w:rPr>
        <w:t>Production Pricing Agreement (Standard), ver. January 2021</w:t>
      </w:r>
      <w:r>
        <w:rPr>
          <w:sz w:val="20"/>
          <w:szCs w:val="20"/>
          <w:color w:val="auto"/>
        </w:rPr>
        <w:tab/>
      </w:r>
      <w:r>
        <w:rPr>
          <w:rFonts w:ascii="Arial" w:cs="Arial" w:eastAsia="Arial" w:hAnsi="Arial"/>
          <w:sz w:val="16"/>
          <w:szCs w:val="16"/>
          <w:color w:val="auto"/>
        </w:rPr>
        <w:t xml:space="preserve">Page </w:t>
      </w:r>
      <w:r>
        <w:rPr>
          <w:rFonts w:ascii="Arial" w:cs="Arial" w:eastAsia="Arial" w:hAnsi="Arial"/>
          <w:sz w:val="16"/>
          <w:szCs w:val="16"/>
          <w:b w:val="1"/>
          <w:bCs w:val="1"/>
          <w:color w:val="auto"/>
        </w:rPr>
        <w:t>1</w:t>
      </w:r>
      <w:r>
        <w:rPr>
          <w:rFonts w:ascii="Arial" w:cs="Arial" w:eastAsia="Arial" w:hAnsi="Arial"/>
          <w:sz w:val="16"/>
          <w:szCs w:val="16"/>
          <w:color w:val="auto"/>
        </w:rPr>
        <w:t xml:space="preserve"> of </w:t>
      </w:r>
      <w:r>
        <w:rPr>
          <w:rFonts w:ascii="Arial" w:cs="Arial" w:eastAsia="Arial" w:hAnsi="Arial"/>
          <w:sz w:val="16"/>
          <w:szCs w:val="16"/>
          <w:b w:val="1"/>
          <w:bCs w:val="1"/>
          <w:color w:val="auto"/>
        </w:rPr>
        <w:t>9</w:t>
      </w:r>
    </w:p>
    <w:p>
      <w:pPr>
        <w:sectPr>
          <w:pgSz w:w="11900" w:h="16838" w:orient="portrait"/>
          <w:cols w:equalWidth="0" w:num="1">
            <w:col w:w="11240"/>
          </w:cols>
          <w:pgMar w:left="320" w:top="1399" w:right="339" w:bottom="1440" w:gutter="0" w:footer="0" w:header="0"/>
        </w:sectPr>
      </w:pPr>
    </w:p>
    <w:bookmarkStart w:id="159" w:name="page160"/>
    <w:bookmarkEnd w:id="159"/>
    <w:p>
      <w:pPr>
        <w:spacing w:after="0" w:line="128" w:lineRule="exact"/>
        <w:rPr>
          <w:sz w:val="20"/>
          <w:szCs w:val="20"/>
          <w:color w:val="auto"/>
        </w:rPr>
      </w:pPr>
    </w:p>
    <w:p>
      <w:pPr>
        <w:jc w:val="both"/>
        <w:ind w:left="340" w:right="160" w:hanging="332"/>
        <w:spacing w:after="0" w:line="265" w:lineRule="auto"/>
        <w:tabs>
          <w:tab w:leader="none" w:pos="362" w:val="left"/>
        </w:tabs>
        <w:numPr>
          <w:ilvl w:val="0"/>
          <w:numId w:val="101"/>
        </w:numPr>
        <w:rPr>
          <w:rFonts w:ascii="Arial" w:cs="Arial" w:eastAsia="Arial" w:hAnsi="Arial"/>
          <w:sz w:val="16"/>
          <w:szCs w:val="16"/>
          <w:color w:val="auto"/>
        </w:rPr>
      </w:pPr>
      <w:r>
        <w:rPr>
          <w:rFonts w:ascii="Arial" w:cs="Arial" w:eastAsia="Arial" w:hAnsi="Arial"/>
          <w:sz w:val="16"/>
          <w:szCs w:val="16"/>
          <w:i w:val="1"/>
          <w:iCs w:val="1"/>
          <w:color w:val="auto"/>
        </w:rPr>
        <w:t>Pricing</w:t>
      </w:r>
      <w:r>
        <w:rPr>
          <w:rFonts w:ascii="Arial" w:cs="Arial" w:eastAsia="Arial" w:hAnsi="Arial"/>
          <w:sz w:val="16"/>
          <w:szCs w:val="16"/>
          <w:color w:val="auto"/>
        </w:rPr>
        <w:t>. Lucid and PIDSA agree to the pricing for the Products set forth in</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Exhibit A</w:t>
      </w:r>
      <w:r>
        <w:rPr>
          <w:rFonts w:ascii="Arial" w:cs="Arial" w:eastAsia="Arial" w:hAnsi="Arial"/>
          <w:sz w:val="16"/>
          <w:szCs w:val="16"/>
          <w:i w:val="1"/>
          <w:iCs w:val="1"/>
          <w:color w:val="auto"/>
        </w:rPr>
        <w:t xml:space="preserve"> </w:t>
      </w:r>
      <w:r>
        <w:rPr>
          <w:rFonts w:ascii="Arial" w:cs="Arial" w:eastAsia="Arial" w:hAnsi="Arial"/>
          <w:sz w:val="16"/>
          <w:szCs w:val="16"/>
          <w:color w:val="auto"/>
        </w:rPr>
        <w:t>(“</w:t>
      </w:r>
      <w:r>
        <w:rPr>
          <w:rFonts w:ascii="Arial" w:cs="Arial" w:eastAsia="Arial" w:hAnsi="Arial"/>
          <w:sz w:val="16"/>
          <w:szCs w:val="16"/>
          <w:u w:val="single" w:color="auto"/>
          <w:color w:val="auto"/>
        </w:rPr>
        <w:t>Prices</w:t>
      </w:r>
      <w:r>
        <w:rPr>
          <w:rFonts w:ascii="Arial" w:cs="Arial" w:eastAsia="Arial" w:hAnsi="Arial"/>
          <w:sz w:val="16"/>
          <w:szCs w:val="16"/>
          <w:color w:val="auto"/>
        </w:rPr>
        <w:t>”). The Prices: (a) are subject to certain</w:t>
      </w:r>
      <w:r>
        <w:rPr>
          <w:rFonts w:ascii="Arial" w:cs="Arial" w:eastAsia="Arial" w:hAnsi="Arial"/>
          <w:sz w:val="16"/>
          <w:szCs w:val="16"/>
          <w:i w:val="1"/>
          <w:iCs w:val="1"/>
          <w:color w:val="auto"/>
        </w:rPr>
        <w:t xml:space="preserve"> </w:t>
      </w:r>
      <w:r>
        <w:rPr>
          <w:rFonts w:ascii="Arial" w:cs="Arial" w:eastAsia="Arial" w:hAnsi="Arial"/>
          <w:sz w:val="16"/>
          <w:szCs w:val="16"/>
          <w:color w:val="auto"/>
        </w:rPr>
        <w:t>agreed adjustments for Raw Material Adjustments as provided in Exhibit B and for exchange rate fluctuations between United States Dollars and Japanese Yen with respect to all costs for the Products procured or payable in Japanese Yen as provided in Exhibit B, and</w:t>
      </w:r>
    </w:p>
    <w:p>
      <w:pPr>
        <w:ind w:left="340" w:right="220" w:hanging="8"/>
        <w:spacing w:after="0" w:line="227" w:lineRule="auto"/>
        <w:tabs>
          <w:tab w:leader="none" w:pos="620" w:val="left"/>
        </w:tabs>
        <w:numPr>
          <w:ilvl w:val="1"/>
          <w:numId w:val="101"/>
        </w:numPr>
        <w:rPr>
          <w:rFonts w:ascii="Arial" w:cs="Arial" w:eastAsia="Arial" w:hAnsi="Arial"/>
          <w:sz w:val="20"/>
          <w:szCs w:val="20"/>
          <w:color w:val="auto"/>
        </w:rPr>
      </w:pPr>
      <w:r>
        <w:rPr>
          <w:rFonts w:ascii="Arial" w:cs="Arial" w:eastAsia="Arial" w:hAnsi="Arial"/>
          <w:sz w:val="20"/>
          <w:szCs w:val="20"/>
          <w:color w:val="auto"/>
        </w:rPr>
        <w:t>are exclusive of all applicable sales, value added, surcharges, or similar transfer taxes or charges. PIDSA shall extend a sufficient credit limit to Lucid in accordance with the Payment Terms set forth above.</w:t>
      </w:r>
    </w:p>
    <w:p>
      <w:pPr>
        <w:spacing w:after="0" w:line="102" w:lineRule="exact"/>
        <w:rPr>
          <w:rFonts w:ascii="Arial" w:cs="Arial" w:eastAsia="Arial" w:hAnsi="Arial"/>
          <w:sz w:val="20"/>
          <w:szCs w:val="20"/>
          <w:color w:val="auto"/>
        </w:rPr>
      </w:pPr>
    </w:p>
    <w:p>
      <w:pPr>
        <w:ind w:left="340" w:right="700" w:hanging="332"/>
        <w:spacing w:after="0" w:line="236" w:lineRule="auto"/>
        <w:tabs>
          <w:tab w:leader="none" w:pos="362" w:val="left"/>
        </w:tabs>
        <w:numPr>
          <w:ilvl w:val="0"/>
          <w:numId w:val="101"/>
        </w:numPr>
        <w:rPr>
          <w:rFonts w:ascii="Arial" w:cs="Arial" w:eastAsia="Arial" w:hAnsi="Arial"/>
          <w:sz w:val="20"/>
          <w:szCs w:val="20"/>
          <w:color w:val="auto"/>
        </w:rPr>
      </w:pPr>
      <w:r>
        <w:rPr>
          <w:rFonts w:ascii="Arial" w:cs="Arial" w:eastAsia="Arial" w:hAnsi="Arial"/>
          <w:sz w:val="20"/>
          <w:szCs w:val="20"/>
          <w:i w:val="1"/>
          <w:iCs w:val="1"/>
          <w:color w:val="auto"/>
        </w:rPr>
        <w:t>Orders, Volumes</w:t>
      </w:r>
      <w:r>
        <w:rPr>
          <w:rFonts w:ascii="Arial" w:cs="Arial" w:eastAsia="Arial" w:hAnsi="Arial"/>
          <w:sz w:val="20"/>
          <w:szCs w:val="20"/>
          <w:color w:val="auto"/>
        </w:rPr>
        <w:t>. Lucid shall issue Production Orders, Spot Orders and Releases (as defined in Schedule 1 of the GTC) for the</w:t>
      </w:r>
      <w:r>
        <w:rPr>
          <w:rFonts w:ascii="Arial" w:cs="Arial" w:eastAsia="Arial" w:hAnsi="Arial"/>
          <w:sz w:val="20"/>
          <w:szCs w:val="20"/>
          <w:i w:val="1"/>
          <w:iCs w:val="1"/>
          <w:color w:val="auto"/>
        </w:rPr>
        <w:t xml:space="preserve"> </w:t>
      </w:r>
      <w:r>
        <w:rPr>
          <w:rFonts w:ascii="Arial" w:cs="Arial" w:eastAsia="Arial" w:hAnsi="Arial"/>
          <w:sz w:val="20"/>
          <w:szCs w:val="20"/>
          <w:color w:val="auto"/>
        </w:rPr>
        <w:t xml:space="preserve">Production Volumes set forth in </w:t>
      </w:r>
      <w:r>
        <w:rPr>
          <w:rFonts w:ascii="Arial" w:cs="Arial" w:eastAsia="Arial" w:hAnsi="Arial"/>
          <w:sz w:val="20"/>
          <w:szCs w:val="20"/>
          <w:u w:val="single" w:color="auto"/>
          <w:color w:val="auto"/>
        </w:rPr>
        <w:t>Exhibit C</w:t>
      </w:r>
      <w:r>
        <w:rPr>
          <w:rFonts w:ascii="Arial" w:cs="Arial" w:eastAsia="Arial" w:hAnsi="Arial"/>
          <w:sz w:val="20"/>
          <w:szCs w:val="20"/>
          <w:color w:val="auto"/>
        </w:rPr>
        <w:t>.</w:t>
      </w:r>
    </w:p>
    <w:p>
      <w:pPr>
        <w:spacing w:after="0" w:line="114" w:lineRule="exact"/>
        <w:rPr>
          <w:rFonts w:ascii="Arial" w:cs="Arial" w:eastAsia="Arial" w:hAnsi="Arial"/>
          <w:sz w:val="20"/>
          <w:szCs w:val="20"/>
          <w:color w:val="auto"/>
        </w:rPr>
      </w:pPr>
    </w:p>
    <w:p>
      <w:pPr>
        <w:ind w:left="340" w:hanging="332"/>
        <w:spacing w:after="0" w:line="225" w:lineRule="auto"/>
        <w:tabs>
          <w:tab w:leader="none" w:pos="362" w:val="left"/>
        </w:tabs>
        <w:numPr>
          <w:ilvl w:val="0"/>
          <w:numId w:val="101"/>
        </w:numPr>
        <w:rPr>
          <w:rFonts w:ascii="Arial" w:cs="Arial" w:eastAsia="Arial" w:hAnsi="Arial"/>
          <w:sz w:val="19"/>
          <w:szCs w:val="19"/>
          <w:color w:val="auto"/>
        </w:rPr>
      </w:pPr>
      <w:r>
        <w:rPr>
          <w:rFonts w:ascii="Arial" w:cs="Arial" w:eastAsia="Arial" w:hAnsi="Arial"/>
          <w:sz w:val="19"/>
          <w:szCs w:val="19"/>
          <w:i w:val="1"/>
          <w:iCs w:val="1"/>
          <w:color w:val="auto"/>
        </w:rPr>
        <w:t>Miscellaneous</w:t>
      </w:r>
      <w:r>
        <w:rPr>
          <w:rFonts w:ascii="Arial" w:cs="Arial" w:eastAsia="Arial" w:hAnsi="Arial"/>
          <w:sz w:val="19"/>
          <w:szCs w:val="19"/>
          <w:color w:val="auto"/>
        </w:rPr>
        <w:t>. PIDSA and Lucid agree (a) that the GTC; and the Production Order, Spot Orders and Releases (collectively, the “POs”)</w:t>
      </w:r>
      <w:r>
        <w:rPr>
          <w:rFonts w:ascii="Arial" w:cs="Arial" w:eastAsia="Arial" w:hAnsi="Arial"/>
          <w:sz w:val="19"/>
          <w:szCs w:val="19"/>
          <w:i w:val="1"/>
          <w:iCs w:val="1"/>
          <w:color w:val="auto"/>
        </w:rPr>
        <w:t xml:space="preserve"> </w:t>
      </w:r>
      <w:r>
        <w:rPr>
          <w:rFonts w:ascii="Arial" w:cs="Arial" w:eastAsia="Arial" w:hAnsi="Arial"/>
          <w:sz w:val="19"/>
          <w:szCs w:val="19"/>
          <w:color w:val="auto"/>
        </w:rPr>
        <w:t>issued by or for Lucid and accepted by PIDSA in accordance with the relevant terms of the GTC are incorporated as an integral part of this PPA and (b) that the GTC, POs, and this PPA constitute, collectively, the entire agreement between the Parties with respect to the subject matter hereof and supersede all prior oral or written representations or agreements by the Parties with respect to such subject matter. No subsequent terms, conditions, understandings, or agreements purporting to modify the terms of this PPA will be binding unless in writing and signed by both Parties. Any standard preprinted or other terms and conditions included or referenced in PIDSA’s invoice(s) or other documents are excluded and shall not be part of this PPA.</w:t>
      </w:r>
    </w:p>
    <w:p>
      <w:pPr>
        <w:spacing w:after="0" w:line="105" w:lineRule="exact"/>
        <w:rPr>
          <w:rFonts w:ascii="Arial" w:cs="Arial" w:eastAsia="Arial" w:hAnsi="Arial"/>
          <w:sz w:val="19"/>
          <w:szCs w:val="19"/>
          <w:color w:val="auto"/>
        </w:rPr>
      </w:pPr>
    </w:p>
    <w:p>
      <w:pPr>
        <w:ind w:left="360" w:hanging="352"/>
        <w:spacing w:after="0"/>
        <w:tabs>
          <w:tab w:leader="none" w:pos="360" w:val="left"/>
        </w:tabs>
        <w:numPr>
          <w:ilvl w:val="0"/>
          <w:numId w:val="101"/>
        </w:numPr>
        <w:rPr>
          <w:rFonts w:ascii="Arial" w:cs="Arial" w:eastAsia="Arial" w:hAnsi="Arial"/>
          <w:sz w:val="20"/>
          <w:szCs w:val="20"/>
          <w:color w:val="auto"/>
        </w:rPr>
      </w:pPr>
      <w:r>
        <w:rPr>
          <w:rFonts w:ascii="Arial" w:cs="Arial" w:eastAsia="Arial" w:hAnsi="Arial"/>
          <w:sz w:val="20"/>
          <w:szCs w:val="20"/>
          <w:color w:val="auto"/>
        </w:rPr>
        <w:t>[***]</w:t>
      </w:r>
    </w:p>
    <w:p>
      <w:pPr>
        <w:spacing w:after="0" w:line="135"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color w:val="auto"/>
        </w:rPr>
        <w:t>6</w:t>
      </w:r>
      <w:r>
        <w:rPr>
          <w:rFonts w:ascii="Arial" w:cs="Arial" w:eastAsia="Arial" w:hAnsi="Arial"/>
          <w:sz w:val="20"/>
          <w:szCs w:val="20"/>
          <w:i w:val="1"/>
          <w:iCs w:val="1"/>
          <w:color w:val="auto"/>
        </w:rPr>
        <w:t>.</w:t>
      </w:r>
      <w:r>
        <w:rPr>
          <w:sz w:val="20"/>
          <w:szCs w:val="20"/>
          <w:color w:val="auto"/>
        </w:rPr>
        <w:tab/>
      </w:r>
      <w:r>
        <w:rPr>
          <w:rFonts w:ascii="Arial" w:cs="Arial" w:eastAsia="Arial" w:hAnsi="Arial"/>
          <w:sz w:val="16"/>
          <w:szCs w:val="16"/>
          <w:i w:val="1"/>
          <w:iCs w:val="1"/>
          <w:color w:val="auto"/>
        </w:rPr>
        <w:t>Payment terms</w:t>
      </w:r>
    </w:p>
    <w:p>
      <w:pPr>
        <w:spacing w:after="0" w:line="135" w:lineRule="exact"/>
        <w:rPr>
          <w:sz w:val="20"/>
          <w:szCs w:val="20"/>
          <w:color w:val="auto"/>
        </w:rPr>
      </w:pPr>
    </w:p>
    <w:p>
      <w:pPr>
        <w:ind w:left="1300" w:right="60" w:hanging="320"/>
        <w:spacing w:after="0" w:line="229" w:lineRule="auto"/>
        <w:tabs>
          <w:tab w:leader="none" w:pos="1311" w:val="left"/>
        </w:tabs>
        <w:numPr>
          <w:ilvl w:val="0"/>
          <w:numId w:val="102"/>
        </w:numPr>
        <w:rPr>
          <w:rFonts w:ascii="Arial" w:cs="Arial" w:eastAsia="Arial" w:hAnsi="Arial"/>
          <w:sz w:val="20"/>
          <w:szCs w:val="20"/>
          <w:color w:val="auto"/>
        </w:rPr>
      </w:pPr>
      <w:r>
        <w:rPr>
          <w:rFonts w:ascii="Arial" w:cs="Arial" w:eastAsia="Arial" w:hAnsi="Arial"/>
          <w:sz w:val="20"/>
          <w:szCs w:val="20"/>
          <w:color w:val="auto"/>
        </w:rPr>
        <w:t>[***] payment terms shall be [***]. All payments of invoices are [***]. Payments made [***]. If any invoice has an error, the due date shall be extended until such error is corrected.</w:t>
      </w:r>
    </w:p>
    <w:p>
      <w:pPr>
        <w:spacing w:after="0" w:line="114" w:lineRule="exact"/>
        <w:rPr>
          <w:rFonts w:ascii="Arial" w:cs="Arial" w:eastAsia="Arial" w:hAnsi="Arial"/>
          <w:sz w:val="20"/>
          <w:szCs w:val="20"/>
          <w:color w:val="auto"/>
        </w:rPr>
      </w:pPr>
    </w:p>
    <w:p>
      <w:pPr>
        <w:ind w:left="1320" w:hanging="340"/>
        <w:spacing w:after="0"/>
        <w:tabs>
          <w:tab w:leader="none" w:pos="1320" w:val="left"/>
        </w:tabs>
        <w:numPr>
          <w:ilvl w:val="0"/>
          <w:numId w:val="102"/>
        </w:numPr>
        <w:rPr>
          <w:rFonts w:ascii="Arial" w:cs="Arial" w:eastAsia="Arial" w:hAnsi="Arial"/>
          <w:sz w:val="20"/>
          <w:szCs w:val="20"/>
          <w:color w:val="auto"/>
        </w:rPr>
      </w:pPr>
      <w:r>
        <w:rPr>
          <w:rFonts w:ascii="Arial" w:cs="Arial" w:eastAsia="Arial" w:hAnsi="Arial"/>
          <w:sz w:val="20"/>
          <w:szCs w:val="20"/>
          <w:color w:val="auto"/>
        </w:rPr>
        <w:t>The Parties shall discuss in [***]. An example of [***] shall be as follows:</w:t>
      </w:r>
    </w:p>
    <w:p>
      <w:pPr>
        <w:spacing w:after="0" w:line="16" w:lineRule="exact"/>
        <w:rPr>
          <w:sz w:val="20"/>
          <w:szCs w:val="20"/>
          <w:color w:val="auto"/>
        </w:rPr>
      </w:pPr>
    </w:p>
    <w:tbl>
      <w:tblPr>
        <w:tblLayout w:type="fixed"/>
        <w:tblInd w:w="1310" w:type="dxa"/>
        <w:tblCellMar>
          <w:top w:w="0" w:type="dxa"/>
          <w:left w:w="0" w:type="dxa"/>
          <w:bottom w:w="0" w:type="dxa"/>
          <w:right w:w="0" w:type="dxa"/>
        </w:tblCellMar>
      </w:tblPr>
      <w:tr>
        <w:trPr>
          <w:trHeight w:val="250"/>
        </w:trPr>
        <w:tc>
          <w:tcPr>
            <w:tcW w:w="3460" w:type="dxa"/>
            <w:vAlign w:val="bottom"/>
            <w:tcBorders>
              <w:top w:val="single" w:sz="8" w:color="auto"/>
              <w:left w:val="single" w:sz="8" w:color="auto"/>
              <w:bottom w:val="single" w:sz="8" w:color="auto"/>
              <w:right w:val="single" w:sz="8" w:color="auto"/>
            </w:tcBorders>
          </w:tcPr>
          <w:p>
            <w:pPr>
              <w:jc w:val="right"/>
              <w:ind w:right="2901"/>
              <w:spacing w:after="0"/>
              <w:rPr>
                <w:sz w:val="20"/>
                <w:szCs w:val="20"/>
                <w:color w:val="auto"/>
              </w:rPr>
            </w:pPr>
            <w:r>
              <w:rPr>
                <w:rFonts w:ascii="Arial" w:cs="Arial" w:eastAsia="Arial" w:hAnsi="Arial"/>
                <w:sz w:val="20"/>
                <w:szCs w:val="20"/>
                <w:color w:val="auto"/>
              </w:rPr>
              <w:t>[***]</w:t>
            </w:r>
          </w:p>
        </w:tc>
        <w:tc>
          <w:tcPr>
            <w:tcW w:w="4960" w:type="dxa"/>
            <w:vAlign w:val="bottom"/>
            <w:tcBorders>
              <w:top w:val="single" w:sz="8" w:color="auto"/>
              <w:bottom w:val="single" w:sz="8" w:color="auto"/>
              <w:right w:val="single" w:sz="8" w:color="auto"/>
            </w:tcBorders>
          </w:tcPr>
          <w:p>
            <w:pPr>
              <w:jc w:val="right"/>
              <w:ind w:right="4421"/>
              <w:spacing w:after="0"/>
              <w:rPr>
                <w:sz w:val="20"/>
                <w:szCs w:val="20"/>
                <w:color w:val="auto"/>
              </w:rPr>
            </w:pPr>
            <w:r>
              <w:rPr>
                <w:rFonts w:ascii="Arial" w:cs="Arial" w:eastAsia="Arial" w:hAnsi="Arial"/>
                <w:sz w:val="20"/>
                <w:szCs w:val="20"/>
                <w:color w:val="auto"/>
              </w:rPr>
              <w:t>[***]</w:t>
            </w:r>
          </w:p>
        </w:tc>
      </w:tr>
      <w:tr>
        <w:trPr>
          <w:trHeight w:val="247"/>
        </w:trPr>
        <w:tc>
          <w:tcPr>
            <w:tcW w:w="3460" w:type="dxa"/>
            <w:vAlign w:val="bottom"/>
            <w:tcBorders>
              <w:left w:val="single" w:sz="8" w:color="auto"/>
              <w:bottom w:val="single" w:sz="8" w:color="auto"/>
              <w:right w:val="single" w:sz="8" w:color="auto"/>
            </w:tcBorders>
          </w:tcPr>
          <w:p>
            <w:pPr>
              <w:jc w:val="right"/>
              <w:ind w:right="2901"/>
              <w:spacing w:after="0"/>
              <w:rPr>
                <w:sz w:val="20"/>
                <w:szCs w:val="20"/>
                <w:color w:val="auto"/>
              </w:rPr>
            </w:pPr>
            <w:r>
              <w:rPr>
                <w:rFonts w:ascii="Arial" w:cs="Arial" w:eastAsia="Arial" w:hAnsi="Arial"/>
                <w:sz w:val="20"/>
                <w:szCs w:val="20"/>
                <w:color w:val="auto"/>
              </w:rPr>
              <w:t>[***]</w:t>
            </w:r>
          </w:p>
        </w:tc>
        <w:tc>
          <w:tcPr>
            <w:tcW w:w="4960" w:type="dxa"/>
            <w:vAlign w:val="bottom"/>
            <w:tcBorders>
              <w:bottom w:val="single" w:sz="8" w:color="auto"/>
              <w:right w:val="single" w:sz="8" w:color="auto"/>
            </w:tcBorders>
          </w:tcPr>
          <w:p>
            <w:pPr>
              <w:jc w:val="right"/>
              <w:ind w:right="4421"/>
              <w:spacing w:after="0"/>
              <w:rPr>
                <w:sz w:val="20"/>
                <w:szCs w:val="20"/>
                <w:color w:val="auto"/>
              </w:rPr>
            </w:pPr>
            <w:r>
              <w:rPr>
                <w:rFonts w:ascii="Arial" w:cs="Arial" w:eastAsia="Arial" w:hAnsi="Arial"/>
                <w:sz w:val="20"/>
                <w:szCs w:val="20"/>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968375</wp:posOffset>
            </wp:positionV>
            <wp:extent cx="713232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tabs>
          <w:tab w:leader="none" w:pos="4980" w:val="left"/>
        </w:tabs>
        <w:rPr>
          <w:sz w:val="20"/>
          <w:szCs w:val="20"/>
          <w:color w:val="auto"/>
        </w:rPr>
      </w:pPr>
      <w:r>
        <w:rPr>
          <w:rFonts w:ascii="Arial" w:cs="Arial" w:eastAsia="Arial" w:hAnsi="Arial"/>
          <w:sz w:val="20"/>
          <w:szCs w:val="20"/>
          <w:color w:val="auto"/>
        </w:rPr>
        <w:t>Production Pricing Agreement (Standard), ver. January 2021</w:t>
      </w:r>
      <w:r>
        <w:rPr>
          <w:sz w:val="20"/>
          <w:szCs w:val="20"/>
          <w:color w:val="auto"/>
        </w:rPr>
        <w:tab/>
      </w:r>
      <w:r>
        <w:rPr>
          <w:rFonts w:ascii="Arial" w:cs="Arial" w:eastAsia="Arial" w:hAnsi="Arial"/>
          <w:sz w:val="16"/>
          <w:szCs w:val="16"/>
          <w:color w:val="auto"/>
        </w:rPr>
        <w:t xml:space="preserve">Page </w:t>
      </w:r>
      <w:r>
        <w:rPr>
          <w:rFonts w:ascii="Arial" w:cs="Arial" w:eastAsia="Arial" w:hAnsi="Arial"/>
          <w:sz w:val="16"/>
          <w:szCs w:val="16"/>
          <w:b w:val="1"/>
          <w:bCs w:val="1"/>
          <w:color w:val="auto"/>
        </w:rPr>
        <w:t>2</w:t>
      </w:r>
      <w:r>
        <w:rPr>
          <w:rFonts w:ascii="Arial" w:cs="Arial" w:eastAsia="Arial" w:hAnsi="Arial"/>
          <w:sz w:val="16"/>
          <w:szCs w:val="16"/>
          <w:color w:val="auto"/>
        </w:rPr>
        <w:t xml:space="preserve"> of </w:t>
      </w:r>
      <w:r>
        <w:rPr>
          <w:rFonts w:ascii="Arial" w:cs="Arial" w:eastAsia="Arial" w:hAnsi="Arial"/>
          <w:sz w:val="16"/>
          <w:szCs w:val="16"/>
          <w:b w:val="1"/>
          <w:bCs w:val="1"/>
          <w:color w:val="auto"/>
        </w:rPr>
        <w:t>9</w:t>
      </w:r>
    </w:p>
    <w:p>
      <w:pPr>
        <w:sectPr>
          <w:pgSz w:w="11900" w:h="16838" w:orient="portrait"/>
          <w:cols w:equalWidth="0" w:num="1">
            <w:col w:w="11060"/>
          </w:cols>
          <w:pgMar w:left="320" w:top="1440" w:right="519" w:bottom="1440" w:gutter="0" w:footer="0" w:header="0"/>
        </w:sectPr>
      </w:pPr>
    </w:p>
    <w:bookmarkStart w:id="160" w:name="page161"/>
    <w:bookmarkEnd w:id="160"/>
    <w:p>
      <w:pPr>
        <w:ind w:right="480"/>
        <w:spacing w:after="0" w:line="236" w:lineRule="auto"/>
        <w:rPr>
          <w:sz w:val="20"/>
          <w:szCs w:val="20"/>
          <w:color w:val="auto"/>
        </w:rPr>
      </w:pPr>
      <w:r>
        <w:rPr>
          <w:rFonts w:ascii="Arial" w:cs="Arial" w:eastAsia="Arial" w:hAnsi="Arial"/>
          <w:sz w:val="20"/>
          <w:szCs w:val="20"/>
          <w:color w:val="auto"/>
        </w:rPr>
        <w:t>Agreed by authorized representatives of each of PIDSA, Sanyo and Lucid and signed by them as of the date set forth above (the “</w:t>
      </w:r>
      <w:r>
        <w:rPr>
          <w:rFonts w:ascii="Arial" w:cs="Arial" w:eastAsia="Arial" w:hAnsi="Arial"/>
          <w:sz w:val="20"/>
          <w:szCs w:val="20"/>
          <w:u w:val="single" w:color="auto"/>
          <w:color w:val="auto"/>
        </w:rPr>
        <w:t>PPA</w:t>
      </w:r>
      <w:r>
        <w:rPr>
          <w:rFonts w:ascii="Arial" w:cs="Arial" w:eastAsia="Arial" w:hAnsi="Arial"/>
          <w:sz w:val="20"/>
          <w:szCs w:val="20"/>
          <w:color w:val="auto"/>
        </w:rPr>
        <w:t xml:space="preserve"> </w:t>
      </w:r>
      <w:r>
        <w:rPr>
          <w:rFonts w:ascii="Arial" w:cs="Arial" w:eastAsia="Arial" w:hAnsi="Arial"/>
          <w:sz w:val="20"/>
          <w:szCs w:val="20"/>
          <w:u w:val="single" w:color="auto"/>
          <w:color w:val="auto"/>
        </w:rPr>
        <w:t>Effective Date</w:t>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615315</wp:posOffset>
            </wp:positionV>
            <wp:extent cx="3385820" cy="404622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38">
                      <a:extLst>
                        <a:ext uri="{28A0092B-C50C-407E-A947-70E740481C1C}"/>
                      </a:extLst>
                    </a:blip>
                    <a:srcRect/>
                    <a:stretch>
                      <a:fillRect/>
                    </a:stretch>
                  </pic:blipFill>
                  <pic:spPr bwMode="auto">
                    <a:xfrm>
                      <a:off x="0" y="0"/>
                      <a:ext cx="3385820" cy="4046220"/>
                    </a:xfrm>
                    <a:prstGeom prst="rect">
                      <a:avLst/>
                    </a:prstGeom>
                    <a:noFill/>
                  </pic:spPr>
                </pic:pic>
              </a:graphicData>
            </a:graphic>
          </wp:anchor>
        </w:drawing>
      </w:r>
    </w:p>
    <w:p>
      <w:pPr>
        <w:sectPr>
          <w:pgSz w:w="11900" w:h="16838" w:orient="portrait"/>
          <w:cols w:equalWidth="0" w:num="1">
            <w:col w:w="11100"/>
          </w:cols>
          <w:pgMar w:left="320" w:top="1405" w:right="479" w:bottom="33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left="80"/>
        <w:spacing w:after="0" w:line="431" w:lineRule="auto"/>
        <w:rPr>
          <w:sz w:val="20"/>
          <w:szCs w:val="20"/>
          <w:color w:val="auto"/>
        </w:rPr>
      </w:pPr>
      <w:r>
        <w:rPr>
          <w:rFonts w:ascii="Arial" w:cs="Arial" w:eastAsia="Arial" w:hAnsi="Arial"/>
          <w:sz w:val="16"/>
          <w:szCs w:val="16"/>
          <w:color w:val="auto"/>
        </w:rPr>
        <w:t>Panasonic Corporation of North America doing business as Panasonic Industrial Devices Sales Company of America</w:t>
      </w:r>
    </w:p>
    <w:p>
      <w:pPr>
        <w:spacing w:after="0" w:line="1" w:lineRule="exact"/>
        <w:rPr>
          <w:sz w:val="20"/>
          <w:szCs w:val="20"/>
          <w:color w:val="auto"/>
        </w:rPr>
      </w:pPr>
    </w:p>
    <w:tbl>
      <w:tblPr>
        <w:tblLayout w:type="fixed"/>
        <w:tblInd w:w="80" w:type="dxa"/>
        <w:tblCellMar>
          <w:top w:w="0" w:type="dxa"/>
          <w:left w:w="0" w:type="dxa"/>
          <w:bottom w:w="0" w:type="dxa"/>
          <w:right w:w="0" w:type="dxa"/>
        </w:tblCellMar>
      </w:tblPr>
      <w:tr>
        <w:trPr>
          <w:trHeight w:val="250"/>
        </w:trPr>
        <w:tc>
          <w:tcPr>
            <w:tcW w:w="1020" w:type="dxa"/>
            <w:vAlign w:val="bottom"/>
          </w:tcPr>
          <w:p>
            <w:pPr>
              <w:spacing w:after="0"/>
              <w:rPr>
                <w:sz w:val="20"/>
                <w:szCs w:val="20"/>
                <w:color w:val="auto"/>
              </w:rPr>
            </w:pPr>
            <w:r>
              <w:rPr>
                <w:rFonts w:ascii="Arial" w:cs="Arial" w:eastAsia="Arial" w:hAnsi="Arial"/>
                <w:sz w:val="20"/>
                <w:szCs w:val="20"/>
                <w:color w:val="auto"/>
              </w:rPr>
              <w:t>By:</w:t>
            </w:r>
          </w:p>
        </w:tc>
        <w:tc>
          <w:tcPr>
            <w:tcW w:w="3880" w:type="dxa"/>
            <w:vAlign w:val="bottom"/>
          </w:tcPr>
          <w:p>
            <w:pPr>
              <w:ind w:left="60"/>
              <w:spacing w:after="0"/>
              <w:rPr>
                <w:sz w:val="20"/>
                <w:szCs w:val="20"/>
                <w:color w:val="auto"/>
              </w:rPr>
            </w:pPr>
            <w:r>
              <w:rPr>
                <w:rFonts w:ascii="Arial" w:cs="Arial" w:eastAsia="Arial" w:hAnsi="Arial"/>
                <w:sz w:val="20"/>
                <w:szCs w:val="20"/>
                <w:color w:val="auto"/>
              </w:rPr>
              <w:t>/s/ Minoru Kondo</w:t>
            </w:r>
          </w:p>
        </w:tc>
        <w:tc>
          <w:tcPr>
            <w:tcW w:w="0" w:type="dxa"/>
            <w:vAlign w:val="bottom"/>
          </w:tcPr>
          <w:p>
            <w:pPr>
              <w:spacing w:after="0"/>
              <w:rPr>
                <w:sz w:val="1"/>
                <w:szCs w:val="1"/>
                <w:color w:val="auto"/>
              </w:rPr>
            </w:pPr>
          </w:p>
        </w:tc>
      </w:tr>
      <w:tr>
        <w:trPr>
          <w:trHeight w:val="117"/>
        </w:trPr>
        <w:tc>
          <w:tcPr>
            <w:tcW w:w="1020" w:type="dxa"/>
            <w:vAlign w:val="bottom"/>
            <w:vMerge w:val="restart"/>
          </w:tcPr>
          <w:p>
            <w:pPr>
              <w:spacing w:after="0"/>
              <w:rPr>
                <w:sz w:val="20"/>
                <w:szCs w:val="20"/>
                <w:color w:val="auto"/>
              </w:rPr>
            </w:pPr>
            <w:r>
              <w:rPr>
                <w:rFonts w:ascii="Arial" w:cs="Arial" w:eastAsia="Arial" w:hAnsi="Arial"/>
                <w:sz w:val="20"/>
                <w:szCs w:val="20"/>
                <w:color w:val="auto"/>
              </w:rPr>
              <w:t>Printed:</w:t>
            </w:r>
          </w:p>
        </w:tc>
        <w:tc>
          <w:tcPr>
            <w:tcW w:w="38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7"/>
        </w:trPr>
        <w:tc>
          <w:tcPr>
            <w:tcW w:w="1020" w:type="dxa"/>
            <w:vAlign w:val="bottom"/>
            <w:vMerge w:val="continue"/>
          </w:tcPr>
          <w:p>
            <w:pPr>
              <w:spacing w:after="0"/>
              <w:rPr>
                <w:sz w:val="19"/>
                <w:szCs w:val="19"/>
                <w:color w:val="auto"/>
              </w:rPr>
            </w:pPr>
          </w:p>
        </w:tc>
        <w:tc>
          <w:tcPr>
            <w:tcW w:w="3880" w:type="dxa"/>
            <w:vAlign w:val="bottom"/>
            <w:vMerge w:val="restart"/>
          </w:tcPr>
          <w:p>
            <w:pPr>
              <w:ind w:left="60"/>
              <w:spacing w:after="0"/>
              <w:rPr>
                <w:sz w:val="20"/>
                <w:szCs w:val="20"/>
                <w:color w:val="auto"/>
              </w:rPr>
            </w:pPr>
            <w:r>
              <w:rPr>
                <w:rFonts w:ascii="Arial" w:cs="Arial" w:eastAsia="Arial" w:hAnsi="Arial"/>
                <w:sz w:val="18"/>
                <w:szCs w:val="18"/>
                <w:color w:val="auto"/>
              </w:rPr>
              <w:t>Minoru Kondo</w:t>
            </w:r>
          </w:p>
        </w:tc>
        <w:tc>
          <w:tcPr>
            <w:tcW w:w="0" w:type="dxa"/>
            <w:vAlign w:val="bottom"/>
          </w:tcPr>
          <w:p>
            <w:pPr>
              <w:spacing w:after="0"/>
              <w:rPr>
                <w:sz w:val="1"/>
                <w:szCs w:val="1"/>
                <w:color w:val="auto"/>
              </w:rPr>
            </w:pPr>
          </w:p>
        </w:tc>
      </w:tr>
      <w:tr>
        <w:trPr>
          <w:trHeight w:val="104"/>
        </w:trPr>
        <w:tc>
          <w:tcPr>
            <w:tcW w:w="1020" w:type="dxa"/>
            <w:vAlign w:val="bottom"/>
          </w:tcPr>
          <w:p>
            <w:pPr>
              <w:spacing w:after="0"/>
              <w:rPr>
                <w:sz w:val="9"/>
                <w:szCs w:val="9"/>
                <w:color w:val="auto"/>
              </w:rPr>
            </w:pPr>
          </w:p>
        </w:tc>
        <w:tc>
          <w:tcPr>
            <w:tcW w:w="38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020" w:type="dxa"/>
            <w:vAlign w:val="bottom"/>
            <w:vMerge w:val="restart"/>
          </w:tcPr>
          <w:p>
            <w:pPr>
              <w:spacing w:after="0"/>
              <w:rPr>
                <w:sz w:val="20"/>
                <w:szCs w:val="20"/>
                <w:color w:val="auto"/>
              </w:rPr>
            </w:pPr>
            <w:r>
              <w:rPr>
                <w:rFonts w:ascii="Arial" w:cs="Arial" w:eastAsia="Arial" w:hAnsi="Arial"/>
                <w:sz w:val="20"/>
                <w:szCs w:val="20"/>
                <w:color w:val="auto"/>
              </w:rPr>
              <w:t>Title:</w:t>
            </w:r>
          </w:p>
        </w:tc>
        <w:tc>
          <w:tcPr>
            <w:tcW w:w="38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27"/>
        </w:trPr>
        <w:tc>
          <w:tcPr>
            <w:tcW w:w="1020" w:type="dxa"/>
            <w:vAlign w:val="bottom"/>
            <w:vMerge w:val="continue"/>
          </w:tcPr>
          <w:p>
            <w:pPr>
              <w:spacing w:after="0"/>
              <w:rPr>
                <w:sz w:val="19"/>
                <w:szCs w:val="19"/>
                <w:color w:val="auto"/>
              </w:rPr>
            </w:pPr>
          </w:p>
        </w:tc>
        <w:tc>
          <w:tcPr>
            <w:tcW w:w="3880" w:type="dxa"/>
            <w:vAlign w:val="bottom"/>
            <w:vMerge w:val="restart"/>
          </w:tcPr>
          <w:p>
            <w:pPr>
              <w:ind w:left="60"/>
              <w:spacing w:after="0"/>
              <w:rPr>
                <w:sz w:val="20"/>
                <w:szCs w:val="20"/>
                <w:color w:val="auto"/>
              </w:rPr>
            </w:pPr>
            <w:r>
              <w:rPr>
                <w:rFonts w:ascii="Arial" w:cs="Arial" w:eastAsia="Arial" w:hAnsi="Arial"/>
                <w:sz w:val="18"/>
                <w:szCs w:val="18"/>
                <w:color w:val="auto"/>
              </w:rPr>
              <w:t>Vice President, PIDSA-ED</w:t>
            </w:r>
          </w:p>
        </w:tc>
        <w:tc>
          <w:tcPr>
            <w:tcW w:w="0" w:type="dxa"/>
            <w:vAlign w:val="bottom"/>
          </w:tcPr>
          <w:p>
            <w:pPr>
              <w:spacing w:after="0"/>
              <w:rPr>
                <w:sz w:val="1"/>
                <w:szCs w:val="1"/>
                <w:color w:val="auto"/>
              </w:rPr>
            </w:pPr>
          </w:p>
        </w:tc>
      </w:tr>
      <w:tr>
        <w:trPr>
          <w:trHeight w:val="104"/>
        </w:trPr>
        <w:tc>
          <w:tcPr>
            <w:tcW w:w="1020" w:type="dxa"/>
            <w:vAlign w:val="bottom"/>
          </w:tcPr>
          <w:p>
            <w:pPr>
              <w:spacing w:after="0"/>
              <w:rPr>
                <w:sz w:val="9"/>
                <w:szCs w:val="9"/>
                <w:color w:val="auto"/>
              </w:rPr>
            </w:pPr>
          </w:p>
        </w:tc>
        <w:tc>
          <w:tcPr>
            <w:tcW w:w="38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020" w:type="dxa"/>
            <w:vAlign w:val="bottom"/>
            <w:vMerge w:val="restart"/>
          </w:tcPr>
          <w:p>
            <w:pPr>
              <w:spacing w:after="0"/>
              <w:rPr>
                <w:sz w:val="20"/>
                <w:szCs w:val="20"/>
                <w:color w:val="auto"/>
              </w:rPr>
            </w:pPr>
            <w:r>
              <w:rPr>
                <w:rFonts w:ascii="Arial" w:cs="Arial" w:eastAsia="Arial" w:hAnsi="Arial"/>
                <w:sz w:val="20"/>
                <w:szCs w:val="20"/>
                <w:color w:val="auto"/>
              </w:rPr>
              <w:t>Date:</w:t>
            </w:r>
          </w:p>
        </w:tc>
        <w:tc>
          <w:tcPr>
            <w:tcW w:w="38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27"/>
        </w:trPr>
        <w:tc>
          <w:tcPr>
            <w:tcW w:w="1020" w:type="dxa"/>
            <w:vAlign w:val="bottom"/>
            <w:vMerge w:val="continue"/>
          </w:tcPr>
          <w:p>
            <w:pPr>
              <w:spacing w:after="0"/>
              <w:rPr>
                <w:sz w:val="19"/>
                <w:szCs w:val="19"/>
                <w:color w:val="auto"/>
              </w:rPr>
            </w:pPr>
          </w:p>
        </w:tc>
        <w:tc>
          <w:tcPr>
            <w:tcW w:w="3880" w:type="dxa"/>
            <w:vAlign w:val="bottom"/>
            <w:vMerge w:val="restart"/>
          </w:tcPr>
          <w:p>
            <w:pPr>
              <w:ind w:left="60"/>
              <w:spacing w:after="0"/>
              <w:rPr>
                <w:sz w:val="20"/>
                <w:szCs w:val="20"/>
                <w:color w:val="auto"/>
              </w:rPr>
            </w:pPr>
            <w:r>
              <w:rPr>
                <w:rFonts w:ascii="Arial" w:cs="Arial" w:eastAsia="Arial" w:hAnsi="Arial"/>
                <w:sz w:val="18"/>
                <w:szCs w:val="18"/>
                <w:color w:val="auto"/>
              </w:rPr>
              <w:t>2022/12/9</w:t>
            </w:r>
          </w:p>
        </w:tc>
        <w:tc>
          <w:tcPr>
            <w:tcW w:w="0" w:type="dxa"/>
            <w:vAlign w:val="bottom"/>
          </w:tcPr>
          <w:p>
            <w:pPr>
              <w:spacing w:after="0"/>
              <w:rPr>
                <w:sz w:val="1"/>
                <w:szCs w:val="1"/>
                <w:color w:val="auto"/>
              </w:rPr>
            </w:pPr>
          </w:p>
        </w:tc>
      </w:tr>
      <w:tr>
        <w:trPr>
          <w:trHeight w:val="104"/>
        </w:trPr>
        <w:tc>
          <w:tcPr>
            <w:tcW w:w="1020" w:type="dxa"/>
            <w:vAlign w:val="bottom"/>
          </w:tcPr>
          <w:p>
            <w:pPr>
              <w:spacing w:after="0"/>
              <w:rPr>
                <w:sz w:val="9"/>
                <w:szCs w:val="9"/>
                <w:color w:val="auto"/>
              </w:rPr>
            </w:pPr>
          </w:p>
        </w:tc>
        <w:tc>
          <w:tcPr>
            <w:tcW w:w="38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020" w:type="dxa"/>
            <w:vAlign w:val="bottom"/>
          </w:tcPr>
          <w:p>
            <w:pPr>
              <w:spacing w:after="0"/>
              <w:rPr>
                <w:sz w:val="9"/>
                <w:szCs w:val="9"/>
                <w:color w:val="auto"/>
              </w:rPr>
            </w:pPr>
          </w:p>
        </w:tc>
        <w:tc>
          <w:tcPr>
            <w:tcW w:w="38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34" w:lineRule="exact"/>
        <w:rPr>
          <w:sz w:val="20"/>
          <w:szCs w:val="20"/>
          <w:color w:val="auto"/>
        </w:rPr>
      </w:pPr>
    </w:p>
    <w:p>
      <w:pPr>
        <w:ind w:left="80"/>
        <w:spacing w:after="0" w:line="239" w:lineRule="auto"/>
        <w:rPr>
          <w:sz w:val="20"/>
          <w:szCs w:val="20"/>
          <w:color w:val="auto"/>
        </w:rPr>
      </w:pPr>
      <w:r>
        <w:rPr>
          <w:rFonts w:ascii="Arial" w:cs="Arial" w:eastAsia="Arial" w:hAnsi="Arial"/>
          <w:sz w:val="20"/>
          <w:szCs w:val="20"/>
          <w:b w:val="1"/>
          <w:bCs w:val="1"/>
          <w:color w:val="auto"/>
        </w:rPr>
        <w:t>Acknowledged and agreed with respect to the amendment and restatement of the Letter Agreement:</w:t>
      </w:r>
    </w:p>
    <w:p>
      <w:pPr>
        <w:spacing w:after="0" w:line="101" w:lineRule="exact"/>
        <w:rPr>
          <w:sz w:val="20"/>
          <w:szCs w:val="20"/>
          <w:color w:val="auto"/>
        </w:rPr>
      </w:pPr>
    </w:p>
    <w:p>
      <w:pPr>
        <w:ind w:left="80" w:right="20"/>
        <w:spacing w:after="0" w:line="236" w:lineRule="auto"/>
        <w:rPr>
          <w:sz w:val="20"/>
          <w:szCs w:val="20"/>
          <w:color w:val="auto"/>
        </w:rPr>
      </w:pPr>
      <w:r>
        <w:rPr>
          <w:rFonts w:ascii="Arial" w:cs="Arial" w:eastAsia="Arial" w:hAnsi="Arial"/>
          <w:sz w:val="20"/>
          <w:szCs w:val="20"/>
          <w:color w:val="auto"/>
        </w:rPr>
        <w:t>SANYO Electric Co., Ltd., acting through its Mobility Energy Business Division</w:t>
      </w:r>
    </w:p>
    <w:p>
      <w:pPr>
        <w:spacing w:after="0" w:line="209" w:lineRule="exact"/>
        <w:rPr>
          <w:sz w:val="20"/>
          <w:szCs w:val="20"/>
          <w:color w:val="auto"/>
        </w:rPr>
      </w:pPr>
    </w:p>
    <w:tbl>
      <w:tblPr>
        <w:tblLayout w:type="fixed"/>
        <w:tblInd w:w="80" w:type="dxa"/>
        <w:tblCellMar>
          <w:top w:w="0" w:type="dxa"/>
          <w:left w:w="0" w:type="dxa"/>
          <w:bottom w:w="0" w:type="dxa"/>
          <w:right w:w="0" w:type="dxa"/>
        </w:tblCellMar>
      </w:tblPr>
      <w:tr>
        <w:trPr>
          <w:trHeight w:val="260"/>
        </w:trPr>
        <w:tc>
          <w:tcPr>
            <w:tcW w:w="1020" w:type="dxa"/>
            <w:vAlign w:val="bottom"/>
          </w:tcPr>
          <w:p>
            <w:pPr>
              <w:spacing w:after="0"/>
              <w:rPr>
                <w:sz w:val="20"/>
                <w:szCs w:val="20"/>
                <w:color w:val="auto"/>
              </w:rPr>
            </w:pPr>
            <w:r>
              <w:rPr>
                <w:rFonts w:ascii="Arial" w:cs="Arial" w:eastAsia="Arial" w:hAnsi="Arial"/>
                <w:sz w:val="20"/>
                <w:szCs w:val="20"/>
                <w:color w:val="auto"/>
              </w:rPr>
              <w:t>By:</w:t>
            </w:r>
          </w:p>
        </w:tc>
        <w:tc>
          <w:tcPr>
            <w:tcW w:w="3880" w:type="dxa"/>
            <w:vAlign w:val="bottom"/>
          </w:tcPr>
          <w:p>
            <w:pPr>
              <w:ind w:left="20"/>
              <w:spacing w:after="0"/>
              <w:rPr>
                <w:sz w:val="20"/>
                <w:szCs w:val="20"/>
                <w:color w:val="auto"/>
              </w:rPr>
            </w:pPr>
            <w:r>
              <w:rPr>
                <w:rFonts w:ascii="Arial" w:cs="Arial" w:eastAsia="Arial" w:hAnsi="Arial"/>
                <w:sz w:val="18"/>
                <w:szCs w:val="18"/>
                <w:color w:val="auto"/>
              </w:rPr>
              <w:t>/s/ Hiroki Saito</w:t>
            </w:r>
          </w:p>
        </w:tc>
        <w:tc>
          <w:tcPr>
            <w:tcW w:w="0" w:type="dxa"/>
            <w:vAlign w:val="bottom"/>
          </w:tcPr>
          <w:p>
            <w:pPr>
              <w:spacing w:after="0"/>
              <w:rPr>
                <w:sz w:val="1"/>
                <w:szCs w:val="1"/>
                <w:color w:val="auto"/>
              </w:rPr>
            </w:pPr>
          </w:p>
        </w:tc>
      </w:tr>
      <w:tr>
        <w:trPr>
          <w:trHeight w:val="108"/>
        </w:trPr>
        <w:tc>
          <w:tcPr>
            <w:tcW w:w="1020" w:type="dxa"/>
            <w:vAlign w:val="bottom"/>
            <w:vMerge w:val="restart"/>
          </w:tcPr>
          <w:p>
            <w:pPr>
              <w:spacing w:after="0"/>
              <w:rPr>
                <w:sz w:val="20"/>
                <w:szCs w:val="20"/>
                <w:color w:val="auto"/>
              </w:rPr>
            </w:pPr>
            <w:r>
              <w:rPr>
                <w:rFonts w:ascii="Arial" w:cs="Arial" w:eastAsia="Arial" w:hAnsi="Arial"/>
                <w:sz w:val="20"/>
                <w:szCs w:val="20"/>
                <w:color w:val="auto"/>
              </w:rPr>
              <w:t>Printed:</w:t>
            </w:r>
          </w:p>
        </w:tc>
        <w:tc>
          <w:tcPr>
            <w:tcW w:w="38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27"/>
        </w:trPr>
        <w:tc>
          <w:tcPr>
            <w:tcW w:w="1020" w:type="dxa"/>
            <w:vAlign w:val="bottom"/>
            <w:vMerge w:val="continue"/>
          </w:tcPr>
          <w:p>
            <w:pPr>
              <w:spacing w:after="0"/>
              <w:rPr>
                <w:sz w:val="19"/>
                <w:szCs w:val="19"/>
                <w:color w:val="auto"/>
              </w:rPr>
            </w:pPr>
          </w:p>
        </w:tc>
        <w:tc>
          <w:tcPr>
            <w:tcW w:w="3880" w:type="dxa"/>
            <w:vAlign w:val="bottom"/>
            <w:vMerge w:val="restart"/>
          </w:tcPr>
          <w:p>
            <w:pPr>
              <w:ind w:left="60"/>
              <w:spacing w:after="0"/>
              <w:rPr>
                <w:sz w:val="20"/>
                <w:szCs w:val="20"/>
                <w:color w:val="auto"/>
              </w:rPr>
            </w:pPr>
            <w:r>
              <w:rPr>
                <w:rFonts w:ascii="Arial" w:cs="Arial" w:eastAsia="Arial" w:hAnsi="Arial"/>
                <w:sz w:val="18"/>
                <w:szCs w:val="18"/>
                <w:color w:val="auto"/>
              </w:rPr>
              <w:t>Hiroki Saito</w:t>
            </w:r>
          </w:p>
        </w:tc>
        <w:tc>
          <w:tcPr>
            <w:tcW w:w="0" w:type="dxa"/>
            <w:vAlign w:val="bottom"/>
          </w:tcPr>
          <w:p>
            <w:pPr>
              <w:spacing w:after="0"/>
              <w:rPr>
                <w:sz w:val="1"/>
                <w:szCs w:val="1"/>
                <w:color w:val="auto"/>
              </w:rPr>
            </w:pPr>
          </w:p>
        </w:tc>
      </w:tr>
      <w:tr>
        <w:trPr>
          <w:trHeight w:val="104"/>
        </w:trPr>
        <w:tc>
          <w:tcPr>
            <w:tcW w:w="1020" w:type="dxa"/>
            <w:vAlign w:val="bottom"/>
          </w:tcPr>
          <w:p>
            <w:pPr>
              <w:spacing w:after="0"/>
              <w:rPr>
                <w:sz w:val="9"/>
                <w:szCs w:val="9"/>
                <w:color w:val="auto"/>
              </w:rPr>
            </w:pPr>
          </w:p>
        </w:tc>
        <w:tc>
          <w:tcPr>
            <w:tcW w:w="38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020" w:type="dxa"/>
            <w:vAlign w:val="bottom"/>
            <w:vMerge w:val="restart"/>
          </w:tcPr>
          <w:p>
            <w:pPr>
              <w:spacing w:after="0"/>
              <w:rPr>
                <w:sz w:val="20"/>
                <w:szCs w:val="20"/>
                <w:color w:val="auto"/>
              </w:rPr>
            </w:pPr>
            <w:r>
              <w:rPr>
                <w:rFonts w:ascii="Arial" w:cs="Arial" w:eastAsia="Arial" w:hAnsi="Arial"/>
                <w:sz w:val="20"/>
                <w:szCs w:val="20"/>
                <w:color w:val="auto"/>
              </w:rPr>
              <w:t>Title:</w:t>
            </w:r>
          </w:p>
        </w:tc>
        <w:tc>
          <w:tcPr>
            <w:tcW w:w="38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27"/>
        </w:trPr>
        <w:tc>
          <w:tcPr>
            <w:tcW w:w="1020" w:type="dxa"/>
            <w:vAlign w:val="bottom"/>
            <w:vMerge w:val="continue"/>
          </w:tcPr>
          <w:p>
            <w:pPr>
              <w:spacing w:after="0"/>
              <w:rPr>
                <w:sz w:val="19"/>
                <w:szCs w:val="19"/>
                <w:color w:val="auto"/>
              </w:rPr>
            </w:pPr>
          </w:p>
        </w:tc>
        <w:tc>
          <w:tcPr>
            <w:tcW w:w="3880" w:type="dxa"/>
            <w:vAlign w:val="bottom"/>
            <w:vMerge w:val="restart"/>
          </w:tcPr>
          <w:p>
            <w:pPr>
              <w:ind w:left="60"/>
              <w:spacing w:after="0"/>
              <w:rPr>
                <w:sz w:val="20"/>
                <w:szCs w:val="20"/>
                <w:color w:val="auto"/>
              </w:rPr>
            </w:pPr>
            <w:r>
              <w:rPr>
                <w:rFonts w:ascii="Arial" w:cs="Arial" w:eastAsia="Arial" w:hAnsi="Arial"/>
                <w:sz w:val="18"/>
                <w:szCs w:val="18"/>
                <w:color w:val="auto"/>
              </w:rPr>
              <w:t>In charge of Japan business</w:t>
            </w:r>
          </w:p>
        </w:tc>
        <w:tc>
          <w:tcPr>
            <w:tcW w:w="0" w:type="dxa"/>
            <w:vAlign w:val="bottom"/>
          </w:tcPr>
          <w:p>
            <w:pPr>
              <w:spacing w:after="0"/>
              <w:rPr>
                <w:sz w:val="1"/>
                <w:szCs w:val="1"/>
                <w:color w:val="auto"/>
              </w:rPr>
            </w:pPr>
          </w:p>
        </w:tc>
      </w:tr>
      <w:tr>
        <w:trPr>
          <w:trHeight w:val="104"/>
        </w:trPr>
        <w:tc>
          <w:tcPr>
            <w:tcW w:w="1020" w:type="dxa"/>
            <w:vAlign w:val="bottom"/>
          </w:tcPr>
          <w:p>
            <w:pPr>
              <w:spacing w:after="0"/>
              <w:rPr>
                <w:sz w:val="9"/>
                <w:szCs w:val="9"/>
                <w:color w:val="auto"/>
              </w:rPr>
            </w:pPr>
          </w:p>
        </w:tc>
        <w:tc>
          <w:tcPr>
            <w:tcW w:w="38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020" w:type="dxa"/>
            <w:vAlign w:val="bottom"/>
            <w:vMerge w:val="restart"/>
          </w:tcPr>
          <w:p>
            <w:pPr>
              <w:spacing w:after="0"/>
              <w:rPr>
                <w:sz w:val="20"/>
                <w:szCs w:val="20"/>
                <w:color w:val="auto"/>
              </w:rPr>
            </w:pPr>
            <w:r>
              <w:rPr>
                <w:rFonts w:ascii="Arial" w:cs="Arial" w:eastAsia="Arial" w:hAnsi="Arial"/>
                <w:sz w:val="20"/>
                <w:szCs w:val="20"/>
                <w:color w:val="auto"/>
              </w:rPr>
              <w:t>Date:</w:t>
            </w:r>
          </w:p>
        </w:tc>
        <w:tc>
          <w:tcPr>
            <w:tcW w:w="38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27"/>
        </w:trPr>
        <w:tc>
          <w:tcPr>
            <w:tcW w:w="1020" w:type="dxa"/>
            <w:vAlign w:val="bottom"/>
            <w:vMerge w:val="continue"/>
          </w:tcPr>
          <w:p>
            <w:pPr>
              <w:spacing w:after="0"/>
              <w:rPr>
                <w:sz w:val="19"/>
                <w:szCs w:val="19"/>
                <w:color w:val="auto"/>
              </w:rPr>
            </w:pPr>
          </w:p>
        </w:tc>
        <w:tc>
          <w:tcPr>
            <w:tcW w:w="3880" w:type="dxa"/>
            <w:vAlign w:val="bottom"/>
            <w:vMerge w:val="restart"/>
          </w:tcPr>
          <w:p>
            <w:pPr>
              <w:ind w:left="60"/>
              <w:spacing w:after="0"/>
              <w:rPr>
                <w:sz w:val="20"/>
                <w:szCs w:val="20"/>
                <w:color w:val="auto"/>
              </w:rPr>
            </w:pPr>
            <w:r>
              <w:rPr>
                <w:rFonts w:ascii="Arial" w:cs="Arial" w:eastAsia="Arial" w:hAnsi="Arial"/>
                <w:sz w:val="18"/>
                <w:szCs w:val="18"/>
                <w:color w:val="auto"/>
              </w:rPr>
              <w:t>2022/12/9</w:t>
            </w:r>
          </w:p>
        </w:tc>
        <w:tc>
          <w:tcPr>
            <w:tcW w:w="0" w:type="dxa"/>
            <w:vAlign w:val="bottom"/>
          </w:tcPr>
          <w:p>
            <w:pPr>
              <w:spacing w:after="0"/>
              <w:rPr>
                <w:sz w:val="1"/>
                <w:szCs w:val="1"/>
                <w:color w:val="auto"/>
              </w:rPr>
            </w:pPr>
          </w:p>
        </w:tc>
      </w:tr>
      <w:tr>
        <w:trPr>
          <w:trHeight w:val="104"/>
        </w:trPr>
        <w:tc>
          <w:tcPr>
            <w:tcW w:w="1020" w:type="dxa"/>
            <w:vAlign w:val="bottom"/>
          </w:tcPr>
          <w:p>
            <w:pPr>
              <w:spacing w:after="0"/>
              <w:rPr>
                <w:sz w:val="9"/>
                <w:szCs w:val="9"/>
                <w:color w:val="auto"/>
              </w:rPr>
            </w:pPr>
          </w:p>
        </w:tc>
        <w:tc>
          <w:tcPr>
            <w:tcW w:w="38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020" w:type="dxa"/>
            <w:vAlign w:val="bottom"/>
          </w:tcPr>
          <w:p>
            <w:pPr>
              <w:spacing w:after="0"/>
              <w:rPr>
                <w:sz w:val="9"/>
                <w:szCs w:val="9"/>
                <w:color w:val="auto"/>
              </w:rPr>
            </w:pPr>
          </w:p>
        </w:tc>
        <w:tc>
          <w:tcPr>
            <w:tcW w:w="38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line="1" w:lineRule="exact"/>
        <w:rPr>
          <w:sz w:val="1"/>
          <w:szCs w:val="1"/>
          <w:color w:val="auto"/>
        </w:rPr>
      </w:pPr>
    </w:p>
    <w:tbl>
      <w:tblPr>
        <w:tblLayout w:type="fixed"/>
        <w:tblInd w:w="10" w:type="dxa"/>
        <w:tblCellMar>
          <w:top w:w="0" w:type="dxa"/>
          <w:left w:w="0" w:type="dxa"/>
          <w:bottom w:w="0" w:type="dxa"/>
          <w:right w:w="0" w:type="dxa"/>
        </w:tblCellMar>
      </w:tblPr>
      <w:tr>
        <w:trPr>
          <w:trHeight w:val="270"/>
        </w:trPr>
        <w:tc>
          <w:tcPr>
            <w:tcW w:w="1100" w:type="dxa"/>
            <w:vAlign w:val="bottom"/>
            <w:tcBorders>
              <w:top w:val="single" w:sz="8" w:color="auto"/>
              <w:left w:val="single" w:sz="8" w:color="auto"/>
            </w:tcBorders>
          </w:tcPr>
          <w:p>
            <w:pPr>
              <w:spacing w:after="0"/>
              <w:rPr>
                <w:sz w:val="23"/>
                <w:szCs w:val="23"/>
                <w:color w:val="auto"/>
              </w:rPr>
            </w:pPr>
          </w:p>
        </w:tc>
        <w:tc>
          <w:tcPr>
            <w:tcW w:w="3880" w:type="dxa"/>
            <w:vAlign w:val="bottom"/>
            <w:tcBorders>
              <w:top w:val="single" w:sz="8" w:color="auto"/>
            </w:tcBorders>
          </w:tcPr>
          <w:p>
            <w:pPr>
              <w:ind w:left="900"/>
              <w:spacing w:after="0"/>
              <w:rPr>
                <w:sz w:val="20"/>
                <w:szCs w:val="20"/>
                <w:color w:val="auto"/>
              </w:rPr>
            </w:pPr>
            <w:r>
              <w:rPr>
                <w:rFonts w:ascii="Arial" w:cs="Arial" w:eastAsia="Arial" w:hAnsi="Arial"/>
                <w:sz w:val="20"/>
                <w:szCs w:val="20"/>
                <w:b w:val="1"/>
                <w:bCs w:val="1"/>
                <w:color w:val="auto"/>
              </w:rPr>
              <w:t>Lucid USA, Inc.</w:t>
            </w:r>
          </w:p>
        </w:tc>
        <w:tc>
          <w:tcPr>
            <w:tcW w:w="380" w:type="dxa"/>
            <w:vAlign w:val="bottom"/>
            <w:tcBorders>
              <w:top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689"/>
        </w:trPr>
        <w:tc>
          <w:tcPr>
            <w:tcW w:w="1100" w:type="dxa"/>
            <w:vAlign w:val="bottom"/>
            <w:tcBorders>
              <w:left w:val="single" w:sz="8" w:color="auto"/>
            </w:tcBorders>
          </w:tcPr>
          <w:p>
            <w:pPr>
              <w:ind w:left="80"/>
              <w:spacing w:after="0"/>
              <w:rPr>
                <w:sz w:val="20"/>
                <w:szCs w:val="20"/>
                <w:color w:val="auto"/>
              </w:rPr>
            </w:pPr>
            <w:r>
              <w:rPr>
                <w:rFonts w:ascii="Arial" w:cs="Arial" w:eastAsia="Arial" w:hAnsi="Arial"/>
                <w:sz w:val="20"/>
                <w:szCs w:val="20"/>
                <w:color w:val="auto"/>
              </w:rPr>
              <w:t>By:</w:t>
            </w:r>
          </w:p>
        </w:tc>
        <w:tc>
          <w:tcPr>
            <w:tcW w:w="3880" w:type="dxa"/>
            <w:vAlign w:val="bottom"/>
          </w:tcPr>
          <w:p>
            <w:pPr>
              <w:ind w:left="20"/>
              <w:spacing w:after="0"/>
              <w:rPr>
                <w:sz w:val="20"/>
                <w:szCs w:val="20"/>
                <w:color w:val="auto"/>
              </w:rPr>
            </w:pPr>
            <w:r>
              <w:rPr>
                <w:rFonts w:ascii="Arial" w:cs="Arial" w:eastAsia="Arial" w:hAnsi="Arial"/>
                <w:sz w:val="18"/>
                <w:szCs w:val="18"/>
                <w:color w:val="auto"/>
              </w:rPr>
              <w:t>/s/ Sherry House</w:t>
            </w:r>
          </w:p>
        </w:tc>
        <w:tc>
          <w:tcPr>
            <w:tcW w:w="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1100" w:type="dxa"/>
            <w:vAlign w:val="bottom"/>
            <w:tcBorders>
              <w:left w:val="single" w:sz="8" w:color="auto"/>
            </w:tcBorders>
            <w:vMerge w:val="restart"/>
          </w:tcPr>
          <w:p>
            <w:pPr>
              <w:ind w:left="80"/>
              <w:spacing w:after="0"/>
              <w:rPr>
                <w:sz w:val="20"/>
                <w:szCs w:val="20"/>
                <w:color w:val="auto"/>
              </w:rPr>
            </w:pPr>
            <w:r>
              <w:rPr>
                <w:rFonts w:ascii="Arial" w:cs="Arial" w:eastAsia="Arial" w:hAnsi="Arial"/>
                <w:sz w:val="20"/>
                <w:szCs w:val="20"/>
                <w:color w:val="auto"/>
              </w:rPr>
              <w:t>Printed:</w:t>
            </w:r>
          </w:p>
        </w:tc>
        <w:tc>
          <w:tcPr>
            <w:tcW w:w="3880" w:type="dxa"/>
            <w:vAlign w:val="bottom"/>
            <w:tcBorders>
              <w:bottom w:val="single" w:sz="8" w:color="auto"/>
            </w:tcBorders>
          </w:tcPr>
          <w:p>
            <w:pPr>
              <w:spacing w:after="0"/>
              <w:rPr>
                <w:sz w:val="9"/>
                <w:szCs w:val="9"/>
                <w:color w:val="auto"/>
              </w:rPr>
            </w:pPr>
          </w:p>
        </w:tc>
        <w:tc>
          <w:tcPr>
            <w:tcW w:w="3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27"/>
        </w:trPr>
        <w:tc>
          <w:tcPr>
            <w:tcW w:w="1100" w:type="dxa"/>
            <w:vAlign w:val="bottom"/>
            <w:tcBorders>
              <w:left w:val="single" w:sz="8" w:color="auto"/>
            </w:tcBorders>
            <w:vMerge w:val="continue"/>
          </w:tcPr>
          <w:p>
            <w:pPr>
              <w:spacing w:after="0"/>
              <w:rPr>
                <w:sz w:val="19"/>
                <w:szCs w:val="19"/>
                <w:color w:val="auto"/>
              </w:rPr>
            </w:pPr>
          </w:p>
        </w:tc>
        <w:tc>
          <w:tcPr>
            <w:tcW w:w="3880" w:type="dxa"/>
            <w:vAlign w:val="bottom"/>
            <w:vMerge w:val="restart"/>
          </w:tcPr>
          <w:p>
            <w:pPr>
              <w:ind w:left="80"/>
              <w:spacing w:after="0"/>
              <w:rPr>
                <w:sz w:val="20"/>
                <w:szCs w:val="20"/>
                <w:color w:val="auto"/>
              </w:rPr>
            </w:pPr>
            <w:r>
              <w:rPr>
                <w:rFonts w:ascii="Arial" w:cs="Arial" w:eastAsia="Arial" w:hAnsi="Arial"/>
                <w:sz w:val="18"/>
                <w:szCs w:val="18"/>
                <w:color w:val="auto"/>
              </w:rPr>
              <w:t>Sherry House</w:t>
            </w:r>
          </w:p>
        </w:tc>
        <w:tc>
          <w:tcPr>
            <w:tcW w:w="3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04"/>
        </w:trPr>
        <w:tc>
          <w:tcPr>
            <w:tcW w:w="1100" w:type="dxa"/>
            <w:vAlign w:val="bottom"/>
            <w:tcBorders>
              <w:left w:val="single" w:sz="8" w:color="auto"/>
            </w:tcBorders>
          </w:tcPr>
          <w:p>
            <w:pPr>
              <w:spacing w:after="0"/>
              <w:rPr>
                <w:sz w:val="9"/>
                <w:szCs w:val="9"/>
                <w:color w:val="auto"/>
              </w:rPr>
            </w:pPr>
          </w:p>
        </w:tc>
        <w:tc>
          <w:tcPr>
            <w:tcW w:w="3880" w:type="dxa"/>
            <w:vAlign w:val="bottom"/>
            <w:vMerge w:val="continue"/>
          </w:tcPr>
          <w:p>
            <w:pPr>
              <w:spacing w:after="0"/>
              <w:rPr>
                <w:sz w:val="9"/>
                <w:szCs w:val="9"/>
                <w:color w:val="auto"/>
              </w:rPr>
            </w:pPr>
          </w:p>
        </w:tc>
        <w:tc>
          <w:tcPr>
            <w:tcW w:w="3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100" w:type="dxa"/>
            <w:vAlign w:val="bottom"/>
            <w:tcBorders>
              <w:left w:val="single" w:sz="8" w:color="auto"/>
            </w:tcBorders>
            <w:vMerge w:val="restart"/>
          </w:tcPr>
          <w:p>
            <w:pPr>
              <w:ind w:left="80"/>
              <w:spacing w:after="0"/>
              <w:rPr>
                <w:sz w:val="20"/>
                <w:szCs w:val="20"/>
                <w:color w:val="auto"/>
              </w:rPr>
            </w:pPr>
            <w:r>
              <w:rPr>
                <w:rFonts w:ascii="Arial" w:cs="Arial" w:eastAsia="Arial" w:hAnsi="Arial"/>
                <w:sz w:val="20"/>
                <w:szCs w:val="20"/>
                <w:color w:val="auto"/>
              </w:rPr>
              <w:t>Title:</w:t>
            </w:r>
          </w:p>
        </w:tc>
        <w:tc>
          <w:tcPr>
            <w:tcW w:w="3880" w:type="dxa"/>
            <w:vAlign w:val="bottom"/>
            <w:tcBorders>
              <w:bottom w:val="single" w:sz="8" w:color="auto"/>
            </w:tcBorders>
          </w:tcPr>
          <w:p>
            <w:pPr>
              <w:spacing w:after="0"/>
              <w:rPr>
                <w:sz w:val="9"/>
                <w:szCs w:val="9"/>
                <w:color w:val="auto"/>
              </w:rPr>
            </w:pPr>
          </w:p>
        </w:tc>
        <w:tc>
          <w:tcPr>
            <w:tcW w:w="3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27"/>
        </w:trPr>
        <w:tc>
          <w:tcPr>
            <w:tcW w:w="1100" w:type="dxa"/>
            <w:vAlign w:val="bottom"/>
            <w:tcBorders>
              <w:left w:val="single" w:sz="8" w:color="auto"/>
            </w:tcBorders>
            <w:vMerge w:val="continue"/>
          </w:tcPr>
          <w:p>
            <w:pPr>
              <w:spacing w:after="0"/>
              <w:rPr>
                <w:sz w:val="19"/>
                <w:szCs w:val="19"/>
                <w:color w:val="auto"/>
              </w:rPr>
            </w:pPr>
          </w:p>
        </w:tc>
        <w:tc>
          <w:tcPr>
            <w:tcW w:w="3880" w:type="dxa"/>
            <w:vAlign w:val="bottom"/>
            <w:vMerge w:val="restart"/>
          </w:tcPr>
          <w:p>
            <w:pPr>
              <w:ind w:left="80"/>
              <w:spacing w:after="0"/>
              <w:rPr>
                <w:sz w:val="20"/>
                <w:szCs w:val="20"/>
                <w:color w:val="auto"/>
              </w:rPr>
            </w:pPr>
            <w:r>
              <w:rPr>
                <w:rFonts w:ascii="Arial" w:cs="Arial" w:eastAsia="Arial" w:hAnsi="Arial"/>
                <w:sz w:val="18"/>
                <w:szCs w:val="18"/>
                <w:color w:val="auto"/>
              </w:rPr>
              <w:t>Chief Financial Officer</w:t>
            </w:r>
          </w:p>
        </w:tc>
        <w:tc>
          <w:tcPr>
            <w:tcW w:w="3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04"/>
        </w:trPr>
        <w:tc>
          <w:tcPr>
            <w:tcW w:w="1100" w:type="dxa"/>
            <w:vAlign w:val="bottom"/>
            <w:tcBorders>
              <w:left w:val="single" w:sz="8" w:color="auto"/>
            </w:tcBorders>
          </w:tcPr>
          <w:p>
            <w:pPr>
              <w:spacing w:after="0"/>
              <w:rPr>
                <w:sz w:val="9"/>
                <w:szCs w:val="9"/>
                <w:color w:val="auto"/>
              </w:rPr>
            </w:pPr>
          </w:p>
        </w:tc>
        <w:tc>
          <w:tcPr>
            <w:tcW w:w="3880" w:type="dxa"/>
            <w:vAlign w:val="bottom"/>
            <w:vMerge w:val="continue"/>
          </w:tcPr>
          <w:p>
            <w:pPr>
              <w:spacing w:after="0"/>
              <w:rPr>
                <w:sz w:val="9"/>
                <w:szCs w:val="9"/>
                <w:color w:val="auto"/>
              </w:rPr>
            </w:pPr>
          </w:p>
        </w:tc>
        <w:tc>
          <w:tcPr>
            <w:tcW w:w="3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100" w:type="dxa"/>
            <w:vAlign w:val="bottom"/>
            <w:tcBorders>
              <w:left w:val="single" w:sz="8" w:color="auto"/>
            </w:tcBorders>
            <w:vMerge w:val="restart"/>
          </w:tcPr>
          <w:p>
            <w:pPr>
              <w:ind w:left="80"/>
              <w:spacing w:after="0"/>
              <w:rPr>
                <w:sz w:val="20"/>
                <w:szCs w:val="20"/>
                <w:color w:val="auto"/>
              </w:rPr>
            </w:pPr>
            <w:r>
              <w:rPr>
                <w:rFonts w:ascii="Arial" w:cs="Arial" w:eastAsia="Arial" w:hAnsi="Arial"/>
                <w:sz w:val="20"/>
                <w:szCs w:val="20"/>
                <w:color w:val="auto"/>
              </w:rPr>
              <w:t>Date:</w:t>
            </w:r>
          </w:p>
        </w:tc>
        <w:tc>
          <w:tcPr>
            <w:tcW w:w="3880" w:type="dxa"/>
            <w:vAlign w:val="bottom"/>
            <w:tcBorders>
              <w:bottom w:val="single" w:sz="8" w:color="auto"/>
            </w:tcBorders>
          </w:tcPr>
          <w:p>
            <w:pPr>
              <w:spacing w:after="0"/>
              <w:rPr>
                <w:sz w:val="9"/>
                <w:szCs w:val="9"/>
                <w:color w:val="auto"/>
              </w:rPr>
            </w:pPr>
          </w:p>
        </w:tc>
        <w:tc>
          <w:tcPr>
            <w:tcW w:w="3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27"/>
        </w:trPr>
        <w:tc>
          <w:tcPr>
            <w:tcW w:w="1100" w:type="dxa"/>
            <w:vAlign w:val="bottom"/>
            <w:tcBorders>
              <w:left w:val="single" w:sz="8" w:color="auto"/>
            </w:tcBorders>
            <w:vMerge w:val="continue"/>
          </w:tcPr>
          <w:p>
            <w:pPr>
              <w:spacing w:after="0"/>
              <w:rPr>
                <w:sz w:val="19"/>
                <w:szCs w:val="19"/>
                <w:color w:val="auto"/>
              </w:rPr>
            </w:pPr>
          </w:p>
        </w:tc>
        <w:tc>
          <w:tcPr>
            <w:tcW w:w="3880" w:type="dxa"/>
            <w:vAlign w:val="bottom"/>
            <w:vMerge w:val="restart"/>
          </w:tcPr>
          <w:p>
            <w:pPr>
              <w:ind w:left="80"/>
              <w:spacing w:after="0"/>
              <w:rPr>
                <w:sz w:val="20"/>
                <w:szCs w:val="20"/>
                <w:color w:val="auto"/>
              </w:rPr>
            </w:pPr>
            <w:r>
              <w:rPr>
                <w:rFonts w:ascii="Arial" w:cs="Arial" w:eastAsia="Arial" w:hAnsi="Arial"/>
                <w:sz w:val="18"/>
                <w:szCs w:val="18"/>
                <w:color w:val="auto"/>
              </w:rPr>
              <w:t>12/12/2022</w:t>
            </w:r>
          </w:p>
        </w:tc>
        <w:tc>
          <w:tcPr>
            <w:tcW w:w="3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04"/>
        </w:trPr>
        <w:tc>
          <w:tcPr>
            <w:tcW w:w="1100" w:type="dxa"/>
            <w:vAlign w:val="bottom"/>
            <w:tcBorders>
              <w:left w:val="single" w:sz="8" w:color="auto"/>
            </w:tcBorders>
          </w:tcPr>
          <w:p>
            <w:pPr>
              <w:spacing w:after="0"/>
              <w:rPr>
                <w:sz w:val="9"/>
                <w:szCs w:val="9"/>
                <w:color w:val="auto"/>
              </w:rPr>
            </w:pPr>
          </w:p>
        </w:tc>
        <w:tc>
          <w:tcPr>
            <w:tcW w:w="3880" w:type="dxa"/>
            <w:vAlign w:val="bottom"/>
            <w:vMerge w:val="continue"/>
          </w:tcPr>
          <w:p>
            <w:pPr>
              <w:spacing w:after="0"/>
              <w:rPr>
                <w:sz w:val="9"/>
                <w:szCs w:val="9"/>
                <w:color w:val="auto"/>
              </w:rPr>
            </w:pPr>
          </w:p>
        </w:tc>
        <w:tc>
          <w:tcPr>
            <w:tcW w:w="3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100" w:type="dxa"/>
            <w:vAlign w:val="bottom"/>
            <w:tcBorders>
              <w:left w:val="single" w:sz="8" w:color="auto"/>
            </w:tcBorders>
          </w:tcPr>
          <w:p>
            <w:pPr>
              <w:spacing w:after="0"/>
              <w:rPr>
                <w:sz w:val="9"/>
                <w:szCs w:val="9"/>
                <w:color w:val="auto"/>
              </w:rPr>
            </w:pPr>
          </w:p>
        </w:tc>
        <w:tc>
          <w:tcPr>
            <w:tcW w:w="3880" w:type="dxa"/>
            <w:vAlign w:val="bottom"/>
            <w:tcBorders>
              <w:bottom w:val="single" w:sz="8" w:color="auto"/>
            </w:tcBorders>
          </w:tcPr>
          <w:p>
            <w:pPr>
              <w:spacing w:after="0"/>
              <w:rPr>
                <w:sz w:val="9"/>
                <w:szCs w:val="9"/>
                <w:color w:val="auto"/>
              </w:rPr>
            </w:pPr>
          </w:p>
        </w:tc>
        <w:tc>
          <w:tcPr>
            <w:tcW w:w="3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895"/>
        </w:trPr>
        <w:tc>
          <w:tcPr>
            <w:tcW w:w="1100" w:type="dxa"/>
            <w:vAlign w:val="bottom"/>
            <w:tcBorders>
              <w:left w:val="single" w:sz="8" w:color="auto"/>
              <w:bottom w:val="single" w:sz="8" w:color="auto"/>
            </w:tcBorders>
          </w:tcPr>
          <w:p>
            <w:pPr>
              <w:spacing w:after="0"/>
              <w:rPr>
                <w:sz w:val="24"/>
                <w:szCs w:val="24"/>
                <w:color w:val="auto"/>
              </w:rPr>
            </w:pPr>
          </w:p>
        </w:tc>
        <w:tc>
          <w:tcPr>
            <w:tcW w:w="3880" w:type="dxa"/>
            <w:vAlign w:val="bottom"/>
            <w:tcBorders>
              <w:bottom w:val="single" w:sz="8" w:color="auto"/>
            </w:tcBorders>
          </w:tcPr>
          <w:p>
            <w:pPr>
              <w:spacing w:after="0"/>
              <w:rPr>
                <w:sz w:val="24"/>
                <w:szCs w:val="24"/>
                <w:color w:val="auto"/>
              </w:rPr>
            </w:pPr>
          </w:p>
        </w:tc>
        <w:tc>
          <w:tcPr>
            <w:tcW w:w="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5260" w:space="500"/>
            <w:col w:w="5340"/>
          </w:cols>
          <w:pgMar w:left="320" w:top="1405" w:right="479" w:bottom="334"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340"/>
        <w:spacing w:after="0"/>
        <w:rPr>
          <w:sz w:val="20"/>
          <w:szCs w:val="20"/>
          <w:color w:val="auto"/>
        </w:rPr>
      </w:pPr>
      <w:r>
        <w:rPr>
          <w:rFonts w:ascii="Arial" w:cs="Arial" w:eastAsia="Arial" w:hAnsi="Arial"/>
          <w:sz w:val="20"/>
          <w:szCs w:val="20"/>
          <w:color w:val="auto"/>
        </w:rPr>
        <w:t>This PPA incorporates the following Exhibits:</w:t>
      </w:r>
    </w:p>
    <w:p>
      <w:pPr>
        <w:spacing w:after="0" w:line="56"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Exhibit A</w:t>
      </w:r>
      <w:r>
        <w:rPr>
          <w:rFonts w:ascii="Arial" w:cs="Arial" w:eastAsia="Arial" w:hAnsi="Arial"/>
          <w:sz w:val="20"/>
          <w:szCs w:val="20"/>
          <w:color w:val="auto"/>
        </w:rPr>
        <w:t>: Product and Price</w:t>
      </w:r>
    </w:p>
    <w:p>
      <w:pPr>
        <w:spacing w:after="0"/>
        <w:rPr>
          <w:sz w:val="20"/>
          <w:szCs w:val="20"/>
          <w:color w:val="auto"/>
        </w:rPr>
      </w:pPr>
      <w:r>
        <w:rPr>
          <w:rFonts w:ascii="Arial" w:cs="Arial" w:eastAsia="Arial" w:hAnsi="Arial"/>
          <w:sz w:val="16"/>
          <w:szCs w:val="16"/>
          <w:u w:val="single" w:color="auto"/>
          <w:color w:val="auto"/>
        </w:rPr>
        <w:t>Exhibit B</w:t>
      </w:r>
      <w:r>
        <w:rPr>
          <w:rFonts w:ascii="Arial" w:cs="Arial" w:eastAsia="Arial" w:hAnsi="Arial"/>
          <w:sz w:val="16"/>
          <w:szCs w:val="16"/>
          <w:color w:val="auto"/>
        </w:rPr>
        <w:t>: Raw material and exchange price adjustments</w:t>
      </w:r>
    </w:p>
    <w:p>
      <w:pPr>
        <w:spacing w:after="0" w:line="230" w:lineRule="auto"/>
        <w:rPr>
          <w:sz w:val="20"/>
          <w:szCs w:val="20"/>
          <w:color w:val="auto"/>
        </w:rPr>
      </w:pPr>
      <w:r>
        <w:rPr>
          <w:rFonts w:ascii="Arial" w:cs="Arial" w:eastAsia="Arial" w:hAnsi="Arial"/>
          <w:sz w:val="20"/>
          <w:szCs w:val="20"/>
          <w:u w:val="single" w:color="auto"/>
          <w:color w:val="auto"/>
        </w:rPr>
        <w:t>Exhibit C</w:t>
      </w:r>
      <w:r>
        <w:rPr>
          <w:rFonts w:ascii="Arial" w:cs="Arial" w:eastAsia="Arial" w:hAnsi="Arial"/>
          <w:sz w:val="20"/>
          <w:szCs w:val="20"/>
          <w:color w:val="auto"/>
        </w:rPr>
        <w:t>: Volume Forecast</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Exhibit D</w:t>
      </w:r>
      <w:r>
        <w:rPr>
          <w:rFonts w:ascii="Arial" w:cs="Arial" w:eastAsia="Arial" w:hAnsi="Arial"/>
          <w:sz w:val="20"/>
          <w:szCs w:val="20"/>
          <w:color w:val="auto"/>
        </w:rPr>
        <w:t>: Performance Metrics</w:t>
      </w:r>
    </w:p>
    <w:p>
      <w:pPr>
        <w:spacing w:after="0" w:line="51"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Exhibit E</w:t>
      </w:r>
      <w:r>
        <w:rPr>
          <w:rFonts w:ascii="Arial" w:cs="Arial" w:eastAsia="Arial" w:hAnsi="Arial"/>
          <w:sz w:val="20"/>
          <w:szCs w:val="20"/>
          <w:color w:val="auto"/>
        </w:rPr>
        <w:t>: BOM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1450340</wp:posOffset>
            </wp:positionV>
            <wp:extent cx="713232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1405" w:right="479" w:bottom="334"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tabs>
          <w:tab w:leader="none" w:pos="4980" w:val="left"/>
        </w:tabs>
        <w:rPr>
          <w:sz w:val="20"/>
          <w:szCs w:val="20"/>
          <w:color w:val="auto"/>
        </w:rPr>
      </w:pPr>
      <w:r>
        <w:rPr>
          <w:rFonts w:ascii="Arial" w:cs="Arial" w:eastAsia="Arial" w:hAnsi="Arial"/>
          <w:sz w:val="20"/>
          <w:szCs w:val="20"/>
          <w:color w:val="auto"/>
        </w:rPr>
        <w:t>Production Pricing Agreement (Standard), ver. January 2021</w:t>
      </w:r>
      <w:r>
        <w:rPr>
          <w:sz w:val="20"/>
          <w:szCs w:val="20"/>
          <w:color w:val="auto"/>
        </w:rPr>
        <w:tab/>
      </w:r>
      <w:r>
        <w:rPr>
          <w:rFonts w:ascii="Arial" w:cs="Arial" w:eastAsia="Arial" w:hAnsi="Arial"/>
          <w:sz w:val="16"/>
          <w:szCs w:val="16"/>
          <w:color w:val="auto"/>
        </w:rPr>
        <w:t xml:space="preserve">Page </w:t>
      </w:r>
      <w:r>
        <w:rPr>
          <w:rFonts w:ascii="Arial" w:cs="Arial" w:eastAsia="Arial" w:hAnsi="Arial"/>
          <w:sz w:val="16"/>
          <w:szCs w:val="16"/>
          <w:b w:val="1"/>
          <w:bCs w:val="1"/>
          <w:color w:val="auto"/>
        </w:rPr>
        <w:t>3</w:t>
      </w:r>
      <w:r>
        <w:rPr>
          <w:rFonts w:ascii="Arial" w:cs="Arial" w:eastAsia="Arial" w:hAnsi="Arial"/>
          <w:sz w:val="16"/>
          <w:szCs w:val="16"/>
          <w:color w:val="auto"/>
        </w:rPr>
        <w:t xml:space="preserve"> of </w:t>
      </w:r>
      <w:r>
        <w:rPr>
          <w:rFonts w:ascii="Arial" w:cs="Arial" w:eastAsia="Arial" w:hAnsi="Arial"/>
          <w:sz w:val="16"/>
          <w:szCs w:val="16"/>
          <w:b w:val="1"/>
          <w:bCs w:val="1"/>
          <w:color w:val="auto"/>
        </w:rPr>
        <w:t>9</w:t>
      </w:r>
    </w:p>
    <w:p>
      <w:pPr>
        <w:sectPr>
          <w:pgSz w:w="11900" w:h="16838" w:orient="portrait"/>
          <w:cols w:equalWidth="0" w:num="1">
            <w:col w:w="11100"/>
          </w:cols>
          <w:pgMar w:left="320" w:top="1405" w:right="479" w:bottom="334" w:gutter="0" w:footer="0" w:header="0"/>
          <w:type w:val="continuous"/>
        </w:sectPr>
      </w:pPr>
    </w:p>
    <w:bookmarkStart w:id="161" w:name="page162"/>
    <w:bookmarkEnd w:id="161"/>
    <w:p>
      <w:pPr>
        <w:spacing w:after="0"/>
        <w:rPr>
          <w:sz w:val="20"/>
          <w:szCs w:val="20"/>
          <w:color w:val="auto"/>
        </w:rPr>
      </w:pPr>
      <w:r>
        <w:rPr>
          <w:rFonts w:ascii="Arial" w:cs="Arial" w:eastAsia="Arial" w:hAnsi="Arial"/>
          <w:sz w:val="20"/>
          <w:szCs w:val="20"/>
          <w:b w:val="1"/>
          <w:bCs w:val="1"/>
          <w:u w:val="single" w:color="auto"/>
          <w:color w:val="auto"/>
        </w:rPr>
        <w:t>Exhibit A</w:t>
      </w:r>
      <w:r>
        <w:rPr>
          <w:rFonts w:ascii="Arial" w:cs="Arial" w:eastAsia="Arial" w:hAnsi="Arial"/>
          <w:sz w:val="20"/>
          <w:szCs w:val="20"/>
          <w:b w:val="1"/>
          <w:bCs w:val="1"/>
          <w:color w:val="auto"/>
        </w:rPr>
        <w:t>: Product and Price</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682625</wp:posOffset>
            </wp:positionV>
            <wp:extent cx="713232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tabs>
          <w:tab w:leader="none" w:pos="4980" w:val="left"/>
        </w:tabs>
        <w:rPr>
          <w:sz w:val="20"/>
          <w:szCs w:val="20"/>
          <w:color w:val="auto"/>
        </w:rPr>
      </w:pPr>
      <w:r>
        <w:rPr>
          <w:rFonts w:ascii="Arial" w:cs="Arial" w:eastAsia="Arial" w:hAnsi="Arial"/>
          <w:sz w:val="20"/>
          <w:szCs w:val="20"/>
          <w:color w:val="auto"/>
        </w:rPr>
        <w:t>Production Pricing Agreement (Standard), ver. January 2021</w:t>
      </w:r>
      <w:r>
        <w:rPr>
          <w:sz w:val="20"/>
          <w:szCs w:val="20"/>
          <w:color w:val="auto"/>
        </w:rPr>
        <w:tab/>
      </w:r>
      <w:r>
        <w:rPr>
          <w:rFonts w:ascii="Arial" w:cs="Arial" w:eastAsia="Arial" w:hAnsi="Arial"/>
          <w:sz w:val="16"/>
          <w:szCs w:val="16"/>
          <w:color w:val="auto"/>
        </w:rPr>
        <w:t xml:space="preserve">Page </w:t>
      </w:r>
      <w:r>
        <w:rPr>
          <w:rFonts w:ascii="Arial" w:cs="Arial" w:eastAsia="Arial" w:hAnsi="Arial"/>
          <w:sz w:val="16"/>
          <w:szCs w:val="16"/>
          <w:b w:val="1"/>
          <w:bCs w:val="1"/>
          <w:color w:val="auto"/>
        </w:rPr>
        <w:t>4</w:t>
      </w:r>
      <w:r>
        <w:rPr>
          <w:rFonts w:ascii="Arial" w:cs="Arial" w:eastAsia="Arial" w:hAnsi="Arial"/>
          <w:sz w:val="16"/>
          <w:szCs w:val="16"/>
          <w:color w:val="auto"/>
        </w:rPr>
        <w:t xml:space="preserve"> of </w:t>
      </w:r>
      <w:r>
        <w:rPr>
          <w:rFonts w:ascii="Arial" w:cs="Arial" w:eastAsia="Arial" w:hAnsi="Arial"/>
          <w:sz w:val="16"/>
          <w:szCs w:val="16"/>
          <w:b w:val="1"/>
          <w:bCs w:val="1"/>
          <w:color w:val="auto"/>
        </w:rPr>
        <w:t>9</w:t>
      </w:r>
    </w:p>
    <w:p>
      <w:pPr>
        <w:sectPr>
          <w:pgSz w:w="11900" w:h="16838" w:orient="portrait"/>
          <w:cols w:equalWidth="0" w:num="1">
            <w:col w:w="10139"/>
          </w:cols>
          <w:pgMar w:left="320" w:top="1399" w:right="1440" w:bottom="1440" w:gutter="0" w:footer="0" w:header="0"/>
        </w:sectPr>
      </w:pPr>
    </w:p>
    <w:bookmarkStart w:id="162" w:name="page163"/>
    <w:bookmarkEnd w:id="162"/>
    <w:p>
      <w:pPr>
        <w:spacing w:after="0"/>
        <w:rPr>
          <w:sz w:val="20"/>
          <w:szCs w:val="20"/>
          <w:color w:val="auto"/>
        </w:rPr>
      </w:pPr>
      <w:r>
        <w:rPr>
          <w:rFonts w:ascii="Arial" w:cs="Arial" w:eastAsia="Arial" w:hAnsi="Arial"/>
          <w:sz w:val="20"/>
          <w:szCs w:val="20"/>
          <w:b w:val="1"/>
          <w:bCs w:val="1"/>
          <w:u w:val="single" w:color="auto"/>
          <w:color w:val="auto"/>
        </w:rPr>
        <w:t>Exhibit B</w:t>
      </w:r>
      <w:r>
        <w:rPr>
          <w:rFonts w:ascii="Arial" w:cs="Arial" w:eastAsia="Arial" w:hAnsi="Arial"/>
          <w:sz w:val="20"/>
          <w:szCs w:val="20"/>
          <w:b w:val="1"/>
          <w:bCs w:val="1"/>
          <w:color w:val="auto"/>
        </w:rPr>
        <w:t>: Raw material and exchange price adjustments</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Chart 1B - Raw material &amp; foreign exchange Indexes</w:t>
      </w:r>
    </w:p>
    <w:p>
      <w:pPr>
        <w:spacing w:after="0" w:line="20" w:lineRule="exact"/>
        <w:rPr>
          <w:sz w:val="20"/>
          <w:szCs w:val="20"/>
          <w:color w:val="auto"/>
        </w:rPr>
      </w:pPr>
    </w:p>
    <w:tbl>
      <w:tblPr>
        <w:tblLayout w:type="fixed"/>
        <w:tblInd w:w="630" w:type="dxa"/>
        <w:tblCellMar>
          <w:top w:w="0" w:type="dxa"/>
          <w:left w:w="0" w:type="dxa"/>
          <w:bottom w:w="0" w:type="dxa"/>
          <w:right w:w="0" w:type="dxa"/>
        </w:tblCellMar>
      </w:tblPr>
      <w:tr>
        <w:trPr>
          <w:trHeight w:val="332"/>
        </w:trPr>
        <w:tc>
          <w:tcPr>
            <w:tcW w:w="60" w:type="dxa"/>
            <w:vAlign w:val="bottom"/>
            <w:tcBorders>
              <w:top w:val="single" w:sz="8" w:color="auto"/>
              <w:left w:val="single" w:sz="8" w:color="auto"/>
              <w:bottom w:val="single" w:sz="8" w:color="D9D9D9"/>
              <w:right w:val="single" w:sz="8" w:color="D9D9D9"/>
            </w:tcBorders>
            <w:shd w:val="clear" w:color="auto" w:fill="D9D9D9"/>
          </w:tcPr>
          <w:p>
            <w:pPr>
              <w:spacing w:after="0"/>
              <w:rPr>
                <w:sz w:val="24"/>
                <w:szCs w:val="24"/>
                <w:color w:val="auto"/>
              </w:rPr>
            </w:pPr>
          </w:p>
        </w:tc>
        <w:tc>
          <w:tcPr>
            <w:tcW w:w="2080" w:type="dxa"/>
            <w:vAlign w:val="bottom"/>
            <w:tcBorders>
              <w:top w:val="single" w:sz="8" w:color="auto"/>
              <w:bottom w:val="single" w:sz="8" w:color="D9D9D9"/>
              <w:right w:val="single" w:sz="8" w:color="auto"/>
            </w:tcBorders>
            <w:shd w:val="clear" w:color="auto" w:fill="D9D9D9"/>
          </w:tcPr>
          <w:p>
            <w:pPr>
              <w:jc w:val="right"/>
              <w:ind w:right="161"/>
              <w:spacing w:after="0"/>
              <w:rPr>
                <w:sz w:val="20"/>
                <w:szCs w:val="20"/>
                <w:color w:val="auto"/>
              </w:rPr>
            </w:pPr>
            <w:r>
              <w:rPr>
                <w:rFonts w:ascii="Arial" w:cs="Arial" w:eastAsia="Arial" w:hAnsi="Arial"/>
                <w:sz w:val="20"/>
                <w:szCs w:val="20"/>
                <w:b w:val="1"/>
                <w:bCs w:val="1"/>
                <w:color w:val="auto"/>
              </w:rPr>
              <w:t>Raw Material Type</w:t>
            </w:r>
          </w:p>
        </w:tc>
        <w:tc>
          <w:tcPr>
            <w:tcW w:w="140" w:type="dxa"/>
            <w:vAlign w:val="bottom"/>
            <w:tcBorders>
              <w:top w:val="single" w:sz="8" w:color="auto"/>
              <w:bottom w:val="single" w:sz="8" w:color="D9D9D9"/>
            </w:tcBorders>
            <w:shd w:val="clear" w:color="auto" w:fill="D9D9D9"/>
          </w:tcPr>
          <w:p>
            <w:pPr>
              <w:spacing w:after="0"/>
              <w:rPr>
                <w:sz w:val="24"/>
                <w:szCs w:val="24"/>
                <w:color w:val="auto"/>
              </w:rPr>
            </w:pPr>
          </w:p>
        </w:tc>
        <w:tc>
          <w:tcPr>
            <w:tcW w:w="980" w:type="dxa"/>
            <w:vAlign w:val="bottom"/>
            <w:tcBorders>
              <w:top w:val="single" w:sz="8" w:color="auto"/>
              <w:bottom w:val="single" w:sz="8" w:color="D9D9D9"/>
            </w:tcBorders>
            <w:gridSpan w:val="2"/>
            <w:shd w:val="clear" w:color="auto" w:fill="D9D9D9"/>
          </w:tcPr>
          <w:p>
            <w:pPr>
              <w:jc w:val="center"/>
              <w:spacing w:after="0"/>
              <w:rPr>
                <w:sz w:val="20"/>
                <w:szCs w:val="20"/>
                <w:color w:val="auto"/>
              </w:rPr>
            </w:pPr>
            <w:r>
              <w:rPr>
                <w:rFonts w:ascii="Arial" w:cs="Arial" w:eastAsia="Arial" w:hAnsi="Arial"/>
                <w:sz w:val="20"/>
                <w:szCs w:val="20"/>
                <w:b w:val="1"/>
                <w:bCs w:val="1"/>
                <w:color w:val="auto"/>
                <w:w w:val="88"/>
              </w:rPr>
              <w:t>Unit cost</w:t>
            </w:r>
          </w:p>
        </w:tc>
        <w:tc>
          <w:tcPr>
            <w:tcW w:w="180" w:type="dxa"/>
            <w:vAlign w:val="bottom"/>
            <w:tcBorders>
              <w:top w:val="single" w:sz="8" w:color="auto"/>
              <w:bottom w:val="single" w:sz="8" w:color="D9D9D9"/>
              <w:right w:val="single" w:sz="8" w:color="auto"/>
            </w:tcBorders>
            <w:shd w:val="clear" w:color="auto" w:fill="D9D9D9"/>
          </w:tcPr>
          <w:p>
            <w:pPr>
              <w:spacing w:after="0"/>
              <w:rPr>
                <w:sz w:val="24"/>
                <w:szCs w:val="24"/>
                <w:color w:val="auto"/>
              </w:rPr>
            </w:pPr>
          </w:p>
        </w:tc>
        <w:tc>
          <w:tcPr>
            <w:tcW w:w="2920" w:type="dxa"/>
            <w:vAlign w:val="bottom"/>
            <w:tcBorders>
              <w:top w:val="single" w:sz="8" w:color="auto"/>
              <w:bottom w:val="single" w:sz="8" w:color="D9D9D9"/>
            </w:tcBorders>
            <w:gridSpan w:val="2"/>
            <w:shd w:val="clear" w:color="auto" w:fill="D9D9D9"/>
          </w:tcPr>
          <w:p>
            <w:pPr>
              <w:ind w:left="1060"/>
              <w:spacing w:after="0"/>
              <w:rPr>
                <w:sz w:val="20"/>
                <w:szCs w:val="20"/>
                <w:color w:val="auto"/>
              </w:rPr>
            </w:pPr>
            <w:r>
              <w:rPr>
                <w:rFonts w:ascii="Arial" w:cs="Arial" w:eastAsia="Arial" w:hAnsi="Arial"/>
                <w:sz w:val="20"/>
                <w:szCs w:val="20"/>
                <w:b w:val="1"/>
                <w:bCs w:val="1"/>
                <w:color w:val="auto"/>
              </w:rPr>
              <w:t>Index Authority</w:t>
            </w:r>
          </w:p>
        </w:tc>
        <w:tc>
          <w:tcPr>
            <w:tcW w:w="620" w:type="dxa"/>
            <w:vAlign w:val="bottom"/>
            <w:tcBorders>
              <w:top w:val="single" w:sz="8" w:color="auto"/>
              <w:bottom w:val="single" w:sz="8" w:color="D9D9D9"/>
              <w:right w:val="single" w:sz="8" w:color="auto"/>
            </w:tcBorders>
            <w:shd w:val="clear" w:color="auto" w:fill="D9D9D9"/>
          </w:tcPr>
          <w:p>
            <w:pPr>
              <w:spacing w:after="0"/>
              <w:rPr>
                <w:sz w:val="24"/>
                <w:szCs w:val="24"/>
                <w:color w:val="auto"/>
              </w:rPr>
            </w:pPr>
          </w:p>
        </w:tc>
        <w:tc>
          <w:tcPr>
            <w:tcW w:w="3660" w:type="dxa"/>
            <w:vAlign w:val="bottom"/>
            <w:tcBorders>
              <w:top w:val="single" w:sz="8" w:color="auto"/>
              <w:bottom w:val="single" w:sz="8" w:color="D9D9D9"/>
              <w:right w:val="single" w:sz="8" w:color="auto"/>
            </w:tcBorders>
            <w:gridSpan w:val="2"/>
            <w:shd w:val="clear" w:color="auto" w:fill="D9D9D9"/>
          </w:tcPr>
          <w:p>
            <w:pPr>
              <w:ind w:left="1320"/>
              <w:spacing w:after="0"/>
              <w:rPr>
                <w:sz w:val="20"/>
                <w:szCs w:val="20"/>
                <w:color w:val="auto"/>
              </w:rPr>
            </w:pPr>
            <w:r>
              <w:rPr>
                <w:rFonts w:ascii="Arial" w:cs="Arial" w:eastAsia="Arial" w:hAnsi="Arial"/>
                <w:sz w:val="20"/>
                <w:szCs w:val="20"/>
                <w:b w:val="1"/>
                <w:bCs w:val="1"/>
                <w:color w:val="auto"/>
              </w:rPr>
              <w:t>Description</w:t>
            </w:r>
          </w:p>
        </w:tc>
        <w:tc>
          <w:tcPr>
            <w:tcW w:w="0" w:type="dxa"/>
            <w:vAlign w:val="bottom"/>
          </w:tcPr>
          <w:p>
            <w:pPr>
              <w:spacing w:after="0"/>
              <w:rPr>
                <w:sz w:val="1"/>
                <w:szCs w:val="1"/>
                <w:color w:val="auto"/>
              </w:rPr>
            </w:pPr>
          </w:p>
        </w:tc>
      </w:tr>
      <w:tr>
        <w:trPr>
          <w:trHeight w:val="268"/>
        </w:trPr>
        <w:tc>
          <w:tcPr>
            <w:tcW w:w="2140" w:type="dxa"/>
            <w:vAlign w:val="bottom"/>
            <w:tcBorders>
              <w:top w:val="single" w:sz="8" w:color="auto"/>
              <w:left w:val="single" w:sz="8" w:color="auto"/>
              <w:right w:val="single" w:sz="8" w:color="auto"/>
            </w:tcBorders>
            <w:gridSpan w:val="2"/>
          </w:tcPr>
          <w:p>
            <w:pPr>
              <w:jc w:val="right"/>
              <w:ind w:right="1541"/>
              <w:spacing w:after="0"/>
              <w:rPr>
                <w:sz w:val="20"/>
                <w:szCs w:val="20"/>
                <w:color w:val="auto"/>
              </w:rPr>
            </w:pPr>
            <w:r>
              <w:rPr>
                <w:rFonts w:ascii="Arial" w:cs="Arial" w:eastAsia="Arial" w:hAnsi="Arial"/>
                <w:sz w:val="20"/>
                <w:szCs w:val="20"/>
                <w:color w:val="auto"/>
              </w:rPr>
              <w:t>[***]</w:t>
            </w:r>
          </w:p>
        </w:tc>
        <w:tc>
          <w:tcPr>
            <w:tcW w:w="140" w:type="dxa"/>
            <w:vAlign w:val="bottom"/>
            <w:tcBorders>
              <w:top w:val="single" w:sz="8" w:color="auto"/>
            </w:tcBorders>
          </w:tcPr>
          <w:p>
            <w:pPr>
              <w:spacing w:after="0"/>
              <w:rPr>
                <w:sz w:val="23"/>
                <w:szCs w:val="23"/>
                <w:color w:val="auto"/>
              </w:rPr>
            </w:pPr>
          </w:p>
        </w:tc>
        <w:tc>
          <w:tcPr>
            <w:tcW w:w="980" w:type="dxa"/>
            <w:vAlign w:val="bottom"/>
            <w:tcBorders>
              <w:top w:val="single" w:sz="8" w:color="auto"/>
            </w:tcBorders>
            <w:gridSpan w:val="2"/>
          </w:tcPr>
          <w:p>
            <w:pPr>
              <w:jc w:val="center"/>
              <w:spacing w:after="0"/>
              <w:rPr>
                <w:sz w:val="20"/>
                <w:szCs w:val="20"/>
                <w:color w:val="auto"/>
              </w:rPr>
            </w:pPr>
            <w:r>
              <w:rPr>
                <w:rFonts w:ascii="Arial" w:cs="Arial" w:eastAsia="Arial" w:hAnsi="Arial"/>
                <w:sz w:val="20"/>
                <w:szCs w:val="20"/>
                <w:color w:val="auto"/>
              </w:rPr>
              <w:t>[***]</w:t>
            </w:r>
          </w:p>
        </w:tc>
        <w:tc>
          <w:tcPr>
            <w:tcW w:w="180" w:type="dxa"/>
            <w:vAlign w:val="bottom"/>
            <w:tcBorders>
              <w:top w:val="single" w:sz="8" w:color="auto"/>
              <w:right w:val="single" w:sz="8" w:color="auto"/>
            </w:tcBorders>
          </w:tcPr>
          <w:p>
            <w:pPr>
              <w:spacing w:after="0"/>
              <w:rPr>
                <w:sz w:val="23"/>
                <w:szCs w:val="23"/>
                <w:color w:val="auto"/>
              </w:rPr>
            </w:pPr>
          </w:p>
        </w:tc>
        <w:tc>
          <w:tcPr>
            <w:tcW w:w="2200" w:type="dxa"/>
            <w:vAlign w:val="bottom"/>
            <w:tcBorders>
              <w:top w:val="single" w:sz="8" w:color="auto"/>
            </w:tcBorders>
          </w:tcPr>
          <w:p>
            <w:pPr>
              <w:jc w:val="right"/>
              <w:ind w:right="1561"/>
              <w:spacing w:after="0"/>
              <w:rPr>
                <w:sz w:val="20"/>
                <w:szCs w:val="20"/>
                <w:color w:val="auto"/>
              </w:rPr>
            </w:pPr>
            <w:r>
              <w:rPr>
                <w:rFonts w:ascii="Arial" w:cs="Arial" w:eastAsia="Arial" w:hAnsi="Arial"/>
                <w:sz w:val="20"/>
                <w:szCs w:val="20"/>
                <w:color w:val="auto"/>
              </w:rPr>
              <w:t>[***]</w:t>
            </w:r>
          </w:p>
        </w:tc>
        <w:tc>
          <w:tcPr>
            <w:tcW w:w="720" w:type="dxa"/>
            <w:vAlign w:val="bottom"/>
            <w:tcBorders>
              <w:top w:val="single" w:sz="8" w:color="auto"/>
            </w:tcBorders>
          </w:tcPr>
          <w:p>
            <w:pPr>
              <w:spacing w:after="0"/>
              <w:rPr>
                <w:sz w:val="23"/>
                <w:szCs w:val="23"/>
                <w:color w:val="auto"/>
              </w:rPr>
            </w:pPr>
          </w:p>
        </w:tc>
        <w:tc>
          <w:tcPr>
            <w:tcW w:w="620" w:type="dxa"/>
            <w:vAlign w:val="bottom"/>
            <w:tcBorders>
              <w:top w:val="single" w:sz="8" w:color="auto"/>
              <w:right w:val="single" w:sz="8" w:color="auto"/>
            </w:tcBorders>
          </w:tcPr>
          <w:p>
            <w:pPr>
              <w:spacing w:after="0"/>
              <w:rPr>
                <w:sz w:val="23"/>
                <w:szCs w:val="23"/>
                <w:color w:val="auto"/>
              </w:rPr>
            </w:pPr>
          </w:p>
        </w:tc>
        <w:tc>
          <w:tcPr>
            <w:tcW w:w="1520" w:type="dxa"/>
            <w:vAlign w:val="bottom"/>
            <w:tcBorders>
              <w:top w:val="single" w:sz="8" w:color="auto"/>
            </w:tcBorders>
          </w:tcPr>
          <w:p>
            <w:pPr>
              <w:jc w:val="right"/>
              <w:ind w:right="921"/>
              <w:spacing w:after="0"/>
              <w:rPr>
                <w:sz w:val="20"/>
                <w:szCs w:val="20"/>
                <w:color w:val="auto"/>
              </w:rPr>
            </w:pPr>
            <w:r>
              <w:rPr>
                <w:rFonts w:ascii="Arial" w:cs="Arial" w:eastAsia="Arial" w:hAnsi="Arial"/>
                <w:sz w:val="20"/>
                <w:szCs w:val="20"/>
                <w:color w:val="auto"/>
              </w:rPr>
              <w:t>[***]</w:t>
            </w:r>
          </w:p>
        </w:tc>
        <w:tc>
          <w:tcPr>
            <w:tcW w:w="2140" w:type="dxa"/>
            <w:vAlign w:val="bottom"/>
            <w:tcBorders>
              <w:top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50"/>
        </w:trPr>
        <w:tc>
          <w:tcPr>
            <w:tcW w:w="60" w:type="dxa"/>
            <w:vAlign w:val="bottom"/>
            <w:tcBorders>
              <w:left w:val="single" w:sz="8" w:color="auto"/>
              <w:bottom w:val="single" w:sz="8" w:color="auto"/>
            </w:tcBorders>
          </w:tcPr>
          <w:p>
            <w:pPr>
              <w:spacing w:after="0"/>
              <w:rPr>
                <w:sz w:val="4"/>
                <w:szCs w:val="4"/>
                <w:color w:val="auto"/>
              </w:rPr>
            </w:pPr>
          </w:p>
        </w:tc>
        <w:tc>
          <w:tcPr>
            <w:tcW w:w="2080" w:type="dxa"/>
            <w:vAlign w:val="bottom"/>
            <w:tcBorders>
              <w:bottom w:val="single" w:sz="8" w:color="auto"/>
              <w:right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80" w:type="dxa"/>
            <w:vAlign w:val="bottom"/>
            <w:tcBorders>
              <w:bottom w:val="single" w:sz="8" w:color="auto"/>
              <w:right w:val="single" w:sz="8" w:color="auto"/>
            </w:tcBorders>
          </w:tcPr>
          <w:p>
            <w:pPr>
              <w:spacing w:after="0"/>
              <w:rPr>
                <w:sz w:val="4"/>
                <w:szCs w:val="4"/>
                <w:color w:val="auto"/>
              </w:rPr>
            </w:pPr>
          </w:p>
        </w:tc>
        <w:tc>
          <w:tcPr>
            <w:tcW w:w="220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620" w:type="dxa"/>
            <w:vAlign w:val="bottom"/>
            <w:tcBorders>
              <w:bottom w:val="single" w:sz="8" w:color="auto"/>
              <w:right w:val="single" w:sz="8" w:color="auto"/>
            </w:tcBorders>
          </w:tcPr>
          <w:p>
            <w:pPr>
              <w:spacing w:after="0"/>
              <w:rPr>
                <w:sz w:val="4"/>
                <w:szCs w:val="4"/>
                <w:color w:val="auto"/>
              </w:rPr>
            </w:pPr>
          </w:p>
        </w:tc>
        <w:tc>
          <w:tcPr>
            <w:tcW w:w="1520" w:type="dxa"/>
            <w:vAlign w:val="bottom"/>
            <w:tcBorders>
              <w:bottom w:val="single" w:sz="8" w:color="auto"/>
            </w:tcBorders>
          </w:tcPr>
          <w:p>
            <w:pPr>
              <w:spacing w:after="0"/>
              <w:rPr>
                <w:sz w:val="4"/>
                <w:szCs w:val="4"/>
                <w:color w:val="auto"/>
              </w:rPr>
            </w:pPr>
          </w:p>
        </w:tc>
        <w:tc>
          <w:tcPr>
            <w:tcW w:w="21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140" w:type="dxa"/>
            <w:vAlign w:val="bottom"/>
            <w:tcBorders>
              <w:left w:val="single" w:sz="8" w:color="auto"/>
              <w:right w:val="single" w:sz="8" w:color="auto"/>
            </w:tcBorders>
            <w:gridSpan w:val="2"/>
          </w:tcPr>
          <w:p>
            <w:pPr>
              <w:jc w:val="right"/>
              <w:ind w:right="1541"/>
              <w:spacing w:after="0"/>
              <w:rPr>
                <w:sz w:val="20"/>
                <w:szCs w:val="20"/>
                <w:color w:val="auto"/>
              </w:rPr>
            </w:pPr>
            <w:r>
              <w:rPr>
                <w:rFonts w:ascii="Arial" w:cs="Arial" w:eastAsia="Arial" w:hAnsi="Arial"/>
                <w:sz w:val="20"/>
                <w:szCs w:val="20"/>
                <w:color w:val="auto"/>
              </w:rPr>
              <w:t>[***]</w:t>
            </w:r>
          </w:p>
        </w:tc>
        <w:tc>
          <w:tcPr>
            <w:tcW w:w="140" w:type="dxa"/>
            <w:vAlign w:val="bottom"/>
          </w:tcPr>
          <w:p>
            <w:pPr>
              <w:spacing w:after="0"/>
              <w:rPr>
                <w:sz w:val="23"/>
                <w:szCs w:val="23"/>
                <w:color w:val="auto"/>
              </w:rPr>
            </w:pPr>
          </w:p>
        </w:tc>
        <w:tc>
          <w:tcPr>
            <w:tcW w:w="980" w:type="dxa"/>
            <w:vAlign w:val="bottom"/>
            <w:gridSpan w:val="2"/>
          </w:tcPr>
          <w:p>
            <w:pPr>
              <w:jc w:val="center"/>
              <w:spacing w:after="0"/>
              <w:rPr>
                <w:sz w:val="20"/>
                <w:szCs w:val="20"/>
                <w:color w:val="auto"/>
              </w:rPr>
            </w:pPr>
            <w:r>
              <w:rPr>
                <w:rFonts w:ascii="Arial" w:cs="Arial" w:eastAsia="Arial" w:hAnsi="Arial"/>
                <w:sz w:val="20"/>
                <w:szCs w:val="20"/>
                <w:color w:val="auto"/>
              </w:rPr>
              <w:t>[***]</w:t>
            </w:r>
          </w:p>
        </w:tc>
        <w:tc>
          <w:tcPr>
            <w:tcW w:w="180" w:type="dxa"/>
            <w:vAlign w:val="bottom"/>
            <w:tcBorders>
              <w:right w:val="single" w:sz="8" w:color="auto"/>
            </w:tcBorders>
          </w:tcPr>
          <w:p>
            <w:pPr>
              <w:spacing w:after="0"/>
              <w:rPr>
                <w:sz w:val="23"/>
                <w:szCs w:val="23"/>
                <w:color w:val="auto"/>
              </w:rPr>
            </w:pPr>
          </w:p>
        </w:tc>
        <w:tc>
          <w:tcPr>
            <w:tcW w:w="2200" w:type="dxa"/>
            <w:vAlign w:val="bottom"/>
          </w:tcPr>
          <w:p>
            <w:pPr>
              <w:jc w:val="right"/>
              <w:ind w:right="1561"/>
              <w:spacing w:after="0"/>
              <w:rPr>
                <w:sz w:val="20"/>
                <w:szCs w:val="20"/>
                <w:color w:val="auto"/>
              </w:rPr>
            </w:pPr>
            <w:r>
              <w:rPr>
                <w:rFonts w:ascii="Arial" w:cs="Arial" w:eastAsia="Arial" w:hAnsi="Arial"/>
                <w:sz w:val="20"/>
                <w:szCs w:val="20"/>
                <w:color w:val="auto"/>
              </w:rPr>
              <w:t>[***]</w:t>
            </w:r>
          </w:p>
        </w:tc>
        <w:tc>
          <w:tcPr>
            <w:tcW w:w="720" w:type="dxa"/>
            <w:vAlign w:val="bottom"/>
          </w:tcPr>
          <w:p>
            <w:pPr>
              <w:spacing w:after="0"/>
              <w:rPr>
                <w:sz w:val="23"/>
                <w:szCs w:val="23"/>
                <w:color w:val="auto"/>
              </w:rPr>
            </w:pPr>
          </w:p>
        </w:tc>
        <w:tc>
          <w:tcPr>
            <w:tcW w:w="620" w:type="dxa"/>
            <w:vAlign w:val="bottom"/>
            <w:tcBorders>
              <w:right w:val="single" w:sz="8" w:color="auto"/>
            </w:tcBorders>
          </w:tcPr>
          <w:p>
            <w:pPr>
              <w:spacing w:after="0"/>
              <w:rPr>
                <w:sz w:val="23"/>
                <w:szCs w:val="23"/>
                <w:color w:val="auto"/>
              </w:rPr>
            </w:pPr>
          </w:p>
        </w:tc>
        <w:tc>
          <w:tcPr>
            <w:tcW w:w="1520" w:type="dxa"/>
            <w:vAlign w:val="bottom"/>
          </w:tcPr>
          <w:p>
            <w:pPr>
              <w:jc w:val="right"/>
              <w:ind w:right="921"/>
              <w:spacing w:after="0"/>
              <w:rPr>
                <w:sz w:val="20"/>
                <w:szCs w:val="20"/>
                <w:color w:val="auto"/>
              </w:rPr>
            </w:pPr>
            <w:r>
              <w:rPr>
                <w:rFonts w:ascii="Arial" w:cs="Arial" w:eastAsia="Arial" w:hAnsi="Arial"/>
                <w:sz w:val="20"/>
                <w:szCs w:val="20"/>
                <w:color w:val="auto"/>
              </w:rPr>
              <w:t>[***]</w:t>
            </w:r>
          </w:p>
        </w:tc>
        <w:tc>
          <w:tcPr>
            <w:tcW w:w="21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50"/>
        </w:trPr>
        <w:tc>
          <w:tcPr>
            <w:tcW w:w="60" w:type="dxa"/>
            <w:vAlign w:val="bottom"/>
            <w:tcBorders>
              <w:left w:val="single" w:sz="8" w:color="auto"/>
              <w:bottom w:val="single" w:sz="8" w:color="auto"/>
            </w:tcBorders>
          </w:tcPr>
          <w:p>
            <w:pPr>
              <w:spacing w:after="0"/>
              <w:rPr>
                <w:sz w:val="4"/>
                <w:szCs w:val="4"/>
                <w:color w:val="auto"/>
              </w:rPr>
            </w:pPr>
          </w:p>
        </w:tc>
        <w:tc>
          <w:tcPr>
            <w:tcW w:w="2080" w:type="dxa"/>
            <w:vAlign w:val="bottom"/>
            <w:tcBorders>
              <w:bottom w:val="single" w:sz="8" w:color="auto"/>
              <w:right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80" w:type="dxa"/>
            <w:vAlign w:val="bottom"/>
            <w:tcBorders>
              <w:bottom w:val="single" w:sz="8" w:color="auto"/>
              <w:right w:val="single" w:sz="8" w:color="auto"/>
            </w:tcBorders>
          </w:tcPr>
          <w:p>
            <w:pPr>
              <w:spacing w:after="0"/>
              <w:rPr>
                <w:sz w:val="4"/>
                <w:szCs w:val="4"/>
                <w:color w:val="auto"/>
              </w:rPr>
            </w:pPr>
          </w:p>
        </w:tc>
        <w:tc>
          <w:tcPr>
            <w:tcW w:w="220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620" w:type="dxa"/>
            <w:vAlign w:val="bottom"/>
            <w:tcBorders>
              <w:bottom w:val="single" w:sz="8" w:color="auto"/>
              <w:right w:val="single" w:sz="8" w:color="auto"/>
            </w:tcBorders>
          </w:tcPr>
          <w:p>
            <w:pPr>
              <w:spacing w:after="0"/>
              <w:rPr>
                <w:sz w:val="4"/>
                <w:szCs w:val="4"/>
                <w:color w:val="auto"/>
              </w:rPr>
            </w:pPr>
          </w:p>
        </w:tc>
        <w:tc>
          <w:tcPr>
            <w:tcW w:w="1520" w:type="dxa"/>
            <w:vAlign w:val="bottom"/>
            <w:tcBorders>
              <w:bottom w:val="single" w:sz="8" w:color="auto"/>
            </w:tcBorders>
          </w:tcPr>
          <w:p>
            <w:pPr>
              <w:spacing w:after="0"/>
              <w:rPr>
                <w:sz w:val="4"/>
                <w:szCs w:val="4"/>
                <w:color w:val="auto"/>
              </w:rPr>
            </w:pPr>
          </w:p>
        </w:tc>
        <w:tc>
          <w:tcPr>
            <w:tcW w:w="21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140" w:type="dxa"/>
            <w:vAlign w:val="bottom"/>
            <w:tcBorders>
              <w:left w:val="single" w:sz="8" w:color="auto"/>
              <w:right w:val="single" w:sz="8" w:color="auto"/>
            </w:tcBorders>
            <w:gridSpan w:val="2"/>
          </w:tcPr>
          <w:p>
            <w:pPr>
              <w:jc w:val="right"/>
              <w:ind w:right="1541"/>
              <w:spacing w:after="0"/>
              <w:rPr>
                <w:sz w:val="20"/>
                <w:szCs w:val="20"/>
                <w:color w:val="auto"/>
              </w:rPr>
            </w:pPr>
            <w:r>
              <w:rPr>
                <w:rFonts w:ascii="Arial" w:cs="Arial" w:eastAsia="Arial" w:hAnsi="Arial"/>
                <w:sz w:val="20"/>
                <w:szCs w:val="20"/>
                <w:color w:val="auto"/>
              </w:rPr>
              <w:t>[***]</w:t>
            </w:r>
          </w:p>
        </w:tc>
        <w:tc>
          <w:tcPr>
            <w:tcW w:w="140" w:type="dxa"/>
            <w:vAlign w:val="bottom"/>
          </w:tcPr>
          <w:p>
            <w:pPr>
              <w:spacing w:after="0"/>
              <w:rPr>
                <w:sz w:val="23"/>
                <w:szCs w:val="23"/>
                <w:color w:val="auto"/>
              </w:rPr>
            </w:pPr>
          </w:p>
        </w:tc>
        <w:tc>
          <w:tcPr>
            <w:tcW w:w="980" w:type="dxa"/>
            <w:vAlign w:val="bottom"/>
            <w:gridSpan w:val="2"/>
          </w:tcPr>
          <w:p>
            <w:pPr>
              <w:jc w:val="center"/>
              <w:spacing w:after="0"/>
              <w:rPr>
                <w:sz w:val="20"/>
                <w:szCs w:val="20"/>
                <w:color w:val="auto"/>
              </w:rPr>
            </w:pPr>
            <w:r>
              <w:rPr>
                <w:rFonts w:ascii="Arial" w:cs="Arial" w:eastAsia="Arial" w:hAnsi="Arial"/>
                <w:sz w:val="20"/>
                <w:szCs w:val="20"/>
                <w:color w:val="auto"/>
              </w:rPr>
              <w:t>[***]</w:t>
            </w:r>
          </w:p>
        </w:tc>
        <w:tc>
          <w:tcPr>
            <w:tcW w:w="180" w:type="dxa"/>
            <w:vAlign w:val="bottom"/>
            <w:tcBorders>
              <w:right w:val="single" w:sz="8" w:color="auto"/>
            </w:tcBorders>
          </w:tcPr>
          <w:p>
            <w:pPr>
              <w:spacing w:after="0"/>
              <w:rPr>
                <w:sz w:val="23"/>
                <w:szCs w:val="23"/>
                <w:color w:val="auto"/>
              </w:rPr>
            </w:pPr>
          </w:p>
        </w:tc>
        <w:tc>
          <w:tcPr>
            <w:tcW w:w="2200" w:type="dxa"/>
            <w:vAlign w:val="bottom"/>
          </w:tcPr>
          <w:p>
            <w:pPr>
              <w:jc w:val="right"/>
              <w:ind w:right="1561"/>
              <w:spacing w:after="0"/>
              <w:rPr>
                <w:sz w:val="20"/>
                <w:szCs w:val="20"/>
                <w:color w:val="auto"/>
              </w:rPr>
            </w:pPr>
            <w:r>
              <w:rPr>
                <w:rFonts w:ascii="Arial" w:cs="Arial" w:eastAsia="Arial" w:hAnsi="Arial"/>
                <w:sz w:val="20"/>
                <w:szCs w:val="20"/>
                <w:color w:val="auto"/>
              </w:rPr>
              <w:t>[***]</w:t>
            </w:r>
          </w:p>
        </w:tc>
        <w:tc>
          <w:tcPr>
            <w:tcW w:w="720" w:type="dxa"/>
            <w:vAlign w:val="bottom"/>
          </w:tcPr>
          <w:p>
            <w:pPr>
              <w:spacing w:after="0"/>
              <w:rPr>
                <w:sz w:val="23"/>
                <w:szCs w:val="23"/>
                <w:color w:val="auto"/>
              </w:rPr>
            </w:pPr>
          </w:p>
        </w:tc>
        <w:tc>
          <w:tcPr>
            <w:tcW w:w="620" w:type="dxa"/>
            <w:vAlign w:val="bottom"/>
            <w:tcBorders>
              <w:right w:val="single" w:sz="8" w:color="auto"/>
            </w:tcBorders>
          </w:tcPr>
          <w:p>
            <w:pPr>
              <w:spacing w:after="0"/>
              <w:rPr>
                <w:sz w:val="23"/>
                <w:szCs w:val="23"/>
                <w:color w:val="auto"/>
              </w:rPr>
            </w:pPr>
          </w:p>
        </w:tc>
        <w:tc>
          <w:tcPr>
            <w:tcW w:w="1520" w:type="dxa"/>
            <w:vAlign w:val="bottom"/>
          </w:tcPr>
          <w:p>
            <w:pPr>
              <w:jc w:val="right"/>
              <w:ind w:right="921"/>
              <w:spacing w:after="0"/>
              <w:rPr>
                <w:sz w:val="20"/>
                <w:szCs w:val="20"/>
                <w:color w:val="auto"/>
              </w:rPr>
            </w:pPr>
            <w:r>
              <w:rPr>
                <w:rFonts w:ascii="Arial" w:cs="Arial" w:eastAsia="Arial" w:hAnsi="Arial"/>
                <w:sz w:val="20"/>
                <w:szCs w:val="20"/>
                <w:color w:val="auto"/>
              </w:rPr>
              <w:t>[***]</w:t>
            </w:r>
          </w:p>
        </w:tc>
        <w:tc>
          <w:tcPr>
            <w:tcW w:w="21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50"/>
        </w:trPr>
        <w:tc>
          <w:tcPr>
            <w:tcW w:w="60" w:type="dxa"/>
            <w:vAlign w:val="bottom"/>
            <w:tcBorders>
              <w:left w:val="single" w:sz="8" w:color="auto"/>
              <w:bottom w:val="single" w:sz="8" w:color="auto"/>
            </w:tcBorders>
          </w:tcPr>
          <w:p>
            <w:pPr>
              <w:spacing w:after="0"/>
              <w:rPr>
                <w:sz w:val="4"/>
                <w:szCs w:val="4"/>
                <w:color w:val="auto"/>
              </w:rPr>
            </w:pPr>
          </w:p>
        </w:tc>
        <w:tc>
          <w:tcPr>
            <w:tcW w:w="2080" w:type="dxa"/>
            <w:vAlign w:val="bottom"/>
            <w:tcBorders>
              <w:bottom w:val="single" w:sz="8" w:color="auto"/>
              <w:right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80" w:type="dxa"/>
            <w:vAlign w:val="bottom"/>
            <w:tcBorders>
              <w:bottom w:val="single" w:sz="8" w:color="auto"/>
              <w:right w:val="single" w:sz="8" w:color="auto"/>
            </w:tcBorders>
          </w:tcPr>
          <w:p>
            <w:pPr>
              <w:spacing w:after="0"/>
              <w:rPr>
                <w:sz w:val="4"/>
                <w:szCs w:val="4"/>
                <w:color w:val="auto"/>
              </w:rPr>
            </w:pPr>
          </w:p>
        </w:tc>
        <w:tc>
          <w:tcPr>
            <w:tcW w:w="220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620" w:type="dxa"/>
            <w:vAlign w:val="bottom"/>
            <w:tcBorders>
              <w:bottom w:val="single" w:sz="8" w:color="auto"/>
              <w:right w:val="single" w:sz="8" w:color="auto"/>
            </w:tcBorders>
          </w:tcPr>
          <w:p>
            <w:pPr>
              <w:spacing w:after="0"/>
              <w:rPr>
                <w:sz w:val="4"/>
                <w:szCs w:val="4"/>
                <w:color w:val="auto"/>
              </w:rPr>
            </w:pPr>
          </w:p>
        </w:tc>
        <w:tc>
          <w:tcPr>
            <w:tcW w:w="1520" w:type="dxa"/>
            <w:vAlign w:val="bottom"/>
            <w:tcBorders>
              <w:bottom w:val="single" w:sz="8" w:color="auto"/>
            </w:tcBorders>
          </w:tcPr>
          <w:p>
            <w:pPr>
              <w:spacing w:after="0"/>
              <w:rPr>
                <w:sz w:val="4"/>
                <w:szCs w:val="4"/>
                <w:color w:val="auto"/>
              </w:rPr>
            </w:pPr>
          </w:p>
        </w:tc>
        <w:tc>
          <w:tcPr>
            <w:tcW w:w="21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140" w:type="dxa"/>
            <w:vAlign w:val="bottom"/>
            <w:tcBorders>
              <w:left w:val="single" w:sz="8" w:color="auto"/>
              <w:right w:val="single" w:sz="8" w:color="auto"/>
            </w:tcBorders>
            <w:gridSpan w:val="2"/>
          </w:tcPr>
          <w:p>
            <w:pPr>
              <w:jc w:val="right"/>
              <w:ind w:right="1541"/>
              <w:spacing w:after="0"/>
              <w:rPr>
                <w:sz w:val="20"/>
                <w:szCs w:val="20"/>
                <w:color w:val="auto"/>
              </w:rPr>
            </w:pPr>
            <w:r>
              <w:rPr>
                <w:rFonts w:ascii="Arial" w:cs="Arial" w:eastAsia="Arial" w:hAnsi="Arial"/>
                <w:sz w:val="20"/>
                <w:szCs w:val="20"/>
                <w:color w:val="auto"/>
              </w:rPr>
              <w:t>[***]</w:t>
            </w:r>
          </w:p>
        </w:tc>
        <w:tc>
          <w:tcPr>
            <w:tcW w:w="140" w:type="dxa"/>
            <w:vAlign w:val="bottom"/>
          </w:tcPr>
          <w:p>
            <w:pPr>
              <w:spacing w:after="0"/>
              <w:rPr>
                <w:sz w:val="23"/>
                <w:szCs w:val="23"/>
                <w:color w:val="auto"/>
              </w:rPr>
            </w:pPr>
          </w:p>
        </w:tc>
        <w:tc>
          <w:tcPr>
            <w:tcW w:w="980" w:type="dxa"/>
            <w:vAlign w:val="bottom"/>
            <w:gridSpan w:val="2"/>
          </w:tcPr>
          <w:p>
            <w:pPr>
              <w:jc w:val="center"/>
              <w:spacing w:after="0"/>
              <w:rPr>
                <w:sz w:val="20"/>
                <w:szCs w:val="20"/>
                <w:color w:val="auto"/>
              </w:rPr>
            </w:pPr>
            <w:r>
              <w:rPr>
                <w:rFonts w:ascii="Arial" w:cs="Arial" w:eastAsia="Arial" w:hAnsi="Arial"/>
                <w:sz w:val="20"/>
                <w:szCs w:val="20"/>
                <w:color w:val="auto"/>
              </w:rPr>
              <w:t>[***]</w:t>
            </w:r>
          </w:p>
        </w:tc>
        <w:tc>
          <w:tcPr>
            <w:tcW w:w="180" w:type="dxa"/>
            <w:vAlign w:val="bottom"/>
            <w:tcBorders>
              <w:right w:val="single" w:sz="8" w:color="auto"/>
            </w:tcBorders>
          </w:tcPr>
          <w:p>
            <w:pPr>
              <w:spacing w:after="0"/>
              <w:rPr>
                <w:sz w:val="23"/>
                <w:szCs w:val="23"/>
                <w:color w:val="auto"/>
              </w:rPr>
            </w:pPr>
          </w:p>
        </w:tc>
        <w:tc>
          <w:tcPr>
            <w:tcW w:w="2200" w:type="dxa"/>
            <w:vAlign w:val="bottom"/>
          </w:tcPr>
          <w:p>
            <w:pPr>
              <w:jc w:val="right"/>
              <w:ind w:right="1561"/>
              <w:spacing w:after="0"/>
              <w:rPr>
                <w:sz w:val="20"/>
                <w:szCs w:val="20"/>
                <w:color w:val="auto"/>
              </w:rPr>
            </w:pPr>
            <w:r>
              <w:rPr>
                <w:rFonts w:ascii="Arial" w:cs="Arial" w:eastAsia="Arial" w:hAnsi="Arial"/>
                <w:sz w:val="20"/>
                <w:szCs w:val="20"/>
                <w:color w:val="auto"/>
              </w:rPr>
              <w:t>[***]</w:t>
            </w:r>
          </w:p>
        </w:tc>
        <w:tc>
          <w:tcPr>
            <w:tcW w:w="720" w:type="dxa"/>
            <w:vAlign w:val="bottom"/>
          </w:tcPr>
          <w:p>
            <w:pPr>
              <w:spacing w:after="0"/>
              <w:rPr>
                <w:sz w:val="23"/>
                <w:szCs w:val="23"/>
                <w:color w:val="auto"/>
              </w:rPr>
            </w:pPr>
          </w:p>
        </w:tc>
        <w:tc>
          <w:tcPr>
            <w:tcW w:w="620" w:type="dxa"/>
            <w:vAlign w:val="bottom"/>
            <w:tcBorders>
              <w:right w:val="single" w:sz="8" w:color="auto"/>
            </w:tcBorders>
          </w:tcPr>
          <w:p>
            <w:pPr>
              <w:spacing w:after="0"/>
              <w:rPr>
                <w:sz w:val="23"/>
                <w:szCs w:val="23"/>
                <w:color w:val="auto"/>
              </w:rPr>
            </w:pPr>
          </w:p>
        </w:tc>
        <w:tc>
          <w:tcPr>
            <w:tcW w:w="1520" w:type="dxa"/>
            <w:vAlign w:val="bottom"/>
          </w:tcPr>
          <w:p>
            <w:pPr>
              <w:jc w:val="right"/>
              <w:ind w:right="921"/>
              <w:spacing w:after="0"/>
              <w:rPr>
                <w:sz w:val="20"/>
                <w:szCs w:val="20"/>
                <w:color w:val="auto"/>
              </w:rPr>
            </w:pPr>
            <w:r>
              <w:rPr>
                <w:rFonts w:ascii="Arial" w:cs="Arial" w:eastAsia="Arial" w:hAnsi="Arial"/>
                <w:sz w:val="20"/>
                <w:szCs w:val="20"/>
                <w:color w:val="auto"/>
              </w:rPr>
              <w:t>[***]</w:t>
            </w:r>
          </w:p>
        </w:tc>
        <w:tc>
          <w:tcPr>
            <w:tcW w:w="21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50"/>
        </w:trPr>
        <w:tc>
          <w:tcPr>
            <w:tcW w:w="60" w:type="dxa"/>
            <w:vAlign w:val="bottom"/>
            <w:tcBorders>
              <w:left w:val="single" w:sz="8" w:color="auto"/>
              <w:bottom w:val="single" w:sz="8" w:color="auto"/>
            </w:tcBorders>
          </w:tcPr>
          <w:p>
            <w:pPr>
              <w:spacing w:after="0"/>
              <w:rPr>
                <w:sz w:val="4"/>
                <w:szCs w:val="4"/>
                <w:color w:val="auto"/>
              </w:rPr>
            </w:pPr>
          </w:p>
        </w:tc>
        <w:tc>
          <w:tcPr>
            <w:tcW w:w="2080" w:type="dxa"/>
            <w:vAlign w:val="bottom"/>
            <w:tcBorders>
              <w:bottom w:val="single" w:sz="8" w:color="auto"/>
              <w:right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80" w:type="dxa"/>
            <w:vAlign w:val="bottom"/>
            <w:tcBorders>
              <w:bottom w:val="single" w:sz="8" w:color="auto"/>
              <w:right w:val="single" w:sz="8" w:color="auto"/>
            </w:tcBorders>
          </w:tcPr>
          <w:p>
            <w:pPr>
              <w:spacing w:after="0"/>
              <w:rPr>
                <w:sz w:val="4"/>
                <w:szCs w:val="4"/>
                <w:color w:val="auto"/>
              </w:rPr>
            </w:pPr>
          </w:p>
        </w:tc>
        <w:tc>
          <w:tcPr>
            <w:tcW w:w="220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620" w:type="dxa"/>
            <w:vAlign w:val="bottom"/>
            <w:tcBorders>
              <w:bottom w:val="single" w:sz="8" w:color="auto"/>
              <w:right w:val="single" w:sz="8" w:color="auto"/>
            </w:tcBorders>
          </w:tcPr>
          <w:p>
            <w:pPr>
              <w:spacing w:after="0"/>
              <w:rPr>
                <w:sz w:val="4"/>
                <w:szCs w:val="4"/>
                <w:color w:val="auto"/>
              </w:rPr>
            </w:pPr>
          </w:p>
        </w:tc>
        <w:tc>
          <w:tcPr>
            <w:tcW w:w="1520" w:type="dxa"/>
            <w:vAlign w:val="bottom"/>
            <w:tcBorders>
              <w:bottom w:val="single" w:sz="8" w:color="auto"/>
            </w:tcBorders>
          </w:tcPr>
          <w:p>
            <w:pPr>
              <w:spacing w:after="0"/>
              <w:rPr>
                <w:sz w:val="4"/>
                <w:szCs w:val="4"/>
                <w:color w:val="auto"/>
              </w:rPr>
            </w:pPr>
          </w:p>
        </w:tc>
        <w:tc>
          <w:tcPr>
            <w:tcW w:w="21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140" w:type="dxa"/>
            <w:vAlign w:val="bottom"/>
            <w:tcBorders>
              <w:left w:val="single" w:sz="8" w:color="auto"/>
              <w:right w:val="single" w:sz="8" w:color="auto"/>
            </w:tcBorders>
            <w:gridSpan w:val="2"/>
          </w:tcPr>
          <w:p>
            <w:pPr>
              <w:jc w:val="right"/>
              <w:ind w:right="1541"/>
              <w:spacing w:after="0"/>
              <w:rPr>
                <w:sz w:val="20"/>
                <w:szCs w:val="20"/>
                <w:color w:val="auto"/>
              </w:rPr>
            </w:pPr>
            <w:r>
              <w:rPr>
                <w:rFonts w:ascii="Arial" w:cs="Arial" w:eastAsia="Arial" w:hAnsi="Arial"/>
                <w:sz w:val="20"/>
                <w:szCs w:val="20"/>
                <w:color w:val="auto"/>
              </w:rPr>
              <w:t>[***]</w:t>
            </w:r>
          </w:p>
        </w:tc>
        <w:tc>
          <w:tcPr>
            <w:tcW w:w="140" w:type="dxa"/>
            <w:vAlign w:val="bottom"/>
          </w:tcPr>
          <w:p>
            <w:pPr>
              <w:spacing w:after="0"/>
              <w:rPr>
                <w:sz w:val="23"/>
                <w:szCs w:val="23"/>
                <w:color w:val="auto"/>
              </w:rPr>
            </w:pPr>
          </w:p>
        </w:tc>
        <w:tc>
          <w:tcPr>
            <w:tcW w:w="980" w:type="dxa"/>
            <w:vAlign w:val="bottom"/>
            <w:gridSpan w:val="2"/>
          </w:tcPr>
          <w:p>
            <w:pPr>
              <w:jc w:val="center"/>
              <w:spacing w:after="0"/>
              <w:rPr>
                <w:sz w:val="20"/>
                <w:szCs w:val="20"/>
                <w:color w:val="auto"/>
              </w:rPr>
            </w:pPr>
            <w:r>
              <w:rPr>
                <w:rFonts w:ascii="Arial" w:cs="Arial" w:eastAsia="Arial" w:hAnsi="Arial"/>
                <w:sz w:val="20"/>
                <w:szCs w:val="20"/>
                <w:color w:val="auto"/>
              </w:rPr>
              <w:t>[***]</w:t>
            </w:r>
          </w:p>
        </w:tc>
        <w:tc>
          <w:tcPr>
            <w:tcW w:w="180" w:type="dxa"/>
            <w:vAlign w:val="bottom"/>
            <w:tcBorders>
              <w:right w:val="single" w:sz="8" w:color="auto"/>
            </w:tcBorders>
          </w:tcPr>
          <w:p>
            <w:pPr>
              <w:spacing w:after="0"/>
              <w:rPr>
                <w:sz w:val="23"/>
                <w:szCs w:val="23"/>
                <w:color w:val="auto"/>
              </w:rPr>
            </w:pPr>
          </w:p>
        </w:tc>
        <w:tc>
          <w:tcPr>
            <w:tcW w:w="2200" w:type="dxa"/>
            <w:vAlign w:val="bottom"/>
          </w:tcPr>
          <w:p>
            <w:pPr>
              <w:jc w:val="right"/>
              <w:ind w:right="1561"/>
              <w:spacing w:after="0"/>
              <w:rPr>
                <w:sz w:val="20"/>
                <w:szCs w:val="20"/>
                <w:color w:val="auto"/>
              </w:rPr>
            </w:pPr>
            <w:r>
              <w:rPr>
                <w:rFonts w:ascii="Arial" w:cs="Arial" w:eastAsia="Arial" w:hAnsi="Arial"/>
                <w:sz w:val="20"/>
                <w:szCs w:val="20"/>
                <w:color w:val="auto"/>
              </w:rPr>
              <w:t>[***]</w:t>
            </w:r>
          </w:p>
        </w:tc>
        <w:tc>
          <w:tcPr>
            <w:tcW w:w="720" w:type="dxa"/>
            <w:vAlign w:val="bottom"/>
          </w:tcPr>
          <w:p>
            <w:pPr>
              <w:spacing w:after="0"/>
              <w:rPr>
                <w:sz w:val="23"/>
                <w:szCs w:val="23"/>
                <w:color w:val="auto"/>
              </w:rPr>
            </w:pPr>
          </w:p>
        </w:tc>
        <w:tc>
          <w:tcPr>
            <w:tcW w:w="620" w:type="dxa"/>
            <w:vAlign w:val="bottom"/>
            <w:tcBorders>
              <w:right w:val="single" w:sz="8" w:color="auto"/>
            </w:tcBorders>
          </w:tcPr>
          <w:p>
            <w:pPr>
              <w:spacing w:after="0"/>
              <w:rPr>
                <w:sz w:val="23"/>
                <w:szCs w:val="23"/>
                <w:color w:val="auto"/>
              </w:rPr>
            </w:pPr>
          </w:p>
        </w:tc>
        <w:tc>
          <w:tcPr>
            <w:tcW w:w="1520" w:type="dxa"/>
            <w:vAlign w:val="bottom"/>
          </w:tcPr>
          <w:p>
            <w:pPr>
              <w:jc w:val="right"/>
              <w:ind w:right="921"/>
              <w:spacing w:after="0"/>
              <w:rPr>
                <w:sz w:val="20"/>
                <w:szCs w:val="20"/>
                <w:color w:val="auto"/>
              </w:rPr>
            </w:pPr>
            <w:r>
              <w:rPr>
                <w:rFonts w:ascii="Arial" w:cs="Arial" w:eastAsia="Arial" w:hAnsi="Arial"/>
                <w:sz w:val="20"/>
                <w:szCs w:val="20"/>
                <w:color w:val="auto"/>
              </w:rPr>
              <w:t>[***]</w:t>
            </w:r>
          </w:p>
        </w:tc>
        <w:tc>
          <w:tcPr>
            <w:tcW w:w="21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50"/>
        </w:trPr>
        <w:tc>
          <w:tcPr>
            <w:tcW w:w="60" w:type="dxa"/>
            <w:vAlign w:val="bottom"/>
            <w:tcBorders>
              <w:left w:val="single" w:sz="8" w:color="auto"/>
              <w:bottom w:val="single" w:sz="8" w:color="auto"/>
            </w:tcBorders>
          </w:tcPr>
          <w:p>
            <w:pPr>
              <w:spacing w:after="0"/>
              <w:rPr>
                <w:sz w:val="4"/>
                <w:szCs w:val="4"/>
                <w:color w:val="auto"/>
              </w:rPr>
            </w:pPr>
          </w:p>
        </w:tc>
        <w:tc>
          <w:tcPr>
            <w:tcW w:w="2080" w:type="dxa"/>
            <w:vAlign w:val="bottom"/>
            <w:tcBorders>
              <w:bottom w:val="single" w:sz="8" w:color="auto"/>
              <w:right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80" w:type="dxa"/>
            <w:vAlign w:val="bottom"/>
            <w:tcBorders>
              <w:bottom w:val="single" w:sz="8" w:color="auto"/>
              <w:right w:val="single" w:sz="8" w:color="auto"/>
            </w:tcBorders>
          </w:tcPr>
          <w:p>
            <w:pPr>
              <w:spacing w:after="0"/>
              <w:rPr>
                <w:sz w:val="4"/>
                <w:szCs w:val="4"/>
                <w:color w:val="auto"/>
              </w:rPr>
            </w:pPr>
          </w:p>
        </w:tc>
        <w:tc>
          <w:tcPr>
            <w:tcW w:w="220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620" w:type="dxa"/>
            <w:vAlign w:val="bottom"/>
            <w:tcBorders>
              <w:bottom w:val="single" w:sz="8" w:color="auto"/>
              <w:right w:val="single" w:sz="8" w:color="auto"/>
            </w:tcBorders>
          </w:tcPr>
          <w:p>
            <w:pPr>
              <w:spacing w:after="0"/>
              <w:rPr>
                <w:sz w:val="4"/>
                <w:szCs w:val="4"/>
                <w:color w:val="auto"/>
              </w:rPr>
            </w:pPr>
          </w:p>
        </w:tc>
        <w:tc>
          <w:tcPr>
            <w:tcW w:w="1520" w:type="dxa"/>
            <w:vAlign w:val="bottom"/>
            <w:tcBorders>
              <w:bottom w:val="single" w:sz="8" w:color="auto"/>
            </w:tcBorders>
          </w:tcPr>
          <w:p>
            <w:pPr>
              <w:spacing w:after="0"/>
              <w:rPr>
                <w:sz w:val="4"/>
                <w:szCs w:val="4"/>
                <w:color w:val="auto"/>
              </w:rPr>
            </w:pPr>
          </w:p>
        </w:tc>
        <w:tc>
          <w:tcPr>
            <w:tcW w:w="21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140" w:type="dxa"/>
            <w:vAlign w:val="bottom"/>
            <w:tcBorders>
              <w:left w:val="single" w:sz="8" w:color="auto"/>
              <w:right w:val="single" w:sz="8" w:color="auto"/>
            </w:tcBorders>
            <w:gridSpan w:val="2"/>
          </w:tcPr>
          <w:p>
            <w:pPr>
              <w:jc w:val="right"/>
              <w:ind w:right="1541"/>
              <w:spacing w:after="0"/>
              <w:rPr>
                <w:sz w:val="20"/>
                <w:szCs w:val="20"/>
                <w:color w:val="auto"/>
              </w:rPr>
            </w:pPr>
            <w:r>
              <w:rPr>
                <w:rFonts w:ascii="Arial" w:cs="Arial" w:eastAsia="Arial" w:hAnsi="Arial"/>
                <w:sz w:val="20"/>
                <w:szCs w:val="20"/>
                <w:color w:val="auto"/>
              </w:rPr>
              <w:t>[***]</w:t>
            </w:r>
          </w:p>
        </w:tc>
        <w:tc>
          <w:tcPr>
            <w:tcW w:w="140" w:type="dxa"/>
            <w:vAlign w:val="bottom"/>
          </w:tcPr>
          <w:p>
            <w:pPr>
              <w:spacing w:after="0"/>
              <w:rPr>
                <w:sz w:val="23"/>
                <w:szCs w:val="23"/>
                <w:color w:val="auto"/>
              </w:rPr>
            </w:pPr>
          </w:p>
        </w:tc>
        <w:tc>
          <w:tcPr>
            <w:tcW w:w="980" w:type="dxa"/>
            <w:vAlign w:val="bottom"/>
            <w:gridSpan w:val="2"/>
          </w:tcPr>
          <w:p>
            <w:pPr>
              <w:jc w:val="center"/>
              <w:spacing w:after="0"/>
              <w:rPr>
                <w:sz w:val="20"/>
                <w:szCs w:val="20"/>
                <w:color w:val="auto"/>
              </w:rPr>
            </w:pPr>
            <w:r>
              <w:rPr>
                <w:rFonts w:ascii="Arial" w:cs="Arial" w:eastAsia="Arial" w:hAnsi="Arial"/>
                <w:sz w:val="20"/>
                <w:szCs w:val="20"/>
                <w:color w:val="auto"/>
              </w:rPr>
              <w:t>[***]</w:t>
            </w:r>
          </w:p>
        </w:tc>
        <w:tc>
          <w:tcPr>
            <w:tcW w:w="180" w:type="dxa"/>
            <w:vAlign w:val="bottom"/>
            <w:tcBorders>
              <w:right w:val="single" w:sz="8" w:color="auto"/>
            </w:tcBorders>
          </w:tcPr>
          <w:p>
            <w:pPr>
              <w:spacing w:after="0"/>
              <w:rPr>
                <w:sz w:val="23"/>
                <w:szCs w:val="23"/>
                <w:color w:val="auto"/>
              </w:rPr>
            </w:pPr>
          </w:p>
        </w:tc>
        <w:tc>
          <w:tcPr>
            <w:tcW w:w="2200" w:type="dxa"/>
            <w:vAlign w:val="bottom"/>
          </w:tcPr>
          <w:p>
            <w:pPr>
              <w:jc w:val="right"/>
              <w:ind w:right="1561"/>
              <w:spacing w:after="0"/>
              <w:rPr>
                <w:sz w:val="20"/>
                <w:szCs w:val="20"/>
                <w:color w:val="auto"/>
              </w:rPr>
            </w:pPr>
            <w:r>
              <w:rPr>
                <w:rFonts w:ascii="Arial" w:cs="Arial" w:eastAsia="Arial" w:hAnsi="Arial"/>
                <w:sz w:val="20"/>
                <w:szCs w:val="20"/>
                <w:color w:val="auto"/>
              </w:rPr>
              <w:t>[***]</w:t>
            </w:r>
          </w:p>
        </w:tc>
        <w:tc>
          <w:tcPr>
            <w:tcW w:w="720" w:type="dxa"/>
            <w:vAlign w:val="bottom"/>
          </w:tcPr>
          <w:p>
            <w:pPr>
              <w:spacing w:after="0"/>
              <w:rPr>
                <w:sz w:val="23"/>
                <w:szCs w:val="23"/>
                <w:color w:val="auto"/>
              </w:rPr>
            </w:pPr>
          </w:p>
        </w:tc>
        <w:tc>
          <w:tcPr>
            <w:tcW w:w="620" w:type="dxa"/>
            <w:vAlign w:val="bottom"/>
            <w:tcBorders>
              <w:right w:val="single" w:sz="8" w:color="auto"/>
            </w:tcBorders>
          </w:tcPr>
          <w:p>
            <w:pPr>
              <w:spacing w:after="0"/>
              <w:rPr>
                <w:sz w:val="23"/>
                <w:szCs w:val="23"/>
                <w:color w:val="auto"/>
              </w:rPr>
            </w:pPr>
          </w:p>
        </w:tc>
        <w:tc>
          <w:tcPr>
            <w:tcW w:w="1520" w:type="dxa"/>
            <w:vAlign w:val="bottom"/>
          </w:tcPr>
          <w:p>
            <w:pPr>
              <w:jc w:val="right"/>
              <w:ind w:right="921"/>
              <w:spacing w:after="0"/>
              <w:rPr>
                <w:sz w:val="20"/>
                <w:szCs w:val="20"/>
                <w:color w:val="auto"/>
              </w:rPr>
            </w:pPr>
            <w:r>
              <w:rPr>
                <w:rFonts w:ascii="Arial" w:cs="Arial" w:eastAsia="Arial" w:hAnsi="Arial"/>
                <w:sz w:val="20"/>
                <w:szCs w:val="20"/>
                <w:color w:val="auto"/>
              </w:rPr>
              <w:t>[***]</w:t>
            </w:r>
          </w:p>
        </w:tc>
        <w:tc>
          <w:tcPr>
            <w:tcW w:w="21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50"/>
        </w:trPr>
        <w:tc>
          <w:tcPr>
            <w:tcW w:w="60" w:type="dxa"/>
            <w:vAlign w:val="bottom"/>
            <w:tcBorders>
              <w:left w:val="single" w:sz="8" w:color="auto"/>
              <w:bottom w:val="single" w:sz="8" w:color="auto"/>
            </w:tcBorders>
          </w:tcPr>
          <w:p>
            <w:pPr>
              <w:spacing w:after="0"/>
              <w:rPr>
                <w:sz w:val="4"/>
                <w:szCs w:val="4"/>
                <w:color w:val="auto"/>
              </w:rPr>
            </w:pPr>
          </w:p>
        </w:tc>
        <w:tc>
          <w:tcPr>
            <w:tcW w:w="2080" w:type="dxa"/>
            <w:vAlign w:val="bottom"/>
            <w:tcBorders>
              <w:bottom w:val="single" w:sz="8" w:color="auto"/>
              <w:right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80" w:type="dxa"/>
            <w:vAlign w:val="bottom"/>
            <w:tcBorders>
              <w:bottom w:val="single" w:sz="8" w:color="auto"/>
              <w:right w:val="single" w:sz="8" w:color="auto"/>
            </w:tcBorders>
          </w:tcPr>
          <w:p>
            <w:pPr>
              <w:spacing w:after="0"/>
              <w:rPr>
                <w:sz w:val="4"/>
                <w:szCs w:val="4"/>
                <w:color w:val="auto"/>
              </w:rPr>
            </w:pPr>
          </w:p>
        </w:tc>
        <w:tc>
          <w:tcPr>
            <w:tcW w:w="220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620" w:type="dxa"/>
            <w:vAlign w:val="bottom"/>
            <w:tcBorders>
              <w:bottom w:val="single" w:sz="8" w:color="auto"/>
              <w:right w:val="single" w:sz="8" w:color="auto"/>
            </w:tcBorders>
          </w:tcPr>
          <w:p>
            <w:pPr>
              <w:spacing w:after="0"/>
              <w:rPr>
                <w:sz w:val="4"/>
                <w:szCs w:val="4"/>
                <w:color w:val="auto"/>
              </w:rPr>
            </w:pPr>
          </w:p>
        </w:tc>
        <w:tc>
          <w:tcPr>
            <w:tcW w:w="1520" w:type="dxa"/>
            <w:vAlign w:val="bottom"/>
            <w:tcBorders>
              <w:bottom w:val="single" w:sz="8" w:color="auto"/>
            </w:tcBorders>
          </w:tcPr>
          <w:p>
            <w:pPr>
              <w:spacing w:after="0"/>
              <w:rPr>
                <w:sz w:val="4"/>
                <w:szCs w:val="4"/>
                <w:color w:val="auto"/>
              </w:rPr>
            </w:pPr>
          </w:p>
        </w:tc>
        <w:tc>
          <w:tcPr>
            <w:tcW w:w="21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551"/>
        </w:trPr>
        <w:tc>
          <w:tcPr>
            <w:tcW w:w="2140" w:type="dxa"/>
            <w:vAlign w:val="bottom"/>
            <w:gridSpan w:val="2"/>
          </w:tcPr>
          <w:p>
            <w:pPr>
              <w:ind w:left="40"/>
              <w:spacing w:after="0"/>
              <w:rPr>
                <w:sz w:val="20"/>
                <w:szCs w:val="20"/>
                <w:color w:val="auto"/>
              </w:rPr>
            </w:pPr>
            <w:r>
              <w:rPr>
                <w:rFonts w:ascii="Arial" w:cs="Arial" w:eastAsia="Arial" w:hAnsi="Arial"/>
                <w:sz w:val="20"/>
                <w:szCs w:val="20"/>
                <w:color w:val="auto"/>
              </w:rPr>
              <w:t>[***]</w:t>
            </w: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0"/>
        </w:trPr>
        <w:tc>
          <w:tcPr>
            <w:tcW w:w="60" w:type="dxa"/>
            <w:vAlign w:val="bottom"/>
          </w:tcPr>
          <w:p>
            <w:pPr>
              <w:spacing w:after="0"/>
              <w:rPr>
                <w:sz w:val="24"/>
                <w:szCs w:val="24"/>
                <w:color w:val="auto"/>
              </w:rPr>
            </w:pPr>
          </w:p>
        </w:tc>
        <w:tc>
          <w:tcPr>
            <w:tcW w:w="5580" w:type="dxa"/>
            <w:vAlign w:val="bottom"/>
            <w:tcBorders>
              <w:bottom w:val="single" w:sz="8" w:color="auto"/>
            </w:tcBorders>
            <w:gridSpan w:val="6"/>
          </w:tcPr>
          <w:p>
            <w:pPr>
              <w:spacing w:after="0"/>
              <w:rPr>
                <w:sz w:val="20"/>
                <w:szCs w:val="20"/>
                <w:color w:val="auto"/>
              </w:rPr>
            </w:pPr>
            <w:r>
              <w:rPr>
                <w:rFonts w:ascii="Arial" w:cs="Arial" w:eastAsia="Arial" w:hAnsi="Arial"/>
                <w:sz w:val="20"/>
                <w:szCs w:val="20"/>
                <w:color w:val="auto"/>
              </w:rPr>
              <w:t>Chart 2B – Raw Material adjustment cadence</w:t>
            </w:r>
          </w:p>
        </w:tc>
        <w:tc>
          <w:tcPr>
            <w:tcW w:w="7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2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2"/>
        </w:trPr>
        <w:tc>
          <w:tcPr>
            <w:tcW w:w="60" w:type="dxa"/>
            <w:vAlign w:val="bottom"/>
            <w:tcBorders>
              <w:right w:val="single" w:sz="8" w:color="auto"/>
            </w:tcBorders>
          </w:tcPr>
          <w:p>
            <w:pPr>
              <w:spacing w:after="0"/>
              <w:rPr>
                <w:sz w:val="23"/>
                <w:szCs w:val="23"/>
                <w:color w:val="auto"/>
              </w:rPr>
            </w:pPr>
          </w:p>
        </w:tc>
        <w:tc>
          <w:tcPr>
            <w:tcW w:w="2220" w:type="dxa"/>
            <w:vAlign w:val="bottom"/>
            <w:gridSpan w:val="2"/>
            <w:shd w:val="clear" w:color="auto" w:fill="D9D9D9"/>
          </w:tcPr>
          <w:p>
            <w:pPr>
              <w:ind w:left="660"/>
              <w:spacing w:after="0"/>
              <w:rPr>
                <w:sz w:val="20"/>
                <w:szCs w:val="20"/>
                <w:color w:val="auto"/>
              </w:rPr>
            </w:pPr>
            <w:r>
              <w:rPr>
                <w:rFonts w:ascii="Arial" w:cs="Arial" w:eastAsia="Arial" w:hAnsi="Arial"/>
                <w:sz w:val="20"/>
                <w:szCs w:val="20"/>
                <w:b w:val="1"/>
                <w:bCs w:val="1"/>
                <w:color w:val="auto"/>
                <w:w w:val="98"/>
              </w:rPr>
              <w:t>Shipment Month</w:t>
            </w:r>
          </w:p>
        </w:tc>
        <w:tc>
          <w:tcPr>
            <w:tcW w:w="580" w:type="dxa"/>
            <w:vAlign w:val="bottom"/>
            <w:tcBorders>
              <w:right w:val="single" w:sz="8" w:color="auto"/>
            </w:tcBorders>
            <w:shd w:val="clear" w:color="auto" w:fill="D9D9D9"/>
          </w:tcPr>
          <w:p>
            <w:pPr>
              <w:spacing w:after="0"/>
              <w:rPr>
                <w:sz w:val="23"/>
                <w:szCs w:val="23"/>
                <w:color w:val="auto"/>
              </w:rPr>
            </w:pPr>
          </w:p>
        </w:tc>
        <w:tc>
          <w:tcPr>
            <w:tcW w:w="2780" w:type="dxa"/>
            <w:vAlign w:val="bottom"/>
            <w:tcBorders>
              <w:right w:val="single" w:sz="8" w:color="auto"/>
            </w:tcBorders>
            <w:gridSpan w:val="3"/>
            <w:shd w:val="clear" w:color="auto" w:fill="D9D9D9"/>
          </w:tcPr>
          <w:p>
            <w:pPr>
              <w:jc w:val="center"/>
              <w:spacing w:after="0"/>
              <w:rPr>
                <w:sz w:val="20"/>
                <w:szCs w:val="20"/>
                <w:color w:val="auto"/>
              </w:rPr>
            </w:pPr>
            <w:r>
              <w:rPr>
                <w:rFonts w:ascii="Arial" w:cs="Arial" w:eastAsia="Arial" w:hAnsi="Arial"/>
                <w:sz w:val="20"/>
                <w:szCs w:val="20"/>
                <w:b w:val="1"/>
                <w:bCs w:val="1"/>
                <w:color w:val="auto"/>
                <w:w w:val="90"/>
              </w:rPr>
              <w:t>Arithmetic average of the daily</w:t>
            </w:r>
          </w:p>
        </w:tc>
        <w:tc>
          <w:tcPr>
            <w:tcW w:w="2860" w:type="dxa"/>
            <w:vAlign w:val="bottom"/>
            <w:tcBorders>
              <w:right w:val="single" w:sz="8" w:color="auto"/>
            </w:tcBorders>
            <w:gridSpan w:val="3"/>
            <w:shd w:val="clear" w:color="auto" w:fill="D9D9D9"/>
          </w:tcPr>
          <w:p>
            <w:pPr>
              <w:jc w:val="right"/>
              <w:ind w:right="141"/>
              <w:spacing w:after="0"/>
              <w:rPr>
                <w:sz w:val="20"/>
                <w:szCs w:val="20"/>
                <w:color w:val="auto"/>
              </w:rPr>
            </w:pPr>
            <w:r>
              <w:rPr>
                <w:rFonts w:ascii="Arial" w:cs="Arial" w:eastAsia="Arial" w:hAnsi="Arial"/>
                <w:sz w:val="20"/>
                <w:szCs w:val="20"/>
                <w:b w:val="1"/>
                <w:bCs w:val="1"/>
                <w:color w:val="auto"/>
                <w:w w:val="95"/>
              </w:rPr>
              <w:t>Applies for following indices</w:t>
            </w:r>
          </w:p>
        </w:tc>
        <w:tc>
          <w:tcPr>
            <w:tcW w:w="2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60" w:type="dxa"/>
            <w:vAlign w:val="bottom"/>
            <w:tcBorders>
              <w:right w:val="single" w:sz="8" w:color="auto"/>
            </w:tcBorders>
          </w:tcPr>
          <w:p>
            <w:pPr>
              <w:spacing w:after="0"/>
              <w:rPr>
                <w:sz w:val="22"/>
                <w:szCs w:val="22"/>
                <w:color w:val="auto"/>
              </w:rPr>
            </w:pPr>
          </w:p>
        </w:tc>
        <w:tc>
          <w:tcPr>
            <w:tcW w:w="2080" w:type="dxa"/>
            <w:vAlign w:val="bottom"/>
            <w:tcBorders>
              <w:right w:val="single" w:sz="8" w:color="D9D9D9"/>
            </w:tcBorders>
            <w:shd w:val="clear" w:color="auto" w:fill="D9D9D9"/>
          </w:tcPr>
          <w:p>
            <w:pPr>
              <w:spacing w:after="0"/>
              <w:rPr>
                <w:sz w:val="22"/>
                <w:szCs w:val="22"/>
                <w:color w:val="auto"/>
              </w:rPr>
            </w:pPr>
          </w:p>
        </w:tc>
        <w:tc>
          <w:tcPr>
            <w:tcW w:w="140" w:type="dxa"/>
            <w:vAlign w:val="bottom"/>
            <w:shd w:val="clear" w:color="auto" w:fill="D9D9D9"/>
          </w:tcPr>
          <w:p>
            <w:pPr>
              <w:spacing w:after="0"/>
              <w:rPr>
                <w:sz w:val="22"/>
                <w:szCs w:val="22"/>
                <w:color w:val="auto"/>
              </w:rPr>
            </w:pPr>
          </w:p>
        </w:tc>
        <w:tc>
          <w:tcPr>
            <w:tcW w:w="580" w:type="dxa"/>
            <w:vAlign w:val="bottom"/>
            <w:tcBorders>
              <w:right w:val="single" w:sz="8" w:color="auto"/>
            </w:tcBorders>
            <w:shd w:val="clear" w:color="auto" w:fill="D9D9D9"/>
          </w:tcPr>
          <w:p>
            <w:pPr>
              <w:spacing w:after="0"/>
              <w:rPr>
                <w:sz w:val="22"/>
                <w:szCs w:val="22"/>
                <w:color w:val="auto"/>
              </w:rPr>
            </w:pPr>
          </w:p>
        </w:tc>
        <w:tc>
          <w:tcPr>
            <w:tcW w:w="2780" w:type="dxa"/>
            <w:vAlign w:val="bottom"/>
            <w:tcBorders>
              <w:right w:val="single" w:sz="8" w:color="auto"/>
            </w:tcBorders>
            <w:gridSpan w:val="3"/>
            <w:shd w:val="clear" w:color="auto" w:fill="D9D9D9"/>
          </w:tcPr>
          <w:p>
            <w:pPr>
              <w:jc w:val="center"/>
              <w:spacing w:after="0"/>
              <w:rPr>
                <w:sz w:val="20"/>
                <w:szCs w:val="20"/>
                <w:color w:val="auto"/>
              </w:rPr>
            </w:pPr>
            <w:r>
              <w:rPr>
                <w:rFonts w:ascii="Arial" w:cs="Arial" w:eastAsia="Arial" w:hAnsi="Arial"/>
                <w:sz w:val="20"/>
                <w:szCs w:val="20"/>
                <w:b w:val="1"/>
                <w:bCs w:val="1"/>
                <w:color w:val="auto"/>
                <w:w w:val="91"/>
              </w:rPr>
              <w:t>Calculated Index price during</w:t>
            </w:r>
          </w:p>
        </w:tc>
        <w:tc>
          <w:tcPr>
            <w:tcW w:w="720" w:type="dxa"/>
            <w:vAlign w:val="bottom"/>
            <w:shd w:val="clear" w:color="auto" w:fill="D9D9D9"/>
          </w:tcPr>
          <w:p>
            <w:pPr>
              <w:spacing w:after="0"/>
              <w:rPr>
                <w:sz w:val="22"/>
                <w:szCs w:val="22"/>
                <w:color w:val="auto"/>
              </w:rPr>
            </w:pPr>
          </w:p>
        </w:tc>
        <w:tc>
          <w:tcPr>
            <w:tcW w:w="620" w:type="dxa"/>
            <w:vAlign w:val="bottom"/>
            <w:tcBorders>
              <w:right w:val="single" w:sz="8" w:color="D9D9D9"/>
            </w:tcBorders>
            <w:shd w:val="clear" w:color="auto" w:fill="D9D9D9"/>
          </w:tcPr>
          <w:p>
            <w:pPr>
              <w:spacing w:after="0"/>
              <w:rPr>
                <w:sz w:val="22"/>
                <w:szCs w:val="22"/>
                <w:color w:val="auto"/>
              </w:rPr>
            </w:pPr>
          </w:p>
        </w:tc>
        <w:tc>
          <w:tcPr>
            <w:tcW w:w="1520" w:type="dxa"/>
            <w:vAlign w:val="bottom"/>
            <w:tcBorders>
              <w:right w:val="single" w:sz="8" w:color="auto"/>
            </w:tcBorders>
            <w:shd w:val="clear" w:color="auto" w:fill="D9D9D9"/>
          </w:tcPr>
          <w:p>
            <w:pPr>
              <w:spacing w:after="0"/>
              <w:rPr>
                <w:sz w:val="22"/>
                <w:szCs w:val="22"/>
                <w:color w:val="auto"/>
              </w:rPr>
            </w:pPr>
          </w:p>
        </w:tc>
        <w:tc>
          <w:tcPr>
            <w:tcW w:w="2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25"/>
        </w:trPr>
        <w:tc>
          <w:tcPr>
            <w:tcW w:w="60" w:type="dxa"/>
            <w:vAlign w:val="bottom"/>
            <w:tcBorders>
              <w:right w:val="single" w:sz="8" w:color="auto"/>
            </w:tcBorders>
          </w:tcPr>
          <w:p>
            <w:pPr>
              <w:spacing w:after="0"/>
              <w:rPr>
                <w:sz w:val="24"/>
                <w:szCs w:val="24"/>
                <w:color w:val="auto"/>
              </w:rPr>
            </w:pPr>
          </w:p>
        </w:tc>
        <w:tc>
          <w:tcPr>
            <w:tcW w:w="2080" w:type="dxa"/>
            <w:vAlign w:val="bottom"/>
            <w:tcBorders>
              <w:bottom w:val="single" w:sz="8" w:color="D9D9D9"/>
              <w:right w:val="single" w:sz="8" w:color="D9D9D9"/>
            </w:tcBorders>
            <w:shd w:val="clear" w:color="auto" w:fill="D9D9D9"/>
          </w:tcPr>
          <w:p>
            <w:pPr>
              <w:spacing w:after="0"/>
              <w:rPr>
                <w:sz w:val="24"/>
                <w:szCs w:val="24"/>
                <w:color w:val="auto"/>
              </w:rPr>
            </w:pPr>
          </w:p>
        </w:tc>
        <w:tc>
          <w:tcPr>
            <w:tcW w:w="140" w:type="dxa"/>
            <w:vAlign w:val="bottom"/>
            <w:tcBorders>
              <w:bottom w:val="single" w:sz="8" w:color="D9D9D9"/>
            </w:tcBorders>
            <w:shd w:val="clear" w:color="auto" w:fill="D9D9D9"/>
          </w:tcPr>
          <w:p>
            <w:pPr>
              <w:spacing w:after="0"/>
              <w:rPr>
                <w:sz w:val="24"/>
                <w:szCs w:val="24"/>
                <w:color w:val="auto"/>
              </w:rPr>
            </w:pPr>
          </w:p>
        </w:tc>
        <w:tc>
          <w:tcPr>
            <w:tcW w:w="580" w:type="dxa"/>
            <w:vAlign w:val="bottom"/>
            <w:tcBorders>
              <w:bottom w:val="single" w:sz="8" w:color="D9D9D9"/>
              <w:right w:val="single" w:sz="8" w:color="auto"/>
            </w:tcBorders>
            <w:shd w:val="clear" w:color="auto" w:fill="D9D9D9"/>
          </w:tcPr>
          <w:p>
            <w:pPr>
              <w:spacing w:after="0"/>
              <w:rPr>
                <w:sz w:val="24"/>
                <w:szCs w:val="24"/>
                <w:color w:val="auto"/>
              </w:rPr>
            </w:pPr>
          </w:p>
        </w:tc>
        <w:tc>
          <w:tcPr>
            <w:tcW w:w="400" w:type="dxa"/>
            <w:vAlign w:val="bottom"/>
            <w:tcBorders>
              <w:bottom w:val="single" w:sz="8" w:color="D9D9D9"/>
            </w:tcBorders>
            <w:shd w:val="clear" w:color="auto" w:fill="D9D9D9"/>
          </w:tcPr>
          <w:p>
            <w:pPr>
              <w:spacing w:after="0"/>
              <w:rPr>
                <w:sz w:val="24"/>
                <w:szCs w:val="24"/>
                <w:color w:val="auto"/>
              </w:rPr>
            </w:pPr>
          </w:p>
        </w:tc>
        <w:tc>
          <w:tcPr>
            <w:tcW w:w="2380" w:type="dxa"/>
            <w:vAlign w:val="bottom"/>
            <w:tcBorders>
              <w:bottom w:val="single" w:sz="8" w:color="D9D9D9"/>
              <w:right w:val="single" w:sz="8" w:color="auto"/>
            </w:tcBorders>
            <w:gridSpan w:val="2"/>
            <w:shd w:val="clear" w:color="auto" w:fill="D9D9D9"/>
          </w:tcPr>
          <w:p>
            <w:pPr>
              <w:jc w:val="center"/>
              <w:ind w:right="321"/>
              <w:spacing w:after="0"/>
              <w:rPr>
                <w:sz w:val="20"/>
                <w:szCs w:val="20"/>
                <w:color w:val="auto"/>
              </w:rPr>
            </w:pPr>
            <w:r>
              <w:rPr>
                <w:rFonts w:ascii="Arial" w:cs="Arial" w:eastAsia="Arial" w:hAnsi="Arial"/>
                <w:sz w:val="20"/>
                <w:szCs w:val="20"/>
                <w:b w:val="1"/>
                <w:bCs w:val="1"/>
                <w:color w:val="auto"/>
                <w:w w:val="89"/>
              </w:rPr>
              <w:t>the following period:</w:t>
            </w:r>
          </w:p>
        </w:tc>
        <w:tc>
          <w:tcPr>
            <w:tcW w:w="720" w:type="dxa"/>
            <w:vAlign w:val="bottom"/>
            <w:tcBorders>
              <w:bottom w:val="single" w:sz="8" w:color="D9D9D9"/>
            </w:tcBorders>
            <w:shd w:val="clear" w:color="auto" w:fill="D9D9D9"/>
          </w:tcPr>
          <w:p>
            <w:pPr>
              <w:spacing w:after="0"/>
              <w:rPr>
                <w:sz w:val="24"/>
                <w:szCs w:val="24"/>
                <w:color w:val="auto"/>
              </w:rPr>
            </w:pPr>
          </w:p>
        </w:tc>
        <w:tc>
          <w:tcPr>
            <w:tcW w:w="620" w:type="dxa"/>
            <w:vAlign w:val="bottom"/>
            <w:tcBorders>
              <w:bottom w:val="single" w:sz="8" w:color="D9D9D9"/>
              <w:right w:val="single" w:sz="8" w:color="D9D9D9"/>
            </w:tcBorders>
            <w:shd w:val="clear" w:color="auto" w:fill="D9D9D9"/>
          </w:tcPr>
          <w:p>
            <w:pPr>
              <w:spacing w:after="0"/>
              <w:rPr>
                <w:sz w:val="24"/>
                <w:szCs w:val="24"/>
                <w:color w:val="auto"/>
              </w:rPr>
            </w:pPr>
          </w:p>
        </w:tc>
        <w:tc>
          <w:tcPr>
            <w:tcW w:w="1520" w:type="dxa"/>
            <w:vAlign w:val="bottom"/>
            <w:tcBorders>
              <w:bottom w:val="single" w:sz="8" w:color="D9D9D9"/>
              <w:right w:val="single" w:sz="8" w:color="auto"/>
            </w:tcBorders>
            <w:shd w:val="clear" w:color="auto" w:fill="D9D9D9"/>
          </w:tcPr>
          <w:p>
            <w:pPr>
              <w:spacing w:after="0"/>
              <w:rPr>
                <w:sz w:val="24"/>
                <w:szCs w:val="24"/>
                <w:color w:val="auto"/>
              </w:rPr>
            </w:pPr>
          </w:p>
        </w:tc>
        <w:tc>
          <w:tcPr>
            <w:tcW w:w="2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60" w:type="dxa"/>
            <w:vAlign w:val="bottom"/>
            <w:tcBorders>
              <w:right w:val="single" w:sz="8" w:color="auto"/>
            </w:tcBorders>
          </w:tcPr>
          <w:p>
            <w:pPr>
              <w:spacing w:after="0"/>
              <w:rPr>
                <w:sz w:val="24"/>
                <w:szCs w:val="24"/>
                <w:color w:val="auto"/>
              </w:rPr>
            </w:pPr>
          </w:p>
        </w:tc>
        <w:tc>
          <w:tcPr>
            <w:tcW w:w="2080" w:type="dxa"/>
            <w:vAlign w:val="bottom"/>
            <w:tcBorders>
              <w:top w:val="single" w:sz="8" w:color="auto"/>
            </w:tcBorders>
          </w:tcPr>
          <w:p>
            <w:pPr>
              <w:jc w:val="right"/>
              <w:ind w:right="381"/>
              <w:spacing w:after="0"/>
              <w:rPr>
                <w:sz w:val="20"/>
                <w:szCs w:val="20"/>
                <w:color w:val="auto"/>
              </w:rPr>
            </w:pPr>
            <w:r>
              <w:rPr>
                <w:rFonts w:ascii="Arial" w:cs="Arial" w:eastAsia="Arial" w:hAnsi="Arial"/>
                <w:sz w:val="20"/>
                <w:szCs w:val="20"/>
                <w:color w:val="auto"/>
              </w:rPr>
              <w:t>[***]</w:t>
            </w:r>
          </w:p>
        </w:tc>
        <w:tc>
          <w:tcPr>
            <w:tcW w:w="140" w:type="dxa"/>
            <w:vAlign w:val="bottom"/>
            <w:tcBorders>
              <w:top w:val="single" w:sz="8" w:color="auto"/>
            </w:tcBorders>
          </w:tcPr>
          <w:p>
            <w:pPr>
              <w:spacing w:after="0"/>
              <w:rPr>
                <w:sz w:val="24"/>
                <w:szCs w:val="24"/>
                <w:color w:val="auto"/>
              </w:rPr>
            </w:pPr>
          </w:p>
        </w:tc>
        <w:tc>
          <w:tcPr>
            <w:tcW w:w="580" w:type="dxa"/>
            <w:vAlign w:val="bottom"/>
            <w:tcBorders>
              <w:top w:val="single" w:sz="8" w:color="auto"/>
              <w:right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2380" w:type="dxa"/>
            <w:vAlign w:val="bottom"/>
            <w:tcBorders>
              <w:top w:val="single" w:sz="8" w:color="auto"/>
              <w:right w:val="single" w:sz="8" w:color="auto"/>
            </w:tcBorders>
            <w:gridSpan w:val="2"/>
          </w:tcPr>
          <w:p>
            <w:pPr>
              <w:jc w:val="center"/>
              <w:ind w:right="321"/>
              <w:spacing w:after="0"/>
              <w:rPr>
                <w:sz w:val="20"/>
                <w:szCs w:val="20"/>
                <w:color w:val="auto"/>
              </w:rPr>
            </w:pPr>
            <w:r>
              <w:rPr>
                <w:rFonts w:ascii="Arial" w:cs="Arial" w:eastAsia="Arial" w:hAnsi="Arial"/>
                <w:sz w:val="20"/>
                <w:szCs w:val="20"/>
                <w:color w:val="auto"/>
              </w:rPr>
              <w:t>[***]</w:t>
            </w:r>
          </w:p>
        </w:tc>
        <w:tc>
          <w:tcPr>
            <w:tcW w:w="72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1520" w:type="dxa"/>
            <w:vAlign w:val="bottom"/>
            <w:tcBorders>
              <w:top w:val="single" w:sz="8" w:color="auto"/>
              <w:right w:val="single" w:sz="8" w:color="auto"/>
            </w:tcBorders>
          </w:tcPr>
          <w:p>
            <w:pPr>
              <w:spacing w:after="0"/>
              <w:rPr>
                <w:sz w:val="24"/>
                <w:szCs w:val="24"/>
                <w:color w:val="auto"/>
              </w:rPr>
            </w:pPr>
          </w:p>
        </w:tc>
        <w:tc>
          <w:tcPr>
            <w:tcW w:w="2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
        </w:trPr>
        <w:tc>
          <w:tcPr>
            <w:tcW w:w="60" w:type="dxa"/>
            <w:vAlign w:val="bottom"/>
            <w:tcBorders>
              <w:right w:val="single" w:sz="8" w:color="auto"/>
            </w:tcBorders>
          </w:tcPr>
          <w:p>
            <w:pPr>
              <w:spacing w:after="0"/>
              <w:rPr>
                <w:sz w:val="5"/>
                <w:szCs w:val="5"/>
                <w:color w:val="auto"/>
              </w:rPr>
            </w:pPr>
          </w:p>
        </w:tc>
        <w:tc>
          <w:tcPr>
            <w:tcW w:w="208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580" w:type="dxa"/>
            <w:vAlign w:val="bottom"/>
            <w:tcBorders>
              <w:bottom w:val="single" w:sz="8" w:color="auto"/>
              <w:right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2380" w:type="dxa"/>
            <w:vAlign w:val="bottom"/>
            <w:tcBorders>
              <w:bottom w:val="single" w:sz="8" w:color="auto"/>
              <w:right w:val="single" w:sz="8" w:color="auto"/>
            </w:tcBorders>
            <w:gridSpan w:val="2"/>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520" w:type="dxa"/>
            <w:vAlign w:val="bottom"/>
            <w:tcBorders>
              <w:right w:val="single" w:sz="8" w:color="auto"/>
            </w:tcBorders>
          </w:tcPr>
          <w:p>
            <w:pPr>
              <w:spacing w:after="0"/>
              <w:rPr>
                <w:sz w:val="5"/>
                <w:szCs w:val="5"/>
                <w:color w:val="auto"/>
              </w:rPr>
            </w:pPr>
          </w:p>
        </w:tc>
        <w:tc>
          <w:tcPr>
            <w:tcW w:w="2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5"/>
        </w:trPr>
        <w:tc>
          <w:tcPr>
            <w:tcW w:w="60" w:type="dxa"/>
            <w:vAlign w:val="bottom"/>
            <w:tcBorders>
              <w:right w:val="single" w:sz="8" w:color="auto"/>
            </w:tcBorders>
          </w:tcPr>
          <w:p>
            <w:pPr>
              <w:spacing w:after="0"/>
              <w:rPr>
                <w:sz w:val="24"/>
                <w:szCs w:val="24"/>
                <w:color w:val="auto"/>
              </w:rPr>
            </w:pPr>
          </w:p>
        </w:tc>
        <w:tc>
          <w:tcPr>
            <w:tcW w:w="2080" w:type="dxa"/>
            <w:vAlign w:val="bottom"/>
          </w:tcPr>
          <w:p>
            <w:pPr>
              <w:jc w:val="right"/>
              <w:ind w:right="381"/>
              <w:spacing w:after="0"/>
              <w:rPr>
                <w:sz w:val="20"/>
                <w:szCs w:val="20"/>
                <w:color w:val="auto"/>
              </w:rPr>
            </w:pPr>
            <w:r>
              <w:rPr>
                <w:rFonts w:ascii="Arial" w:cs="Arial" w:eastAsia="Arial" w:hAnsi="Arial"/>
                <w:sz w:val="20"/>
                <w:szCs w:val="20"/>
                <w:color w:val="auto"/>
              </w:rPr>
              <w:t>[***]</w:t>
            </w:r>
          </w:p>
        </w:tc>
        <w:tc>
          <w:tcPr>
            <w:tcW w:w="140" w:type="dxa"/>
            <w:vAlign w:val="bottom"/>
          </w:tcPr>
          <w:p>
            <w:pPr>
              <w:spacing w:after="0"/>
              <w:rPr>
                <w:sz w:val="24"/>
                <w:szCs w:val="24"/>
                <w:color w:val="auto"/>
              </w:rPr>
            </w:pPr>
          </w:p>
        </w:tc>
        <w:tc>
          <w:tcPr>
            <w:tcW w:w="580" w:type="dxa"/>
            <w:vAlign w:val="bottom"/>
            <w:tcBorders>
              <w:right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2380" w:type="dxa"/>
            <w:vAlign w:val="bottom"/>
            <w:tcBorders>
              <w:right w:val="single" w:sz="8" w:color="auto"/>
            </w:tcBorders>
            <w:gridSpan w:val="2"/>
          </w:tcPr>
          <w:p>
            <w:pPr>
              <w:jc w:val="center"/>
              <w:ind w:right="321"/>
              <w:spacing w:after="0"/>
              <w:rPr>
                <w:sz w:val="20"/>
                <w:szCs w:val="20"/>
                <w:color w:val="auto"/>
              </w:rPr>
            </w:pPr>
            <w:r>
              <w:rPr>
                <w:rFonts w:ascii="Arial" w:cs="Arial" w:eastAsia="Arial" w:hAnsi="Arial"/>
                <w:sz w:val="20"/>
                <w:szCs w:val="20"/>
                <w:color w:val="auto"/>
              </w:rPr>
              <w:t>[***]</w:t>
            </w:r>
          </w:p>
        </w:tc>
        <w:tc>
          <w:tcPr>
            <w:tcW w:w="720" w:type="dxa"/>
            <w:vAlign w:val="bottom"/>
          </w:tcPr>
          <w:p>
            <w:pPr>
              <w:spacing w:after="0"/>
              <w:rPr>
                <w:sz w:val="24"/>
                <w:szCs w:val="24"/>
                <w:color w:val="auto"/>
              </w:rPr>
            </w:pPr>
          </w:p>
        </w:tc>
        <w:tc>
          <w:tcPr>
            <w:tcW w:w="2140" w:type="dxa"/>
            <w:vAlign w:val="bottom"/>
            <w:tcBorders>
              <w:right w:val="single" w:sz="8" w:color="auto"/>
            </w:tcBorders>
            <w:gridSpan w:val="2"/>
            <w:vMerge w:val="restart"/>
          </w:tcPr>
          <w:p>
            <w:pPr>
              <w:jc w:val="right"/>
              <w:ind w:right="1121"/>
              <w:spacing w:after="0"/>
              <w:rPr>
                <w:sz w:val="20"/>
                <w:szCs w:val="20"/>
                <w:color w:val="auto"/>
              </w:rPr>
            </w:pPr>
            <w:r>
              <w:rPr>
                <w:rFonts w:ascii="Arial" w:cs="Arial" w:eastAsia="Arial" w:hAnsi="Arial"/>
                <w:sz w:val="20"/>
                <w:szCs w:val="20"/>
                <w:color w:val="auto"/>
              </w:rPr>
              <w:t>[***]</w:t>
            </w:r>
          </w:p>
        </w:tc>
        <w:tc>
          <w:tcPr>
            <w:tcW w:w="2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60" w:type="dxa"/>
            <w:vAlign w:val="bottom"/>
            <w:tcBorders>
              <w:right w:val="single" w:sz="8" w:color="auto"/>
            </w:tcBorders>
          </w:tcPr>
          <w:p>
            <w:pPr>
              <w:spacing w:after="0"/>
              <w:rPr>
                <w:sz w:val="6"/>
                <w:szCs w:val="6"/>
                <w:color w:val="auto"/>
              </w:rPr>
            </w:pPr>
          </w:p>
        </w:tc>
        <w:tc>
          <w:tcPr>
            <w:tcW w:w="208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580" w:type="dxa"/>
            <w:vAlign w:val="bottom"/>
            <w:tcBorders>
              <w:bottom w:val="single" w:sz="8" w:color="auto"/>
              <w:right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2200" w:type="dxa"/>
            <w:vAlign w:val="bottom"/>
            <w:tcBorders>
              <w:bottom w:val="single" w:sz="8" w:color="auto"/>
              <w:right w:val="single" w:sz="8" w:color="auto"/>
            </w:tcBorders>
          </w:tcPr>
          <w:p>
            <w:pPr>
              <w:spacing w:after="0"/>
              <w:rPr>
                <w:sz w:val="6"/>
                <w:szCs w:val="6"/>
                <w:color w:val="auto"/>
              </w:rPr>
            </w:pPr>
          </w:p>
        </w:tc>
        <w:tc>
          <w:tcPr>
            <w:tcW w:w="720" w:type="dxa"/>
            <w:vAlign w:val="bottom"/>
          </w:tcPr>
          <w:p>
            <w:pPr>
              <w:spacing w:after="0"/>
              <w:rPr>
                <w:sz w:val="6"/>
                <w:szCs w:val="6"/>
                <w:color w:val="auto"/>
              </w:rPr>
            </w:pPr>
          </w:p>
        </w:tc>
        <w:tc>
          <w:tcPr>
            <w:tcW w:w="2140" w:type="dxa"/>
            <w:vAlign w:val="bottom"/>
            <w:tcBorders>
              <w:right w:val="single" w:sz="8" w:color="auto"/>
            </w:tcBorders>
            <w:gridSpan w:val="2"/>
            <w:vMerge w:val="continue"/>
          </w:tcPr>
          <w:p>
            <w:pPr>
              <w:spacing w:after="0"/>
              <w:rPr>
                <w:sz w:val="6"/>
                <w:szCs w:val="6"/>
                <w:color w:val="auto"/>
              </w:rPr>
            </w:pPr>
          </w:p>
        </w:tc>
        <w:tc>
          <w:tcPr>
            <w:tcW w:w="2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9"/>
        </w:trPr>
        <w:tc>
          <w:tcPr>
            <w:tcW w:w="60" w:type="dxa"/>
            <w:vAlign w:val="bottom"/>
            <w:tcBorders>
              <w:right w:val="single" w:sz="8" w:color="auto"/>
            </w:tcBorders>
          </w:tcPr>
          <w:p>
            <w:pPr>
              <w:spacing w:after="0"/>
              <w:rPr>
                <w:sz w:val="24"/>
                <w:szCs w:val="24"/>
                <w:color w:val="auto"/>
              </w:rPr>
            </w:pPr>
          </w:p>
        </w:tc>
        <w:tc>
          <w:tcPr>
            <w:tcW w:w="2080" w:type="dxa"/>
            <w:vAlign w:val="bottom"/>
          </w:tcPr>
          <w:p>
            <w:pPr>
              <w:jc w:val="right"/>
              <w:ind w:right="381"/>
              <w:spacing w:after="0"/>
              <w:rPr>
                <w:sz w:val="20"/>
                <w:szCs w:val="20"/>
                <w:color w:val="auto"/>
              </w:rPr>
            </w:pPr>
            <w:r>
              <w:rPr>
                <w:rFonts w:ascii="Arial" w:cs="Arial" w:eastAsia="Arial" w:hAnsi="Arial"/>
                <w:sz w:val="20"/>
                <w:szCs w:val="20"/>
                <w:color w:val="auto"/>
              </w:rPr>
              <w:t>[***]</w:t>
            </w:r>
          </w:p>
        </w:tc>
        <w:tc>
          <w:tcPr>
            <w:tcW w:w="140" w:type="dxa"/>
            <w:vAlign w:val="bottom"/>
          </w:tcPr>
          <w:p>
            <w:pPr>
              <w:spacing w:after="0"/>
              <w:rPr>
                <w:sz w:val="24"/>
                <w:szCs w:val="24"/>
                <w:color w:val="auto"/>
              </w:rPr>
            </w:pPr>
          </w:p>
        </w:tc>
        <w:tc>
          <w:tcPr>
            <w:tcW w:w="580" w:type="dxa"/>
            <w:vAlign w:val="bottom"/>
            <w:tcBorders>
              <w:right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2380" w:type="dxa"/>
            <w:vAlign w:val="bottom"/>
            <w:tcBorders>
              <w:right w:val="single" w:sz="8" w:color="auto"/>
            </w:tcBorders>
            <w:gridSpan w:val="2"/>
          </w:tcPr>
          <w:p>
            <w:pPr>
              <w:jc w:val="center"/>
              <w:ind w:right="321"/>
              <w:spacing w:after="0"/>
              <w:rPr>
                <w:sz w:val="20"/>
                <w:szCs w:val="20"/>
                <w:color w:val="auto"/>
              </w:rPr>
            </w:pPr>
            <w:r>
              <w:rPr>
                <w:rFonts w:ascii="Arial" w:cs="Arial" w:eastAsia="Arial" w:hAnsi="Arial"/>
                <w:sz w:val="20"/>
                <w:szCs w:val="20"/>
                <w:color w:val="auto"/>
              </w:rPr>
              <w:t>[***]</w:t>
            </w:r>
          </w:p>
        </w:tc>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520" w:type="dxa"/>
            <w:vAlign w:val="bottom"/>
            <w:tcBorders>
              <w:right w:val="single" w:sz="8" w:color="auto"/>
            </w:tcBorders>
          </w:tcPr>
          <w:p>
            <w:pPr>
              <w:spacing w:after="0"/>
              <w:rPr>
                <w:sz w:val="24"/>
                <w:szCs w:val="24"/>
                <w:color w:val="auto"/>
              </w:rPr>
            </w:pPr>
          </w:p>
        </w:tc>
        <w:tc>
          <w:tcPr>
            <w:tcW w:w="2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7"/>
        </w:trPr>
        <w:tc>
          <w:tcPr>
            <w:tcW w:w="60" w:type="dxa"/>
            <w:vAlign w:val="bottom"/>
            <w:tcBorders>
              <w:right w:val="single" w:sz="8" w:color="auto"/>
            </w:tcBorders>
          </w:tcPr>
          <w:p>
            <w:pPr>
              <w:spacing w:after="0"/>
              <w:rPr>
                <w:sz w:val="6"/>
                <w:szCs w:val="6"/>
                <w:color w:val="auto"/>
              </w:rPr>
            </w:pPr>
          </w:p>
        </w:tc>
        <w:tc>
          <w:tcPr>
            <w:tcW w:w="208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580" w:type="dxa"/>
            <w:vAlign w:val="bottom"/>
            <w:tcBorders>
              <w:bottom w:val="single" w:sz="8" w:color="auto"/>
              <w:right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2380" w:type="dxa"/>
            <w:vAlign w:val="bottom"/>
            <w:tcBorders>
              <w:bottom w:val="single" w:sz="8" w:color="auto"/>
              <w:right w:val="single" w:sz="8" w:color="auto"/>
            </w:tcBorders>
            <w:gridSpan w:val="2"/>
          </w:tcPr>
          <w:p>
            <w:pPr>
              <w:spacing w:after="0"/>
              <w:rPr>
                <w:sz w:val="6"/>
                <w:szCs w:val="6"/>
                <w:color w:val="auto"/>
              </w:rPr>
            </w:pPr>
          </w:p>
        </w:tc>
        <w:tc>
          <w:tcPr>
            <w:tcW w:w="7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520" w:type="dxa"/>
            <w:vAlign w:val="bottom"/>
            <w:tcBorders>
              <w:right w:val="single" w:sz="8" w:color="auto"/>
            </w:tcBorders>
          </w:tcPr>
          <w:p>
            <w:pPr>
              <w:spacing w:after="0"/>
              <w:rPr>
                <w:sz w:val="6"/>
                <w:szCs w:val="6"/>
                <w:color w:val="auto"/>
              </w:rPr>
            </w:pPr>
          </w:p>
        </w:tc>
        <w:tc>
          <w:tcPr>
            <w:tcW w:w="2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08"/>
        </w:trPr>
        <w:tc>
          <w:tcPr>
            <w:tcW w:w="60" w:type="dxa"/>
            <w:vAlign w:val="bottom"/>
            <w:tcBorders>
              <w:right w:val="single" w:sz="8" w:color="auto"/>
            </w:tcBorders>
          </w:tcPr>
          <w:p>
            <w:pPr>
              <w:spacing w:after="0"/>
              <w:rPr>
                <w:sz w:val="24"/>
                <w:szCs w:val="24"/>
                <w:color w:val="auto"/>
              </w:rPr>
            </w:pPr>
          </w:p>
        </w:tc>
        <w:tc>
          <w:tcPr>
            <w:tcW w:w="2080" w:type="dxa"/>
            <w:vAlign w:val="bottom"/>
          </w:tcPr>
          <w:p>
            <w:pPr>
              <w:jc w:val="right"/>
              <w:ind w:right="381"/>
              <w:spacing w:after="0"/>
              <w:rPr>
                <w:sz w:val="20"/>
                <w:szCs w:val="20"/>
                <w:color w:val="auto"/>
              </w:rPr>
            </w:pPr>
            <w:r>
              <w:rPr>
                <w:rFonts w:ascii="Arial" w:cs="Arial" w:eastAsia="Arial" w:hAnsi="Arial"/>
                <w:sz w:val="20"/>
                <w:szCs w:val="20"/>
                <w:color w:val="auto"/>
              </w:rPr>
              <w:t>[***]</w:t>
            </w:r>
          </w:p>
        </w:tc>
        <w:tc>
          <w:tcPr>
            <w:tcW w:w="140" w:type="dxa"/>
            <w:vAlign w:val="bottom"/>
          </w:tcPr>
          <w:p>
            <w:pPr>
              <w:spacing w:after="0"/>
              <w:rPr>
                <w:sz w:val="24"/>
                <w:szCs w:val="24"/>
                <w:color w:val="auto"/>
              </w:rPr>
            </w:pPr>
          </w:p>
        </w:tc>
        <w:tc>
          <w:tcPr>
            <w:tcW w:w="580" w:type="dxa"/>
            <w:vAlign w:val="bottom"/>
            <w:tcBorders>
              <w:right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2380" w:type="dxa"/>
            <w:vAlign w:val="bottom"/>
            <w:tcBorders>
              <w:right w:val="single" w:sz="8" w:color="auto"/>
            </w:tcBorders>
            <w:gridSpan w:val="2"/>
          </w:tcPr>
          <w:p>
            <w:pPr>
              <w:jc w:val="center"/>
              <w:ind w:right="321"/>
              <w:spacing w:after="0"/>
              <w:rPr>
                <w:sz w:val="20"/>
                <w:szCs w:val="20"/>
                <w:color w:val="auto"/>
              </w:rPr>
            </w:pPr>
            <w:r>
              <w:rPr>
                <w:rFonts w:ascii="Arial" w:cs="Arial" w:eastAsia="Arial" w:hAnsi="Arial"/>
                <w:sz w:val="20"/>
                <w:szCs w:val="20"/>
                <w:color w:val="auto"/>
              </w:rPr>
              <w:t>[***]</w:t>
            </w:r>
          </w:p>
        </w:tc>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520" w:type="dxa"/>
            <w:vAlign w:val="bottom"/>
            <w:tcBorders>
              <w:right w:val="single" w:sz="8" w:color="auto"/>
            </w:tcBorders>
          </w:tcPr>
          <w:p>
            <w:pPr>
              <w:spacing w:after="0"/>
              <w:rPr>
                <w:sz w:val="24"/>
                <w:szCs w:val="24"/>
                <w:color w:val="auto"/>
              </w:rPr>
            </w:pPr>
          </w:p>
        </w:tc>
        <w:tc>
          <w:tcPr>
            <w:tcW w:w="2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60" w:type="dxa"/>
            <w:vAlign w:val="bottom"/>
            <w:tcBorders>
              <w:right w:val="single" w:sz="8" w:color="auto"/>
            </w:tcBorders>
          </w:tcPr>
          <w:p>
            <w:pPr>
              <w:spacing w:after="0"/>
              <w:rPr>
                <w:sz w:val="7"/>
                <w:szCs w:val="7"/>
                <w:color w:val="auto"/>
              </w:rPr>
            </w:pPr>
          </w:p>
        </w:tc>
        <w:tc>
          <w:tcPr>
            <w:tcW w:w="208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580" w:type="dxa"/>
            <w:vAlign w:val="bottom"/>
            <w:tcBorders>
              <w:bottom w:val="single" w:sz="8" w:color="auto"/>
              <w:right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2200" w:type="dxa"/>
            <w:vAlign w:val="bottom"/>
            <w:tcBorders>
              <w:bottom w:val="single" w:sz="8" w:color="auto"/>
              <w:right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1520" w:type="dxa"/>
            <w:vAlign w:val="bottom"/>
            <w:tcBorders>
              <w:bottom w:val="single" w:sz="8" w:color="auto"/>
              <w:right w:val="single" w:sz="8" w:color="auto"/>
            </w:tcBorders>
          </w:tcPr>
          <w:p>
            <w:pPr>
              <w:spacing w:after="0"/>
              <w:rPr>
                <w:sz w:val="7"/>
                <w:szCs w:val="7"/>
                <w:color w:val="auto"/>
              </w:rPr>
            </w:pPr>
          </w:p>
        </w:tc>
        <w:tc>
          <w:tcPr>
            <w:tcW w:w="21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30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Chart 3B – Raw material formula and base price ([***])</w:t>
      </w:r>
    </w:p>
    <w:p>
      <w:pPr>
        <w:spacing w:after="0" w:line="20" w:lineRule="exact"/>
        <w:rPr>
          <w:sz w:val="20"/>
          <w:szCs w:val="20"/>
          <w:color w:val="auto"/>
        </w:rPr>
      </w:pPr>
    </w:p>
    <w:tbl>
      <w:tblPr>
        <w:tblLayout w:type="fixed"/>
        <w:tblInd w:w="670" w:type="dxa"/>
        <w:tblCellMar>
          <w:top w:w="0" w:type="dxa"/>
          <w:left w:w="0" w:type="dxa"/>
          <w:bottom w:w="0" w:type="dxa"/>
          <w:right w:w="0" w:type="dxa"/>
        </w:tblCellMar>
      </w:tblPr>
      <w:tr>
        <w:trPr>
          <w:trHeight w:val="256"/>
        </w:trPr>
        <w:tc>
          <w:tcPr>
            <w:tcW w:w="2060" w:type="dxa"/>
            <w:vAlign w:val="bottom"/>
            <w:tcBorders>
              <w:top w:val="single" w:sz="8" w:color="auto"/>
              <w:left w:val="single" w:sz="8" w:color="auto"/>
              <w:bottom w:val="single" w:sz="8" w:color="auto"/>
              <w:right w:val="single" w:sz="8" w:color="D9D9D9"/>
            </w:tcBorders>
            <w:shd w:val="clear" w:color="auto" w:fill="D9D9D9"/>
          </w:tcPr>
          <w:p>
            <w:pPr>
              <w:ind w:left="80"/>
              <w:spacing w:after="0"/>
              <w:rPr>
                <w:sz w:val="20"/>
                <w:szCs w:val="20"/>
                <w:color w:val="auto"/>
              </w:rPr>
            </w:pPr>
            <w:r>
              <w:rPr>
                <w:rFonts w:ascii="Arial" w:cs="Arial" w:eastAsia="Arial" w:hAnsi="Arial"/>
                <w:sz w:val="20"/>
                <w:szCs w:val="20"/>
                <w:color w:val="auto"/>
              </w:rPr>
              <w:t>Definition</w:t>
            </w:r>
          </w:p>
        </w:tc>
        <w:tc>
          <w:tcPr>
            <w:tcW w:w="1540" w:type="dxa"/>
            <w:vAlign w:val="bottom"/>
            <w:tcBorders>
              <w:top w:val="single" w:sz="8" w:color="auto"/>
              <w:bottom w:val="single" w:sz="8" w:color="auto"/>
              <w:right w:val="single" w:sz="8" w:color="auto"/>
            </w:tcBorders>
            <w:shd w:val="clear" w:color="auto" w:fill="D9D9D9"/>
          </w:tcPr>
          <w:p>
            <w:pPr>
              <w:spacing w:after="0"/>
              <w:rPr>
                <w:sz w:val="22"/>
                <w:szCs w:val="22"/>
                <w:color w:val="auto"/>
              </w:rPr>
            </w:pPr>
          </w:p>
        </w:tc>
        <w:tc>
          <w:tcPr>
            <w:tcW w:w="1080" w:type="dxa"/>
            <w:vAlign w:val="bottom"/>
            <w:tcBorders>
              <w:top w:val="single" w:sz="8" w:color="auto"/>
              <w:bottom w:val="single" w:sz="8" w:color="auto"/>
              <w:right w:val="single" w:sz="8" w:color="auto"/>
            </w:tcBorders>
            <w:shd w:val="clear" w:color="auto" w:fill="D9D9D9"/>
          </w:tcPr>
          <w:p>
            <w:pPr>
              <w:jc w:val="right"/>
              <w:ind w:right="481"/>
              <w:spacing w:after="0"/>
              <w:rPr>
                <w:sz w:val="20"/>
                <w:szCs w:val="20"/>
                <w:color w:val="auto"/>
              </w:rPr>
            </w:pPr>
            <w:r>
              <w:rPr>
                <w:rFonts w:ascii="Arial" w:cs="Arial" w:eastAsia="Arial" w:hAnsi="Arial"/>
                <w:sz w:val="20"/>
                <w:szCs w:val="20"/>
                <w:color w:val="auto"/>
              </w:rPr>
              <w:t>[***]</w:t>
            </w:r>
          </w:p>
        </w:tc>
        <w:tc>
          <w:tcPr>
            <w:tcW w:w="1060" w:type="dxa"/>
            <w:vAlign w:val="bottom"/>
            <w:tcBorders>
              <w:top w:val="single" w:sz="8" w:color="auto"/>
              <w:bottom w:val="single" w:sz="8" w:color="auto"/>
              <w:right w:val="single" w:sz="8" w:color="auto"/>
            </w:tcBorders>
            <w:shd w:val="clear" w:color="auto" w:fill="D9D9D9"/>
          </w:tcPr>
          <w:p>
            <w:pPr>
              <w:jc w:val="right"/>
              <w:ind w:right="481"/>
              <w:spacing w:after="0"/>
              <w:rPr>
                <w:sz w:val="20"/>
                <w:szCs w:val="20"/>
                <w:color w:val="auto"/>
              </w:rPr>
            </w:pPr>
            <w:r>
              <w:rPr>
                <w:rFonts w:ascii="Arial" w:cs="Arial" w:eastAsia="Arial" w:hAnsi="Arial"/>
                <w:sz w:val="20"/>
                <w:szCs w:val="20"/>
                <w:color w:val="auto"/>
              </w:rPr>
              <w:t>[***]</w:t>
            </w:r>
          </w:p>
        </w:tc>
        <w:tc>
          <w:tcPr>
            <w:tcW w:w="1060" w:type="dxa"/>
            <w:vAlign w:val="bottom"/>
            <w:tcBorders>
              <w:top w:val="single" w:sz="8" w:color="auto"/>
              <w:bottom w:val="single" w:sz="8" w:color="auto"/>
              <w:right w:val="single" w:sz="8" w:color="auto"/>
            </w:tcBorders>
            <w:shd w:val="clear" w:color="auto" w:fill="D9D9D9"/>
          </w:tcPr>
          <w:p>
            <w:pPr>
              <w:jc w:val="right"/>
              <w:ind w:right="481"/>
              <w:spacing w:after="0"/>
              <w:rPr>
                <w:sz w:val="20"/>
                <w:szCs w:val="20"/>
                <w:color w:val="auto"/>
              </w:rPr>
            </w:pPr>
            <w:r>
              <w:rPr>
                <w:rFonts w:ascii="Arial" w:cs="Arial" w:eastAsia="Arial" w:hAnsi="Arial"/>
                <w:sz w:val="20"/>
                <w:szCs w:val="20"/>
                <w:color w:val="auto"/>
              </w:rPr>
              <w:t>[***]</w:t>
            </w:r>
          </w:p>
        </w:tc>
        <w:tc>
          <w:tcPr>
            <w:tcW w:w="1360" w:type="dxa"/>
            <w:vAlign w:val="bottom"/>
            <w:tcBorders>
              <w:top w:val="single" w:sz="8" w:color="auto"/>
              <w:bottom w:val="single" w:sz="8" w:color="auto"/>
              <w:right w:val="single" w:sz="8" w:color="auto"/>
            </w:tcBorders>
            <w:shd w:val="clear" w:color="auto" w:fill="D9D9D9"/>
          </w:tcPr>
          <w:p>
            <w:pPr>
              <w:jc w:val="right"/>
              <w:ind w:right="761"/>
              <w:spacing w:after="0"/>
              <w:rPr>
                <w:sz w:val="20"/>
                <w:szCs w:val="20"/>
                <w:color w:val="auto"/>
              </w:rPr>
            </w:pPr>
            <w:r>
              <w:rPr>
                <w:rFonts w:ascii="Arial" w:cs="Arial" w:eastAsia="Arial" w:hAnsi="Arial"/>
                <w:sz w:val="20"/>
                <w:szCs w:val="20"/>
                <w:color w:val="auto"/>
              </w:rPr>
              <w:t>[***]</w:t>
            </w:r>
          </w:p>
        </w:tc>
        <w:tc>
          <w:tcPr>
            <w:tcW w:w="1080" w:type="dxa"/>
            <w:vAlign w:val="bottom"/>
            <w:tcBorders>
              <w:top w:val="single" w:sz="8" w:color="auto"/>
              <w:bottom w:val="single" w:sz="8" w:color="auto"/>
              <w:right w:val="single" w:sz="8" w:color="auto"/>
            </w:tcBorders>
            <w:shd w:val="clear" w:color="auto" w:fill="D9D9D9"/>
          </w:tcPr>
          <w:p>
            <w:pPr>
              <w:jc w:val="right"/>
              <w:ind w:right="481"/>
              <w:spacing w:after="0"/>
              <w:rPr>
                <w:sz w:val="20"/>
                <w:szCs w:val="20"/>
                <w:color w:val="auto"/>
              </w:rPr>
            </w:pPr>
            <w:r>
              <w:rPr>
                <w:rFonts w:ascii="Arial" w:cs="Arial" w:eastAsia="Arial" w:hAnsi="Arial"/>
                <w:sz w:val="20"/>
                <w:szCs w:val="20"/>
                <w:color w:val="auto"/>
              </w:rPr>
              <w:t>[***]</w:t>
            </w:r>
          </w:p>
        </w:tc>
        <w:tc>
          <w:tcPr>
            <w:tcW w:w="1360" w:type="dxa"/>
            <w:vAlign w:val="bottom"/>
            <w:tcBorders>
              <w:top w:val="single" w:sz="8" w:color="auto"/>
              <w:bottom w:val="single" w:sz="8" w:color="auto"/>
              <w:right w:val="single" w:sz="8" w:color="auto"/>
            </w:tcBorders>
            <w:shd w:val="clear" w:color="auto" w:fill="D9D9D9"/>
          </w:tcPr>
          <w:p>
            <w:pPr>
              <w:jc w:val="right"/>
              <w:ind w:right="781"/>
              <w:spacing w:after="0"/>
              <w:rPr>
                <w:sz w:val="20"/>
                <w:szCs w:val="20"/>
                <w:color w:val="auto"/>
              </w:rPr>
            </w:pPr>
            <w:r>
              <w:rPr>
                <w:rFonts w:ascii="Arial" w:cs="Arial" w:eastAsia="Arial" w:hAnsi="Arial"/>
                <w:sz w:val="20"/>
                <w:szCs w:val="20"/>
                <w:color w:val="auto"/>
              </w:rPr>
              <w:t>[***]</w:t>
            </w:r>
          </w:p>
        </w:tc>
      </w:tr>
      <w:tr>
        <w:trPr>
          <w:trHeight w:val="250"/>
        </w:trPr>
        <w:tc>
          <w:tcPr>
            <w:tcW w:w="206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w:t>
            </w:r>
          </w:p>
        </w:tc>
        <w:tc>
          <w:tcPr>
            <w:tcW w:w="1540" w:type="dxa"/>
            <w:vAlign w:val="bottom"/>
            <w:tcBorders>
              <w:bottom w:val="single" w:sz="8" w:color="auto"/>
              <w:right w:val="single" w:sz="8" w:color="auto"/>
            </w:tcBorders>
          </w:tcPr>
          <w:p>
            <w:pPr>
              <w:jc w:val="right"/>
              <w:ind w:right="461"/>
              <w:spacing w:after="0"/>
              <w:rPr>
                <w:sz w:val="20"/>
                <w:szCs w:val="20"/>
                <w:color w:val="auto"/>
              </w:rPr>
            </w:pPr>
            <w:r>
              <w:rPr>
                <w:rFonts w:ascii="Arial" w:cs="Arial" w:eastAsia="Arial" w:hAnsi="Arial"/>
                <w:sz w:val="20"/>
                <w:szCs w:val="20"/>
                <w:color w:val="auto"/>
              </w:rPr>
              <w:t>[***]</w:t>
            </w:r>
          </w:p>
        </w:tc>
        <w:tc>
          <w:tcPr>
            <w:tcW w:w="1080" w:type="dxa"/>
            <w:vAlign w:val="bottom"/>
            <w:tcBorders>
              <w:bottom w:val="single" w:sz="8" w:color="auto"/>
              <w:right w:val="single" w:sz="8" w:color="auto"/>
            </w:tcBorders>
          </w:tcPr>
          <w:p>
            <w:pPr>
              <w:jc w:val="right"/>
              <w:ind w:right="481"/>
              <w:spacing w:after="0"/>
              <w:rPr>
                <w:sz w:val="20"/>
                <w:szCs w:val="20"/>
                <w:color w:val="auto"/>
              </w:rPr>
            </w:pPr>
            <w:r>
              <w:rPr>
                <w:rFonts w:ascii="Arial" w:cs="Arial" w:eastAsia="Arial" w:hAnsi="Arial"/>
                <w:sz w:val="20"/>
                <w:szCs w:val="20"/>
                <w:color w:val="auto"/>
              </w:rPr>
              <w:t>[***]</w:t>
            </w:r>
          </w:p>
        </w:tc>
        <w:tc>
          <w:tcPr>
            <w:tcW w:w="1060" w:type="dxa"/>
            <w:vAlign w:val="bottom"/>
            <w:tcBorders>
              <w:bottom w:val="single" w:sz="8" w:color="auto"/>
              <w:right w:val="single" w:sz="8" w:color="auto"/>
            </w:tcBorders>
          </w:tcPr>
          <w:p>
            <w:pPr>
              <w:jc w:val="right"/>
              <w:ind w:right="481"/>
              <w:spacing w:after="0"/>
              <w:rPr>
                <w:sz w:val="20"/>
                <w:szCs w:val="20"/>
                <w:color w:val="auto"/>
              </w:rPr>
            </w:pPr>
            <w:r>
              <w:rPr>
                <w:rFonts w:ascii="Arial" w:cs="Arial" w:eastAsia="Arial" w:hAnsi="Arial"/>
                <w:sz w:val="20"/>
                <w:szCs w:val="20"/>
                <w:color w:val="auto"/>
              </w:rPr>
              <w:t>[***]</w:t>
            </w:r>
          </w:p>
        </w:tc>
        <w:tc>
          <w:tcPr>
            <w:tcW w:w="1060" w:type="dxa"/>
            <w:vAlign w:val="bottom"/>
            <w:tcBorders>
              <w:bottom w:val="single" w:sz="8" w:color="auto"/>
              <w:right w:val="single" w:sz="8" w:color="auto"/>
            </w:tcBorders>
          </w:tcPr>
          <w:p>
            <w:pPr>
              <w:jc w:val="right"/>
              <w:ind w:right="481"/>
              <w:spacing w:after="0"/>
              <w:rPr>
                <w:sz w:val="20"/>
                <w:szCs w:val="20"/>
                <w:color w:val="auto"/>
              </w:rPr>
            </w:pPr>
            <w:r>
              <w:rPr>
                <w:rFonts w:ascii="Arial" w:cs="Arial" w:eastAsia="Arial" w:hAnsi="Arial"/>
                <w:sz w:val="20"/>
                <w:szCs w:val="20"/>
                <w:color w:val="auto"/>
              </w:rPr>
              <w:t>[***]</w:t>
            </w:r>
          </w:p>
        </w:tc>
        <w:tc>
          <w:tcPr>
            <w:tcW w:w="1360" w:type="dxa"/>
            <w:vAlign w:val="bottom"/>
            <w:tcBorders>
              <w:bottom w:val="single" w:sz="8" w:color="auto"/>
              <w:right w:val="single" w:sz="8" w:color="auto"/>
            </w:tcBorders>
          </w:tcPr>
          <w:p>
            <w:pPr>
              <w:jc w:val="right"/>
              <w:ind w:right="761"/>
              <w:spacing w:after="0"/>
              <w:rPr>
                <w:sz w:val="20"/>
                <w:szCs w:val="20"/>
                <w:color w:val="auto"/>
              </w:rPr>
            </w:pPr>
            <w:r>
              <w:rPr>
                <w:rFonts w:ascii="Arial" w:cs="Arial" w:eastAsia="Arial" w:hAnsi="Arial"/>
                <w:sz w:val="20"/>
                <w:szCs w:val="20"/>
                <w:color w:val="auto"/>
              </w:rPr>
              <w:t>[***]</w:t>
            </w:r>
          </w:p>
        </w:tc>
        <w:tc>
          <w:tcPr>
            <w:tcW w:w="1080" w:type="dxa"/>
            <w:vAlign w:val="bottom"/>
            <w:tcBorders>
              <w:bottom w:val="single" w:sz="8" w:color="auto"/>
              <w:right w:val="single" w:sz="8" w:color="auto"/>
            </w:tcBorders>
          </w:tcPr>
          <w:p>
            <w:pPr>
              <w:jc w:val="right"/>
              <w:ind w:right="481"/>
              <w:spacing w:after="0"/>
              <w:rPr>
                <w:sz w:val="20"/>
                <w:szCs w:val="20"/>
                <w:color w:val="auto"/>
              </w:rPr>
            </w:pPr>
            <w:r>
              <w:rPr>
                <w:rFonts w:ascii="Arial" w:cs="Arial" w:eastAsia="Arial" w:hAnsi="Arial"/>
                <w:sz w:val="20"/>
                <w:szCs w:val="20"/>
                <w:color w:val="auto"/>
              </w:rPr>
              <w:t>[***]</w:t>
            </w:r>
          </w:p>
        </w:tc>
        <w:tc>
          <w:tcPr>
            <w:tcW w:w="1360" w:type="dxa"/>
            <w:vAlign w:val="bottom"/>
            <w:tcBorders>
              <w:bottom w:val="single" w:sz="8" w:color="auto"/>
              <w:right w:val="single" w:sz="8" w:color="auto"/>
            </w:tcBorders>
          </w:tcPr>
          <w:p>
            <w:pPr>
              <w:spacing w:after="0"/>
              <w:rPr>
                <w:sz w:val="21"/>
                <w:szCs w:val="21"/>
                <w:color w:val="auto"/>
              </w:rPr>
            </w:pPr>
          </w:p>
        </w:tc>
      </w:tr>
      <w:tr>
        <w:trPr>
          <w:trHeight w:val="250"/>
        </w:trPr>
        <w:tc>
          <w:tcPr>
            <w:tcW w:w="206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w:t>
            </w:r>
          </w:p>
        </w:tc>
        <w:tc>
          <w:tcPr>
            <w:tcW w:w="1540" w:type="dxa"/>
            <w:vAlign w:val="bottom"/>
            <w:tcBorders>
              <w:bottom w:val="single" w:sz="8" w:color="auto"/>
              <w:right w:val="single" w:sz="8" w:color="auto"/>
            </w:tcBorders>
          </w:tcPr>
          <w:p>
            <w:pPr>
              <w:jc w:val="right"/>
              <w:ind w:right="461"/>
              <w:spacing w:after="0"/>
              <w:rPr>
                <w:sz w:val="20"/>
                <w:szCs w:val="20"/>
                <w:color w:val="auto"/>
              </w:rPr>
            </w:pPr>
            <w:r>
              <w:rPr>
                <w:rFonts w:ascii="Arial" w:cs="Arial" w:eastAsia="Arial" w:hAnsi="Arial"/>
                <w:sz w:val="20"/>
                <w:szCs w:val="20"/>
                <w:color w:val="auto"/>
              </w:rPr>
              <w:t>[***]</w:t>
            </w:r>
          </w:p>
        </w:tc>
        <w:tc>
          <w:tcPr>
            <w:tcW w:w="1080" w:type="dxa"/>
            <w:vAlign w:val="bottom"/>
            <w:tcBorders>
              <w:bottom w:val="single" w:sz="8" w:color="auto"/>
              <w:right w:val="single" w:sz="8" w:color="auto"/>
            </w:tcBorders>
          </w:tcPr>
          <w:p>
            <w:pPr>
              <w:jc w:val="right"/>
              <w:ind w:right="481"/>
              <w:spacing w:after="0"/>
              <w:rPr>
                <w:sz w:val="20"/>
                <w:szCs w:val="20"/>
                <w:color w:val="auto"/>
              </w:rPr>
            </w:pPr>
            <w:r>
              <w:rPr>
                <w:rFonts w:ascii="Arial" w:cs="Arial" w:eastAsia="Arial" w:hAnsi="Arial"/>
                <w:sz w:val="20"/>
                <w:szCs w:val="20"/>
                <w:color w:val="auto"/>
              </w:rPr>
              <w:t>[***]</w:t>
            </w:r>
          </w:p>
        </w:tc>
        <w:tc>
          <w:tcPr>
            <w:tcW w:w="1060" w:type="dxa"/>
            <w:vAlign w:val="bottom"/>
            <w:tcBorders>
              <w:bottom w:val="single" w:sz="8" w:color="auto"/>
              <w:right w:val="single" w:sz="8" w:color="auto"/>
            </w:tcBorders>
          </w:tcPr>
          <w:p>
            <w:pPr>
              <w:jc w:val="right"/>
              <w:ind w:right="481"/>
              <w:spacing w:after="0"/>
              <w:rPr>
                <w:sz w:val="20"/>
                <w:szCs w:val="20"/>
                <w:color w:val="auto"/>
              </w:rPr>
            </w:pPr>
            <w:r>
              <w:rPr>
                <w:rFonts w:ascii="Arial" w:cs="Arial" w:eastAsia="Arial" w:hAnsi="Arial"/>
                <w:sz w:val="20"/>
                <w:szCs w:val="20"/>
                <w:color w:val="auto"/>
              </w:rPr>
              <w:t>[***]</w:t>
            </w:r>
          </w:p>
        </w:tc>
        <w:tc>
          <w:tcPr>
            <w:tcW w:w="1060" w:type="dxa"/>
            <w:vAlign w:val="bottom"/>
            <w:tcBorders>
              <w:bottom w:val="single" w:sz="8" w:color="auto"/>
              <w:right w:val="single" w:sz="8" w:color="auto"/>
            </w:tcBorders>
          </w:tcPr>
          <w:p>
            <w:pPr>
              <w:jc w:val="right"/>
              <w:ind w:right="481"/>
              <w:spacing w:after="0"/>
              <w:rPr>
                <w:sz w:val="20"/>
                <w:szCs w:val="20"/>
                <w:color w:val="auto"/>
              </w:rPr>
            </w:pPr>
            <w:r>
              <w:rPr>
                <w:rFonts w:ascii="Arial" w:cs="Arial" w:eastAsia="Arial" w:hAnsi="Arial"/>
                <w:sz w:val="20"/>
                <w:szCs w:val="20"/>
                <w:color w:val="auto"/>
              </w:rPr>
              <w:t>[***]</w:t>
            </w:r>
          </w:p>
        </w:tc>
        <w:tc>
          <w:tcPr>
            <w:tcW w:w="1360" w:type="dxa"/>
            <w:vAlign w:val="bottom"/>
            <w:tcBorders>
              <w:bottom w:val="single" w:sz="8" w:color="auto"/>
              <w:right w:val="single" w:sz="8" w:color="auto"/>
            </w:tcBorders>
          </w:tcPr>
          <w:p>
            <w:pPr>
              <w:jc w:val="right"/>
              <w:ind w:right="761"/>
              <w:spacing w:after="0"/>
              <w:rPr>
                <w:sz w:val="20"/>
                <w:szCs w:val="20"/>
                <w:color w:val="auto"/>
              </w:rPr>
            </w:pPr>
            <w:r>
              <w:rPr>
                <w:rFonts w:ascii="Arial" w:cs="Arial" w:eastAsia="Arial" w:hAnsi="Arial"/>
                <w:sz w:val="20"/>
                <w:szCs w:val="20"/>
                <w:color w:val="auto"/>
              </w:rPr>
              <w:t>[***]</w:t>
            </w:r>
          </w:p>
        </w:tc>
        <w:tc>
          <w:tcPr>
            <w:tcW w:w="1080" w:type="dxa"/>
            <w:vAlign w:val="bottom"/>
            <w:tcBorders>
              <w:bottom w:val="single" w:sz="8" w:color="auto"/>
              <w:right w:val="single" w:sz="8" w:color="auto"/>
            </w:tcBorders>
          </w:tcPr>
          <w:p>
            <w:pPr>
              <w:jc w:val="right"/>
              <w:ind w:right="481"/>
              <w:spacing w:after="0"/>
              <w:rPr>
                <w:sz w:val="20"/>
                <w:szCs w:val="20"/>
                <w:color w:val="auto"/>
              </w:rPr>
            </w:pPr>
            <w:r>
              <w:rPr>
                <w:rFonts w:ascii="Arial" w:cs="Arial" w:eastAsia="Arial" w:hAnsi="Arial"/>
                <w:sz w:val="20"/>
                <w:szCs w:val="20"/>
                <w:color w:val="auto"/>
              </w:rPr>
              <w:t>[***]</w:t>
            </w:r>
          </w:p>
        </w:tc>
        <w:tc>
          <w:tcPr>
            <w:tcW w:w="1360" w:type="dxa"/>
            <w:vAlign w:val="bottom"/>
            <w:tcBorders>
              <w:bottom w:val="single" w:sz="8" w:color="auto"/>
              <w:right w:val="single" w:sz="8" w:color="auto"/>
            </w:tcBorders>
          </w:tcPr>
          <w:p>
            <w:pPr>
              <w:spacing w:after="0"/>
              <w:rPr>
                <w:sz w:val="21"/>
                <w:szCs w:val="21"/>
                <w:color w:val="auto"/>
              </w:rPr>
            </w:pPr>
          </w:p>
        </w:tc>
      </w:tr>
      <w:tr>
        <w:trPr>
          <w:trHeight w:val="250"/>
        </w:trPr>
        <w:tc>
          <w:tcPr>
            <w:tcW w:w="206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w:t>
            </w:r>
          </w:p>
        </w:tc>
        <w:tc>
          <w:tcPr>
            <w:tcW w:w="1540" w:type="dxa"/>
            <w:vAlign w:val="bottom"/>
            <w:tcBorders>
              <w:bottom w:val="single" w:sz="8" w:color="auto"/>
              <w:right w:val="single" w:sz="8" w:color="auto"/>
            </w:tcBorders>
          </w:tcPr>
          <w:p>
            <w:pPr>
              <w:jc w:val="right"/>
              <w:ind w:right="461"/>
              <w:spacing w:after="0"/>
              <w:rPr>
                <w:sz w:val="20"/>
                <w:szCs w:val="20"/>
                <w:color w:val="auto"/>
              </w:rPr>
            </w:pPr>
            <w:r>
              <w:rPr>
                <w:rFonts w:ascii="Arial" w:cs="Arial" w:eastAsia="Arial" w:hAnsi="Arial"/>
                <w:sz w:val="20"/>
                <w:szCs w:val="20"/>
                <w:color w:val="auto"/>
              </w:rPr>
              <w:t>[***]</w:t>
            </w:r>
          </w:p>
        </w:tc>
        <w:tc>
          <w:tcPr>
            <w:tcW w:w="1080" w:type="dxa"/>
            <w:vAlign w:val="bottom"/>
            <w:tcBorders>
              <w:bottom w:val="single" w:sz="8" w:color="auto"/>
              <w:right w:val="single" w:sz="8" w:color="auto"/>
            </w:tcBorders>
          </w:tcPr>
          <w:p>
            <w:pPr>
              <w:jc w:val="right"/>
              <w:ind w:right="481"/>
              <w:spacing w:after="0"/>
              <w:rPr>
                <w:sz w:val="20"/>
                <w:szCs w:val="20"/>
                <w:color w:val="auto"/>
              </w:rPr>
            </w:pPr>
            <w:r>
              <w:rPr>
                <w:rFonts w:ascii="Arial" w:cs="Arial" w:eastAsia="Arial" w:hAnsi="Arial"/>
                <w:sz w:val="20"/>
                <w:szCs w:val="20"/>
                <w:color w:val="auto"/>
              </w:rPr>
              <w:t>[***]</w:t>
            </w:r>
          </w:p>
        </w:tc>
        <w:tc>
          <w:tcPr>
            <w:tcW w:w="1060" w:type="dxa"/>
            <w:vAlign w:val="bottom"/>
            <w:tcBorders>
              <w:bottom w:val="single" w:sz="8" w:color="auto"/>
              <w:right w:val="single" w:sz="8" w:color="auto"/>
            </w:tcBorders>
          </w:tcPr>
          <w:p>
            <w:pPr>
              <w:jc w:val="right"/>
              <w:ind w:right="481"/>
              <w:spacing w:after="0"/>
              <w:rPr>
                <w:sz w:val="20"/>
                <w:szCs w:val="20"/>
                <w:color w:val="auto"/>
              </w:rPr>
            </w:pPr>
            <w:r>
              <w:rPr>
                <w:rFonts w:ascii="Arial" w:cs="Arial" w:eastAsia="Arial" w:hAnsi="Arial"/>
                <w:sz w:val="20"/>
                <w:szCs w:val="20"/>
                <w:color w:val="auto"/>
              </w:rPr>
              <w:t>[***]</w:t>
            </w:r>
          </w:p>
        </w:tc>
        <w:tc>
          <w:tcPr>
            <w:tcW w:w="1060" w:type="dxa"/>
            <w:vAlign w:val="bottom"/>
            <w:tcBorders>
              <w:bottom w:val="single" w:sz="8" w:color="auto"/>
              <w:right w:val="single" w:sz="8" w:color="auto"/>
            </w:tcBorders>
          </w:tcPr>
          <w:p>
            <w:pPr>
              <w:jc w:val="right"/>
              <w:ind w:right="481"/>
              <w:spacing w:after="0"/>
              <w:rPr>
                <w:sz w:val="20"/>
                <w:szCs w:val="20"/>
                <w:color w:val="auto"/>
              </w:rPr>
            </w:pPr>
            <w:r>
              <w:rPr>
                <w:rFonts w:ascii="Arial" w:cs="Arial" w:eastAsia="Arial" w:hAnsi="Arial"/>
                <w:sz w:val="20"/>
                <w:szCs w:val="20"/>
                <w:color w:val="auto"/>
              </w:rPr>
              <w:t>[***]</w:t>
            </w:r>
          </w:p>
        </w:tc>
        <w:tc>
          <w:tcPr>
            <w:tcW w:w="1360" w:type="dxa"/>
            <w:vAlign w:val="bottom"/>
            <w:tcBorders>
              <w:bottom w:val="single" w:sz="8" w:color="auto"/>
              <w:right w:val="single" w:sz="8" w:color="auto"/>
            </w:tcBorders>
          </w:tcPr>
          <w:p>
            <w:pPr>
              <w:jc w:val="right"/>
              <w:ind w:right="761"/>
              <w:spacing w:after="0"/>
              <w:rPr>
                <w:sz w:val="20"/>
                <w:szCs w:val="20"/>
                <w:color w:val="auto"/>
              </w:rPr>
            </w:pPr>
            <w:r>
              <w:rPr>
                <w:rFonts w:ascii="Arial" w:cs="Arial" w:eastAsia="Arial" w:hAnsi="Arial"/>
                <w:sz w:val="20"/>
                <w:szCs w:val="20"/>
                <w:color w:val="auto"/>
              </w:rPr>
              <w:t>[***]</w:t>
            </w:r>
          </w:p>
        </w:tc>
        <w:tc>
          <w:tcPr>
            <w:tcW w:w="1080" w:type="dxa"/>
            <w:vAlign w:val="bottom"/>
            <w:tcBorders>
              <w:bottom w:val="single" w:sz="8" w:color="auto"/>
              <w:right w:val="single" w:sz="8" w:color="auto"/>
            </w:tcBorders>
          </w:tcPr>
          <w:p>
            <w:pPr>
              <w:jc w:val="right"/>
              <w:ind w:right="481"/>
              <w:spacing w:after="0"/>
              <w:rPr>
                <w:sz w:val="20"/>
                <w:szCs w:val="20"/>
                <w:color w:val="auto"/>
              </w:rPr>
            </w:pPr>
            <w:r>
              <w:rPr>
                <w:rFonts w:ascii="Arial" w:cs="Arial" w:eastAsia="Arial" w:hAnsi="Arial"/>
                <w:sz w:val="20"/>
                <w:szCs w:val="20"/>
                <w:color w:val="auto"/>
              </w:rPr>
              <w:t>[***]</w:t>
            </w:r>
          </w:p>
        </w:tc>
        <w:tc>
          <w:tcPr>
            <w:tcW w:w="1360" w:type="dxa"/>
            <w:vAlign w:val="bottom"/>
            <w:tcBorders>
              <w:bottom w:val="single" w:sz="8" w:color="auto"/>
              <w:right w:val="single" w:sz="8" w:color="auto"/>
            </w:tcBorders>
          </w:tcPr>
          <w:p>
            <w:pPr>
              <w:jc w:val="right"/>
              <w:ind w:right="781"/>
              <w:spacing w:after="0"/>
              <w:rPr>
                <w:sz w:val="20"/>
                <w:szCs w:val="20"/>
                <w:color w:val="auto"/>
              </w:rPr>
            </w:pPr>
            <w:r>
              <w:rPr>
                <w:rFonts w:ascii="Arial" w:cs="Arial" w:eastAsia="Arial" w:hAnsi="Arial"/>
                <w:sz w:val="20"/>
                <w:szCs w:val="20"/>
                <w:color w:val="auto"/>
              </w:rPr>
              <w:t>[***]</w:t>
            </w:r>
          </w:p>
        </w:tc>
      </w:tr>
      <w:tr>
        <w:trPr>
          <w:trHeight w:val="550"/>
        </w:trPr>
        <w:tc>
          <w:tcPr>
            <w:tcW w:w="2060" w:type="dxa"/>
            <w:vAlign w:val="bottom"/>
            <w:tcBorders>
              <w:bottom w:val="single" w:sz="8" w:color="auto"/>
            </w:tcBorders>
          </w:tcPr>
          <w:p>
            <w:pPr>
              <w:spacing w:after="0"/>
              <w:rPr>
                <w:sz w:val="20"/>
                <w:szCs w:val="20"/>
                <w:color w:val="auto"/>
              </w:rPr>
            </w:pPr>
            <w:r>
              <w:rPr>
                <w:rFonts w:ascii="Arial" w:cs="Arial" w:eastAsia="Arial" w:hAnsi="Arial"/>
                <w:sz w:val="20"/>
                <w:szCs w:val="20"/>
                <w:i w:val="1"/>
                <w:iCs w:val="1"/>
                <w:color w:val="auto"/>
              </w:rPr>
              <w:t>Example only, for [***]</w:t>
            </w:r>
          </w:p>
        </w:tc>
        <w:tc>
          <w:tcPr>
            <w:tcW w:w="15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r>
      <w:tr>
        <w:trPr>
          <w:trHeight w:val="247"/>
        </w:trPr>
        <w:tc>
          <w:tcPr>
            <w:tcW w:w="2060" w:type="dxa"/>
            <w:vAlign w:val="bottom"/>
            <w:tcBorders>
              <w:left w:val="single" w:sz="8" w:color="auto"/>
              <w:bottom w:val="single" w:sz="8" w:color="auto"/>
              <w:right w:val="single" w:sz="8" w:color="D9D9D9"/>
            </w:tcBorders>
            <w:shd w:val="clear" w:color="auto" w:fill="D9D9D9"/>
          </w:tcPr>
          <w:p>
            <w:pPr>
              <w:ind w:left="80"/>
              <w:spacing w:after="0"/>
              <w:rPr>
                <w:sz w:val="20"/>
                <w:szCs w:val="20"/>
                <w:color w:val="auto"/>
              </w:rPr>
            </w:pPr>
            <w:r>
              <w:rPr>
                <w:rFonts w:ascii="Arial" w:cs="Arial" w:eastAsia="Arial" w:hAnsi="Arial"/>
                <w:sz w:val="20"/>
                <w:szCs w:val="20"/>
                <w:color w:val="auto"/>
              </w:rPr>
              <w:t>Definition</w:t>
            </w:r>
          </w:p>
        </w:tc>
        <w:tc>
          <w:tcPr>
            <w:tcW w:w="1540" w:type="dxa"/>
            <w:vAlign w:val="bottom"/>
            <w:tcBorders>
              <w:bottom w:val="single" w:sz="8" w:color="auto"/>
              <w:right w:val="single" w:sz="8" w:color="auto"/>
            </w:tcBorders>
            <w:shd w:val="clear" w:color="auto" w:fill="D9D9D9"/>
          </w:tcPr>
          <w:p>
            <w:pPr>
              <w:spacing w:after="0"/>
              <w:rPr>
                <w:sz w:val="21"/>
                <w:szCs w:val="21"/>
                <w:color w:val="auto"/>
              </w:rPr>
            </w:pPr>
          </w:p>
        </w:tc>
        <w:tc>
          <w:tcPr>
            <w:tcW w:w="1080" w:type="dxa"/>
            <w:vAlign w:val="bottom"/>
            <w:tcBorders>
              <w:bottom w:val="single" w:sz="8" w:color="auto"/>
              <w:right w:val="single" w:sz="8" w:color="auto"/>
            </w:tcBorders>
            <w:shd w:val="clear" w:color="auto" w:fill="D9D9D9"/>
          </w:tcPr>
          <w:p>
            <w:pPr>
              <w:jc w:val="right"/>
              <w:ind w:right="481"/>
              <w:spacing w:after="0"/>
              <w:rPr>
                <w:sz w:val="20"/>
                <w:szCs w:val="20"/>
                <w:color w:val="auto"/>
              </w:rPr>
            </w:pPr>
            <w:r>
              <w:rPr>
                <w:rFonts w:ascii="Arial" w:cs="Arial" w:eastAsia="Arial" w:hAnsi="Arial"/>
                <w:sz w:val="20"/>
                <w:szCs w:val="20"/>
                <w:color w:val="auto"/>
              </w:rPr>
              <w:t>[***]</w:t>
            </w:r>
          </w:p>
        </w:tc>
        <w:tc>
          <w:tcPr>
            <w:tcW w:w="1060" w:type="dxa"/>
            <w:vAlign w:val="bottom"/>
            <w:tcBorders>
              <w:bottom w:val="single" w:sz="8" w:color="auto"/>
              <w:right w:val="single" w:sz="8" w:color="auto"/>
            </w:tcBorders>
            <w:shd w:val="clear" w:color="auto" w:fill="D9D9D9"/>
          </w:tcPr>
          <w:p>
            <w:pPr>
              <w:jc w:val="right"/>
              <w:ind w:right="481"/>
              <w:spacing w:after="0"/>
              <w:rPr>
                <w:sz w:val="20"/>
                <w:szCs w:val="20"/>
                <w:color w:val="auto"/>
              </w:rPr>
            </w:pPr>
            <w:r>
              <w:rPr>
                <w:rFonts w:ascii="Arial" w:cs="Arial" w:eastAsia="Arial" w:hAnsi="Arial"/>
                <w:sz w:val="20"/>
                <w:szCs w:val="20"/>
                <w:color w:val="auto"/>
              </w:rPr>
              <w:t>[***]</w:t>
            </w:r>
          </w:p>
        </w:tc>
        <w:tc>
          <w:tcPr>
            <w:tcW w:w="1060" w:type="dxa"/>
            <w:vAlign w:val="bottom"/>
            <w:tcBorders>
              <w:bottom w:val="single" w:sz="8" w:color="auto"/>
              <w:right w:val="single" w:sz="8" w:color="auto"/>
            </w:tcBorders>
            <w:shd w:val="clear" w:color="auto" w:fill="D9D9D9"/>
          </w:tcPr>
          <w:p>
            <w:pPr>
              <w:jc w:val="right"/>
              <w:ind w:right="481"/>
              <w:spacing w:after="0"/>
              <w:rPr>
                <w:sz w:val="20"/>
                <w:szCs w:val="20"/>
                <w:color w:val="auto"/>
              </w:rPr>
            </w:pPr>
            <w:r>
              <w:rPr>
                <w:rFonts w:ascii="Arial" w:cs="Arial" w:eastAsia="Arial" w:hAnsi="Arial"/>
                <w:sz w:val="20"/>
                <w:szCs w:val="20"/>
                <w:color w:val="auto"/>
              </w:rPr>
              <w:t>[***]</w:t>
            </w:r>
          </w:p>
        </w:tc>
        <w:tc>
          <w:tcPr>
            <w:tcW w:w="1360" w:type="dxa"/>
            <w:vAlign w:val="bottom"/>
            <w:tcBorders>
              <w:bottom w:val="single" w:sz="8" w:color="auto"/>
              <w:right w:val="single" w:sz="8" w:color="auto"/>
            </w:tcBorders>
            <w:shd w:val="clear" w:color="auto" w:fill="D9D9D9"/>
          </w:tcPr>
          <w:p>
            <w:pPr>
              <w:jc w:val="right"/>
              <w:ind w:right="761"/>
              <w:spacing w:after="0"/>
              <w:rPr>
                <w:sz w:val="20"/>
                <w:szCs w:val="20"/>
                <w:color w:val="auto"/>
              </w:rPr>
            </w:pPr>
            <w:r>
              <w:rPr>
                <w:rFonts w:ascii="Arial" w:cs="Arial" w:eastAsia="Arial" w:hAnsi="Arial"/>
                <w:sz w:val="20"/>
                <w:szCs w:val="20"/>
                <w:color w:val="auto"/>
              </w:rPr>
              <w:t>[***]</w:t>
            </w:r>
          </w:p>
        </w:tc>
        <w:tc>
          <w:tcPr>
            <w:tcW w:w="1080" w:type="dxa"/>
            <w:vAlign w:val="bottom"/>
            <w:tcBorders>
              <w:bottom w:val="single" w:sz="8" w:color="auto"/>
              <w:right w:val="single" w:sz="8" w:color="auto"/>
            </w:tcBorders>
            <w:shd w:val="clear" w:color="auto" w:fill="D9D9D9"/>
          </w:tcPr>
          <w:p>
            <w:pPr>
              <w:jc w:val="right"/>
              <w:ind w:right="481"/>
              <w:spacing w:after="0"/>
              <w:rPr>
                <w:sz w:val="20"/>
                <w:szCs w:val="20"/>
                <w:color w:val="auto"/>
              </w:rPr>
            </w:pPr>
            <w:r>
              <w:rPr>
                <w:rFonts w:ascii="Arial" w:cs="Arial" w:eastAsia="Arial" w:hAnsi="Arial"/>
                <w:sz w:val="20"/>
                <w:szCs w:val="20"/>
                <w:color w:val="auto"/>
              </w:rPr>
              <w:t>[***]</w:t>
            </w:r>
          </w:p>
        </w:tc>
        <w:tc>
          <w:tcPr>
            <w:tcW w:w="1360" w:type="dxa"/>
            <w:vAlign w:val="bottom"/>
            <w:tcBorders>
              <w:bottom w:val="single" w:sz="8" w:color="auto"/>
              <w:right w:val="single" w:sz="8" w:color="auto"/>
            </w:tcBorders>
            <w:shd w:val="clear" w:color="auto" w:fill="D9D9D9"/>
          </w:tcPr>
          <w:p>
            <w:pPr>
              <w:jc w:val="right"/>
              <w:ind w:right="781"/>
              <w:spacing w:after="0"/>
              <w:rPr>
                <w:sz w:val="20"/>
                <w:szCs w:val="20"/>
                <w:color w:val="auto"/>
              </w:rPr>
            </w:pPr>
            <w:r>
              <w:rPr>
                <w:rFonts w:ascii="Arial" w:cs="Arial" w:eastAsia="Arial" w:hAnsi="Arial"/>
                <w:sz w:val="20"/>
                <w:szCs w:val="20"/>
                <w:color w:val="auto"/>
              </w:rPr>
              <w:t>[***]</w:t>
            </w:r>
          </w:p>
        </w:tc>
      </w:tr>
      <w:tr>
        <w:trPr>
          <w:trHeight w:val="250"/>
        </w:trPr>
        <w:tc>
          <w:tcPr>
            <w:tcW w:w="206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w:t>
            </w:r>
          </w:p>
        </w:tc>
        <w:tc>
          <w:tcPr>
            <w:tcW w:w="1540" w:type="dxa"/>
            <w:vAlign w:val="bottom"/>
            <w:tcBorders>
              <w:bottom w:val="single" w:sz="8" w:color="auto"/>
              <w:right w:val="single" w:sz="8" w:color="auto"/>
            </w:tcBorders>
          </w:tcPr>
          <w:p>
            <w:pPr>
              <w:jc w:val="right"/>
              <w:ind w:right="461"/>
              <w:spacing w:after="0"/>
              <w:rPr>
                <w:sz w:val="20"/>
                <w:szCs w:val="20"/>
                <w:color w:val="auto"/>
              </w:rPr>
            </w:pPr>
            <w:r>
              <w:rPr>
                <w:rFonts w:ascii="Arial" w:cs="Arial" w:eastAsia="Arial" w:hAnsi="Arial"/>
                <w:sz w:val="20"/>
                <w:szCs w:val="20"/>
                <w:color w:val="auto"/>
              </w:rPr>
              <w:t>[***]</w:t>
            </w:r>
          </w:p>
        </w:tc>
        <w:tc>
          <w:tcPr>
            <w:tcW w:w="1080" w:type="dxa"/>
            <w:vAlign w:val="bottom"/>
            <w:tcBorders>
              <w:bottom w:val="single" w:sz="8" w:color="auto"/>
              <w:right w:val="single" w:sz="8" w:color="auto"/>
            </w:tcBorders>
          </w:tcPr>
          <w:p>
            <w:pPr>
              <w:jc w:val="right"/>
              <w:ind w:right="481"/>
              <w:spacing w:after="0"/>
              <w:rPr>
                <w:sz w:val="20"/>
                <w:szCs w:val="20"/>
                <w:color w:val="auto"/>
              </w:rPr>
            </w:pPr>
            <w:r>
              <w:rPr>
                <w:rFonts w:ascii="Arial" w:cs="Arial" w:eastAsia="Arial" w:hAnsi="Arial"/>
                <w:sz w:val="20"/>
                <w:szCs w:val="20"/>
                <w:color w:val="auto"/>
              </w:rPr>
              <w:t>[***]</w:t>
            </w:r>
          </w:p>
        </w:tc>
        <w:tc>
          <w:tcPr>
            <w:tcW w:w="1060" w:type="dxa"/>
            <w:vAlign w:val="bottom"/>
            <w:tcBorders>
              <w:bottom w:val="single" w:sz="8" w:color="auto"/>
              <w:right w:val="single" w:sz="8" w:color="auto"/>
            </w:tcBorders>
          </w:tcPr>
          <w:p>
            <w:pPr>
              <w:jc w:val="right"/>
              <w:ind w:right="481"/>
              <w:spacing w:after="0"/>
              <w:rPr>
                <w:sz w:val="20"/>
                <w:szCs w:val="20"/>
                <w:color w:val="auto"/>
              </w:rPr>
            </w:pPr>
            <w:r>
              <w:rPr>
                <w:rFonts w:ascii="Arial" w:cs="Arial" w:eastAsia="Arial" w:hAnsi="Arial"/>
                <w:sz w:val="20"/>
                <w:szCs w:val="20"/>
                <w:color w:val="auto"/>
              </w:rPr>
              <w:t>[***]</w:t>
            </w:r>
          </w:p>
        </w:tc>
        <w:tc>
          <w:tcPr>
            <w:tcW w:w="1060" w:type="dxa"/>
            <w:vAlign w:val="bottom"/>
            <w:tcBorders>
              <w:bottom w:val="single" w:sz="8" w:color="auto"/>
              <w:right w:val="single" w:sz="8" w:color="auto"/>
            </w:tcBorders>
          </w:tcPr>
          <w:p>
            <w:pPr>
              <w:jc w:val="right"/>
              <w:ind w:right="481"/>
              <w:spacing w:after="0"/>
              <w:rPr>
                <w:sz w:val="20"/>
                <w:szCs w:val="20"/>
                <w:color w:val="auto"/>
              </w:rPr>
            </w:pPr>
            <w:r>
              <w:rPr>
                <w:rFonts w:ascii="Arial" w:cs="Arial" w:eastAsia="Arial" w:hAnsi="Arial"/>
                <w:sz w:val="20"/>
                <w:szCs w:val="20"/>
                <w:color w:val="auto"/>
              </w:rPr>
              <w:t>[***]</w:t>
            </w:r>
          </w:p>
        </w:tc>
        <w:tc>
          <w:tcPr>
            <w:tcW w:w="1360" w:type="dxa"/>
            <w:vAlign w:val="bottom"/>
            <w:tcBorders>
              <w:bottom w:val="single" w:sz="8" w:color="auto"/>
              <w:right w:val="single" w:sz="8" w:color="auto"/>
            </w:tcBorders>
          </w:tcPr>
          <w:p>
            <w:pPr>
              <w:jc w:val="right"/>
              <w:ind w:right="761"/>
              <w:spacing w:after="0"/>
              <w:rPr>
                <w:sz w:val="20"/>
                <w:szCs w:val="20"/>
                <w:color w:val="auto"/>
              </w:rPr>
            </w:pPr>
            <w:r>
              <w:rPr>
                <w:rFonts w:ascii="Arial" w:cs="Arial" w:eastAsia="Arial" w:hAnsi="Arial"/>
                <w:sz w:val="20"/>
                <w:szCs w:val="20"/>
                <w:color w:val="auto"/>
              </w:rPr>
              <w:t>[***]</w:t>
            </w:r>
          </w:p>
        </w:tc>
        <w:tc>
          <w:tcPr>
            <w:tcW w:w="1080" w:type="dxa"/>
            <w:vAlign w:val="bottom"/>
            <w:tcBorders>
              <w:bottom w:val="single" w:sz="8" w:color="auto"/>
              <w:right w:val="single" w:sz="8" w:color="auto"/>
            </w:tcBorders>
          </w:tcPr>
          <w:p>
            <w:pPr>
              <w:jc w:val="right"/>
              <w:ind w:right="481"/>
              <w:spacing w:after="0"/>
              <w:rPr>
                <w:sz w:val="20"/>
                <w:szCs w:val="20"/>
                <w:color w:val="auto"/>
              </w:rPr>
            </w:pPr>
            <w:r>
              <w:rPr>
                <w:rFonts w:ascii="Arial" w:cs="Arial" w:eastAsia="Arial" w:hAnsi="Arial"/>
                <w:sz w:val="20"/>
                <w:szCs w:val="20"/>
                <w:color w:val="auto"/>
              </w:rPr>
              <w:t>[***]</w:t>
            </w:r>
          </w:p>
        </w:tc>
        <w:tc>
          <w:tcPr>
            <w:tcW w:w="1360" w:type="dxa"/>
            <w:vAlign w:val="bottom"/>
            <w:tcBorders>
              <w:bottom w:val="single" w:sz="8" w:color="auto"/>
              <w:right w:val="single" w:sz="8" w:color="auto"/>
            </w:tcBorders>
          </w:tcPr>
          <w:p>
            <w:pPr>
              <w:spacing w:after="0"/>
              <w:rPr>
                <w:sz w:val="21"/>
                <w:szCs w:val="21"/>
                <w:color w:val="auto"/>
              </w:rPr>
            </w:pPr>
          </w:p>
        </w:tc>
      </w:tr>
      <w:tr>
        <w:trPr>
          <w:trHeight w:val="250"/>
        </w:trPr>
        <w:tc>
          <w:tcPr>
            <w:tcW w:w="206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w:t>
            </w:r>
          </w:p>
        </w:tc>
        <w:tc>
          <w:tcPr>
            <w:tcW w:w="1540" w:type="dxa"/>
            <w:vAlign w:val="bottom"/>
            <w:tcBorders>
              <w:bottom w:val="single" w:sz="8" w:color="auto"/>
              <w:right w:val="single" w:sz="8" w:color="auto"/>
            </w:tcBorders>
          </w:tcPr>
          <w:p>
            <w:pPr>
              <w:jc w:val="right"/>
              <w:ind w:right="461"/>
              <w:spacing w:after="0"/>
              <w:rPr>
                <w:sz w:val="20"/>
                <w:szCs w:val="20"/>
                <w:color w:val="auto"/>
              </w:rPr>
            </w:pPr>
            <w:r>
              <w:rPr>
                <w:rFonts w:ascii="Arial" w:cs="Arial" w:eastAsia="Arial" w:hAnsi="Arial"/>
                <w:sz w:val="20"/>
                <w:szCs w:val="20"/>
                <w:color w:val="auto"/>
              </w:rPr>
              <w:t>[***]</w:t>
            </w:r>
          </w:p>
        </w:tc>
        <w:tc>
          <w:tcPr>
            <w:tcW w:w="1080" w:type="dxa"/>
            <w:vAlign w:val="bottom"/>
            <w:tcBorders>
              <w:bottom w:val="single" w:sz="8" w:color="auto"/>
              <w:right w:val="single" w:sz="8" w:color="auto"/>
            </w:tcBorders>
          </w:tcPr>
          <w:p>
            <w:pPr>
              <w:jc w:val="right"/>
              <w:ind w:right="481"/>
              <w:spacing w:after="0"/>
              <w:rPr>
                <w:sz w:val="20"/>
                <w:szCs w:val="20"/>
                <w:color w:val="auto"/>
              </w:rPr>
            </w:pPr>
            <w:r>
              <w:rPr>
                <w:rFonts w:ascii="Arial" w:cs="Arial" w:eastAsia="Arial" w:hAnsi="Arial"/>
                <w:sz w:val="20"/>
                <w:szCs w:val="20"/>
                <w:color w:val="auto"/>
              </w:rPr>
              <w:t>[***]</w:t>
            </w:r>
          </w:p>
        </w:tc>
        <w:tc>
          <w:tcPr>
            <w:tcW w:w="1060" w:type="dxa"/>
            <w:vAlign w:val="bottom"/>
            <w:tcBorders>
              <w:bottom w:val="single" w:sz="8" w:color="auto"/>
              <w:right w:val="single" w:sz="8" w:color="auto"/>
            </w:tcBorders>
          </w:tcPr>
          <w:p>
            <w:pPr>
              <w:jc w:val="right"/>
              <w:ind w:right="481"/>
              <w:spacing w:after="0"/>
              <w:rPr>
                <w:sz w:val="20"/>
                <w:szCs w:val="20"/>
                <w:color w:val="auto"/>
              </w:rPr>
            </w:pPr>
            <w:r>
              <w:rPr>
                <w:rFonts w:ascii="Arial" w:cs="Arial" w:eastAsia="Arial" w:hAnsi="Arial"/>
                <w:sz w:val="20"/>
                <w:szCs w:val="20"/>
                <w:color w:val="auto"/>
              </w:rPr>
              <w:t>[***]</w:t>
            </w:r>
          </w:p>
        </w:tc>
        <w:tc>
          <w:tcPr>
            <w:tcW w:w="1060" w:type="dxa"/>
            <w:vAlign w:val="bottom"/>
            <w:tcBorders>
              <w:bottom w:val="single" w:sz="8" w:color="auto"/>
              <w:right w:val="single" w:sz="8" w:color="auto"/>
            </w:tcBorders>
          </w:tcPr>
          <w:p>
            <w:pPr>
              <w:jc w:val="right"/>
              <w:ind w:right="481"/>
              <w:spacing w:after="0"/>
              <w:rPr>
                <w:sz w:val="20"/>
                <w:szCs w:val="20"/>
                <w:color w:val="auto"/>
              </w:rPr>
            </w:pPr>
            <w:r>
              <w:rPr>
                <w:rFonts w:ascii="Arial" w:cs="Arial" w:eastAsia="Arial" w:hAnsi="Arial"/>
                <w:sz w:val="20"/>
                <w:szCs w:val="20"/>
                <w:color w:val="auto"/>
              </w:rPr>
              <w:t>[***]</w:t>
            </w:r>
          </w:p>
        </w:tc>
        <w:tc>
          <w:tcPr>
            <w:tcW w:w="1360" w:type="dxa"/>
            <w:vAlign w:val="bottom"/>
            <w:tcBorders>
              <w:bottom w:val="single" w:sz="8" w:color="auto"/>
              <w:right w:val="single" w:sz="8" w:color="auto"/>
            </w:tcBorders>
          </w:tcPr>
          <w:p>
            <w:pPr>
              <w:jc w:val="right"/>
              <w:ind w:right="761"/>
              <w:spacing w:after="0"/>
              <w:rPr>
                <w:sz w:val="20"/>
                <w:szCs w:val="20"/>
                <w:color w:val="auto"/>
              </w:rPr>
            </w:pPr>
            <w:r>
              <w:rPr>
                <w:rFonts w:ascii="Arial" w:cs="Arial" w:eastAsia="Arial" w:hAnsi="Arial"/>
                <w:sz w:val="20"/>
                <w:szCs w:val="20"/>
                <w:color w:val="auto"/>
              </w:rPr>
              <w:t>[***]</w:t>
            </w:r>
          </w:p>
        </w:tc>
        <w:tc>
          <w:tcPr>
            <w:tcW w:w="1080" w:type="dxa"/>
            <w:vAlign w:val="bottom"/>
            <w:tcBorders>
              <w:bottom w:val="single" w:sz="8" w:color="auto"/>
              <w:right w:val="single" w:sz="8" w:color="auto"/>
            </w:tcBorders>
          </w:tcPr>
          <w:p>
            <w:pPr>
              <w:jc w:val="right"/>
              <w:ind w:right="481"/>
              <w:spacing w:after="0"/>
              <w:rPr>
                <w:sz w:val="20"/>
                <w:szCs w:val="20"/>
                <w:color w:val="auto"/>
              </w:rPr>
            </w:pPr>
            <w:r>
              <w:rPr>
                <w:rFonts w:ascii="Arial" w:cs="Arial" w:eastAsia="Arial" w:hAnsi="Arial"/>
                <w:sz w:val="20"/>
                <w:szCs w:val="20"/>
                <w:color w:val="auto"/>
              </w:rPr>
              <w:t>[***]</w:t>
            </w:r>
          </w:p>
        </w:tc>
        <w:tc>
          <w:tcPr>
            <w:tcW w:w="1360" w:type="dxa"/>
            <w:vAlign w:val="bottom"/>
            <w:tcBorders>
              <w:bottom w:val="single" w:sz="8" w:color="auto"/>
              <w:right w:val="single" w:sz="8" w:color="auto"/>
            </w:tcBorders>
          </w:tcPr>
          <w:p>
            <w:pPr>
              <w:spacing w:after="0"/>
              <w:rPr>
                <w:sz w:val="21"/>
                <w:szCs w:val="21"/>
                <w:color w:val="auto"/>
              </w:rPr>
            </w:pPr>
          </w:p>
        </w:tc>
      </w:tr>
      <w:tr>
        <w:trPr>
          <w:trHeight w:val="250"/>
        </w:trPr>
        <w:tc>
          <w:tcPr>
            <w:tcW w:w="206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w:t>
            </w:r>
          </w:p>
        </w:tc>
        <w:tc>
          <w:tcPr>
            <w:tcW w:w="1540" w:type="dxa"/>
            <w:vAlign w:val="bottom"/>
            <w:tcBorders>
              <w:bottom w:val="single" w:sz="8" w:color="auto"/>
              <w:right w:val="single" w:sz="8" w:color="auto"/>
            </w:tcBorders>
          </w:tcPr>
          <w:p>
            <w:pPr>
              <w:jc w:val="right"/>
              <w:ind w:right="461"/>
              <w:spacing w:after="0"/>
              <w:rPr>
                <w:sz w:val="20"/>
                <w:szCs w:val="20"/>
                <w:color w:val="auto"/>
              </w:rPr>
            </w:pPr>
            <w:r>
              <w:rPr>
                <w:rFonts w:ascii="Arial" w:cs="Arial" w:eastAsia="Arial" w:hAnsi="Arial"/>
                <w:sz w:val="20"/>
                <w:szCs w:val="20"/>
                <w:color w:val="auto"/>
              </w:rPr>
              <w:t>[***]</w:t>
            </w:r>
          </w:p>
        </w:tc>
        <w:tc>
          <w:tcPr>
            <w:tcW w:w="1080" w:type="dxa"/>
            <w:vAlign w:val="bottom"/>
            <w:tcBorders>
              <w:bottom w:val="single" w:sz="8" w:color="auto"/>
              <w:right w:val="single" w:sz="8" w:color="auto"/>
            </w:tcBorders>
          </w:tcPr>
          <w:p>
            <w:pPr>
              <w:jc w:val="right"/>
              <w:ind w:right="481"/>
              <w:spacing w:after="0"/>
              <w:rPr>
                <w:sz w:val="20"/>
                <w:szCs w:val="20"/>
                <w:color w:val="auto"/>
              </w:rPr>
            </w:pPr>
            <w:r>
              <w:rPr>
                <w:rFonts w:ascii="Arial" w:cs="Arial" w:eastAsia="Arial" w:hAnsi="Arial"/>
                <w:sz w:val="20"/>
                <w:szCs w:val="20"/>
                <w:color w:val="auto"/>
              </w:rPr>
              <w:t>[***]</w:t>
            </w:r>
          </w:p>
        </w:tc>
        <w:tc>
          <w:tcPr>
            <w:tcW w:w="1060" w:type="dxa"/>
            <w:vAlign w:val="bottom"/>
            <w:tcBorders>
              <w:bottom w:val="single" w:sz="8" w:color="auto"/>
              <w:right w:val="single" w:sz="8" w:color="auto"/>
            </w:tcBorders>
          </w:tcPr>
          <w:p>
            <w:pPr>
              <w:jc w:val="right"/>
              <w:ind w:right="481"/>
              <w:spacing w:after="0"/>
              <w:rPr>
                <w:sz w:val="20"/>
                <w:szCs w:val="20"/>
                <w:color w:val="auto"/>
              </w:rPr>
            </w:pPr>
            <w:r>
              <w:rPr>
                <w:rFonts w:ascii="Arial" w:cs="Arial" w:eastAsia="Arial" w:hAnsi="Arial"/>
                <w:sz w:val="20"/>
                <w:szCs w:val="20"/>
                <w:color w:val="auto"/>
              </w:rPr>
              <w:t>[***]</w:t>
            </w:r>
          </w:p>
        </w:tc>
        <w:tc>
          <w:tcPr>
            <w:tcW w:w="1060" w:type="dxa"/>
            <w:vAlign w:val="bottom"/>
            <w:tcBorders>
              <w:bottom w:val="single" w:sz="8" w:color="auto"/>
              <w:right w:val="single" w:sz="8" w:color="auto"/>
            </w:tcBorders>
          </w:tcPr>
          <w:p>
            <w:pPr>
              <w:jc w:val="right"/>
              <w:ind w:right="481"/>
              <w:spacing w:after="0"/>
              <w:rPr>
                <w:sz w:val="20"/>
                <w:szCs w:val="20"/>
                <w:color w:val="auto"/>
              </w:rPr>
            </w:pPr>
            <w:r>
              <w:rPr>
                <w:rFonts w:ascii="Arial" w:cs="Arial" w:eastAsia="Arial" w:hAnsi="Arial"/>
                <w:sz w:val="20"/>
                <w:szCs w:val="20"/>
                <w:color w:val="auto"/>
              </w:rPr>
              <w:t>[***]</w:t>
            </w:r>
          </w:p>
        </w:tc>
        <w:tc>
          <w:tcPr>
            <w:tcW w:w="1360" w:type="dxa"/>
            <w:vAlign w:val="bottom"/>
            <w:tcBorders>
              <w:bottom w:val="single" w:sz="8" w:color="auto"/>
              <w:right w:val="single" w:sz="8" w:color="auto"/>
            </w:tcBorders>
          </w:tcPr>
          <w:p>
            <w:pPr>
              <w:jc w:val="right"/>
              <w:ind w:right="761"/>
              <w:spacing w:after="0"/>
              <w:rPr>
                <w:sz w:val="20"/>
                <w:szCs w:val="20"/>
                <w:color w:val="auto"/>
              </w:rPr>
            </w:pPr>
            <w:r>
              <w:rPr>
                <w:rFonts w:ascii="Arial" w:cs="Arial" w:eastAsia="Arial" w:hAnsi="Arial"/>
                <w:sz w:val="20"/>
                <w:szCs w:val="20"/>
                <w:color w:val="auto"/>
              </w:rPr>
              <w:t>[***]</w:t>
            </w:r>
          </w:p>
        </w:tc>
        <w:tc>
          <w:tcPr>
            <w:tcW w:w="1080" w:type="dxa"/>
            <w:vAlign w:val="bottom"/>
            <w:tcBorders>
              <w:bottom w:val="single" w:sz="8" w:color="auto"/>
              <w:right w:val="single" w:sz="8" w:color="auto"/>
            </w:tcBorders>
          </w:tcPr>
          <w:p>
            <w:pPr>
              <w:jc w:val="right"/>
              <w:ind w:right="481"/>
              <w:spacing w:after="0"/>
              <w:rPr>
                <w:sz w:val="20"/>
                <w:szCs w:val="20"/>
                <w:color w:val="auto"/>
              </w:rPr>
            </w:pPr>
            <w:r>
              <w:rPr>
                <w:rFonts w:ascii="Arial" w:cs="Arial" w:eastAsia="Arial" w:hAnsi="Arial"/>
                <w:sz w:val="20"/>
                <w:szCs w:val="20"/>
                <w:color w:val="auto"/>
              </w:rPr>
              <w:t>[***]</w:t>
            </w:r>
          </w:p>
        </w:tc>
        <w:tc>
          <w:tcPr>
            <w:tcW w:w="1360" w:type="dxa"/>
            <w:vAlign w:val="bottom"/>
            <w:tcBorders>
              <w:bottom w:val="single" w:sz="8" w:color="auto"/>
              <w:right w:val="single" w:sz="8" w:color="auto"/>
            </w:tcBorders>
          </w:tcPr>
          <w:p>
            <w:pPr>
              <w:jc w:val="right"/>
              <w:ind w:right="781"/>
              <w:spacing w:after="0"/>
              <w:rPr>
                <w:sz w:val="20"/>
                <w:szCs w:val="20"/>
                <w:color w:val="auto"/>
              </w:rPr>
            </w:pPr>
            <w:r>
              <w:rPr>
                <w:rFonts w:ascii="Arial" w:cs="Arial" w:eastAsia="Arial" w:hAnsi="Arial"/>
                <w:sz w:val="20"/>
                <w:szCs w:val="20"/>
                <w:color w:val="auto"/>
              </w:rPr>
              <w:t>[***]</w:t>
            </w:r>
          </w:p>
        </w:tc>
      </w:tr>
      <w:tr>
        <w:trPr>
          <w:trHeight w:val="311"/>
        </w:trPr>
        <w:tc>
          <w:tcPr>
            <w:tcW w:w="2060" w:type="dxa"/>
            <w:vAlign w:val="bottom"/>
          </w:tcPr>
          <w:p>
            <w:pPr>
              <w:spacing w:after="0"/>
              <w:rPr>
                <w:sz w:val="20"/>
                <w:szCs w:val="20"/>
                <w:color w:val="auto"/>
              </w:rPr>
            </w:pPr>
            <w:r>
              <w:rPr>
                <w:rFonts w:ascii="Arial" w:cs="Arial" w:eastAsia="Arial" w:hAnsi="Arial"/>
                <w:sz w:val="20"/>
                <w:szCs w:val="20"/>
                <w:i w:val="1"/>
                <w:iCs w:val="1"/>
                <w:color w:val="auto"/>
              </w:rPr>
              <w:t>[***]</w:t>
            </w:r>
          </w:p>
        </w:tc>
        <w:tc>
          <w:tcPr>
            <w:tcW w:w="15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3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828675</wp:posOffset>
            </wp:positionV>
            <wp:extent cx="713232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60"/>
          </w:cols>
          <w:pgMar w:left="320" w:top="1399"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tabs>
          <w:tab w:leader="none" w:pos="4980" w:val="left"/>
        </w:tabs>
        <w:rPr>
          <w:sz w:val="20"/>
          <w:szCs w:val="20"/>
          <w:color w:val="auto"/>
        </w:rPr>
      </w:pPr>
      <w:r>
        <w:rPr>
          <w:rFonts w:ascii="Arial" w:cs="Arial" w:eastAsia="Arial" w:hAnsi="Arial"/>
          <w:sz w:val="20"/>
          <w:szCs w:val="20"/>
          <w:color w:val="auto"/>
        </w:rPr>
        <w:t>Production Pricing Agreement (Standard), ver. January 2021</w:t>
      </w:r>
      <w:r>
        <w:rPr>
          <w:sz w:val="20"/>
          <w:szCs w:val="20"/>
          <w:color w:val="auto"/>
        </w:rPr>
        <w:tab/>
      </w:r>
      <w:r>
        <w:rPr>
          <w:rFonts w:ascii="Arial" w:cs="Arial" w:eastAsia="Arial" w:hAnsi="Arial"/>
          <w:sz w:val="16"/>
          <w:szCs w:val="16"/>
          <w:color w:val="auto"/>
        </w:rPr>
        <w:t xml:space="preserve">Page </w:t>
      </w:r>
      <w:r>
        <w:rPr>
          <w:rFonts w:ascii="Arial" w:cs="Arial" w:eastAsia="Arial" w:hAnsi="Arial"/>
          <w:sz w:val="16"/>
          <w:szCs w:val="16"/>
          <w:b w:val="1"/>
          <w:bCs w:val="1"/>
          <w:color w:val="auto"/>
        </w:rPr>
        <w:t>5</w:t>
      </w:r>
      <w:r>
        <w:rPr>
          <w:rFonts w:ascii="Arial" w:cs="Arial" w:eastAsia="Arial" w:hAnsi="Arial"/>
          <w:sz w:val="16"/>
          <w:szCs w:val="16"/>
          <w:color w:val="auto"/>
        </w:rPr>
        <w:t xml:space="preserve"> of </w:t>
      </w:r>
      <w:r>
        <w:rPr>
          <w:rFonts w:ascii="Arial" w:cs="Arial" w:eastAsia="Arial" w:hAnsi="Arial"/>
          <w:sz w:val="16"/>
          <w:szCs w:val="16"/>
          <w:b w:val="1"/>
          <w:bCs w:val="1"/>
          <w:color w:val="auto"/>
        </w:rPr>
        <w:t>9</w:t>
      </w:r>
    </w:p>
    <w:p>
      <w:pPr>
        <w:sectPr>
          <w:pgSz w:w="11900" w:h="16838" w:orient="portrait"/>
          <w:cols w:equalWidth="0" w:num="1">
            <w:col w:w="11260"/>
          </w:cols>
          <w:pgMar w:left="320" w:top="1399" w:right="319" w:bottom="1440" w:gutter="0" w:footer="0" w:header="0"/>
          <w:type w:val="continuous"/>
        </w:sectPr>
      </w:pPr>
    </w:p>
    <w:bookmarkStart w:id="163" w:name="page164"/>
    <w:bookmarkEnd w:id="163"/>
    <w:p>
      <w:pPr>
        <w:ind w:left="660"/>
        <w:spacing w:after="0"/>
        <w:rPr>
          <w:sz w:val="20"/>
          <w:szCs w:val="20"/>
          <w:color w:val="auto"/>
        </w:rPr>
      </w:pPr>
      <w:r>
        <w:rPr>
          <w:rFonts w:ascii="Arial" w:cs="Arial" w:eastAsia="Arial" w:hAnsi="Arial"/>
          <w:sz w:val="20"/>
          <w:szCs w:val="20"/>
          <w:color w:val="auto"/>
        </w:rPr>
        <w:t>Chart 4B – Raw material formula and base price ([***])</w:t>
      </w:r>
    </w:p>
    <w:p>
      <w:pPr>
        <w:spacing w:after="0" w:line="20" w:lineRule="exact"/>
        <w:rPr>
          <w:sz w:val="20"/>
          <w:szCs w:val="20"/>
          <w:color w:val="auto"/>
        </w:rPr>
      </w:pPr>
    </w:p>
    <w:tbl>
      <w:tblPr>
        <w:tblLayout w:type="fixed"/>
        <w:tblInd w:w="670" w:type="dxa"/>
        <w:tblCellMar>
          <w:top w:w="0" w:type="dxa"/>
          <w:left w:w="0" w:type="dxa"/>
          <w:bottom w:w="0" w:type="dxa"/>
          <w:right w:w="0" w:type="dxa"/>
        </w:tblCellMar>
      </w:tblPr>
      <w:tr>
        <w:trPr>
          <w:trHeight w:val="256"/>
        </w:trPr>
        <w:tc>
          <w:tcPr>
            <w:tcW w:w="2360" w:type="dxa"/>
            <w:vAlign w:val="bottom"/>
            <w:tcBorders>
              <w:top w:val="single" w:sz="8" w:color="auto"/>
              <w:left w:val="single" w:sz="8" w:color="auto"/>
              <w:bottom w:val="single" w:sz="8" w:color="auto"/>
              <w:right w:val="single" w:sz="8" w:color="D9D9D9"/>
            </w:tcBorders>
            <w:gridSpan w:val="2"/>
            <w:shd w:val="clear" w:color="auto" w:fill="D9D9D9"/>
          </w:tcPr>
          <w:p>
            <w:pPr>
              <w:ind w:left="80"/>
              <w:spacing w:after="0"/>
              <w:rPr>
                <w:sz w:val="20"/>
                <w:szCs w:val="20"/>
                <w:color w:val="auto"/>
              </w:rPr>
            </w:pPr>
            <w:r>
              <w:rPr>
                <w:rFonts w:ascii="Arial" w:cs="Arial" w:eastAsia="Arial" w:hAnsi="Arial"/>
                <w:sz w:val="20"/>
                <w:szCs w:val="20"/>
                <w:color w:val="auto"/>
              </w:rPr>
              <w:t>Definition</w:t>
            </w:r>
          </w:p>
        </w:tc>
        <w:tc>
          <w:tcPr>
            <w:tcW w:w="1400" w:type="dxa"/>
            <w:vAlign w:val="bottom"/>
            <w:tcBorders>
              <w:top w:val="single" w:sz="8" w:color="auto"/>
              <w:bottom w:val="single" w:sz="8" w:color="auto"/>
              <w:right w:val="single" w:sz="8" w:color="auto"/>
            </w:tcBorders>
            <w:shd w:val="clear" w:color="auto" w:fill="D9D9D9"/>
          </w:tcPr>
          <w:p>
            <w:pPr>
              <w:spacing w:after="0"/>
              <w:rPr>
                <w:sz w:val="22"/>
                <w:szCs w:val="22"/>
                <w:color w:val="auto"/>
              </w:rPr>
            </w:pPr>
          </w:p>
        </w:tc>
        <w:tc>
          <w:tcPr>
            <w:tcW w:w="820" w:type="dxa"/>
            <w:vAlign w:val="bottom"/>
            <w:tcBorders>
              <w:top w:val="single" w:sz="8" w:color="auto"/>
              <w:bottom w:val="single" w:sz="8" w:color="auto"/>
            </w:tcBorders>
            <w:shd w:val="clear" w:color="auto" w:fill="D9D9D9"/>
          </w:tcPr>
          <w:p>
            <w:pPr>
              <w:jc w:val="right"/>
              <w:spacing w:after="0"/>
              <w:rPr>
                <w:sz w:val="20"/>
                <w:szCs w:val="20"/>
                <w:color w:val="auto"/>
              </w:rPr>
            </w:pPr>
            <w:r>
              <w:rPr>
                <w:rFonts w:ascii="Arial" w:cs="Arial" w:eastAsia="Arial" w:hAnsi="Arial"/>
                <w:sz w:val="20"/>
                <w:szCs w:val="20"/>
                <w:color w:val="auto"/>
              </w:rPr>
              <w:t>[***]</w:t>
            </w:r>
          </w:p>
        </w:tc>
        <w:tc>
          <w:tcPr>
            <w:tcW w:w="300" w:type="dxa"/>
            <w:vAlign w:val="bottom"/>
            <w:tcBorders>
              <w:top w:val="single" w:sz="8" w:color="auto"/>
              <w:bottom w:val="single" w:sz="8" w:color="auto"/>
              <w:right w:val="single" w:sz="8" w:color="auto"/>
            </w:tcBorders>
            <w:shd w:val="clear" w:color="auto" w:fill="D9D9D9"/>
          </w:tcPr>
          <w:p>
            <w:pPr>
              <w:spacing w:after="0"/>
              <w:rPr>
                <w:sz w:val="22"/>
                <w:szCs w:val="22"/>
                <w:color w:val="auto"/>
              </w:rPr>
            </w:pPr>
          </w:p>
        </w:tc>
        <w:tc>
          <w:tcPr>
            <w:tcW w:w="1140" w:type="dxa"/>
            <w:vAlign w:val="bottom"/>
            <w:tcBorders>
              <w:top w:val="single" w:sz="8" w:color="auto"/>
              <w:bottom w:val="single" w:sz="8" w:color="auto"/>
              <w:right w:val="single" w:sz="8" w:color="auto"/>
            </w:tcBorders>
            <w:shd w:val="clear" w:color="auto" w:fill="D9D9D9"/>
          </w:tcPr>
          <w:p>
            <w:pPr>
              <w:jc w:val="right"/>
              <w:ind w:right="261"/>
              <w:spacing w:after="0"/>
              <w:rPr>
                <w:sz w:val="20"/>
                <w:szCs w:val="20"/>
                <w:color w:val="auto"/>
              </w:rPr>
            </w:pPr>
            <w:r>
              <w:rPr>
                <w:rFonts w:ascii="Arial" w:cs="Arial" w:eastAsia="Arial" w:hAnsi="Arial"/>
                <w:sz w:val="20"/>
                <w:szCs w:val="20"/>
                <w:color w:val="auto"/>
              </w:rPr>
              <w:t>[***]</w:t>
            </w:r>
          </w:p>
        </w:tc>
        <w:tc>
          <w:tcPr>
            <w:tcW w:w="1140" w:type="dxa"/>
            <w:vAlign w:val="bottom"/>
            <w:tcBorders>
              <w:top w:val="single" w:sz="8" w:color="auto"/>
              <w:bottom w:val="single" w:sz="8" w:color="auto"/>
              <w:right w:val="single" w:sz="8" w:color="auto"/>
            </w:tcBorders>
            <w:gridSpan w:val="2"/>
            <w:shd w:val="clear" w:color="auto" w:fill="D9D9D9"/>
          </w:tcPr>
          <w:p>
            <w:pPr>
              <w:jc w:val="right"/>
              <w:ind w:right="360"/>
              <w:spacing w:after="0"/>
              <w:rPr>
                <w:sz w:val="20"/>
                <w:szCs w:val="20"/>
                <w:color w:val="auto"/>
              </w:rPr>
            </w:pPr>
            <w:r>
              <w:rPr>
                <w:rFonts w:ascii="Arial" w:cs="Arial" w:eastAsia="Arial" w:hAnsi="Arial"/>
                <w:sz w:val="20"/>
                <w:szCs w:val="20"/>
                <w:color w:val="auto"/>
              </w:rPr>
              <w:t>[***]</w:t>
            </w:r>
          </w:p>
        </w:tc>
        <w:tc>
          <w:tcPr>
            <w:tcW w:w="1140" w:type="dxa"/>
            <w:vAlign w:val="bottom"/>
            <w:tcBorders>
              <w:top w:val="single" w:sz="8" w:color="auto"/>
              <w:bottom w:val="single" w:sz="8" w:color="auto"/>
              <w:right w:val="single" w:sz="8" w:color="auto"/>
            </w:tcBorders>
            <w:shd w:val="clear" w:color="auto" w:fill="D9D9D9"/>
          </w:tcPr>
          <w:p>
            <w:pPr>
              <w:ind w:left="340"/>
              <w:spacing w:after="0"/>
              <w:rPr>
                <w:sz w:val="20"/>
                <w:szCs w:val="20"/>
                <w:color w:val="auto"/>
              </w:rPr>
            </w:pPr>
            <w:r>
              <w:rPr>
                <w:rFonts w:ascii="Arial" w:cs="Arial" w:eastAsia="Arial" w:hAnsi="Arial"/>
                <w:sz w:val="20"/>
                <w:szCs w:val="20"/>
                <w:color w:val="auto"/>
              </w:rPr>
              <w:t>[***]</w:t>
            </w:r>
          </w:p>
        </w:tc>
        <w:tc>
          <w:tcPr>
            <w:tcW w:w="900" w:type="dxa"/>
            <w:vAlign w:val="bottom"/>
            <w:tcBorders>
              <w:top w:val="single" w:sz="8" w:color="auto"/>
              <w:bottom w:val="single" w:sz="8" w:color="auto"/>
            </w:tcBorders>
            <w:gridSpan w:val="2"/>
            <w:shd w:val="clear" w:color="auto" w:fill="D9D9D9"/>
          </w:tcPr>
          <w:p>
            <w:pPr>
              <w:jc w:val="right"/>
              <w:ind w:right="140"/>
              <w:spacing w:after="0"/>
              <w:rPr>
                <w:sz w:val="20"/>
                <w:szCs w:val="20"/>
                <w:color w:val="auto"/>
              </w:rPr>
            </w:pPr>
            <w:r>
              <w:rPr>
                <w:rFonts w:ascii="Arial" w:cs="Arial" w:eastAsia="Arial" w:hAnsi="Arial"/>
                <w:sz w:val="20"/>
                <w:szCs w:val="20"/>
                <w:color w:val="auto"/>
              </w:rPr>
              <w:t>[***]</w:t>
            </w:r>
          </w:p>
        </w:tc>
        <w:tc>
          <w:tcPr>
            <w:tcW w:w="240" w:type="dxa"/>
            <w:vAlign w:val="bottom"/>
            <w:tcBorders>
              <w:top w:val="single" w:sz="8" w:color="auto"/>
              <w:bottom w:val="single" w:sz="8" w:color="auto"/>
              <w:right w:val="single" w:sz="8" w:color="auto"/>
            </w:tcBorders>
            <w:shd w:val="clear" w:color="auto" w:fill="D9D9D9"/>
          </w:tcPr>
          <w:p>
            <w:pPr>
              <w:spacing w:after="0"/>
              <w:rPr>
                <w:sz w:val="22"/>
                <w:szCs w:val="22"/>
                <w:color w:val="auto"/>
              </w:rPr>
            </w:pPr>
          </w:p>
        </w:tc>
        <w:tc>
          <w:tcPr>
            <w:tcW w:w="1160" w:type="dxa"/>
            <w:vAlign w:val="bottom"/>
            <w:tcBorders>
              <w:top w:val="single" w:sz="8" w:color="auto"/>
              <w:bottom w:val="single" w:sz="8" w:color="auto"/>
              <w:right w:val="single" w:sz="8" w:color="auto"/>
            </w:tcBorders>
            <w:shd w:val="clear" w:color="auto" w:fill="D9D9D9"/>
          </w:tcPr>
          <w:p>
            <w:pPr>
              <w:jc w:val="right"/>
              <w:ind w:right="281"/>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50"/>
        </w:trPr>
        <w:tc>
          <w:tcPr>
            <w:tcW w:w="1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w:t>
            </w:r>
          </w:p>
        </w:tc>
        <w:tc>
          <w:tcPr>
            <w:tcW w:w="380" w:type="dxa"/>
            <w:vAlign w:val="bottom"/>
            <w:tcBorders>
              <w:bottom w:val="single" w:sz="8" w:color="auto"/>
            </w:tcBorders>
          </w:tcPr>
          <w:p>
            <w:pPr>
              <w:spacing w:after="0"/>
              <w:rPr>
                <w:sz w:val="21"/>
                <w:szCs w:val="21"/>
                <w:color w:val="auto"/>
              </w:rPr>
            </w:pPr>
          </w:p>
        </w:tc>
        <w:tc>
          <w:tcPr>
            <w:tcW w:w="1400" w:type="dxa"/>
            <w:vAlign w:val="bottom"/>
            <w:tcBorders>
              <w:bottom w:val="single" w:sz="8" w:color="auto"/>
              <w:right w:val="single" w:sz="8" w:color="auto"/>
            </w:tcBorders>
          </w:tcPr>
          <w:p>
            <w:pPr>
              <w:jc w:val="right"/>
              <w:ind w:right="601"/>
              <w:spacing w:after="0"/>
              <w:rPr>
                <w:sz w:val="20"/>
                <w:szCs w:val="20"/>
                <w:color w:val="auto"/>
              </w:rPr>
            </w:pPr>
            <w:r>
              <w:rPr>
                <w:rFonts w:ascii="Arial" w:cs="Arial" w:eastAsia="Arial" w:hAnsi="Arial"/>
                <w:sz w:val="20"/>
                <w:szCs w:val="20"/>
                <w:color w:val="auto"/>
              </w:rPr>
              <w:t>[***]</w:t>
            </w:r>
          </w:p>
        </w:tc>
        <w:tc>
          <w:tcPr>
            <w:tcW w:w="820" w:type="dxa"/>
            <w:vAlign w:val="bottom"/>
            <w:tcBorders>
              <w:bottom w:val="single" w:sz="8" w:color="auto"/>
            </w:tcBorders>
          </w:tcPr>
          <w:p>
            <w:pPr>
              <w:jc w:val="right"/>
              <w:ind w:right="241"/>
              <w:spacing w:after="0"/>
              <w:rPr>
                <w:sz w:val="20"/>
                <w:szCs w:val="20"/>
                <w:color w:val="auto"/>
              </w:rPr>
            </w:pPr>
            <w:r>
              <w:rPr>
                <w:rFonts w:ascii="Arial" w:cs="Arial" w:eastAsia="Arial" w:hAnsi="Arial"/>
                <w:sz w:val="20"/>
                <w:szCs w:val="20"/>
                <w:color w:val="auto"/>
              </w:rPr>
              <w:t>[***]</w:t>
            </w:r>
          </w:p>
        </w:tc>
        <w:tc>
          <w:tcPr>
            <w:tcW w:w="300" w:type="dxa"/>
            <w:vAlign w:val="bottom"/>
            <w:tcBorders>
              <w:bottom w:val="single" w:sz="8" w:color="auto"/>
              <w:right w:val="single" w:sz="8" w:color="auto"/>
            </w:tcBorders>
          </w:tcPr>
          <w:p>
            <w:pPr>
              <w:spacing w:after="0"/>
              <w:rPr>
                <w:sz w:val="21"/>
                <w:szCs w:val="21"/>
                <w:color w:val="auto"/>
              </w:rPr>
            </w:pPr>
          </w:p>
        </w:tc>
        <w:tc>
          <w:tcPr>
            <w:tcW w:w="1140" w:type="dxa"/>
            <w:vAlign w:val="bottom"/>
            <w:tcBorders>
              <w:bottom w:val="single" w:sz="8" w:color="auto"/>
              <w:right w:val="single" w:sz="8" w:color="auto"/>
            </w:tcBorders>
          </w:tcPr>
          <w:p>
            <w:pPr>
              <w:jc w:val="right"/>
              <w:ind w:right="541"/>
              <w:spacing w:after="0"/>
              <w:rPr>
                <w:sz w:val="20"/>
                <w:szCs w:val="20"/>
                <w:color w:val="auto"/>
              </w:rPr>
            </w:pPr>
            <w:r>
              <w:rPr>
                <w:rFonts w:ascii="Arial" w:cs="Arial" w:eastAsia="Arial" w:hAnsi="Arial"/>
                <w:sz w:val="20"/>
                <w:szCs w:val="20"/>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620" w:type="dxa"/>
            <w:vAlign w:val="bottom"/>
            <w:tcBorders>
              <w:bottom w:val="single" w:sz="8" w:color="auto"/>
              <w:right w:val="single" w:sz="8" w:color="auto"/>
            </w:tcBorders>
          </w:tcPr>
          <w:p>
            <w:pPr>
              <w:spacing w:after="0"/>
              <w:rPr>
                <w:sz w:val="21"/>
                <w:szCs w:val="21"/>
                <w:color w:val="auto"/>
              </w:rPr>
            </w:pPr>
          </w:p>
        </w:tc>
        <w:tc>
          <w:tcPr>
            <w:tcW w:w="11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w:t>
            </w:r>
          </w:p>
        </w:tc>
        <w:tc>
          <w:tcPr>
            <w:tcW w:w="900" w:type="dxa"/>
            <w:vAlign w:val="bottom"/>
            <w:tcBorders>
              <w:bottom w:val="single" w:sz="8" w:color="auto"/>
            </w:tcBorders>
            <w:gridSpan w:val="2"/>
          </w:tcPr>
          <w:p>
            <w:pPr>
              <w:jc w:val="right"/>
              <w:ind w:right="420"/>
              <w:spacing w:after="0"/>
              <w:rPr>
                <w:sz w:val="20"/>
                <w:szCs w:val="20"/>
                <w:color w:val="auto"/>
              </w:rPr>
            </w:pPr>
            <w:r>
              <w:rPr>
                <w:rFonts w:ascii="Arial" w:cs="Arial" w:eastAsia="Arial" w:hAnsi="Arial"/>
                <w:sz w:val="20"/>
                <w:szCs w:val="20"/>
                <w:color w:val="auto"/>
              </w:rPr>
              <w:t>[***]</w:t>
            </w:r>
          </w:p>
        </w:tc>
        <w:tc>
          <w:tcPr>
            <w:tcW w:w="240" w:type="dxa"/>
            <w:vAlign w:val="bottom"/>
            <w:tcBorders>
              <w:bottom w:val="single" w:sz="8" w:color="auto"/>
              <w:right w:val="single" w:sz="8" w:color="auto"/>
            </w:tcBorders>
          </w:tcPr>
          <w:p>
            <w:pPr>
              <w:spacing w:after="0"/>
              <w:rPr>
                <w:sz w:val="21"/>
                <w:szCs w:val="21"/>
                <w:color w:val="auto"/>
              </w:rPr>
            </w:pPr>
          </w:p>
        </w:tc>
        <w:tc>
          <w:tcPr>
            <w:tcW w:w="11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w:t>
            </w:r>
          </w:p>
        </w:tc>
        <w:tc>
          <w:tcPr>
            <w:tcW w:w="380" w:type="dxa"/>
            <w:vAlign w:val="bottom"/>
            <w:tcBorders>
              <w:bottom w:val="single" w:sz="8" w:color="auto"/>
            </w:tcBorders>
          </w:tcPr>
          <w:p>
            <w:pPr>
              <w:spacing w:after="0"/>
              <w:rPr>
                <w:sz w:val="21"/>
                <w:szCs w:val="21"/>
                <w:color w:val="auto"/>
              </w:rPr>
            </w:pPr>
          </w:p>
        </w:tc>
        <w:tc>
          <w:tcPr>
            <w:tcW w:w="1400" w:type="dxa"/>
            <w:vAlign w:val="bottom"/>
            <w:tcBorders>
              <w:bottom w:val="single" w:sz="8" w:color="auto"/>
              <w:right w:val="single" w:sz="8" w:color="auto"/>
            </w:tcBorders>
          </w:tcPr>
          <w:p>
            <w:pPr>
              <w:jc w:val="right"/>
              <w:ind w:right="601"/>
              <w:spacing w:after="0"/>
              <w:rPr>
                <w:sz w:val="20"/>
                <w:szCs w:val="20"/>
                <w:color w:val="auto"/>
              </w:rPr>
            </w:pPr>
            <w:r>
              <w:rPr>
                <w:rFonts w:ascii="Arial" w:cs="Arial" w:eastAsia="Arial" w:hAnsi="Arial"/>
                <w:sz w:val="20"/>
                <w:szCs w:val="20"/>
                <w:color w:val="auto"/>
              </w:rPr>
              <w:t>[***]</w:t>
            </w:r>
          </w:p>
        </w:tc>
        <w:tc>
          <w:tcPr>
            <w:tcW w:w="820" w:type="dxa"/>
            <w:vAlign w:val="bottom"/>
            <w:tcBorders>
              <w:bottom w:val="single" w:sz="8" w:color="auto"/>
            </w:tcBorders>
          </w:tcPr>
          <w:p>
            <w:pPr>
              <w:jc w:val="right"/>
              <w:ind w:right="241"/>
              <w:spacing w:after="0"/>
              <w:rPr>
                <w:sz w:val="20"/>
                <w:szCs w:val="20"/>
                <w:color w:val="auto"/>
              </w:rPr>
            </w:pPr>
            <w:r>
              <w:rPr>
                <w:rFonts w:ascii="Arial" w:cs="Arial" w:eastAsia="Arial" w:hAnsi="Arial"/>
                <w:sz w:val="20"/>
                <w:szCs w:val="20"/>
                <w:color w:val="auto"/>
              </w:rPr>
              <w:t>[***]</w:t>
            </w:r>
          </w:p>
        </w:tc>
        <w:tc>
          <w:tcPr>
            <w:tcW w:w="300" w:type="dxa"/>
            <w:vAlign w:val="bottom"/>
            <w:tcBorders>
              <w:bottom w:val="single" w:sz="8" w:color="auto"/>
              <w:right w:val="single" w:sz="8" w:color="auto"/>
            </w:tcBorders>
          </w:tcPr>
          <w:p>
            <w:pPr>
              <w:spacing w:after="0"/>
              <w:rPr>
                <w:sz w:val="21"/>
                <w:szCs w:val="21"/>
                <w:color w:val="auto"/>
              </w:rPr>
            </w:pPr>
          </w:p>
        </w:tc>
        <w:tc>
          <w:tcPr>
            <w:tcW w:w="1140" w:type="dxa"/>
            <w:vAlign w:val="bottom"/>
            <w:tcBorders>
              <w:bottom w:val="single" w:sz="8" w:color="auto"/>
              <w:right w:val="single" w:sz="8" w:color="auto"/>
            </w:tcBorders>
          </w:tcPr>
          <w:p>
            <w:pPr>
              <w:jc w:val="right"/>
              <w:ind w:right="541"/>
              <w:spacing w:after="0"/>
              <w:rPr>
                <w:sz w:val="20"/>
                <w:szCs w:val="20"/>
                <w:color w:val="auto"/>
              </w:rPr>
            </w:pPr>
            <w:r>
              <w:rPr>
                <w:rFonts w:ascii="Arial" w:cs="Arial" w:eastAsia="Arial" w:hAnsi="Arial"/>
                <w:sz w:val="20"/>
                <w:szCs w:val="20"/>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620" w:type="dxa"/>
            <w:vAlign w:val="bottom"/>
            <w:tcBorders>
              <w:bottom w:val="single" w:sz="8" w:color="auto"/>
              <w:right w:val="single" w:sz="8" w:color="auto"/>
            </w:tcBorders>
          </w:tcPr>
          <w:p>
            <w:pPr>
              <w:spacing w:after="0"/>
              <w:rPr>
                <w:sz w:val="21"/>
                <w:szCs w:val="21"/>
                <w:color w:val="auto"/>
              </w:rPr>
            </w:pPr>
          </w:p>
        </w:tc>
        <w:tc>
          <w:tcPr>
            <w:tcW w:w="11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w:t>
            </w:r>
          </w:p>
        </w:tc>
        <w:tc>
          <w:tcPr>
            <w:tcW w:w="900" w:type="dxa"/>
            <w:vAlign w:val="bottom"/>
            <w:tcBorders>
              <w:bottom w:val="single" w:sz="8" w:color="auto"/>
            </w:tcBorders>
            <w:gridSpan w:val="2"/>
          </w:tcPr>
          <w:p>
            <w:pPr>
              <w:jc w:val="right"/>
              <w:ind w:right="420"/>
              <w:spacing w:after="0"/>
              <w:rPr>
                <w:sz w:val="20"/>
                <w:szCs w:val="20"/>
                <w:color w:val="auto"/>
              </w:rPr>
            </w:pPr>
            <w:r>
              <w:rPr>
                <w:rFonts w:ascii="Arial" w:cs="Arial" w:eastAsia="Arial" w:hAnsi="Arial"/>
                <w:sz w:val="20"/>
                <w:szCs w:val="20"/>
                <w:color w:val="auto"/>
              </w:rPr>
              <w:t>[***]</w:t>
            </w:r>
          </w:p>
        </w:tc>
        <w:tc>
          <w:tcPr>
            <w:tcW w:w="240" w:type="dxa"/>
            <w:vAlign w:val="bottom"/>
            <w:tcBorders>
              <w:bottom w:val="single" w:sz="8" w:color="auto"/>
              <w:right w:val="single" w:sz="8" w:color="auto"/>
            </w:tcBorders>
          </w:tcPr>
          <w:p>
            <w:pPr>
              <w:spacing w:after="0"/>
              <w:rPr>
                <w:sz w:val="21"/>
                <w:szCs w:val="21"/>
                <w:color w:val="auto"/>
              </w:rPr>
            </w:pPr>
          </w:p>
        </w:tc>
        <w:tc>
          <w:tcPr>
            <w:tcW w:w="11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w:t>
            </w:r>
          </w:p>
        </w:tc>
        <w:tc>
          <w:tcPr>
            <w:tcW w:w="380" w:type="dxa"/>
            <w:vAlign w:val="bottom"/>
            <w:tcBorders>
              <w:bottom w:val="single" w:sz="8" w:color="auto"/>
            </w:tcBorders>
          </w:tcPr>
          <w:p>
            <w:pPr>
              <w:spacing w:after="0"/>
              <w:rPr>
                <w:sz w:val="21"/>
                <w:szCs w:val="21"/>
                <w:color w:val="auto"/>
              </w:rPr>
            </w:pPr>
          </w:p>
        </w:tc>
        <w:tc>
          <w:tcPr>
            <w:tcW w:w="1400" w:type="dxa"/>
            <w:vAlign w:val="bottom"/>
            <w:tcBorders>
              <w:bottom w:val="single" w:sz="8" w:color="auto"/>
              <w:right w:val="single" w:sz="8" w:color="auto"/>
            </w:tcBorders>
          </w:tcPr>
          <w:p>
            <w:pPr>
              <w:jc w:val="right"/>
              <w:ind w:right="601"/>
              <w:spacing w:after="0"/>
              <w:rPr>
                <w:sz w:val="20"/>
                <w:szCs w:val="20"/>
                <w:color w:val="auto"/>
              </w:rPr>
            </w:pPr>
            <w:r>
              <w:rPr>
                <w:rFonts w:ascii="Arial" w:cs="Arial" w:eastAsia="Arial" w:hAnsi="Arial"/>
                <w:sz w:val="20"/>
                <w:szCs w:val="20"/>
                <w:color w:val="auto"/>
              </w:rPr>
              <w:t>[***]</w:t>
            </w:r>
          </w:p>
        </w:tc>
        <w:tc>
          <w:tcPr>
            <w:tcW w:w="820" w:type="dxa"/>
            <w:vAlign w:val="bottom"/>
            <w:tcBorders>
              <w:bottom w:val="single" w:sz="8" w:color="auto"/>
            </w:tcBorders>
          </w:tcPr>
          <w:p>
            <w:pPr>
              <w:jc w:val="right"/>
              <w:ind w:right="241"/>
              <w:spacing w:after="0"/>
              <w:rPr>
                <w:sz w:val="20"/>
                <w:szCs w:val="20"/>
                <w:color w:val="auto"/>
              </w:rPr>
            </w:pPr>
            <w:r>
              <w:rPr>
                <w:rFonts w:ascii="Arial" w:cs="Arial" w:eastAsia="Arial" w:hAnsi="Arial"/>
                <w:sz w:val="20"/>
                <w:szCs w:val="20"/>
                <w:color w:val="auto"/>
              </w:rPr>
              <w:t>[***]</w:t>
            </w:r>
          </w:p>
        </w:tc>
        <w:tc>
          <w:tcPr>
            <w:tcW w:w="300" w:type="dxa"/>
            <w:vAlign w:val="bottom"/>
            <w:tcBorders>
              <w:bottom w:val="single" w:sz="8" w:color="auto"/>
              <w:right w:val="single" w:sz="8" w:color="auto"/>
            </w:tcBorders>
          </w:tcPr>
          <w:p>
            <w:pPr>
              <w:spacing w:after="0"/>
              <w:rPr>
                <w:sz w:val="21"/>
                <w:szCs w:val="21"/>
                <w:color w:val="auto"/>
              </w:rPr>
            </w:pPr>
          </w:p>
        </w:tc>
        <w:tc>
          <w:tcPr>
            <w:tcW w:w="1140" w:type="dxa"/>
            <w:vAlign w:val="bottom"/>
            <w:tcBorders>
              <w:bottom w:val="single" w:sz="8" w:color="auto"/>
              <w:right w:val="single" w:sz="8" w:color="auto"/>
            </w:tcBorders>
          </w:tcPr>
          <w:p>
            <w:pPr>
              <w:jc w:val="right"/>
              <w:ind w:right="541"/>
              <w:spacing w:after="0"/>
              <w:rPr>
                <w:sz w:val="20"/>
                <w:szCs w:val="20"/>
                <w:color w:val="auto"/>
              </w:rPr>
            </w:pPr>
            <w:r>
              <w:rPr>
                <w:rFonts w:ascii="Arial" w:cs="Arial" w:eastAsia="Arial" w:hAnsi="Arial"/>
                <w:sz w:val="20"/>
                <w:szCs w:val="20"/>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620" w:type="dxa"/>
            <w:vAlign w:val="bottom"/>
            <w:tcBorders>
              <w:bottom w:val="single" w:sz="8" w:color="auto"/>
              <w:right w:val="single" w:sz="8" w:color="auto"/>
            </w:tcBorders>
          </w:tcPr>
          <w:p>
            <w:pPr>
              <w:spacing w:after="0"/>
              <w:rPr>
                <w:sz w:val="21"/>
                <w:szCs w:val="21"/>
                <w:color w:val="auto"/>
              </w:rPr>
            </w:pPr>
          </w:p>
        </w:tc>
        <w:tc>
          <w:tcPr>
            <w:tcW w:w="11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w:t>
            </w:r>
          </w:p>
        </w:tc>
        <w:tc>
          <w:tcPr>
            <w:tcW w:w="900" w:type="dxa"/>
            <w:vAlign w:val="bottom"/>
            <w:tcBorders>
              <w:bottom w:val="single" w:sz="8" w:color="auto"/>
            </w:tcBorders>
            <w:gridSpan w:val="2"/>
          </w:tcPr>
          <w:p>
            <w:pPr>
              <w:jc w:val="right"/>
              <w:ind w:right="420"/>
              <w:spacing w:after="0"/>
              <w:rPr>
                <w:sz w:val="20"/>
                <w:szCs w:val="20"/>
                <w:color w:val="auto"/>
              </w:rPr>
            </w:pPr>
            <w:r>
              <w:rPr>
                <w:rFonts w:ascii="Arial" w:cs="Arial" w:eastAsia="Arial" w:hAnsi="Arial"/>
                <w:sz w:val="20"/>
                <w:szCs w:val="20"/>
                <w:color w:val="auto"/>
              </w:rPr>
              <w:t>[***]</w:t>
            </w:r>
          </w:p>
        </w:tc>
        <w:tc>
          <w:tcPr>
            <w:tcW w:w="240" w:type="dxa"/>
            <w:vAlign w:val="bottom"/>
            <w:tcBorders>
              <w:bottom w:val="single" w:sz="8" w:color="auto"/>
              <w:right w:val="single" w:sz="8" w:color="auto"/>
            </w:tcBorders>
          </w:tcPr>
          <w:p>
            <w:pPr>
              <w:spacing w:after="0"/>
              <w:rPr>
                <w:sz w:val="21"/>
                <w:szCs w:val="21"/>
                <w:color w:val="auto"/>
              </w:rPr>
            </w:pPr>
          </w:p>
        </w:tc>
        <w:tc>
          <w:tcPr>
            <w:tcW w:w="1160" w:type="dxa"/>
            <w:vAlign w:val="bottom"/>
            <w:tcBorders>
              <w:bottom w:val="single" w:sz="8" w:color="auto"/>
              <w:right w:val="single" w:sz="8" w:color="auto"/>
            </w:tcBorders>
          </w:tcPr>
          <w:p>
            <w:pPr>
              <w:jc w:val="right"/>
              <w:ind w:right="581"/>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541"/>
        </w:trPr>
        <w:tc>
          <w:tcPr>
            <w:tcW w:w="2360" w:type="dxa"/>
            <w:vAlign w:val="bottom"/>
            <w:gridSpan w:val="2"/>
          </w:tcPr>
          <w:p>
            <w:pPr>
              <w:spacing w:after="0"/>
              <w:rPr>
                <w:sz w:val="20"/>
                <w:szCs w:val="20"/>
                <w:color w:val="auto"/>
              </w:rPr>
            </w:pPr>
            <w:r>
              <w:rPr>
                <w:rFonts w:ascii="Arial" w:cs="Arial" w:eastAsia="Arial" w:hAnsi="Arial"/>
                <w:sz w:val="20"/>
                <w:szCs w:val="20"/>
                <w:color w:val="auto"/>
              </w:rPr>
              <w:t>Other cell costs:</w:t>
            </w:r>
          </w:p>
        </w:tc>
        <w:tc>
          <w:tcPr>
            <w:tcW w:w="1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1980" w:type="dxa"/>
            <w:vAlign w:val="bottom"/>
          </w:tcPr>
          <w:p>
            <w:pPr>
              <w:spacing w:after="0"/>
              <w:rPr>
                <w:sz w:val="20"/>
                <w:szCs w:val="20"/>
                <w:color w:val="auto"/>
              </w:rPr>
            </w:pPr>
            <w:r>
              <w:rPr>
                <w:rFonts w:ascii="Arial" w:cs="Arial" w:eastAsia="Arial" w:hAnsi="Arial"/>
                <w:sz w:val="20"/>
                <w:szCs w:val="20"/>
                <w:color w:val="auto"/>
              </w:rPr>
              <w:t>[***]</w:t>
            </w:r>
          </w:p>
        </w:tc>
        <w:tc>
          <w:tcPr>
            <w:tcW w:w="3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2360" w:type="dxa"/>
            <w:vAlign w:val="bottom"/>
            <w:gridSpan w:val="2"/>
          </w:tcPr>
          <w:p>
            <w:pPr>
              <w:spacing w:after="0"/>
              <w:rPr>
                <w:sz w:val="20"/>
                <w:szCs w:val="20"/>
                <w:color w:val="auto"/>
              </w:rPr>
            </w:pPr>
            <w:r>
              <w:rPr>
                <w:rFonts w:ascii="Arial" w:cs="Arial" w:eastAsia="Arial" w:hAnsi="Arial"/>
                <w:sz w:val="20"/>
                <w:szCs w:val="20"/>
                <w:color w:val="auto"/>
                <w:w w:val="97"/>
              </w:rPr>
              <w:t>Chart 5B – Exchange Rate</w:t>
            </w:r>
          </w:p>
        </w:tc>
        <w:tc>
          <w:tcPr>
            <w:tcW w:w="1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7"/>
        </w:trPr>
        <w:tc>
          <w:tcPr>
            <w:tcW w:w="19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360" w:type="dxa"/>
            <w:vAlign w:val="bottom"/>
            <w:tcBorders>
              <w:left w:val="single" w:sz="8" w:color="auto"/>
              <w:right w:val="single" w:sz="8" w:color="auto"/>
            </w:tcBorders>
            <w:gridSpan w:val="2"/>
            <w:vMerge w:val="restart"/>
            <w:shd w:val="clear" w:color="auto" w:fill="D9D9D9"/>
          </w:tcPr>
          <w:p>
            <w:pPr>
              <w:ind w:left="940"/>
              <w:spacing w:after="0"/>
              <w:rPr>
                <w:sz w:val="20"/>
                <w:szCs w:val="20"/>
                <w:color w:val="auto"/>
              </w:rPr>
            </w:pPr>
            <w:r>
              <w:rPr>
                <w:rFonts w:ascii="Arial" w:cs="Arial" w:eastAsia="Arial" w:hAnsi="Arial"/>
                <w:sz w:val="20"/>
                <w:szCs w:val="20"/>
                <w:b w:val="1"/>
                <w:bCs w:val="1"/>
                <w:i w:val="1"/>
                <w:iCs w:val="1"/>
                <w:color w:val="auto"/>
              </w:rPr>
              <w:t>Input</w:t>
            </w:r>
          </w:p>
        </w:tc>
        <w:tc>
          <w:tcPr>
            <w:tcW w:w="1400" w:type="dxa"/>
            <w:vAlign w:val="bottom"/>
            <w:tcBorders>
              <w:right w:val="single" w:sz="8" w:color="auto"/>
            </w:tcBorders>
            <w:vMerge w:val="restart"/>
            <w:shd w:val="clear" w:color="auto" w:fill="D9D9D9"/>
          </w:tcPr>
          <w:p>
            <w:pPr>
              <w:jc w:val="center"/>
              <w:spacing w:after="0"/>
              <w:rPr>
                <w:sz w:val="20"/>
                <w:szCs w:val="20"/>
                <w:color w:val="auto"/>
              </w:rPr>
            </w:pPr>
            <w:r>
              <w:rPr>
                <w:rFonts w:ascii="Arial" w:cs="Arial" w:eastAsia="Arial" w:hAnsi="Arial"/>
                <w:sz w:val="20"/>
                <w:szCs w:val="20"/>
                <w:b w:val="1"/>
                <w:bCs w:val="1"/>
                <w:i w:val="1"/>
                <w:iCs w:val="1"/>
                <w:color w:val="auto"/>
                <w:w w:val="83"/>
              </w:rPr>
              <w:t>Representative</w:t>
            </w:r>
          </w:p>
        </w:tc>
        <w:tc>
          <w:tcPr>
            <w:tcW w:w="820" w:type="dxa"/>
            <w:vAlign w:val="bottom"/>
            <w:shd w:val="clear" w:color="auto" w:fill="D9D9D9"/>
          </w:tcPr>
          <w:p>
            <w:pPr>
              <w:spacing w:after="0"/>
              <w:rPr>
                <w:sz w:val="24"/>
                <w:szCs w:val="24"/>
                <w:color w:val="auto"/>
              </w:rPr>
            </w:pPr>
          </w:p>
        </w:tc>
        <w:tc>
          <w:tcPr>
            <w:tcW w:w="1440" w:type="dxa"/>
            <w:vAlign w:val="bottom"/>
            <w:tcBorders>
              <w:right w:val="single" w:sz="8" w:color="D9D9D9"/>
            </w:tcBorders>
            <w:gridSpan w:val="2"/>
            <w:vMerge w:val="restart"/>
            <w:shd w:val="clear" w:color="auto" w:fill="D9D9D9"/>
          </w:tcPr>
          <w:p>
            <w:pPr>
              <w:jc w:val="right"/>
              <w:ind w:right="341"/>
              <w:spacing w:after="0"/>
              <w:rPr>
                <w:sz w:val="20"/>
                <w:szCs w:val="20"/>
                <w:color w:val="auto"/>
              </w:rPr>
            </w:pPr>
            <w:r>
              <w:rPr>
                <w:rFonts w:ascii="Arial" w:cs="Arial" w:eastAsia="Arial" w:hAnsi="Arial"/>
                <w:sz w:val="20"/>
                <w:szCs w:val="20"/>
                <w:b w:val="1"/>
                <w:bCs w:val="1"/>
                <w:i w:val="1"/>
                <w:iCs w:val="1"/>
                <w:color w:val="auto"/>
                <w:w w:val="89"/>
              </w:rPr>
              <w:t>Description</w:t>
            </w:r>
          </w:p>
        </w:tc>
        <w:tc>
          <w:tcPr>
            <w:tcW w:w="520" w:type="dxa"/>
            <w:vAlign w:val="bottom"/>
            <w:tcBorders>
              <w:right w:val="single" w:sz="8" w:color="auto"/>
            </w:tcBorders>
            <w:shd w:val="clear" w:color="auto" w:fill="D9D9D9"/>
          </w:tcPr>
          <w:p>
            <w:pPr>
              <w:spacing w:after="0"/>
              <w:rPr>
                <w:sz w:val="24"/>
                <w:szCs w:val="24"/>
                <w:color w:val="auto"/>
              </w:rPr>
            </w:pPr>
          </w:p>
        </w:tc>
        <w:tc>
          <w:tcPr>
            <w:tcW w:w="620" w:type="dxa"/>
            <w:vAlign w:val="bottom"/>
            <w:tcBorders>
              <w:right w:val="single" w:sz="8" w:color="D9D9D9"/>
            </w:tcBorders>
            <w:shd w:val="clear" w:color="auto" w:fill="D9D9D9"/>
          </w:tcPr>
          <w:p>
            <w:pPr>
              <w:spacing w:after="0"/>
              <w:rPr>
                <w:sz w:val="24"/>
                <w:szCs w:val="24"/>
                <w:color w:val="auto"/>
              </w:rPr>
            </w:pPr>
          </w:p>
        </w:tc>
        <w:tc>
          <w:tcPr>
            <w:tcW w:w="1140" w:type="dxa"/>
            <w:vAlign w:val="bottom"/>
            <w:tcBorders>
              <w:right w:val="single" w:sz="8" w:color="D9D9D9"/>
            </w:tcBorders>
            <w:shd w:val="clear" w:color="auto" w:fill="D9D9D9"/>
          </w:tcPr>
          <w:p>
            <w:pPr>
              <w:ind w:left="160"/>
              <w:spacing w:after="0"/>
              <w:rPr>
                <w:sz w:val="20"/>
                <w:szCs w:val="20"/>
                <w:color w:val="auto"/>
              </w:rPr>
            </w:pPr>
            <w:r>
              <w:rPr>
                <w:rFonts w:ascii="Arial" w:cs="Arial" w:eastAsia="Arial" w:hAnsi="Arial"/>
                <w:sz w:val="20"/>
                <w:szCs w:val="20"/>
                <w:b w:val="1"/>
                <w:bCs w:val="1"/>
                <w:i w:val="1"/>
                <w:iCs w:val="1"/>
                <w:color w:val="auto"/>
              </w:rPr>
              <w:t>Value</w:t>
            </w:r>
          </w:p>
        </w:tc>
        <w:tc>
          <w:tcPr>
            <w:tcW w:w="280" w:type="dxa"/>
            <w:vAlign w:val="bottom"/>
            <w:tcBorders>
              <w:right w:val="single" w:sz="8" w:color="auto"/>
            </w:tcBorders>
            <w:shd w:val="clear" w:color="auto" w:fill="D9D9D9"/>
          </w:tcPr>
          <w:p>
            <w:pPr>
              <w:spacing w:after="0"/>
              <w:rPr>
                <w:sz w:val="24"/>
                <w:szCs w:val="24"/>
                <w:color w:val="auto"/>
              </w:rPr>
            </w:pPr>
          </w:p>
        </w:tc>
        <w:tc>
          <w:tcPr>
            <w:tcW w:w="620" w:type="dxa"/>
            <w:vAlign w:val="bottom"/>
            <w:shd w:val="clear" w:color="auto" w:fill="D9D9D9"/>
          </w:tcPr>
          <w:p>
            <w:pPr>
              <w:spacing w:after="0"/>
              <w:rPr>
                <w:sz w:val="24"/>
                <w:szCs w:val="24"/>
                <w:color w:val="auto"/>
              </w:rPr>
            </w:pPr>
          </w:p>
        </w:tc>
        <w:tc>
          <w:tcPr>
            <w:tcW w:w="1400" w:type="dxa"/>
            <w:vAlign w:val="bottom"/>
            <w:tcBorders>
              <w:right w:val="single" w:sz="8" w:color="auto"/>
            </w:tcBorders>
            <w:gridSpan w:val="2"/>
            <w:shd w:val="clear" w:color="auto" w:fill="D9D9D9"/>
          </w:tcPr>
          <w:p>
            <w:pPr>
              <w:ind w:left="140"/>
              <w:spacing w:after="0"/>
              <w:rPr>
                <w:sz w:val="20"/>
                <w:szCs w:val="20"/>
                <w:color w:val="auto"/>
              </w:rPr>
            </w:pPr>
            <w:r>
              <w:rPr>
                <w:rFonts w:ascii="Arial" w:cs="Arial" w:eastAsia="Arial" w:hAnsi="Arial"/>
                <w:sz w:val="20"/>
                <w:szCs w:val="20"/>
                <w:b w:val="1"/>
                <w:bCs w:val="1"/>
                <w:i w:val="1"/>
                <w:iCs w:val="1"/>
                <w:color w:val="auto"/>
              </w:rPr>
              <w:t>Value</w:t>
            </w:r>
          </w:p>
        </w:tc>
        <w:tc>
          <w:tcPr>
            <w:tcW w:w="0" w:type="dxa"/>
            <w:vAlign w:val="bottom"/>
          </w:tcPr>
          <w:p>
            <w:pPr>
              <w:spacing w:after="0"/>
              <w:rPr>
                <w:sz w:val="1"/>
                <w:szCs w:val="1"/>
                <w:color w:val="auto"/>
              </w:rPr>
            </w:pPr>
          </w:p>
        </w:tc>
      </w:tr>
      <w:tr>
        <w:trPr>
          <w:trHeight w:val="138"/>
        </w:trPr>
        <w:tc>
          <w:tcPr>
            <w:tcW w:w="2360" w:type="dxa"/>
            <w:vAlign w:val="bottom"/>
            <w:tcBorders>
              <w:left w:val="single" w:sz="8" w:color="auto"/>
              <w:right w:val="single" w:sz="8" w:color="auto"/>
            </w:tcBorders>
            <w:gridSpan w:val="2"/>
            <w:vMerge w:val="continue"/>
            <w:shd w:val="clear" w:color="auto" w:fill="D9D9D9"/>
          </w:tcPr>
          <w:p>
            <w:pPr>
              <w:spacing w:after="0"/>
              <w:rPr>
                <w:sz w:val="12"/>
                <w:szCs w:val="12"/>
                <w:color w:val="auto"/>
              </w:rPr>
            </w:pPr>
          </w:p>
        </w:tc>
        <w:tc>
          <w:tcPr>
            <w:tcW w:w="1400" w:type="dxa"/>
            <w:vAlign w:val="bottom"/>
            <w:tcBorders>
              <w:right w:val="single" w:sz="8" w:color="auto"/>
            </w:tcBorders>
            <w:vMerge w:val="continue"/>
            <w:shd w:val="clear" w:color="auto" w:fill="D9D9D9"/>
          </w:tcPr>
          <w:p>
            <w:pPr>
              <w:spacing w:after="0"/>
              <w:rPr>
                <w:sz w:val="12"/>
                <w:szCs w:val="12"/>
                <w:color w:val="auto"/>
              </w:rPr>
            </w:pPr>
          </w:p>
        </w:tc>
        <w:tc>
          <w:tcPr>
            <w:tcW w:w="820" w:type="dxa"/>
            <w:vAlign w:val="bottom"/>
            <w:shd w:val="clear" w:color="auto" w:fill="D9D9D9"/>
          </w:tcPr>
          <w:p>
            <w:pPr>
              <w:spacing w:after="0"/>
              <w:rPr>
                <w:sz w:val="12"/>
                <w:szCs w:val="12"/>
                <w:color w:val="auto"/>
              </w:rPr>
            </w:pPr>
          </w:p>
        </w:tc>
        <w:tc>
          <w:tcPr>
            <w:tcW w:w="1440" w:type="dxa"/>
            <w:vAlign w:val="bottom"/>
            <w:tcBorders>
              <w:right w:val="single" w:sz="8" w:color="D9D9D9"/>
            </w:tcBorders>
            <w:gridSpan w:val="2"/>
            <w:vMerge w:val="continue"/>
            <w:shd w:val="clear" w:color="auto" w:fill="D9D9D9"/>
          </w:tcPr>
          <w:p>
            <w:pPr>
              <w:spacing w:after="0"/>
              <w:rPr>
                <w:sz w:val="12"/>
                <w:szCs w:val="12"/>
                <w:color w:val="auto"/>
              </w:rPr>
            </w:pPr>
          </w:p>
        </w:tc>
        <w:tc>
          <w:tcPr>
            <w:tcW w:w="520" w:type="dxa"/>
            <w:vAlign w:val="bottom"/>
            <w:tcBorders>
              <w:right w:val="single" w:sz="8" w:color="auto"/>
            </w:tcBorders>
            <w:shd w:val="clear" w:color="auto" w:fill="D9D9D9"/>
          </w:tcPr>
          <w:p>
            <w:pPr>
              <w:spacing w:after="0"/>
              <w:rPr>
                <w:sz w:val="12"/>
                <w:szCs w:val="12"/>
                <w:color w:val="auto"/>
              </w:rPr>
            </w:pPr>
          </w:p>
        </w:tc>
        <w:tc>
          <w:tcPr>
            <w:tcW w:w="620" w:type="dxa"/>
            <w:vAlign w:val="bottom"/>
            <w:tcBorders>
              <w:right w:val="single" w:sz="8" w:color="D9D9D9"/>
            </w:tcBorders>
            <w:shd w:val="clear" w:color="auto" w:fill="D9D9D9"/>
          </w:tcPr>
          <w:p>
            <w:pPr>
              <w:spacing w:after="0"/>
              <w:rPr>
                <w:sz w:val="12"/>
                <w:szCs w:val="12"/>
                <w:color w:val="auto"/>
              </w:rPr>
            </w:pPr>
          </w:p>
        </w:tc>
        <w:tc>
          <w:tcPr>
            <w:tcW w:w="1140" w:type="dxa"/>
            <w:vAlign w:val="bottom"/>
            <w:tcBorders>
              <w:right w:val="single" w:sz="8" w:color="D9D9D9"/>
            </w:tcBorders>
            <w:shd w:val="clear" w:color="auto" w:fill="D9D9D9"/>
          </w:tcPr>
          <w:p>
            <w:pPr>
              <w:ind w:left="180"/>
              <w:spacing w:after="0" w:line="138" w:lineRule="exact"/>
              <w:rPr>
                <w:sz w:val="20"/>
                <w:szCs w:val="20"/>
                <w:color w:val="auto"/>
              </w:rPr>
            </w:pPr>
            <w:r>
              <w:rPr>
                <w:rFonts w:ascii="Arial" w:cs="Arial" w:eastAsia="Arial" w:hAnsi="Arial"/>
                <w:sz w:val="16"/>
                <w:szCs w:val="16"/>
                <w:b w:val="1"/>
                <w:bCs w:val="1"/>
                <w:i w:val="1"/>
                <w:iCs w:val="1"/>
                <w:color w:val="auto"/>
              </w:rPr>
              <w:t>[***]</w:t>
            </w:r>
          </w:p>
        </w:tc>
        <w:tc>
          <w:tcPr>
            <w:tcW w:w="280" w:type="dxa"/>
            <w:vAlign w:val="bottom"/>
            <w:tcBorders>
              <w:right w:val="single" w:sz="8" w:color="auto"/>
            </w:tcBorders>
            <w:shd w:val="clear" w:color="auto" w:fill="D9D9D9"/>
          </w:tcPr>
          <w:p>
            <w:pPr>
              <w:spacing w:after="0"/>
              <w:rPr>
                <w:sz w:val="12"/>
                <w:szCs w:val="12"/>
                <w:color w:val="auto"/>
              </w:rPr>
            </w:pPr>
          </w:p>
        </w:tc>
        <w:tc>
          <w:tcPr>
            <w:tcW w:w="620" w:type="dxa"/>
            <w:vAlign w:val="bottom"/>
            <w:shd w:val="clear" w:color="auto" w:fill="D9D9D9"/>
          </w:tcPr>
          <w:p>
            <w:pPr>
              <w:spacing w:after="0"/>
              <w:rPr>
                <w:sz w:val="12"/>
                <w:szCs w:val="12"/>
                <w:color w:val="auto"/>
              </w:rPr>
            </w:pPr>
          </w:p>
        </w:tc>
        <w:tc>
          <w:tcPr>
            <w:tcW w:w="1400" w:type="dxa"/>
            <w:vAlign w:val="bottom"/>
            <w:tcBorders>
              <w:right w:val="single" w:sz="8" w:color="auto"/>
            </w:tcBorders>
            <w:gridSpan w:val="2"/>
            <w:shd w:val="clear" w:color="auto" w:fill="D9D9D9"/>
          </w:tcPr>
          <w:p>
            <w:pPr>
              <w:ind w:left="160"/>
              <w:spacing w:after="0" w:line="138" w:lineRule="exact"/>
              <w:rPr>
                <w:sz w:val="20"/>
                <w:szCs w:val="20"/>
                <w:color w:val="auto"/>
              </w:rPr>
            </w:pPr>
            <w:r>
              <w:rPr>
                <w:rFonts w:ascii="Arial" w:cs="Arial" w:eastAsia="Arial" w:hAnsi="Arial"/>
                <w:sz w:val="16"/>
                <w:szCs w:val="16"/>
                <w:b w:val="1"/>
                <w:bCs w:val="1"/>
                <w:i w:val="1"/>
                <w:iCs w:val="1"/>
                <w:color w:val="auto"/>
              </w:rPr>
              <w:t>[***]</w:t>
            </w:r>
          </w:p>
        </w:tc>
        <w:tc>
          <w:tcPr>
            <w:tcW w:w="0" w:type="dxa"/>
            <w:vAlign w:val="bottom"/>
          </w:tcPr>
          <w:p>
            <w:pPr>
              <w:spacing w:after="0"/>
              <w:rPr>
                <w:sz w:val="1"/>
                <w:szCs w:val="1"/>
                <w:color w:val="auto"/>
              </w:rPr>
            </w:pPr>
          </w:p>
        </w:tc>
      </w:tr>
      <w:tr>
        <w:trPr>
          <w:trHeight w:val="250"/>
        </w:trPr>
        <w:tc>
          <w:tcPr>
            <w:tcW w:w="1980" w:type="dxa"/>
            <w:vAlign w:val="bottom"/>
            <w:tcBorders>
              <w:left w:val="single" w:sz="8" w:color="auto"/>
              <w:right w:val="single" w:sz="8" w:color="D9D9D9"/>
            </w:tcBorders>
            <w:shd w:val="clear" w:color="auto" w:fill="D9D9D9"/>
          </w:tcPr>
          <w:p>
            <w:pPr>
              <w:spacing w:after="0"/>
              <w:rPr>
                <w:sz w:val="21"/>
                <w:szCs w:val="21"/>
                <w:color w:val="auto"/>
              </w:rPr>
            </w:pPr>
          </w:p>
        </w:tc>
        <w:tc>
          <w:tcPr>
            <w:tcW w:w="380" w:type="dxa"/>
            <w:vAlign w:val="bottom"/>
            <w:tcBorders>
              <w:right w:val="single" w:sz="8" w:color="auto"/>
            </w:tcBorders>
            <w:shd w:val="clear" w:color="auto" w:fill="D9D9D9"/>
          </w:tcPr>
          <w:p>
            <w:pPr>
              <w:spacing w:after="0"/>
              <w:rPr>
                <w:sz w:val="21"/>
                <w:szCs w:val="21"/>
                <w:color w:val="auto"/>
              </w:rPr>
            </w:pPr>
          </w:p>
        </w:tc>
        <w:tc>
          <w:tcPr>
            <w:tcW w:w="1400" w:type="dxa"/>
            <w:vAlign w:val="bottom"/>
            <w:tcBorders>
              <w:right w:val="single" w:sz="8" w:color="auto"/>
            </w:tcBorders>
            <w:shd w:val="clear" w:color="auto" w:fill="D9D9D9"/>
          </w:tcPr>
          <w:p>
            <w:pPr>
              <w:jc w:val="center"/>
              <w:ind w:right="1"/>
              <w:spacing w:after="0"/>
              <w:rPr>
                <w:sz w:val="20"/>
                <w:szCs w:val="20"/>
                <w:color w:val="auto"/>
              </w:rPr>
            </w:pPr>
            <w:r>
              <w:rPr>
                <w:rFonts w:ascii="Arial" w:cs="Arial" w:eastAsia="Arial" w:hAnsi="Arial"/>
                <w:sz w:val="20"/>
                <w:szCs w:val="20"/>
                <w:b w:val="1"/>
                <w:bCs w:val="1"/>
                <w:i w:val="1"/>
                <w:iCs w:val="1"/>
                <w:color w:val="auto"/>
                <w:w w:val="85"/>
              </w:rPr>
              <w:t>letter</w:t>
            </w:r>
          </w:p>
        </w:tc>
        <w:tc>
          <w:tcPr>
            <w:tcW w:w="820" w:type="dxa"/>
            <w:vAlign w:val="bottom"/>
            <w:shd w:val="clear" w:color="auto" w:fill="D9D9D9"/>
          </w:tcPr>
          <w:p>
            <w:pPr>
              <w:spacing w:after="0"/>
              <w:rPr>
                <w:sz w:val="21"/>
                <w:szCs w:val="21"/>
                <w:color w:val="auto"/>
              </w:rPr>
            </w:pPr>
          </w:p>
        </w:tc>
        <w:tc>
          <w:tcPr>
            <w:tcW w:w="300" w:type="dxa"/>
            <w:vAlign w:val="bottom"/>
            <w:tcBorders>
              <w:right w:val="single" w:sz="8" w:color="D9D9D9"/>
            </w:tcBorders>
            <w:shd w:val="clear" w:color="auto" w:fill="D9D9D9"/>
          </w:tcPr>
          <w:p>
            <w:pPr>
              <w:spacing w:after="0"/>
              <w:rPr>
                <w:sz w:val="21"/>
                <w:szCs w:val="21"/>
                <w:color w:val="auto"/>
              </w:rPr>
            </w:pPr>
          </w:p>
        </w:tc>
        <w:tc>
          <w:tcPr>
            <w:tcW w:w="1140" w:type="dxa"/>
            <w:vAlign w:val="bottom"/>
            <w:tcBorders>
              <w:right w:val="single" w:sz="8" w:color="D9D9D9"/>
            </w:tcBorders>
            <w:shd w:val="clear" w:color="auto" w:fill="D9D9D9"/>
          </w:tcPr>
          <w:p>
            <w:pPr>
              <w:spacing w:after="0"/>
              <w:rPr>
                <w:sz w:val="21"/>
                <w:szCs w:val="21"/>
                <w:color w:val="auto"/>
              </w:rPr>
            </w:pPr>
          </w:p>
        </w:tc>
        <w:tc>
          <w:tcPr>
            <w:tcW w:w="520" w:type="dxa"/>
            <w:vAlign w:val="bottom"/>
            <w:tcBorders>
              <w:right w:val="single" w:sz="8" w:color="auto"/>
            </w:tcBorders>
            <w:shd w:val="clear" w:color="auto" w:fill="D9D9D9"/>
          </w:tcPr>
          <w:p>
            <w:pPr>
              <w:spacing w:after="0"/>
              <w:rPr>
                <w:sz w:val="21"/>
                <w:szCs w:val="21"/>
                <w:color w:val="auto"/>
              </w:rPr>
            </w:pPr>
          </w:p>
        </w:tc>
        <w:tc>
          <w:tcPr>
            <w:tcW w:w="620" w:type="dxa"/>
            <w:vAlign w:val="bottom"/>
            <w:tcBorders>
              <w:right w:val="single" w:sz="8" w:color="D9D9D9"/>
            </w:tcBorders>
            <w:shd w:val="clear" w:color="auto" w:fill="D9D9D9"/>
          </w:tcPr>
          <w:p>
            <w:pPr>
              <w:spacing w:after="0"/>
              <w:rPr>
                <w:sz w:val="21"/>
                <w:szCs w:val="21"/>
                <w:color w:val="auto"/>
              </w:rPr>
            </w:pPr>
          </w:p>
        </w:tc>
        <w:tc>
          <w:tcPr>
            <w:tcW w:w="1140" w:type="dxa"/>
            <w:vAlign w:val="bottom"/>
            <w:tcBorders>
              <w:right w:val="single" w:sz="8" w:color="D9D9D9"/>
            </w:tcBorders>
            <w:shd w:val="clear" w:color="auto" w:fill="D9D9D9"/>
          </w:tcPr>
          <w:p>
            <w:pPr>
              <w:spacing w:after="0"/>
              <w:rPr>
                <w:sz w:val="21"/>
                <w:szCs w:val="21"/>
                <w:color w:val="auto"/>
              </w:rPr>
            </w:pPr>
          </w:p>
        </w:tc>
        <w:tc>
          <w:tcPr>
            <w:tcW w:w="280" w:type="dxa"/>
            <w:vAlign w:val="bottom"/>
            <w:tcBorders>
              <w:right w:val="single" w:sz="8" w:color="auto"/>
            </w:tcBorders>
            <w:shd w:val="clear" w:color="auto" w:fill="D9D9D9"/>
          </w:tcPr>
          <w:p>
            <w:pPr>
              <w:spacing w:after="0"/>
              <w:rPr>
                <w:sz w:val="21"/>
                <w:szCs w:val="21"/>
                <w:color w:val="auto"/>
              </w:rPr>
            </w:pPr>
          </w:p>
        </w:tc>
        <w:tc>
          <w:tcPr>
            <w:tcW w:w="620" w:type="dxa"/>
            <w:vAlign w:val="bottom"/>
            <w:shd w:val="clear" w:color="auto" w:fill="D9D9D9"/>
          </w:tcPr>
          <w:p>
            <w:pPr>
              <w:spacing w:after="0"/>
              <w:rPr>
                <w:sz w:val="21"/>
                <w:szCs w:val="21"/>
                <w:color w:val="auto"/>
              </w:rPr>
            </w:pPr>
          </w:p>
        </w:tc>
        <w:tc>
          <w:tcPr>
            <w:tcW w:w="240" w:type="dxa"/>
            <w:vAlign w:val="bottom"/>
            <w:tcBorders>
              <w:right w:val="single" w:sz="8" w:color="D9D9D9"/>
            </w:tcBorders>
            <w:shd w:val="clear" w:color="auto" w:fill="D9D9D9"/>
          </w:tcPr>
          <w:p>
            <w:pPr>
              <w:spacing w:after="0"/>
              <w:rPr>
                <w:sz w:val="21"/>
                <w:szCs w:val="21"/>
                <w:color w:val="auto"/>
              </w:rPr>
            </w:pPr>
          </w:p>
        </w:tc>
        <w:tc>
          <w:tcPr>
            <w:tcW w:w="1160" w:type="dxa"/>
            <w:vAlign w:val="bottom"/>
            <w:tcBorders>
              <w:right w:val="single" w:sz="8" w:color="auto"/>
            </w:tcBorders>
            <w:shd w:val="clear" w:color="auto" w:fill="D9D9D9"/>
          </w:tcPr>
          <w:p>
            <w:pPr>
              <w:spacing w:after="0"/>
              <w:rPr>
                <w:sz w:val="21"/>
                <w:szCs w:val="21"/>
                <w:color w:val="auto"/>
              </w:rPr>
            </w:pPr>
          </w:p>
        </w:tc>
        <w:tc>
          <w:tcPr>
            <w:tcW w:w="0" w:type="dxa"/>
            <w:vAlign w:val="bottom"/>
          </w:tcPr>
          <w:p>
            <w:pPr>
              <w:spacing w:after="0"/>
              <w:rPr>
                <w:sz w:val="1"/>
                <w:szCs w:val="1"/>
                <w:color w:val="auto"/>
              </w:rPr>
            </w:pPr>
          </w:p>
        </w:tc>
      </w:tr>
      <w:tr>
        <w:trPr>
          <w:trHeight w:val="87"/>
        </w:trPr>
        <w:tc>
          <w:tcPr>
            <w:tcW w:w="1980" w:type="dxa"/>
            <w:vAlign w:val="bottom"/>
            <w:tcBorders>
              <w:left w:val="single" w:sz="8" w:color="auto"/>
              <w:bottom w:val="single" w:sz="8" w:color="auto"/>
              <w:right w:val="single" w:sz="8" w:color="D9D9D9"/>
            </w:tcBorders>
            <w:shd w:val="clear" w:color="auto" w:fill="D9D9D9"/>
          </w:tcPr>
          <w:p>
            <w:pPr>
              <w:spacing w:after="0"/>
              <w:rPr>
                <w:sz w:val="7"/>
                <w:szCs w:val="7"/>
                <w:color w:val="auto"/>
              </w:rPr>
            </w:pPr>
          </w:p>
        </w:tc>
        <w:tc>
          <w:tcPr>
            <w:tcW w:w="380" w:type="dxa"/>
            <w:vAlign w:val="bottom"/>
            <w:tcBorders>
              <w:bottom w:val="single" w:sz="8" w:color="auto"/>
              <w:right w:val="single" w:sz="8" w:color="auto"/>
            </w:tcBorders>
            <w:shd w:val="clear" w:color="auto" w:fill="D9D9D9"/>
          </w:tcPr>
          <w:p>
            <w:pPr>
              <w:spacing w:after="0"/>
              <w:rPr>
                <w:sz w:val="7"/>
                <w:szCs w:val="7"/>
                <w:color w:val="auto"/>
              </w:rPr>
            </w:pPr>
          </w:p>
        </w:tc>
        <w:tc>
          <w:tcPr>
            <w:tcW w:w="1400" w:type="dxa"/>
            <w:vAlign w:val="bottom"/>
            <w:tcBorders>
              <w:bottom w:val="single" w:sz="8" w:color="auto"/>
              <w:right w:val="single" w:sz="8" w:color="auto"/>
            </w:tcBorders>
            <w:shd w:val="clear" w:color="auto" w:fill="D9D9D9"/>
          </w:tcPr>
          <w:p>
            <w:pPr>
              <w:spacing w:after="0"/>
              <w:rPr>
                <w:sz w:val="7"/>
                <w:szCs w:val="7"/>
                <w:color w:val="auto"/>
              </w:rPr>
            </w:pPr>
          </w:p>
        </w:tc>
        <w:tc>
          <w:tcPr>
            <w:tcW w:w="820" w:type="dxa"/>
            <w:vAlign w:val="bottom"/>
            <w:tcBorders>
              <w:bottom w:val="single" w:sz="8" w:color="auto"/>
            </w:tcBorders>
            <w:shd w:val="clear" w:color="auto" w:fill="D9D9D9"/>
          </w:tcPr>
          <w:p>
            <w:pPr>
              <w:spacing w:after="0"/>
              <w:rPr>
                <w:sz w:val="7"/>
                <w:szCs w:val="7"/>
                <w:color w:val="auto"/>
              </w:rPr>
            </w:pPr>
          </w:p>
        </w:tc>
        <w:tc>
          <w:tcPr>
            <w:tcW w:w="300" w:type="dxa"/>
            <w:vAlign w:val="bottom"/>
            <w:tcBorders>
              <w:bottom w:val="single" w:sz="8" w:color="auto"/>
              <w:right w:val="single" w:sz="8" w:color="D9D9D9"/>
            </w:tcBorders>
            <w:shd w:val="clear" w:color="auto" w:fill="D9D9D9"/>
          </w:tcPr>
          <w:p>
            <w:pPr>
              <w:spacing w:after="0"/>
              <w:rPr>
                <w:sz w:val="7"/>
                <w:szCs w:val="7"/>
                <w:color w:val="auto"/>
              </w:rPr>
            </w:pPr>
          </w:p>
        </w:tc>
        <w:tc>
          <w:tcPr>
            <w:tcW w:w="1140" w:type="dxa"/>
            <w:vAlign w:val="bottom"/>
            <w:tcBorders>
              <w:bottom w:val="single" w:sz="8" w:color="auto"/>
              <w:right w:val="single" w:sz="8" w:color="D9D9D9"/>
            </w:tcBorders>
            <w:shd w:val="clear" w:color="auto" w:fill="D9D9D9"/>
          </w:tcPr>
          <w:p>
            <w:pPr>
              <w:spacing w:after="0"/>
              <w:rPr>
                <w:sz w:val="7"/>
                <w:szCs w:val="7"/>
                <w:color w:val="auto"/>
              </w:rPr>
            </w:pPr>
          </w:p>
        </w:tc>
        <w:tc>
          <w:tcPr>
            <w:tcW w:w="520" w:type="dxa"/>
            <w:vAlign w:val="bottom"/>
            <w:tcBorders>
              <w:bottom w:val="single" w:sz="8" w:color="auto"/>
              <w:right w:val="single" w:sz="8" w:color="auto"/>
            </w:tcBorders>
            <w:shd w:val="clear" w:color="auto" w:fill="D9D9D9"/>
          </w:tcPr>
          <w:p>
            <w:pPr>
              <w:spacing w:after="0"/>
              <w:rPr>
                <w:sz w:val="7"/>
                <w:szCs w:val="7"/>
                <w:color w:val="auto"/>
              </w:rPr>
            </w:pPr>
          </w:p>
        </w:tc>
        <w:tc>
          <w:tcPr>
            <w:tcW w:w="620" w:type="dxa"/>
            <w:vAlign w:val="bottom"/>
            <w:tcBorders>
              <w:bottom w:val="single" w:sz="8" w:color="auto"/>
              <w:right w:val="single" w:sz="8" w:color="D9D9D9"/>
            </w:tcBorders>
            <w:shd w:val="clear" w:color="auto" w:fill="D9D9D9"/>
          </w:tcPr>
          <w:p>
            <w:pPr>
              <w:spacing w:after="0"/>
              <w:rPr>
                <w:sz w:val="7"/>
                <w:szCs w:val="7"/>
                <w:color w:val="auto"/>
              </w:rPr>
            </w:pPr>
          </w:p>
        </w:tc>
        <w:tc>
          <w:tcPr>
            <w:tcW w:w="1140" w:type="dxa"/>
            <w:vAlign w:val="bottom"/>
            <w:tcBorders>
              <w:bottom w:val="single" w:sz="8" w:color="auto"/>
              <w:right w:val="single" w:sz="8" w:color="D9D9D9"/>
            </w:tcBorders>
            <w:shd w:val="clear" w:color="auto" w:fill="D9D9D9"/>
          </w:tcPr>
          <w:p>
            <w:pPr>
              <w:spacing w:after="0"/>
              <w:rPr>
                <w:sz w:val="7"/>
                <w:szCs w:val="7"/>
                <w:color w:val="auto"/>
              </w:rPr>
            </w:pPr>
          </w:p>
        </w:tc>
        <w:tc>
          <w:tcPr>
            <w:tcW w:w="280" w:type="dxa"/>
            <w:vAlign w:val="bottom"/>
            <w:tcBorders>
              <w:bottom w:val="single" w:sz="8" w:color="auto"/>
              <w:right w:val="single" w:sz="8" w:color="auto"/>
            </w:tcBorders>
            <w:shd w:val="clear" w:color="auto" w:fill="D9D9D9"/>
          </w:tcPr>
          <w:p>
            <w:pPr>
              <w:spacing w:after="0"/>
              <w:rPr>
                <w:sz w:val="7"/>
                <w:szCs w:val="7"/>
                <w:color w:val="auto"/>
              </w:rPr>
            </w:pPr>
          </w:p>
        </w:tc>
        <w:tc>
          <w:tcPr>
            <w:tcW w:w="620" w:type="dxa"/>
            <w:vAlign w:val="bottom"/>
            <w:tcBorders>
              <w:bottom w:val="single" w:sz="8" w:color="auto"/>
            </w:tcBorders>
            <w:shd w:val="clear" w:color="auto" w:fill="D9D9D9"/>
          </w:tcPr>
          <w:p>
            <w:pPr>
              <w:spacing w:after="0"/>
              <w:rPr>
                <w:sz w:val="7"/>
                <w:szCs w:val="7"/>
                <w:color w:val="auto"/>
              </w:rPr>
            </w:pPr>
          </w:p>
        </w:tc>
        <w:tc>
          <w:tcPr>
            <w:tcW w:w="1400" w:type="dxa"/>
            <w:vAlign w:val="bottom"/>
            <w:tcBorders>
              <w:bottom w:val="single" w:sz="8" w:color="auto"/>
              <w:right w:val="single" w:sz="8" w:color="auto"/>
            </w:tcBorders>
            <w:gridSpan w:val="2"/>
            <w:shd w:val="clear" w:color="auto" w:fill="D9D9D9"/>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1980" w:type="dxa"/>
            <w:vAlign w:val="bottom"/>
            <w:tcBorders>
              <w:left w:val="single" w:sz="8" w:color="auto"/>
              <w:bottom w:val="single" w:sz="8" w:color="auto"/>
            </w:tcBorders>
          </w:tcPr>
          <w:p>
            <w:pPr>
              <w:ind w:left="80"/>
              <w:spacing w:after="0"/>
              <w:rPr>
                <w:sz w:val="20"/>
                <w:szCs w:val="20"/>
                <w:color w:val="auto"/>
              </w:rPr>
            </w:pPr>
            <w:r>
              <w:rPr>
                <w:rFonts w:ascii="Arial" w:cs="Arial" w:eastAsia="Arial" w:hAnsi="Arial"/>
                <w:sz w:val="20"/>
                <w:szCs w:val="20"/>
                <w:color w:val="auto"/>
              </w:rPr>
              <w:t>[***]</w:t>
            </w:r>
          </w:p>
        </w:tc>
        <w:tc>
          <w:tcPr>
            <w:tcW w:w="380" w:type="dxa"/>
            <w:vAlign w:val="bottom"/>
            <w:tcBorders>
              <w:bottom w:val="single" w:sz="8" w:color="auto"/>
              <w:right w:val="single" w:sz="8" w:color="auto"/>
            </w:tcBorders>
          </w:tcPr>
          <w:p>
            <w:pPr>
              <w:spacing w:after="0"/>
              <w:rPr>
                <w:sz w:val="21"/>
                <w:szCs w:val="21"/>
                <w:color w:val="auto"/>
              </w:rPr>
            </w:pPr>
          </w:p>
        </w:tc>
        <w:tc>
          <w:tcPr>
            <w:tcW w:w="1400" w:type="dxa"/>
            <w:vAlign w:val="bottom"/>
            <w:tcBorders>
              <w:bottom w:val="single" w:sz="8" w:color="auto"/>
              <w:right w:val="single" w:sz="8" w:color="auto"/>
            </w:tcBorders>
          </w:tcPr>
          <w:p>
            <w:pPr>
              <w:jc w:val="center"/>
              <w:ind w:right="1"/>
              <w:spacing w:after="0"/>
              <w:rPr>
                <w:sz w:val="20"/>
                <w:szCs w:val="20"/>
                <w:color w:val="auto"/>
              </w:rPr>
            </w:pPr>
            <w:r>
              <w:rPr>
                <w:rFonts w:ascii="Arial" w:cs="Arial" w:eastAsia="Arial" w:hAnsi="Arial"/>
                <w:sz w:val="20"/>
                <w:szCs w:val="20"/>
                <w:color w:val="auto"/>
              </w:rPr>
              <w:t>[***]</w:t>
            </w:r>
          </w:p>
        </w:tc>
        <w:tc>
          <w:tcPr>
            <w:tcW w:w="820" w:type="dxa"/>
            <w:vAlign w:val="bottom"/>
            <w:tcBorders>
              <w:bottom w:val="single" w:sz="8" w:color="auto"/>
            </w:tcBorders>
          </w:tcPr>
          <w:p>
            <w:pPr>
              <w:jc w:val="right"/>
              <w:ind w:right="281"/>
              <w:spacing w:after="0"/>
              <w:rPr>
                <w:sz w:val="20"/>
                <w:szCs w:val="20"/>
                <w:color w:val="auto"/>
              </w:rPr>
            </w:pPr>
            <w:r>
              <w:rPr>
                <w:rFonts w:ascii="Arial" w:cs="Arial" w:eastAsia="Arial" w:hAnsi="Arial"/>
                <w:sz w:val="20"/>
                <w:szCs w:val="20"/>
                <w:color w:val="auto"/>
              </w:rPr>
              <w:t>[***]</w:t>
            </w:r>
          </w:p>
        </w:tc>
        <w:tc>
          <w:tcPr>
            <w:tcW w:w="3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520" w:type="dxa"/>
            <w:vAlign w:val="bottom"/>
            <w:tcBorders>
              <w:bottom w:val="single" w:sz="8" w:color="auto"/>
              <w:right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ind w:left="180"/>
              <w:spacing w:after="0"/>
              <w:rPr>
                <w:sz w:val="20"/>
                <w:szCs w:val="20"/>
                <w:color w:val="auto"/>
              </w:rPr>
            </w:pPr>
            <w:r>
              <w:rPr>
                <w:rFonts w:ascii="Arial" w:cs="Arial" w:eastAsia="Arial" w:hAnsi="Arial"/>
                <w:sz w:val="20"/>
                <w:szCs w:val="20"/>
                <w:color w:val="auto"/>
              </w:rPr>
              <w:t>[***]</w:t>
            </w:r>
          </w:p>
        </w:tc>
        <w:tc>
          <w:tcPr>
            <w:tcW w:w="280" w:type="dxa"/>
            <w:vAlign w:val="bottom"/>
            <w:tcBorders>
              <w:bottom w:val="single" w:sz="8" w:color="auto"/>
              <w:right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1400" w:type="dxa"/>
            <w:vAlign w:val="bottom"/>
            <w:tcBorders>
              <w:bottom w:val="single" w:sz="8" w:color="auto"/>
              <w:right w:val="single" w:sz="8" w:color="auto"/>
            </w:tcBorders>
            <w:gridSpan w:val="2"/>
          </w:tcPr>
          <w:p>
            <w:pPr>
              <w:ind w:left="16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50"/>
        </w:trPr>
        <w:tc>
          <w:tcPr>
            <w:tcW w:w="1980" w:type="dxa"/>
            <w:vAlign w:val="bottom"/>
            <w:tcBorders>
              <w:left w:val="single" w:sz="8" w:color="auto"/>
              <w:bottom w:val="single" w:sz="8" w:color="auto"/>
            </w:tcBorders>
          </w:tcPr>
          <w:p>
            <w:pPr>
              <w:ind w:left="80"/>
              <w:spacing w:after="0"/>
              <w:rPr>
                <w:sz w:val="20"/>
                <w:szCs w:val="20"/>
                <w:color w:val="auto"/>
              </w:rPr>
            </w:pPr>
            <w:r>
              <w:rPr>
                <w:rFonts w:ascii="Arial" w:cs="Arial" w:eastAsia="Arial" w:hAnsi="Arial"/>
                <w:sz w:val="20"/>
                <w:szCs w:val="20"/>
                <w:color w:val="auto"/>
              </w:rPr>
              <w:t>[***]</w:t>
            </w:r>
          </w:p>
        </w:tc>
        <w:tc>
          <w:tcPr>
            <w:tcW w:w="380" w:type="dxa"/>
            <w:vAlign w:val="bottom"/>
            <w:tcBorders>
              <w:bottom w:val="single" w:sz="8" w:color="auto"/>
              <w:right w:val="single" w:sz="8" w:color="auto"/>
            </w:tcBorders>
          </w:tcPr>
          <w:p>
            <w:pPr>
              <w:spacing w:after="0"/>
              <w:rPr>
                <w:sz w:val="21"/>
                <w:szCs w:val="21"/>
                <w:color w:val="auto"/>
              </w:rPr>
            </w:pPr>
          </w:p>
        </w:tc>
        <w:tc>
          <w:tcPr>
            <w:tcW w:w="1400" w:type="dxa"/>
            <w:vAlign w:val="bottom"/>
            <w:tcBorders>
              <w:bottom w:val="single" w:sz="8" w:color="auto"/>
              <w:right w:val="single" w:sz="8" w:color="auto"/>
            </w:tcBorders>
          </w:tcPr>
          <w:p>
            <w:pPr>
              <w:jc w:val="center"/>
              <w:ind w:right="1"/>
              <w:spacing w:after="0"/>
              <w:rPr>
                <w:sz w:val="20"/>
                <w:szCs w:val="20"/>
                <w:color w:val="auto"/>
              </w:rPr>
            </w:pPr>
            <w:r>
              <w:rPr>
                <w:rFonts w:ascii="Arial" w:cs="Arial" w:eastAsia="Arial" w:hAnsi="Arial"/>
                <w:sz w:val="20"/>
                <w:szCs w:val="20"/>
                <w:color w:val="auto"/>
              </w:rPr>
              <w:t>[***]</w:t>
            </w:r>
          </w:p>
        </w:tc>
        <w:tc>
          <w:tcPr>
            <w:tcW w:w="820" w:type="dxa"/>
            <w:vAlign w:val="bottom"/>
            <w:tcBorders>
              <w:bottom w:val="single" w:sz="8" w:color="auto"/>
            </w:tcBorders>
          </w:tcPr>
          <w:p>
            <w:pPr>
              <w:jc w:val="right"/>
              <w:ind w:right="281"/>
              <w:spacing w:after="0"/>
              <w:rPr>
                <w:sz w:val="20"/>
                <w:szCs w:val="20"/>
                <w:color w:val="auto"/>
              </w:rPr>
            </w:pPr>
            <w:r>
              <w:rPr>
                <w:rFonts w:ascii="Arial" w:cs="Arial" w:eastAsia="Arial" w:hAnsi="Arial"/>
                <w:sz w:val="20"/>
                <w:szCs w:val="20"/>
                <w:color w:val="auto"/>
              </w:rPr>
              <w:t>[***]</w:t>
            </w:r>
          </w:p>
        </w:tc>
        <w:tc>
          <w:tcPr>
            <w:tcW w:w="3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520" w:type="dxa"/>
            <w:vAlign w:val="bottom"/>
            <w:tcBorders>
              <w:bottom w:val="single" w:sz="8" w:color="auto"/>
              <w:right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ind w:left="180"/>
              <w:spacing w:after="0"/>
              <w:rPr>
                <w:sz w:val="20"/>
                <w:szCs w:val="20"/>
                <w:color w:val="auto"/>
              </w:rPr>
            </w:pPr>
            <w:r>
              <w:rPr>
                <w:rFonts w:ascii="Arial" w:cs="Arial" w:eastAsia="Arial" w:hAnsi="Arial"/>
                <w:sz w:val="20"/>
                <w:szCs w:val="20"/>
                <w:color w:val="auto"/>
              </w:rPr>
              <w:t>[***]</w:t>
            </w:r>
          </w:p>
        </w:tc>
        <w:tc>
          <w:tcPr>
            <w:tcW w:w="280" w:type="dxa"/>
            <w:vAlign w:val="bottom"/>
            <w:tcBorders>
              <w:bottom w:val="single" w:sz="8" w:color="auto"/>
              <w:right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1400" w:type="dxa"/>
            <w:vAlign w:val="bottom"/>
            <w:tcBorders>
              <w:bottom w:val="single" w:sz="8" w:color="auto"/>
              <w:right w:val="single" w:sz="8" w:color="auto"/>
            </w:tcBorders>
            <w:gridSpan w:val="2"/>
          </w:tcPr>
          <w:p>
            <w:pPr>
              <w:ind w:left="16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50"/>
        </w:trPr>
        <w:tc>
          <w:tcPr>
            <w:tcW w:w="1980" w:type="dxa"/>
            <w:vAlign w:val="bottom"/>
            <w:tcBorders>
              <w:left w:val="single" w:sz="8" w:color="auto"/>
              <w:bottom w:val="single" w:sz="8" w:color="auto"/>
            </w:tcBorders>
          </w:tcPr>
          <w:p>
            <w:pPr>
              <w:ind w:left="80"/>
              <w:spacing w:after="0"/>
              <w:rPr>
                <w:sz w:val="20"/>
                <w:szCs w:val="20"/>
                <w:color w:val="auto"/>
              </w:rPr>
            </w:pPr>
            <w:r>
              <w:rPr>
                <w:rFonts w:ascii="Arial" w:cs="Arial" w:eastAsia="Arial" w:hAnsi="Arial"/>
                <w:sz w:val="20"/>
                <w:szCs w:val="20"/>
                <w:color w:val="auto"/>
              </w:rPr>
              <w:t>[***]</w:t>
            </w:r>
          </w:p>
        </w:tc>
        <w:tc>
          <w:tcPr>
            <w:tcW w:w="380" w:type="dxa"/>
            <w:vAlign w:val="bottom"/>
            <w:tcBorders>
              <w:bottom w:val="single" w:sz="8" w:color="auto"/>
              <w:right w:val="single" w:sz="8" w:color="auto"/>
            </w:tcBorders>
          </w:tcPr>
          <w:p>
            <w:pPr>
              <w:spacing w:after="0"/>
              <w:rPr>
                <w:sz w:val="21"/>
                <w:szCs w:val="21"/>
                <w:color w:val="auto"/>
              </w:rPr>
            </w:pPr>
          </w:p>
        </w:tc>
        <w:tc>
          <w:tcPr>
            <w:tcW w:w="1400" w:type="dxa"/>
            <w:vAlign w:val="bottom"/>
            <w:tcBorders>
              <w:bottom w:val="single" w:sz="8" w:color="auto"/>
              <w:right w:val="single" w:sz="8" w:color="auto"/>
            </w:tcBorders>
          </w:tcPr>
          <w:p>
            <w:pPr>
              <w:jc w:val="center"/>
              <w:ind w:right="1"/>
              <w:spacing w:after="0"/>
              <w:rPr>
                <w:sz w:val="20"/>
                <w:szCs w:val="20"/>
                <w:color w:val="auto"/>
              </w:rPr>
            </w:pPr>
            <w:r>
              <w:rPr>
                <w:rFonts w:ascii="Arial" w:cs="Arial" w:eastAsia="Arial" w:hAnsi="Arial"/>
                <w:sz w:val="20"/>
                <w:szCs w:val="20"/>
                <w:color w:val="auto"/>
              </w:rPr>
              <w:t>[***]</w:t>
            </w:r>
          </w:p>
        </w:tc>
        <w:tc>
          <w:tcPr>
            <w:tcW w:w="820" w:type="dxa"/>
            <w:vAlign w:val="bottom"/>
            <w:tcBorders>
              <w:bottom w:val="single" w:sz="8" w:color="auto"/>
            </w:tcBorders>
          </w:tcPr>
          <w:p>
            <w:pPr>
              <w:jc w:val="right"/>
              <w:ind w:right="281"/>
              <w:spacing w:after="0"/>
              <w:rPr>
                <w:sz w:val="20"/>
                <w:szCs w:val="20"/>
                <w:color w:val="auto"/>
              </w:rPr>
            </w:pPr>
            <w:r>
              <w:rPr>
                <w:rFonts w:ascii="Arial" w:cs="Arial" w:eastAsia="Arial" w:hAnsi="Arial"/>
                <w:sz w:val="20"/>
                <w:szCs w:val="20"/>
                <w:color w:val="auto"/>
              </w:rPr>
              <w:t>[***]</w:t>
            </w:r>
          </w:p>
        </w:tc>
        <w:tc>
          <w:tcPr>
            <w:tcW w:w="3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520" w:type="dxa"/>
            <w:vAlign w:val="bottom"/>
            <w:tcBorders>
              <w:bottom w:val="single" w:sz="8" w:color="auto"/>
              <w:right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ind w:left="180"/>
              <w:spacing w:after="0"/>
              <w:rPr>
                <w:sz w:val="20"/>
                <w:szCs w:val="20"/>
                <w:color w:val="auto"/>
              </w:rPr>
            </w:pPr>
            <w:r>
              <w:rPr>
                <w:rFonts w:ascii="Arial" w:cs="Arial" w:eastAsia="Arial" w:hAnsi="Arial"/>
                <w:sz w:val="20"/>
                <w:szCs w:val="20"/>
                <w:color w:val="auto"/>
              </w:rPr>
              <w:t>[***]</w:t>
            </w:r>
          </w:p>
        </w:tc>
        <w:tc>
          <w:tcPr>
            <w:tcW w:w="280" w:type="dxa"/>
            <w:vAlign w:val="bottom"/>
            <w:tcBorders>
              <w:bottom w:val="single" w:sz="8" w:color="auto"/>
              <w:right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1400" w:type="dxa"/>
            <w:vAlign w:val="bottom"/>
            <w:tcBorders>
              <w:bottom w:val="single" w:sz="8" w:color="auto"/>
              <w:right w:val="single" w:sz="8" w:color="auto"/>
            </w:tcBorders>
            <w:gridSpan w:val="2"/>
          </w:tcPr>
          <w:p>
            <w:pPr>
              <w:ind w:left="16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50"/>
        </w:trPr>
        <w:tc>
          <w:tcPr>
            <w:tcW w:w="1980" w:type="dxa"/>
            <w:vAlign w:val="bottom"/>
            <w:tcBorders>
              <w:left w:val="single" w:sz="8" w:color="auto"/>
              <w:bottom w:val="single" w:sz="8" w:color="auto"/>
            </w:tcBorders>
          </w:tcPr>
          <w:p>
            <w:pPr>
              <w:ind w:left="80"/>
              <w:spacing w:after="0"/>
              <w:rPr>
                <w:sz w:val="20"/>
                <w:szCs w:val="20"/>
                <w:color w:val="auto"/>
              </w:rPr>
            </w:pPr>
            <w:r>
              <w:rPr>
                <w:rFonts w:ascii="Arial" w:cs="Arial" w:eastAsia="Arial" w:hAnsi="Arial"/>
                <w:sz w:val="20"/>
                <w:szCs w:val="20"/>
                <w:color w:val="auto"/>
              </w:rPr>
              <w:t>[***]</w:t>
            </w:r>
          </w:p>
        </w:tc>
        <w:tc>
          <w:tcPr>
            <w:tcW w:w="380" w:type="dxa"/>
            <w:vAlign w:val="bottom"/>
            <w:tcBorders>
              <w:bottom w:val="single" w:sz="8" w:color="auto"/>
              <w:right w:val="single" w:sz="8" w:color="auto"/>
            </w:tcBorders>
          </w:tcPr>
          <w:p>
            <w:pPr>
              <w:spacing w:after="0"/>
              <w:rPr>
                <w:sz w:val="21"/>
                <w:szCs w:val="21"/>
                <w:color w:val="auto"/>
              </w:rPr>
            </w:pPr>
          </w:p>
        </w:tc>
        <w:tc>
          <w:tcPr>
            <w:tcW w:w="1400" w:type="dxa"/>
            <w:vAlign w:val="bottom"/>
            <w:tcBorders>
              <w:bottom w:val="single" w:sz="8" w:color="auto"/>
              <w:right w:val="single" w:sz="8" w:color="auto"/>
            </w:tcBorders>
          </w:tcPr>
          <w:p>
            <w:pPr>
              <w:jc w:val="center"/>
              <w:ind w:right="1"/>
              <w:spacing w:after="0"/>
              <w:rPr>
                <w:sz w:val="20"/>
                <w:szCs w:val="20"/>
                <w:color w:val="auto"/>
              </w:rPr>
            </w:pPr>
            <w:r>
              <w:rPr>
                <w:rFonts w:ascii="Arial" w:cs="Arial" w:eastAsia="Arial" w:hAnsi="Arial"/>
                <w:sz w:val="20"/>
                <w:szCs w:val="20"/>
                <w:color w:val="auto"/>
              </w:rPr>
              <w:t>[***]</w:t>
            </w:r>
          </w:p>
        </w:tc>
        <w:tc>
          <w:tcPr>
            <w:tcW w:w="820" w:type="dxa"/>
            <w:vAlign w:val="bottom"/>
            <w:tcBorders>
              <w:bottom w:val="single" w:sz="8" w:color="auto"/>
            </w:tcBorders>
          </w:tcPr>
          <w:p>
            <w:pPr>
              <w:jc w:val="right"/>
              <w:ind w:right="281"/>
              <w:spacing w:after="0"/>
              <w:rPr>
                <w:sz w:val="20"/>
                <w:szCs w:val="20"/>
                <w:color w:val="auto"/>
              </w:rPr>
            </w:pPr>
            <w:r>
              <w:rPr>
                <w:rFonts w:ascii="Arial" w:cs="Arial" w:eastAsia="Arial" w:hAnsi="Arial"/>
                <w:sz w:val="20"/>
                <w:szCs w:val="20"/>
                <w:color w:val="auto"/>
              </w:rPr>
              <w:t>[***]</w:t>
            </w:r>
          </w:p>
        </w:tc>
        <w:tc>
          <w:tcPr>
            <w:tcW w:w="3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520" w:type="dxa"/>
            <w:vAlign w:val="bottom"/>
            <w:tcBorders>
              <w:bottom w:val="single" w:sz="8" w:color="auto"/>
              <w:right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ind w:left="180"/>
              <w:spacing w:after="0"/>
              <w:rPr>
                <w:sz w:val="20"/>
                <w:szCs w:val="20"/>
                <w:color w:val="auto"/>
              </w:rPr>
            </w:pPr>
            <w:r>
              <w:rPr>
                <w:rFonts w:ascii="Arial" w:cs="Arial" w:eastAsia="Arial" w:hAnsi="Arial"/>
                <w:sz w:val="20"/>
                <w:szCs w:val="20"/>
                <w:color w:val="auto"/>
              </w:rPr>
              <w:t>[***]</w:t>
            </w:r>
          </w:p>
        </w:tc>
        <w:tc>
          <w:tcPr>
            <w:tcW w:w="280" w:type="dxa"/>
            <w:vAlign w:val="bottom"/>
            <w:tcBorders>
              <w:bottom w:val="single" w:sz="8" w:color="auto"/>
              <w:right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1400" w:type="dxa"/>
            <w:vAlign w:val="bottom"/>
            <w:tcBorders>
              <w:bottom w:val="single" w:sz="8" w:color="auto"/>
              <w:right w:val="single" w:sz="8" w:color="auto"/>
            </w:tcBorders>
            <w:gridSpan w:val="2"/>
          </w:tcPr>
          <w:p>
            <w:pPr>
              <w:ind w:left="16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50"/>
        </w:trPr>
        <w:tc>
          <w:tcPr>
            <w:tcW w:w="1980" w:type="dxa"/>
            <w:vAlign w:val="bottom"/>
            <w:tcBorders>
              <w:left w:val="single" w:sz="8" w:color="auto"/>
              <w:bottom w:val="single" w:sz="8" w:color="auto"/>
            </w:tcBorders>
          </w:tcPr>
          <w:p>
            <w:pPr>
              <w:ind w:left="80"/>
              <w:spacing w:after="0"/>
              <w:rPr>
                <w:sz w:val="20"/>
                <w:szCs w:val="20"/>
                <w:color w:val="auto"/>
              </w:rPr>
            </w:pPr>
            <w:r>
              <w:rPr>
                <w:rFonts w:ascii="Arial" w:cs="Arial" w:eastAsia="Arial" w:hAnsi="Arial"/>
                <w:sz w:val="20"/>
                <w:szCs w:val="20"/>
                <w:color w:val="auto"/>
              </w:rPr>
              <w:t>[***]</w:t>
            </w:r>
          </w:p>
        </w:tc>
        <w:tc>
          <w:tcPr>
            <w:tcW w:w="380" w:type="dxa"/>
            <w:vAlign w:val="bottom"/>
            <w:tcBorders>
              <w:bottom w:val="single" w:sz="8" w:color="auto"/>
              <w:right w:val="single" w:sz="8" w:color="auto"/>
            </w:tcBorders>
          </w:tcPr>
          <w:p>
            <w:pPr>
              <w:spacing w:after="0"/>
              <w:rPr>
                <w:sz w:val="21"/>
                <w:szCs w:val="21"/>
                <w:color w:val="auto"/>
              </w:rPr>
            </w:pPr>
          </w:p>
        </w:tc>
        <w:tc>
          <w:tcPr>
            <w:tcW w:w="1400" w:type="dxa"/>
            <w:vAlign w:val="bottom"/>
            <w:tcBorders>
              <w:bottom w:val="single" w:sz="8" w:color="auto"/>
              <w:right w:val="single" w:sz="8" w:color="auto"/>
            </w:tcBorders>
          </w:tcPr>
          <w:p>
            <w:pPr>
              <w:jc w:val="center"/>
              <w:ind w:right="1"/>
              <w:spacing w:after="0"/>
              <w:rPr>
                <w:sz w:val="20"/>
                <w:szCs w:val="20"/>
                <w:color w:val="auto"/>
              </w:rPr>
            </w:pPr>
            <w:r>
              <w:rPr>
                <w:rFonts w:ascii="Arial" w:cs="Arial" w:eastAsia="Arial" w:hAnsi="Arial"/>
                <w:sz w:val="20"/>
                <w:szCs w:val="20"/>
                <w:color w:val="auto"/>
              </w:rPr>
              <w:t>[***]</w:t>
            </w:r>
          </w:p>
        </w:tc>
        <w:tc>
          <w:tcPr>
            <w:tcW w:w="820" w:type="dxa"/>
            <w:vAlign w:val="bottom"/>
            <w:tcBorders>
              <w:bottom w:val="single" w:sz="8" w:color="auto"/>
            </w:tcBorders>
          </w:tcPr>
          <w:p>
            <w:pPr>
              <w:jc w:val="right"/>
              <w:ind w:right="281"/>
              <w:spacing w:after="0"/>
              <w:rPr>
                <w:sz w:val="20"/>
                <w:szCs w:val="20"/>
                <w:color w:val="auto"/>
              </w:rPr>
            </w:pPr>
            <w:r>
              <w:rPr>
                <w:rFonts w:ascii="Arial" w:cs="Arial" w:eastAsia="Arial" w:hAnsi="Arial"/>
                <w:sz w:val="20"/>
                <w:szCs w:val="20"/>
                <w:color w:val="auto"/>
              </w:rPr>
              <w:t>[***]</w:t>
            </w:r>
          </w:p>
        </w:tc>
        <w:tc>
          <w:tcPr>
            <w:tcW w:w="3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520" w:type="dxa"/>
            <w:vAlign w:val="bottom"/>
            <w:tcBorders>
              <w:bottom w:val="single" w:sz="8" w:color="auto"/>
              <w:right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ind w:left="180"/>
              <w:spacing w:after="0"/>
              <w:rPr>
                <w:sz w:val="20"/>
                <w:szCs w:val="20"/>
                <w:color w:val="auto"/>
              </w:rPr>
            </w:pPr>
            <w:r>
              <w:rPr>
                <w:rFonts w:ascii="Arial" w:cs="Arial" w:eastAsia="Arial" w:hAnsi="Arial"/>
                <w:sz w:val="20"/>
                <w:szCs w:val="20"/>
                <w:color w:val="auto"/>
              </w:rPr>
              <w:t>[***]</w:t>
            </w:r>
          </w:p>
        </w:tc>
        <w:tc>
          <w:tcPr>
            <w:tcW w:w="280" w:type="dxa"/>
            <w:vAlign w:val="bottom"/>
            <w:tcBorders>
              <w:bottom w:val="single" w:sz="8" w:color="auto"/>
              <w:right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1400" w:type="dxa"/>
            <w:vAlign w:val="bottom"/>
            <w:tcBorders>
              <w:bottom w:val="single" w:sz="8" w:color="auto"/>
              <w:right w:val="single" w:sz="8" w:color="auto"/>
            </w:tcBorders>
            <w:gridSpan w:val="2"/>
          </w:tcPr>
          <w:p>
            <w:pPr>
              <w:ind w:left="16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50"/>
        </w:trPr>
        <w:tc>
          <w:tcPr>
            <w:tcW w:w="1980" w:type="dxa"/>
            <w:vAlign w:val="bottom"/>
            <w:tcBorders>
              <w:left w:val="single" w:sz="8" w:color="auto"/>
              <w:bottom w:val="single" w:sz="8" w:color="auto"/>
            </w:tcBorders>
          </w:tcPr>
          <w:p>
            <w:pPr>
              <w:ind w:left="80"/>
              <w:spacing w:after="0"/>
              <w:rPr>
                <w:sz w:val="20"/>
                <w:szCs w:val="20"/>
                <w:color w:val="auto"/>
              </w:rPr>
            </w:pPr>
            <w:r>
              <w:rPr>
                <w:rFonts w:ascii="Arial" w:cs="Arial" w:eastAsia="Arial" w:hAnsi="Arial"/>
                <w:sz w:val="20"/>
                <w:szCs w:val="20"/>
                <w:color w:val="auto"/>
              </w:rPr>
              <w:t>[***]</w:t>
            </w:r>
          </w:p>
        </w:tc>
        <w:tc>
          <w:tcPr>
            <w:tcW w:w="380" w:type="dxa"/>
            <w:vAlign w:val="bottom"/>
            <w:tcBorders>
              <w:bottom w:val="single" w:sz="8" w:color="auto"/>
              <w:right w:val="single" w:sz="8" w:color="auto"/>
            </w:tcBorders>
          </w:tcPr>
          <w:p>
            <w:pPr>
              <w:spacing w:after="0"/>
              <w:rPr>
                <w:sz w:val="21"/>
                <w:szCs w:val="21"/>
                <w:color w:val="auto"/>
              </w:rPr>
            </w:pPr>
          </w:p>
        </w:tc>
        <w:tc>
          <w:tcPr>
            <w:tcW w:w="1400" w:type="dxa"/>
            <w:vAlign w:val="bottom"/>
            <w:tcBorders>
              <w:bottom w:val="single" w:sz="8" w:color="auto"/>
              <w:right w:val="single" w:sz="8" w:color="auto"/>
            </w:tcBorders>
          </w:tcPr>
          <w:p>
            <w:pPr>
              <w:jc w:val="center"/>
              <w:ind w:right="1"/>
              <w:spacing w:after="0"/>
              <w:rPr>
                <w:sz w:val="20"/>
                <w:szCs w:val="20"/>
                <w:color w:val="auto"/>
              </w:rPr>
            </w:pPr>
            <w:r>
              <w:rPr>
                <w:rFonts w:ascii="Arial" w:cs="Arial" w:eastAsia="Arial" w:hAnsi="Arial"/>
                <w:sz w:val="20"/>
                <w:szCs w:val="20"/>
                <w:color w:val="auto"/>
              </w:rPr>
              <w:t>[***]</w:t>
            </w:r>
          </w:p>
        </w:tc>
        <w:tc>
          <w:tcPr>
            <w:tcW w:w="820" w:type="dxa"/>
            <w:vAlign w:val="bottom"/>
            <w:tcBorders>
              <w:bottom w:val="single" w:sz="8" w:color="auto"/>
            </w:tcBorders>
          </w:tcPr>
          <w:p>
            <w:pPr>
              <w:jc w:val="right"/>
              <w:ind w:right="281"/>
              <w:spacing w:after="0"/>
              <w:rPr>
                <w:sz w:val="20"/>
                <w:szCs w:val="20"/>
                <w:color w:val="auto"/>
              </w:rPr>
            </w:pPr>
            <w:r>
              <w:rPr>
                <w:rFonts w:ascii="Arial" w:cs="Arial" w:eastAsia="Arial" w:hAnsi="Arial"/>
                <w:sz w:val="20"/>
                <w:szCs w:val="20"/>
                <w:color w:val="auto"/>
              </w:rPr>
              <w:t>[***]</w:t>
            </w:r>
          </w:p>
        </w:tc>
        <w:tc>
          <w:tcPr>
            <w:tcW w:w="3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520" w:type="dxa"/>
            <w:vAlign w:val="bottom"/>
            <w:tcBorders>
              <w:bottom w:val="single" w:sz="8" w:color="auto"/>
              <w:right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ind w:left="180"/>
              <w:spacing w:after="0"/>
              <w:rPr>
                <w:sz w:val="20"/>
                <w:szCs w:val="20"/>
                <w:color w:val="auto"/>
              </w:rPr>
            </w:pPr>
            <w:r>
              <w:rPr>
                <w:rFonts w:ascii="Arial" w:cs="Arial" w:eastAsia="Arial" w:hAnsi="Arial"/>
                <w:sz w:val="20"/>
                <w:szCs w:val="20"/>
                <w:color w:val="auto"/>
              </w:rPr>
              <w:t>[***]</w:t>
            </w:r>
          </w:p>
        </w:tc>
        <w:tc>
          <w:tcPr>
            <w:tcW w:w="280" w:type="dxa"/>
            <w:vAlign w:val="bottom"/>
            <w:tcBorders>
              <w:bottom w:val="single" w:sz="8" w:color="auto"/>
              <w:right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1400" w:type="dxa"/>
            <w:vAlign w:val="bottom"/>
            <w:tcBorders>
              <w:bottom w:val="single" w:sz="8" w:color="auto"/>
              <w:right w:val="single" w:sz="8" w:color="auto"/>
            </w:tcBorders>
            <w:gridSpan w:val="2"/>
          </w:tcPr>
          <w:p>
            <w:pPr>
              <w:ind w:left="16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50"/>
        </w:trPr>
        <w:tc>
          <w:tcPr>
            <w:tcW w:w="1980" w:type="dxa"/>
            <w:vAlign w:val="bottom"/>
            <w:tcBorders>
              <w:left w:val="single" w:sz="8" w:color="auto"/>
              <w:bottom w:val="single" w:sz="8" w:color="auto"/>
            </w:tcBorders>
          </w:tcPr>
          <w:p>
            <w:pPr>
              <w:ind w:left="80"/>
              <w:spacing w:after="0"/>
              <w:rPr>
                <w:sz w:val="20"/>
                <w:szCs w:val="20"/>
                <w:color w:val="auto"/>
              </w:rPr>
            </w:pPr>
            <w:r>
              <w:rPr>
                <w:rFonts w:ascii="Arial" w:cs="Arial" w:eastAsia="Arial" w:hAnsi="Arial"/>
                <w:sz w:val="20"/>
                <w:szCs w:val="20"/>
                <w:color w:val="auto"/>
              </w:rPr>
              <w:t>[***]</w:t>
            </w:r>
          </w:p>
        </w:tc>
        <w:tc>
          <w:tcPr>
            <w:tcW w:w="380" w:type="dxa"/>
            <w:vAlign w:val="bottom"/>
            <w:tcBorders>
              <w:bottom w:val="single" w:sz="8" w:color="auto"/>
              <w:right w:val="single" w:sz="8" w:color="auto"/>
            </w:tcBorders>
          </w:tcPr>
          <w:p>
            <w:pPr>
              <w:spacing w:after="0"/>
              <w:rPr>
                <w:sz w:val="21"/>
                <w:szCs w:val="21"/>
                <w:color w:val="auto"/>
              </w:rPr>
            </w:pPr>
          </w:p>
        </w:tc>
        <w:tc>
          <w:tcPr>
            <w:tcW w:w="1400" w:type="dxa"/>
            <w:vAlign w:val="bottom"/>
            <w:tcBorders>
              <w:bottom w:val="single" w:sz="8" w:color="auto"/>
              <w:right w:val="single" w:sz="8" w:color="auto"/>
            </w:tcBorders>
          </w:tcPr>
          <w:p>
            <w:pPr>
              <w:jc w:val="center"/>
              <w:ind w:right="1"/>
              <w:spacing w:after="0"/>
              <w:rPr>
                <w:sz w:val="20"/>
                <w:szCs w:val="20"/>
                <w:color w:val="auto"/>
              </w:rPr>
            </w:pPr>
            <w:r>
              <w:rPr>
                <w:rFonts w:ascii="Arial" w:cs="Arial" w:eastAsia="Arial" w:hAnsi="Arial"/>
                <w:sz w:val="20"/>
                <w:szCs w:val="20"/>
                <w:color w:val="auto"/>
              </w:rPr>
              <w:t>[***]</w:t>
            </w:r>
          </w:p>
        </w:tc>
        <w:tc>
          <w:tcPr>
            <w:tcW w:w="820" w:type="dxa"/>
            <w:vAlign w:val="bottom"/>
            <w:tcBorders>
              <w:bottom w:val="single" w:sz="8" w:color="auto"/>
            </w:tcBorders>
          </w:tcPr>
          <w:p>
            <w:pPr>
              <w:jc w:val="right"/>
              <w:ind w:right="281"/>
              <w:spacing w:after="0"/>
              <w:rPr>
                <w:sz w:val="20"/>
                <w:szCs w:val="20"/>
                <w:color w:val="auto"/>
              </w:rPr>
            </w:pPr>
            <w:r>
              <w:rPr>
                <w:rFonts w:ascii="Arial" w:cs="Arial" w:eastAsia="Arial" w:hAnsi="Arial"/>
                <w:sz w:val="20"/>
                <w:szCs w:val="20"/>
                <w:color w:val="auto"/>
              </w:rPr>
              <w:t>[***]</w:t>
            </w:r>
          </w:p>
        </w:tc>
        <w:tc>
          <w:tcPr>
            <w:tcW w:w="3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520" w:type="dxa"/>
            <w:vAlign w:val="bottom"/>
            <w:tcBorders>
              <w:bottom w:val="single" w:sz="8" w:color="auto"/>
              <w:right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ind w:left="180"/>
              <w:spacing w:after="0"/>
              <w:rPr>
                <w:sz w:val="20"/>
                <w:szCs w:val="20"/>
                <w:color w:val="auto"/>
              </w:rPr>
            </w:pPr>
            <w:r>
              <w:rPr>
                <w:rFonts w:ascii="Arial" w:cs="Arial" w:eastAsia="Arial" w:hAnsi="Arial"/>
                <w:sz w:val="20"/>
                <w:szCs w:val="20"/>
                <w:color w:val="auto"/>
              </w:rPr>
              <w:t>[***]</w:t>
            </w:r>
          </w:p>
        </w:tc>
        <w:tc>
          <w:tcPr>
            <w:tcW w:w="280" w:type="dxa"/>
            <w:vAlign w:val="bottom"/>
            <w:tcBorders>
              <w:bottom w:val="single" w:sz="8" w:color="auto"/>
              <w:right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1400" w:type="dxa"/>
            <w:vAlign w:val="bottom"/>
            <w:tcBorders>
              <w:bottom w:val="single" w:sz="8" w:color="auto"/>
              <w:right w:val="single" w:sz="8" w:color="auto"/>
            </w:tcBorders>
            <w:gridSpan w:val="2"/>
          </w:tcPr>
          <w:p>
            <w:pPr>
              <w:ind w:left="16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bl>
    <w:p>
      <w:pPr>
        <w:spacing w:after="0" w:line="301"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691515</wp:posOffset>
            </wp:positionV>
            <wp:extent cx="713232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tabs>
          <w:tab w:leader="none" w:pos="4980" w:val="left"/>
        </w:tabs>
        <w:rPr>
          <w:sz w:val="20"/>
          <w:szCs w:val="20"/>
          <w:color w:val="auto"/>
        </w:rPr>
      </w:pPr>
      <w:r>
        <w:rPr>
          <w:rFonts w:ascii="Arial" w:cs="Arial" w:eastAsia="Arial" w:hAnsi="Arial"/>
          <w:sz w:val="20"/>
          <w:szCs w:val="20"/>
          <w:color w:val="auto"/>
        </w:rPr>
        <w:t>Production Pricing Agreement (Standard), ver. January 2021</w:t>
      </w:r>
      <w:r>
        <w:rPr>
          <w:sz w:val="20"/>
          <w:szCs w:val="20"/>
          <w:color w:val="auto"/>
        </w:rPr>
        <w:tab/>
      </w:r>
      <w:r>
        <w:rPr>
          <w:rFonts w:ascii="Arial" w:cs="Arial" w:eastAsia="Arial" w:hAnsi="Arial"/>
          <w:sz w:val="16"/>
          <w:szCs w:val="16"/>
          <w:color w:val="auto"/>
        </w:rPr>
        <w:t xml:space="preserve">Page </w:t>
      </w:r>
      <w:r>
        <w:rPr>
          <w:rFonts w:ascii="Arial" w:cs="Arial" w:eastAsia="Arial" w:hAnsi="Arial"/>
          <w:sz w:val="16"/>
          <w:szCs w:val="16"/>
          <w:b w:val="1"/>
          <w:bCs w:val="1"/>
          <w:color w:val="auto"/>
        </w:rPr>
        <w:t>6</w:t>
      </w:r>
      <w:r>
        <w:rPr>
          <w:rFonts w:ascii="Arial" w:cs="Arial" w:eastAsia="Arial" w:hAnsi="Arial"/>
          <w:sz w:val="16"/>
          <w:szCs w:val="16"/>
          <w:color w:val="auto"/>
        </w:rPr>
        <w:t xml:space="preserve"> of </w:t>
      </w:r>
      <w:r>
        <w:rPr>
          <w:rFonts w:ascii="Arial" w:cs="Arial" w:eastAsia="Arial" w:hAnsi="Arial"/>
          <w:sz w:val="16"/>
          <w:szCs w:val="16"/>
          <w:b w:val="1"/>
          <w:bCs w:val="1"/>
          <w:color w:val="auto"/>
        </w:rPr>
        <w:t>9</w:t>
      </w:r>
    </w:p>
    <w:p>
      <w:pPr>
        <w:sectPr>
          <w:pgSz w:w="11900" w:h="16838" w:orient="portrait"/>
          <w:cols w:equalWidth="0" w:num="1">
            <w:col w:w="11260"/>
          </w:cols>
          <w:pgMar w:left="320" w:top="1405" w:right="319" w:bottom="1440" w:gutter="0" w:footer="0" w:header="0"/>
        </w:sectPr>
      </w:pPr>
    </w:p>
    <w:bookmarkStart w:id="164" w:name="page165"/>
    <w:bookmarkEnd w:id="164"/>
    <w:p>
      <w:pPr>
        <w:spacing w:after="0"/>
        <w:rPr>
          <w:sz w:val="20"/>
          <w:szCs w:val="20"/>
          <w:color w:val="auto"/>
        </w:rPr>
      </w:pPr>
      <w:r>
        <w:rPr>
          <w:rFonts w:ascii="Arial" w:cs="Arial" w:eastAsia="Arial" w:hAnsi="Arial"/>
          <w:sz w:val="20"/>
          <w:szCs w:val="20"/>
          <w:b w:val="1"/>
          <w:bCs w:val="1"/>
          <w:u w:val="single" w:color="auto"/>
          <w:color w:val="auto"/>
        </w:rPr>
        <w:t>Exhibit C</w:t>
      </w:r>
      <w:r>
        <w:rPr>
          <w:rFonts w:ascii="Arial" w:cs="Arial" w:eastAsia="Arial" w:hAnsi="Arial"/>
          <w:sz w:val="20"/>
          <w:szCs w:val="20"/>
          <w:b w:val="1"/>
          <w:bCs w:val="1"/>
          <w:color w:val="auto"/>
        </w:rPr>
        <w:t>: Volume Forecast</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678815</wp:posOffset>
            </wp:positionV>
            <wp:extent cx="713232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tabs>
          <w:tab w:leader="none" w:pos="4980" w:val="left"/>
        </w:tabs>
        <w:rPr>
          <w:sz w:val="20"/>
          <w:szCs w:val="20"/>
          <w:color w:val="auto"/>
        </w:rPr>
      </w:pPr>
      <w:r>
        <w:rPr>
          <w:rFonts w:ascii="Arial" w:cs="Arial" w:eastAsia="Arial" w:hAnsi="Arial"/>
          <w:sz w:val="20"/>
          <w:szCs w:val="20"/>
          <w:color w:val="auto"/>
        </w:rPr>
        <w:t>Production Pricing Agreement (Standard), ver. January 2021</w:t>
      </w:r>
      <w:r>
        <w:rPr>
          <w:sz w:val="20"/>
          <w:szCs w:val="20"/>
          <w:color w:val="auto"/>
        </w:rPr>
        <w:tab/>
      </w:r>
      <w:r>
        <w:rPr>
          <w:rFonts w:ascii="Arial" w:cs="Arial" w:eastAsia="Arial" w:hAnsi="Arial"/>
          <w:sz w:val="16"/>
          <w:szCs w:val="16"/>
          <w:color w:val="auto"/>
        </w:rPr>
        <w:t xml:space="preserve">Page </w:t>
      </w:r>
      <w:r>
        <w:rPr>
          <w:rFonts w:ascii="Arial" w:cs="Arial" w:eastAsia="Arial" w:hAnsi="Arial"/>
          <w:sz w:val="16"/>
          <w:szCs w:val="16"/>
          <w:b w:val="1"/>
          <w:bCs w:val="1"/>
          <w:color w:val="auto"/>
        </w:rPr>
        <w:t>7</w:t>
      </w:r>
      <w:r>
        <w:rPr>
          <w:rFonts w:ascii="Arial" w:cs="Arial" w:eastAsia="Arial" w:hAnsi="Arial"/>
          <w:sz w:val="16"/>
          <w:szCs w:val="16"/>
          <w:color w:val="auto"/>
        </w:rPr>
        <w:t xml:space="preserve"> of </w:t>
      </w:r>
      <w:r>
        <w:rPr>
          <w:rFonts w:ascii="Arial" w:cs="Arial" w:eastAsia="Arial" w:hAnsi="Arial"/>
          <w:sz w:val="16"/>
          <w:szCs w:val="16"/>
          <w:b w:val="1"/>
          <w:bCs w:val="1"/>
          <w:color w:val="auto"/>
        </w:rPr>
        <w:t>9</w:t>
      </w:r>
    </w:p>
    <w:p>
      <w:pPr>
        <w:sectPr>
          <w:pgSz w:w="11900" w:h="16838" w:orient="portrait"/>
          <w:cols w:equalWidth="0" w:num="1">
            <w:col w:w="10139"/>
          </w:cols>
          <w:pgMar w:left="320" w:top="1399" w:right="1440" w:bottom="1440" w:gutter="0" w:footer="0" w:header="0"/>
        </w:sectPr>
      </w:pPr>
    </w:p>
    <w:bookmarkStart w:id="165" w:name="page166"/>
    <w:bookmarkEnd w:id="165"/>
    <w:p>
      <w:pPr>
        <w:spacing w:after="0"/>
        <w:rPr>
          <w:sz w:val="20"/>
          <w:szCs w:val="20"/>
          <w:color w:val="auto"/>
        </w:rPr>
      </w:pPr>
      <w:r>
        <w:rPr>
          <w:rFonts w:ascii="Arial" w:cs="Arial" w:eastAsia="Arial" w:hAnsi="Arial"/>
          <w:sz w:val="20"/>
          <w:szCs w:val="20"/>
          <w:b w:val="1"/>
          <w:bCs w:val="1"/>
          <w:u w:val="single" w:color="auto"/>
          <w:color w:val="auto"/>
        </w:rPr>
        <w:t>Exhibit D: Performance Metrics</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As referenced in the GTC, the Parties agree to the following Performance Metrics.</w:t>
      </w:r>
    </w:p>
    <w:p>
      <w:pPr>
        <w:spacing w:after="0" w:line="16" w:lineRule="exact"/>
        <w:rPr>
          <w:sz w:val="20"/>
          <w:szCs w:val="20"/>
          <w:color w:val="auto"/>
        </w:rPr>
      </w:pPr>
    </w:p>
    <w:tbl>
      <w:tblPr>
        <w:tblLayout w:type="fixed"/>
        <w:tblInd w:w="10" w:type="dxa"/>
        <w:tblCellMar>
          <w:top w:w="0" w:type="dxa"/>
          <w:left w:w="0" w:type="dxa"/>
          <w:bottom w:w="0" w:type="dxa"/>
          <w:right w:w="0" w:type="dxa"/>
        </w:tblCellMar>
      </w:tblPr>
      <w:tr>
        <w:trPr>
          <w:trHeight w:val="323"/>
        </w:trPr>
        <w:tc>
          <w:tcPr>
            <w:tcW w:w="3380" w:type="dxa"/>
            <w:vAlign w:val="bottom"/>
            <w:tcBorders>
              <w:top w:val="single" w:sz="8" w:color="auto"/>
              <w:left w:val="single" w:sz="8" w:color="auto"/>
              <w:bottom w:val="single" w:sz="8" w:color="D9D9D9"/>
              <w:right w:val="single" w:sz="8" w:color="auto"/>
            </w:tcBorders>
            <w:shd w:val="clear" w:color="auto" w:fill="D9D9D9"/>
          </w:tcPr>
          <w:p>
            <w:pPr>
              <w:jc w:val="center"/>
              <w:spacing w:after="0"/>
              <w:rPr>
                <w:sz w:val="20"/>
                <w:szCs w:val="20"/>
                <w:color w:val="auto"/>
              </w:rPr>
            </w:pPr>
            <w:r>
              <w:rPr>
                <w:rFonts w:ascii="Arial" w:cs="Arial" w:eastAsia="Arial" w:hAnsi="Arial"/>
                <w:sz w:val="20"/>
                <w:szCs w:val="20"/>
                <w:color w:val="auto"/>
                <w:w w:val="91"/>
              </w:rPr>
              <w:t>Metric Name</w:t>
            </w:r>
          </w:p>
        </w:tc>
        <w:tc>
          <w:tcPr>
            <w:tcW w:w="3400" w:type="dxa"/>
            <w:vAlign w:val="bottom"/>
            <w:tcBorders>
              <w:top w:val="single" w:sz="8" w:color="auto"/>
              <w:bottom w:val="single" w:sz="8" w:color="D9D9D9"/>
              <w:right w:val="single" w:sz="8" w:color="auto"/>
            </w:tcBorders>
            <w:shd w:val="clear" w:color="auto" w:fill="D9D9D9"/>
          </w:tcPr>
          <w:p>
            <w:pPr>
              <w:jc w:val="right"/>
              <w:ind w:right="1341"/>
              <w:spacing w:after="0"/>
              <w:rPr>
                <w:sz w:val="20"/>
                <w:szCs w:val="20"/>
                <w:color w:val="auto"/>
              </w:rPr>
            </w:pPr>
            <w:r>
              <w:rPr>
                <w:rFonts w:ascii="Arial" w:cs="Arial" w:eastAsia="Arial" w:hAnsi="Arial"/>
                <w:sz w:val="20"/>
                <w:szCs w:val="20"/>
                <w:color w:val="auto"/>
              </w:rPr>
              <w:t>Metric</w:t>
            </w:r>
          </w:p>
        </w:tc>
        <w:tc>
          <w:tcPr>
            <w:tcW w:w="4240" w:type="dxa"/>
            <w:vAlign w:val="bottom"/>
            <w:tcBorders>
              <w:top w:val="single" w:sz="8" w:color="auto"/>
              <w:bottom w:val="single" w:sz="8" w:color="D9D9D9"/>
              <w:right w:val="single" w:sz="8" w:color="auto"/>
            </w:tcBorders>
            <w:shd w:val="clear" w:color="auto" w:fill="D9D9D9"/>
          </w:tcPr>
          <w:p>
            <w:pPr>
              <w:jc w:val="right"/>
              <w:ind w:right="1241"/>
              <w:spacing w:after="0"/>
              <w:rPr>
                <w:sz w:val="20"/>
                <w:szCs w:val="20"/>
                <w:color w:val="auto"/>
              </w:rPr>
            </w:pPr>
            <w:r>
              <w:rPr>
                <w:rFonts w:ascii="Arial" w:cs="Arial" w:eastAsia="Arial" w:hAnsi="Arial"/>
                <w:sz w:val="20"/>
                <w:szCs w:val="20"/>
                <w:color w:val="auto"/>
              </w:rPr>
              <w:t>Detailed calculation</w:t>
            </w:r>
          </w:p>
        </w:tc>
      </w:tr>
      <w:tr>
        <w:trPr>
          <w:trHeight w:val="247"/>
        </w:trPr>
        <w:tc>
          <w:tcPr>
            <w:tcW w:w="33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3400" w:type="dxa"/>
            <w:vAlign w:val="bottom"/>
            <w:tcBorders>
              <w:top w:val="single" w:sz="8" w:color="auto"/>
              <w:bottom w:val="single" w:sz="8" w:color="auto"/>
              <w:right w:val="single" w:sz="8" w:color="auto"/>
            </w:tcBorders>
          </w:tcPr>
          <w:p>
            <w:pPr>
              <w:jc w:val="right"/>
              <w:ind w:right="2801"/>
              <w:spacing w:after="0"/>
              <w:rPr>
                <w:sz w:val="20"/>
                <w:szCs w:val="20"/>
                <w:color w:val="auto"/>
              </w:rPr>
            </w:pPr>
            <w:r>
              <w:rPr>
                <w:rFonts w:ascii="Arial" w:cs="Arial" w:eastAsia="Arial" w:hAnsi="Arial"/>
                <w:sz w:val="20"/>
                <w:szCs w:val="20"/>
                <w:color w:val="auto"/>
              </w:rPr>
              <w:t>[***]</w:t>
            </w:r>
          </w:p>
        </w:tc>
        <w:tc>
          <w:tcPr>
            <w:tcW w:w="4240" w:type="dxa"/>
            <w:vAlign w:val="bottom"/>
            <w:tcBorders>
              <w:top w:val="single" w:sz="8" w:color="auto"/>
              <w:bottom w:val="single" w:sz="8" w:color="auto"/>
              <w:right w:val="single" w:sz="8" w:color="auto"/>
            </w:tcBorders>
          </w:tcPr>
          <w:p>
            <w:pPr>
              <w:jc w:val="right"/>
              <w:ind w:right="3661"/>
              <w:spacing w:after="0"/>
              <w:rPr>
                <w:sz w:val="20"/>
                <w:szCs w:val="20"/>
                <w:color w:val="auto"/>
              </w:rPr>
            </w:pPr>
            <w:r>
              <w:rPr>
                <w:rFonts w:ascii="Arial" w:cs="Arial" w:eastAsia="Arial" w:hAnsi="Arial"/>
                <w:sz w:val="20"/>
                <w:szCs w:val="20"/>
                <w:color w:val="auto"/>
              </w:rPr>
              <w:t>[***]</w:t>
            </w:r>
          </w:p>
        </w:tc>
      </w:tr>
      <w:tr>
        <w:trPr>
          <w:trHeight w:val="250"/>
        </w:trPr>
        <w:tc>
          <w:tcPr>
            <w:tcW w:w="33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3400" w:type="dxa"/>
            <w:vAlign w:val="bottom"/>
            <w:tcBorders>
              <w:bottom w:val="single" w:sz="8" w:color="auto"/>
              <w:right w:val="single" w:sz="8" w:color="auto"/>
            </w:tcBorders>
          </w:tcPr>
          <w:p>
            <w:pPr>
              <w:jc w:val="right"/>
              <w:ind w:right="2801"/>
              <w:spacing w:after="0"/>
              <w:rPr>
                <w:sz w:val="20"/>
                <w:szCs w:val="20"/>
                <w:color w:val="auto"/>
              </w:rPr>
            </w:pPr>
            <w:r>
              <w:rPr>
                <w:rFonts w:ascii="Arial" w:cs="Arial" w:eastAsia="Arial" w:hAnsi="Arial"/>
                <w:sz w:val="20"/>
                <w:szCs w:val="20"/>
                <w:color w:val="auto"/>
              </w:rPr>
              <w:t>[***]</w:t>
            </w:r>
          </w:p>
        </w:tc>
        <w:tc>
          <w:tcPr>
            <w:tcW w:w="4240" w:type="dxa"/>
            <w:vAlign w:val="bottom"/>
            <w:tcBorders>
              <w:bottom w:val="single" w:sz="8" w:color="auto"/>
              <w:right w:val="single" w:sz="8" w:color="auto"/>
            </w:tcBorders>
          </w:tcPr>
          <w:p>
            <w:pPr>
              <w:jc w:val="right"/>
              <w:ind w:right="3661"/>
              <w:spacing w:after="0"/>
              <w:rPr>
                <w:sz w:val="20"/>
                <w:szCs w:val="20"/>
                <w:color w:val="auto"/>
              </w:rPr>
            </w:pPr>
            <w:r>
              <w:rPr>
                <w:rFonts w:ascii="Arial" w:cs="Arial" w:eastAsia="Arial" w:hAnsi="Arial"/>
                <w:sz w:val="20"/>
                <w:szCs w:val="20"/>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746125</wp:posOffset>
            </wp:positionV>
            <wp:extent cx="713232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tabs>
          <w:tab w:leader="none" w:pos="4980" w:val="left"/>
        </w:tabs>
        <w:rPr>
          <w:sz w:val="20"/>
          <w:szCs w:val="20"/>
          <w:color w:val="auto"/>
        </w:rPr>
      </w:pPr>
      <w:r>
        <w:rPr>
          <w:rFonts w:ascii="Arial" w:cs="Arial" w:eastAsia="Arial" w:hAnsi="Arial"/>
          <w:sz w:val="20"/>
          <w:szCs w:val="20"/>
          <w:color w:val="auto"/>
        </w:rPr>
        <w:t>Production Pricing Agreement (Standard), ver. January 2021</w:t>
      </w:r>
      <w:r>
        <w:rPr>
          <w:sz w:val="20"/>
          <w:szCs w:val="20"/>
          <w:color w:val="auto"/>
        </w:rPr>
        <w:tab/>
      </w:r>
      <w:r>
        <w:rPr>
          <w:rFonts w:ascii="Arial" w:cs="Arial" w:eastAsia="Arial" w:hAnsi="Arial"/>
          <w:sz w:val="16"/>
          <w:szCs w:val="16"/>
          <w:color w:val="auto"/>
        </w:rPr>
        <w:t xml:space="preserve">Page </w:t>
      </w:r>
      <w:r>
        <w:rPr>
          <w:rFonts w:ascii="Arial" w:cs="Arial" w:eastAsia="Arial" w:hAnsi="Arial"/>
          <w:sz w:val="16"/>
          <w:szCs w:val="16"/>
          <w:b w:val="1"/>
          <w:bCs w:val="1"/>
          <w:color w:val="auto"/>
        </w:rPr>
        <w:t>8</w:t>
      </w:r>
      <w:r>
        <w:rPr>
          <w:rFonts w:ascii="Arial" w:cs="Arial" w:eastAsia="Arial" w:hAnsi="Arial"/>
          <w:sz w:val="16"/>
          <w:szCs w:val="16"/>
          <w:color w:val="auto"/>
        </w:rPr>
        <w:t xml:space="preserve"> of </w:t>
      </w:r>
      <w:r>
        <w:rPr>
          <w:rFonts w:ascii="Arial" w:cs="Arial" w:eastAsia="Arial" w:hAnsi="Arial"/>
          <w:sz w:val="16"/>
          <w:szCs w:val="16"/>
          <w:b w:val="1"/>
          <w:bCs w:val="1"/>
          <w:color w:val="auto"/>
        </w:rPr>
        <w:t>9</w:t>
      </w:r>
    </w:p>
    <w:p>
      <w:pPr>
        <w:sectPr>
          <w:pgSz w:w="11900" w:h="16838" w:orient="portrait"/>
          <w:cols w:equalWidth="0" w:num="1">
            <w:col w:w="11020"/>
          </w:cols>
          <w:pgMar w:left="320" w:top="1399" w:right="559" w:bottom="1440" w:gutter="0" w:footer="0" w:header="0"/>
        </w:sectPr>
      </w:pPr>
    </w:p>
    <w:bookmarkStart w:id="166" w:name="page167"/>
    <w:bookmarkEnd w:id="166"/>
    <w:p>
      <w:pPr>
        <w:spacing w:after="0"/>
        <w:rPr>
          <w:sz w:val="20"/>
          <w:szCs w:val="20"/>
          <w:color w:val="auto"/>
        </w:rPr>
      </w:pPr>
      <w:r>
        <w:rPr>
          <w:rFonts w:ascii="Arial" w:cs="Arial" w:eastAsia="Arial" w:hAnsi="Arial"/>
          <w:sz w:val="20"/>
          <w:szCs w:val="20"/>
          <w:b w:val="1"/>
          <w:bCs w:val="1"/>
          <w:u w:val="single" w:color="auto"/>
          <w:color w:val="auto"/>
        </w:rPr>
        <w:t>Exhibit E: BOM Cost</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16" w:lineRule="exact"/>
        <w:rPr>
          <w:sz w:val="20"/>
          <w:szCs w:val="20"/>
          <w:color w:val="auto"/>
        </w:rPr>
      </w:pPr>
    </w:p>
    <w:tbl>
      <w:tblPr>
        <w:tblLayout w:type="fixed"/>
        <w:tblInd w:w="10" w:type="dxa"/>
        <w:tblCellMar>
          <w:top w:w="0" w:type="dxa"/>
          <w:left w:w="0" w:type="dxa"/>
          <w:bottom w:w="0" w:type="dxa"/>
          <w:right w:w="0" w:type="dxa"/>
        </w:tblCellMar>
      </w:tblPr>
      <w:tr>
        <w:trPr>
          <w:trHeight w:val="268"/>
        </w:trPr>
        <w:tc>
          <w:tcPr>
            <w:tcW w:w="220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5"/>
              </w:rPr>
              <w:t>Material</w:t>
            </w:r>
          </w:p>
        </w:tc>
        <w:tc>
          <w:tcPr>
            <w:tcW w:w="15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7"/>
              </w:rPr>
              <w:t>Unit</w:t>
            </w:r>
          </w:p>
        </w:tc>
        <w:tc>
          <w:tcPr>
            <w:tcW w:w="30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0"/>
              </w:rPr>
              <w:t>Raw materials</w:t>
            </w:r>
          </w:p>
        </w:tc>
        <w:tc>
          <w:tcPr>
            <w:tcW w:w="2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8"/>
              </w:rPr>
              <w:t>Base line unit price</w:t>
            </w:r>
          </w:p>
        </w:tc>
        <w:tc>
          <w:tcPr>
            <w:tcW w:w="22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6"/>
              </w:rPr>
              <w:t>Base Usage/Cell</w:t>
            </w:r>
          </w:p>
        </w:tc>
      </w:tr>
      <w:tr>
        <w:trPr>
          <w:trHeight w:val="50"/>
        </w:trPr>
        <w:tc>
          <w:tcPr>
            <w:tcW w:w="2200" w:type="dxa"/>
            <w:vAlign w:val="bottom"/>
            <w:tcBorders>
              <w:left w:val="single" w:sz="8" w:color="auto"/>
              <w:bottom w:val="single" w:sz="8" w:color="auto"/>
              <w:right w:val="single" w:sz="8" w:color="auto"/>
            </w:tcBorders>
          </w:tcPr>
          <w:p>
            <w:pPr>
              <w:spacing w:after="0"/>
              <w:rPr>
                <w:sz w:val="4"/>
                <w:szCs w:val="4"/>
                <w:color w:val="auto"/>
              </w:rPr>
            </w:pPr>
          </w:p>
        </w:tc>
        <w:tc>
          <w:tcPr>
            <w:tcW w:w="1520" w:type="dxa"/>
            <w:vAlign w:val="bottom"/>
            <w:tcBorders>
              <w:bottom w:val="single" w:sz="8" w:color="auto"/>
              <w:right w:val="single" w:sz="8" w:color="auto"/>
            </w:tcBorders>
          </w:tcPr>
          <w:p>
            <w:pPr>
              <w:spacing w:after="0"/>
              <w:rPr>
                <w:sz w:val="4"/>
                <w:szCs w:val="4"/>
                <w:color w:val="auto"/>
              </w:rPr>
            </w:pPr>
          </w:p>
        </w:tc>
        <w:tc>
          <w:tcPr>
            <w:tcW w:w="3000" w:type="dxa"/>
            <w:vAlign w:val="bottom"/>
            <w:tcBorders>
              <w:bottom w:val="single" w:sz="8" w:color="auto"/>
              <w:right w:val="single" w:sz="8" w:color="auto"/>
            </w:tcBorders>
          </w:tcPr>
          <w:p>
            <w:pPr>
              <w:spacing w:after="0"/>
              <w:rPr>
                <w:sz w:val="4"/>
                <w:szCs w:val="4"/>
                <w:color w:val="auto"/>
              </w:rPr>
            </w:pPr>
          </w:p>
        </w:tc>
        <w:tc>
          <w:tcPr>
            <w:tcW w:w="2280" w:type="dxa"/>
            <w:vAlign w:val="bottom"/>
            <w:tcBorders>
              <w:bottom w:val="single" w:sz="8" w:color="auto"/>
              <w:right w:val="single" w:sz="8" w:color="auto"/>
            </w:tcBorders>
          </w:tcPr>
          <w:p>
            <w:pPr>
              <w:spacing w:after="0"/>
              <w:rPr>
                <w:sz w:val="4"/>
                <w:szCs w:val="4"/>
                <w:color w:val="auto"/>
              </w:rPr>
            </w:pPr>
          </w:p>
        </w:tc>
        <w:tc>
          <w:tcPr>
            <w:tcW w:w="2260" w:type="dxa"/>
            <w:vAlign w:val="bottom"/>
            <w:tcBorders>
              <w:bottom w:val="single" w:sz="8" w:color="auto"/>
              <w:right w:val="single" w:sz="8" w:color="auto"/>
            </w:tcBorders>
          </w:tcPr>
          <w:p>
            <w:pPr>
              <w:spacing w:after="0"/>
              <w:rPr>
                <w:sz w:val="4"/>
                <w:szCs w:val="4"/>
                <w:color w:val="auto"/>
              </w:rPr>
            </w:pPr>
          </w:p>
        </w:tc>
      </w:tr>
      <w:tr>
        <w:trPr>
          <w:trHeight w:val="268"/>
        </w:trPr>
        <w:tc>
          <w:tcPr>
            <w:tcW w:w="22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15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30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22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w:t>
            </w:r>
          </w:p>
        </w:tc>
      </w:tr>
      <w:tr>
        <w:trPr>
          <w:trHeight w:val="50"/>
        </w:trPr>
        <w:tc>
          <w:tcPr>
            <w:tcW w:w="2200" w:type="dxa"/>
            <w:vAlign w:val="bottom"/>
            <w:tcBorders>
              <w:left w:val="single" w:sz="8" w:color="auto"/>
              <w:right w:val="single" w:sz="8" w:color="auto"/>
            </w:tcBorders>
          </w:tcPr>
          <w:p>
            <w:pPr>
              <w:spacing w:after="0"/>
              <w:rPr>
                <w:sz w:val="4"/>
                <w:szCs w:val="4"/>
                <w:color w:val="auto"/>
              </w:rPr>
            </w:pPr>
          </w:p>
        </w:tc>
        <w:tc>
          <w:tcPr>
            <w:tcW w:w="1520" w:type="dxa"/>
            <w:vAlign w:val="bottom"/>
            <w:tcBorders>
              <w:right w:val="single" w:sz="8" w:color="auto"/>
            </w:tcBorders>
          </w:tcPr>
          <w:p>
            <w:pPr>
              <w:spacing w:after="0"/>
              <w:rPr>
                <w:sz w:val="4"/>
                <w:szCs w:val="4"/>
                <w:color w:val="auto"/>
              </w:rPr>
            </w:pPr>
          </w:p>
        </w:tc>
        <w:tc>
          <w:tcPr>
            <w:tcW w:w="3000" w:type="dxa"/>
            <w:vAlign w:val="bottom"/>
            <w:tcBorders>
              <w:bottom w:val="single" w:sz="8" w:color="auto"/>
              <w:right w:val="single" w:sz="8" w:color="auto"/>
            </w:tcBorders>
          </w:tcPr>
          <w:p>
            <w:pPr>
              <w:spacing w:after="0"/>
              <w:rPr>
                <w:sz w:val="4"/>
                <w:szCs w:val="4"/>
                <w:color w:val="auto"/>
              </w:rPr>
            </w:pPr>
          </w:p>
        </w:tc>
        <w:tc>
          <w:tcPr>
            <w:tcW w:w="2280" w:type="dxa"/>
            <w:vAlign w:val="bottom"/>
            <w:tcBorders>
              <w:bottom w:val="single" w:sz="8" w:color="auto"/>
              <w:right w:val="single" w:sz="8" w:color="auto"/>
            </w:tcBorders>
          </w:tcPr>
          <w:p>
            <w:pPr>
              <w:spacing w:after="0"/>
              <w:rPr>
                <w:sz w:val="4"/>
                <w:szCs w:val="4"/>
                <w:color w:val="auto"/>
              </w:rPr>
            </w:pPr>
          </w:p>
        </w:tc>
        <w:tc>
          <w:tcPr>
            <w:tcW w:w="2260" w:type="dxa"/>
            <w:vAlign w:val="bottom"/>
            <w:tcBorders>
              <w:bottom w:val="single" w:sz="8" w:color="auto"/>
              <w:right w:val="single" w:sz="8" w:color="auto"/>
            </w:tcBorders>
          </w:tcPr>
          <w:p>
            <w:pPr>
              <w:spacing w:after="0"/>
              <w:rPr>
                <w:sz w:val="4"/>
                <w:szCs w:val="4"/>
                <w:color w:val="auto"/>
              </w:rPr>
            </w:pPr>
          </w:p>
        </w:tc>
      </w:tr>
      <w:tr>
        <w:trPr>
          <w:trHeight w:val="268"/>
        </w:trPr>
        <w:tc>
          <w:tcPr>
            <w:tcW w:w="2200" w:type="dxa"/>
            <w:vAlign w:val="bottom"/>
            <w:tcBorders>
              <w:left w:val="single" w:sz="8" w:color="auto"/>
              <w:right w:val="single" w:sz="8" w:color="auto"/>
            </w:tcBorders>
          </w:tcPr>
          <w:p>
            <w:pPr>
              <w:spacing w:after="0"/>
              <w:rPr>
                <w:sz w:val="23"/>
                <w:szCs w:val="23"/>
                <w:color w:val="auto"/>
              </w:rPr>
            </w:pPr>
          </w:p>
        </w:tc>
        <w:tc>
          <w:tcPr>
            <w:tcW w:w="1520" w:type="dxa"/>
            <w:vAlign w:val="bottom"/>
            <w:tcBorders>
              <w:right w:val="single" w:sz="8" w:color="auto"/>
            </w:tcBorders>
          </w:tcPr>
          <w:p>
            <w:pPr>
              <w:spacing w:after="0"/>
              <w:rPr>
                <w:sz w:val="23"/>
                <w:szCs w:val="23"/>
                <w:color w:val="auto"/>
              </w:rPr>
            </w:pPr>
          </w:p>
        </w:tc>
        <w:tc>
          <w:tcPr>
            <w:tcW w:w="30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22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w:t>
            </w:r>
          </w:p>
        </w:tc>
      </w:tr>
      <w:tr>
        <w:trPr>
          <w:trHeight w:val="50"/>
        </w:trPr>
        <w:tc>
          <w:tcPr>
            <w:tcW w:w="2200" w:type="dxa"/>
            <w:vAlign w:val="bottom"/>
            <w:tcBorders>
              <w:left w:val="single" w:sz="8" w:color="auto"/>
              <w:right w:val="single" w:sz="8" w:color="auto"/>
            </w:tcBorders>
          </w:tcPr>
          <w:p>
            <w:pPr>
              <w:spacing w:after="0"/>
              <w:rPr>
                <w:sz w:val="4"/>
                <w:szCs w:val="4"/>
                <w:color w:val="auto"/>
              </w:rPr>
            </w:pPr>
          </w:p>
        </w:tc>
        <w:tc>
          <w:tcPr>
            <w:tcW w:w="1520" w:type="dxa"/>
            <w:vAlign w:val="bottom"/>
            <w:tcBorders>
              <w:right w:val="single" w:sz="8" w:color="auto"/>
            </w:tcBorders>
          </w:tcPr>
          <w:p>
            <w:pPr>
              <w:spacing w:after="0"/>
              <w:rPr>
                <w:sz w:val="4"/>
                <w:szCs w:val="4"/>
                <w:color w:val="auto"/>
              </w:rPr>
            </w:pPr>
          </w:p>
        </w:tc>
        <w:tc>
          <w:tcPr>
            <w:tcW w:w="3000" w:type="dxa"/>
            <w:vAlign w:val="bottom"/>
            <w:tcBorders>
              <w:bottom w:val="single" w:sz="8" w:color="auto"/>
              <w:right w:val="single" w:sz="8" w:color="auto"/>
            </w:tcBorders>
          </w:tcPr>
          <w:p>
            <w:pPr>
              <w:spacing w:after="0"/>
              <w:rPr>
                <w:sz w:val="4"/>
                <w:szCs w:val="4"/>
                <w:color w:val="auto"/>
              </w:rPr>
            </w:pPr>
          </w:p>
        </w:tc>
        <w:tc>
          <w:tcPr>
            <w:tcW w:w="2280" w:type="dxa"/>
            <w:vAlign w:val="bottom"/>
            <w:tcBorders>
              <w:bottom w:val="single" w:sz="8" w:color="auto"/>
              <w:right w:val="single" w:sz="8" w:color="auto"/>
            </w:tcBorders>
          </w:tcPr>
          <w:p>
            <w:pPr>
              <w:spacing w:after="0"/>
              <w:rPr>
                <w:sz w:val="4"/>
                <w:szCs w:val="4"/>
                <w:color w:val="auto"/>
              </w:rPr>
            </w:pPr>
          </w:p>
        </w:tc>
        <w:tc>
          <w:tcPr>
            <w:tcW w:w="2260" w:type="dxa"/>
            <w:vAlign w:val="bottom"/>
            <w:tcBorders>
              <w:bottom w:val="single" w:sz="8" w:color="auto"/>
              <w:right w:val="single" w:sz="8" w:color="auto"/>
            </w:tcBorders>
          </w:tcPr>
          <w:p>
            <w:pPr>
              <w:spacing w:after="0"/>
              <w:rPr>
                <w:sz w:val="4"/>
                <w:szCs w:val="4"/>
                <w:color w:val="auto"/>
              </w:rPr>
            </w:pPr>
          </w:p>
        </w:tc>
      </w:tr>
      <w:tr>
        <w:trPr>
          <w:trHeight w:val="268"/>
        </w:trPr>
        <w:tc>
          <w:tcPr>
            <w:tcW w:w="2200" w:type="dxa"/>
            <w:vAlign w:val="bottom"/>
            <w:tcBorders>
              <w:left w:val="single" w:sz="8" w:color="auto"/>
              <w:right w:val="single" w:sz="8" w:color="auto"/>
            </w:tcBorders>
          </w:tcPr>
          <w:p>
            <w:pPr>
              <w:spacing w:after="0"/>
              <w:rPr>
                <w:sz w:val="23"/>
                <w:szCs w:val="23"/>
                <w:color w:val="auto"/>
              </w:rPr>
            </w:pPr>
          </w:p>
        </w:tc>
        <w:tc>
          <w:tcPr>
            <w:tcW w:w="1520" w:type="dxa"/>
            <w:vAlign w:val="bottom"/>
            <w:tcBorders>
              <w:right w:val="single" w:sz="8" w:color="auto"/>
            </w:tcBorders>
          </w:tcPr>
          <w:p>
            <w:pPr>
              <w:spacing w:after="0"/>
              <w:rPr>
                <w:sz w:val="23"/>
                <w:szCs w:val="23"/>
                <w:color w:val="auto"/>
              </w:rPr>
            </w:pPr>
          </w:p>
        </w:tc>
        <w:tc>
          <w:tcPr>
            <w:tcW w:w="30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22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w:t>
            </w:r>
          </w:p>
        </w:tc>
      </w:tr>
      <w:tr>
        <w:trPr>
          <w:trHeight w:val="50"/>
        </w:trPr>
        <w:tc>
          <w:tcPr>
            <w:tcW w:w="2200" w:type="dxa"/>
            <w:vAlign w:val="bottom"/>
            <w:tcBorders>
              <w:left w:val="single" w:sz="8" w:color="auto"/>
              <w:bottom w:val="single" w:sz="8" w:color="auto"/>
              <w:right w:val="single" w:sz="8" w:color="auto"/>
            </w:tcBorders>
          </w:tcPr>
          <w:p>
            <w:pPr>
              <w:spacing w:after="0"/>
              <w:rPr>
                <w:sz w:val="4"/>
                <w:szCs w:val="4"/>
                <w:color w:val="auto"/>
              </w:rPr>
            </w:pPr>
          </w:p>
        </w:tc>
        <w:tc>
          <w:tcPr>
            <w:tcW w:w="1520" w:type="dxa"/>
            <w:vAlign w:val="bottom"/>
            <w:tcBorders>
              <w:bottom w:val="single" w:sz="8" w:color="auto"/>
              <w:right w:val="single" w:sz="8" w:color="auto"/>
            </w:tcBorders>
          </w:tcPr>
          <w:p>
            <w:pPr>
              <w:spacing w:after="0"/>
              <w:rPr>
                <w:sz w:val="4"/>
                <w:szCs w:val="4"/>
                <w:color w:val="auto"/>
              </w:rPr>
            </w:pPr>
          </w:p>
        </w:tc>
        <w:tc>
          <w:tcPr>
            <w:tcW w:w="3000" w:type="dxa"/>
            <w:vAlign w:val="bottom"/>
            <w:tcBorders>
              <w:bottom w:val="single" w:sz="8" w:color="auto"/>
              <w:right w:val="single" w:sz="8" w:color="auto"/>
            </w:tcBorders>
          </w:tcPr>
          <w:p>
            <w:pPr>
              <w:spacing w:after="0"/>
              <w:rPr>
                <w:sz w:val="4"/>
                <w:szCs w:val="4"/>
                <w:color w:val="auto"/>
              </w:rPr>
            </w:pPr>
          </w:p>
        </w:tc>
        <w:tc>
          <w:tcPr>
            <w:tcW w:w="2280" w:type="dxa"/>
            <w:vAlign w:val="bottom"/>
            <w:tcBorders>
              <w:bottom w:val="single" w:sz="8" w:color="auto"/>
              <w:right w:val="single" w:sz="8" w:color="auto"/>
            </w:tcBorders>
          </w:tcPr>
          <w:p>
            <w:pPr>
              <w:spacing w:after="0"/>
              <w:rPr>
                <w:sz w:val="4"/>
                <w:szCs w:val="4"/>
                <w:color w:val="auto"/>
              </w:rPr>
            </w:pPr>
          </w:p>
        </w:tc>
        <w:tc>
          <w:tcPr>
            <w:tcW w:w="2260" w:type="dxa"/>
            <w:vAlign w:val="bottom"/>
            <w:tcBorders>
              <w:bottom w:val="single" w:sz="8" w:color="auto"/>
              <w:right w:val="single" w:sz="8" w:color="auto"/>
            </w:tcBorders>
          </w:tcPr>
          <w:p>
            <w:pPr>
              <w:spacing w:after="0"/>
              <w:rPr>
                <w:sz w:val="4"/>
                <w:szCs w:val="4"/>
                <w:color w:val="auto"/>
              </w:rPr>
            </w:pPr>
          </w:p>
        </w:tc>
      </w:tr>
      <w:tr>
        <w:trPr>
          <w:trHeight w:val="268"/>
        </w:trPr>
        <w:tc>
          <w:tcPr>
            <w:tcW w:w="22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15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30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22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w:t>
            </w:r>
          </w:p>
        </w:tc>
      </w:tr>
      <w:tr>
        <w:trPr>
          <w:trHeight w:val="50"/>
        </w:trPr>
        <w:tc>
          <w:tcPr>
            <w:tcW w:w="2200" w:type="dxa"/>
            <w:vAlign w:val="bottom"/>
            <w:tcBorders>
              <w:left w:val="single" w:sz="8" w:color="auto"/>
              <w:bottom w:val="single" w:sz="8" w:color="auto"/>
              <w:right w:val="single" w:sz="8" w:color="auto"/>
            </w:tcBorders>
          </w:tcPr>
          <w:p>
            <w:pPr>
              <w:spacing w:after="0"/>
              <w:rPr>
                <w:sz w:val="4"/>
                <w:szCs w:val="4"/>
                <w:color w:val="auto"/>
              </w:rPr>
            </w:pPr>
          </w:p>
        </w:tc>
        <w:tc>
          <w:tcPr>
            <w:tcW w:w="1520" w:type="dxa"/>
            <w:vAlign w:val="bottom"/>
            <w:tcBorders>
              <w:bottom w:val="single" w:sz="8" w:color="auto"/>
              <w:right w:val="single" w:sz="8" w:color="auto"/>
            </w:tcBorders>
          </w:tcPr>
          <w:p>
            <w:pPr>
              <w:spacing w:after="0"/>
              <w:rPr>
                <w:sz w:val="4"/>
                <w:szCs w:val="4"/>
                <w:color w:val="auto"/>
              </w:rPr>
            </w:pPr>
          </w:p>
        </w:tc>
        <w:tc>
          <w:tcPr>
            <w:tcW w:w="3000" w:type="dxa"/>
            <w:vAlign w:val="bottom"/>
            <w:tcBorders>
              <w:bottom w:val="single" w:sz="8" w:color="auto"/>
              <w:right w:val="single" w:sz="8" w:color="auto"/>
            </w:tcBorders>
          </w:tcPr>
          <w:p>
            <w:pPr>
              <w:spacing w:after="0"/>
              <w:rPr>
                <w:sz w:val="4"/>
                <w:szCs w:val="4"/>
                <w:color w:val="auto"/>
              </w:rPr>
            </w:pPr>
          </w:p>
        </w:tc>
        <w:tc>
          <w:tcPr>
            <w:tcW w:w="2280" w:type="dxa"/>
            <w:vAlign w:val="bottom"/>
            <w:tcBorders>
              <w:bottom w:val="single" w:sz="8" w:color="auto"/>
              <w:right w:val="single" w:sz="8" w:color="auto"/>
            </w:tcBorders>
          </w:tcPr>
          <w:p>
            <w:pPr>
              <w:spacing w:after="0"/>
              <w:rPr>
                <w:sz w:val="4"/>
                <w:szCs w:val="4"/>
                <w:color w:val="auto"/>
              </w:rPr>
            </w:pPr>
          </w:p>
        </w:tc>
        <w:tc>
          <w:tcPr>
            <w:tcW w:w="2260" w:type="dxa"/>
            <w:vAlign w:val="bottom"/>
            <w:tcBorders>
              <w:bottom w:val="single" w:sz="8" w:color="auto"/>
              <w:right w:val="single" w:sz="8" w:color="auto"/>
            </w:tcBorders>
          </w:tcPr>
          <w:p>
            <w:pPr>
              <w:spacing w:after="0"/>
              <w:rPr>
                <w:sz w:val="4"/>
                <w:szCs w:val="4"/>
                <w:color w:val="auto"/>
              </w:rPr>
            </w:pPr>
          </w:p>
        </w:tc>
      </w:tr>
      <w:tr>
        <w:trPr>
          <w:trHeight w:val="268"/>
        </w:trPr>
        <w:tc>
          <w:tcPr>
            <w:tcW w:w="22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15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30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22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w:t>
            </w:r>
          </w:p>
        </w:tc>
      </w:tr>
      <w:tr>
        <w:trPr>
          <w:trHeight w:val="50"/>
        </w:trPr>
        <w:tc>
          <w:tcPr>
            <w:tcW w:w="2200" w:type="dxa"/>
            <w:vAlign w:val="bottom"/>
            <w:tcBorders>
              <w:left w:val="single" w:sz="8" w:color="auto"/>
              <w:right w:val="single" w:sz="8" w:color="auto"/>
            </w:tcBorders>
          </w:tcPr>
          <w:p>
            <w:pPr>
              <w:spacing w:after="0"/>
              <w:rPr>
                <w:sz w:val="4"/>
                <w:szCs w:val="4"/>
                <w:color w:val="auto"/>
              </w:rPr>
            </w:pPr>
          </w:p>
        </w:tc>
        <w:tc>
          <w:tcPr>
            <w:tcW w:w="1520" w:type="dxa"/>
            <w:vAlign w:val="bottom"/>
            <w:tcBorders>
              <w:bottom w:val="single" w:sz="8" w:color="auto"/>
              <w:right w:val="single" w:sz="8" w:color="auto"/>
            </w:tcBorders>
          </w:tcPr>
          <w:p>
            <w:pPr>
              <w:spacing w:after="0"/>
              <w:rPr>
                <w:sz w:val="4"/>
                <w:szCs w:val="4"/>
                <w:color w:val="auto"/>
              </w:rPr>
            </w:pPr>
          </w:p>
        </w:tc>
        <w:tc>
          <w:tcPr>
            <w:tcW w:w="3000" w:type="dxa"/>
            <w:vAlign w:val="bottom"/>
            <w:tcBorders>
              <w:bottom w:val="single" w:sz="8" w:color="auto"/>
              <w:right w:val="single" w:sz="8" w:color="auto"/>
            </w:tcBorders>
          </w:tcPr>
          <w:p>
            <w:pPr>
              <w:spacing w:after="0"/>
              <w:rPr>
                <w:sz w:val="4"/>
                <w:szCs w:val="4"/>
                <w:color w:val="auto"/>
              </w:rPr>
            </w:pPr>
          </w:p>
        </w:tc>
        <w:tc>
          <w:tcPr>
            <w:tcW w:w="2280" w:type="dxa"/>
            <w:vAlign w:val="bottom"/>
            <w:tcBorders>
              <w:bottom w:val="single" w:sz="8" w:color="auto"/>
              <w:right w:val="single" w:sz="8" w:color="auto"/>
            </w:tcBorders>
          </w:tcPr>
          <w:p>
            <w:pPr>
              <w:spacing w:after="0"/>
              <w:rPr>
                <w:sz w:val="4"/>
                <w:szCs w:val="4"/>
                <w:color w:val="auto"/>
              </w:rPr>
            </w:pPr>
          </w:p>
        </w:tc>
        <w:tc>
          <w:tcPr>
            <w:tcW w:w="2260" w:type="dxa"/>
            <w:vAlign w:val="bottom"/>
            <w:tcBorders>
              <w:bottom w:val="single" w:sz="8" w:color="auto"/>
              <w:right w:val="single" w:sz="8" w:color="auto"/>
            </w:tcBorders>
          </w:tcPr>
          <w:p>
            <w:pPr>
              <w:spacing w:after="0"/>
              <w:rPr>
                <w:sz w:val="4"/>
                <w:szCs w:val="4"/>
                <w:color w:val="auto"/>
              </w:rPr>
            </w:pPr>
          </w:p>
        </w:tc>
      </w:tr>
      <w:tr>
        <w:trPr>
          <w:trHeight w:val="268"/>
        </w:trPr>
        <w:tc>
          <w:tcPr>
            <w:tcW w:w="2200" w:type="dxa"/>
            <w:vAlign w:val="bottom"/>
            <w:tcBorders>
              <w:left w:val="single" w:sz="8" w:color="auto"/>
              <w:right w:val="single" w:sz="8" w:color="auto"/>
            </w:tcBorders>
          </w:tcPr>
          <w:p>
            <w:pPr>
              <w:spacing w:after="0"/>
              <w:rPr>
                <w:sz w:val="23"/>
                <w:szCs w:val="23"/>
                <w:color w:val="auto"/>
              </w:rPr>
            </w:pPr>
          </w:p>
        </w:tc>
        <w:tc>
          <w:tcPr>
            <w:tcW w:w="15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30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22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w:t>
            </w:r>
          </w:p>
        </w:tc>
      </w:tr>
      <w:tr>
        <w:trPr>
          <w:trHeight w:val="50"/>
        </w:trPr>
        <w:tc>
          <w:tcPr>
            <w:tcW w:w="2200" w:type="dxa"/>
            <w:vAlign w:val="bottom"/>
            <w:tcBorders>
              <w:left w:val="single" w:sz="8" w:color="auto"/>
              <w:bottom w:val="single" w:sz="8" w:color="auto"/>
              <w:right w:val="single" w:sz="8" w:color="auto"/>
            </w:tcBorders>
          </w:tcPr>
          <w:p>
            <w:pPr>
              <w:spacing w:after="0"/>
              <w:rPr>
                <w:sz w:val="4"/>
                <w:szCs w:val="4"/>
                <w:color w:val="auto"/>
              </w:rPr>
            </w:pPr>
          </w:p>
        </w:tc>
        <w:tc>
          <w:tcPr>
            <w:tcW w:w="1520" w:type="dxa"/>
            <w:vAlign w:val="bottom"/>
            <w:tcBorders>
              <w:bottom w:val="single" w:sz="8" w:color="auto"/>
              <w:right w:val="single" w:sz="8" w:color="auto"/>
            </w:tcBorders>
          </w:tcPr>
          <w:p>
            <w:pPr>
              <w:spacing w:after="0"/>
              <w:rPr>
                <w:sz w:val="4"/>
                <w:szCs w:val="4"/>
                <w:color w:val="auto"/>
              </w:rPr>
            </w:pPr>
          </w:p>
        </w:tc>
        <w:tc>
          <w:tcPr>
            <w:tcW w:w="3000" w:type="dxa"/>
            <w:vAlign w:val="bottom"/>
            <w:tcBorders>
              <w:bottom w:val="single" w:sz="8" w:color="auto"/>
              <w:right w:val="single" w:sz="8" w:color="auto"/>
            </w:tcBorders>
          </w:tcPr>
          <w:p>
            <w:pPr>
              <w:spacing w:after="0"/>
              <w:rPr>
                <w:sz w:val="4"/>
                <w:szCs w:val="4"/>
                <w:color w:val="auto"/>
              </w:rPr>
            </w:pPr>
          </w:p>
        </w:tc>
        <w:tc>
          <w:tcPr>
            <w:tcW w:w="2280" w:type="dxa"/>
            <w:vAlign w:val="bottom"/>
            <w:tcBorders>
              <w:bottom w:val="single" w:sz="8" w:color="auto"/>
              <w:right w:val="single" w:sz="8" w:color="auto"/>
            </w:tcBorders>
          </w:tcPr>
          <w:p>
            <w:pPr>
              <w:spacing w:after="0"/>
              <w:rPr>
                <w:sz w:val="4"/>
                <w:szCs w:val="4"/>
                <w:color w:val="auto"/>
              </w:rPr>
            </w:pPr>
          </w:p>
        </w:tc>
        <w:tc>
          <w:tcPr>
            <w:tcW w:w="2260" w:type="dxa"/>
            <w:vAlign w:val="bottom"/>
            <w:tcBorders>
              <w:bottom w:val="single" w:sz="8" w:color="auto"/>
              <w:right w:val="single" w:sz="8" w:color="auto"/>
            </w:tcBorders>
          </w:tcPr>
          <w:p>
            <w:pPr>
              <w:spacing w:after="0"/>
              <w:rPr>
                <w:sz w:val="4"/>
                <w:szCs w:val="4"/>
                <w:color w:val="auto"/>
              </w:rPr>
            </w:pPr>
          </w:p>
        </w:tc>
      </w:tr>
      <w:tr>
        <w:trPr>
          <w:trHeight w:val="268"/>
        </w:trPr>
        <w:tc>
          <w:tcPr>
            <w:tcW w:w="22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15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30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22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w:t>
            </w:r>
          </w:p>
        </w:tc>
      </w:tr>
      <w:tr>
        <w:trPr>
          <w:trHeight w:val="50"/>
        </w:trPr>
        <w:tc>
          <w:tcPr>
            <w:tcW w:w="2200" w:type="dxa"/>
            <w:vAlign w:val="bottom"/>
            <w:tcBorders>
              <w:left w:val="single" w:sz="8" w:color="auto"/>
              <w:bottom w:val="single" w:sz="8" w:color="auto"/>
              <w:right w:val="single" w:sz="8" w:color="auto"/>
            </w:tcBorders>
          </w:tcPr>
          <w:p>
            <w:pPr>
              <w:spacing w:after="0"/>
              <w:rPr>
                <w:sz w:val="4"/>
                <w:szCs w:val="4"/>
                <w:color w:val="auto"/>
              </w:rPr>
            </w:pPr>
          </w:p>
        </w:tc>
        <w:tc>
          <w:tcPr>
            <w:tcW w:w="1520" w:type="dxa"/>
            <w:vAlign w:val="bottom"/>
            <w:tcBorders>
              <w:bottom w:val="single" w:sz="8" w:color="auto"/>
              <w:right w:val="single" w:sz="8" w:color="auto"/>
            </w:tcBorders>
          </w:tcPr>
          <w:p>
            <w:pPr>
              <w:spacing w:after="0"/>
              <w:rPr>
                <w:sz w:val="4"/>
                <w:szCs w:val="4"/>
                <w:color w:val="auto"/>
              </w:rPr>
            </w:pPr>
          </w:p>
        </w:tc>
        <w:tc>
          <w:tcPr>
            <w:tcW w:w="3000" w:type="dxa"/>
            <w:vAlign w:val="bottom"/>
            <w:tcBorders>
              <w:bottom w:val="single" w:sz="8" w:color="auto"/>
              <w:right w:val="single" w:sz="8" w:color="auto"/>
            </w:tcBorders>
          </w:tcPr>
          <w:p>
            <w:pPr>
              <w:spacing w:after="0"/>
              <w:rPr>
                <w:sz w:val="4"/>
                <w:szCs w:val="4"/>
                <w:color w:val="auto"/>
              </w:rPr>
            </w:pPr>
          </w:p>
        </w:tc>
        <w:tc>
          <w:tcPr>
            <w:tcW w:w="2280" w:type="dxa"/>
            <w:vAlign w:val="bottom"/>
            <w:tcBorders>
              <w:bottom w:val="single" w:sz="8" w:color="auto"/>
              <w:right w:val="single" w:sz="8" w:color="auto"/>
            </w:tcBorders>
          </w:tcPr>
          <w:p>
            <w:pPr>
              <w:spacing w:after="0"/>
              <w:rPr>
                <w:sz w:val="4"/>
                <w:szCs w:val="4"/>
                <w:color w:val="auto"/>
              </w:rPr>
            </w:pPr>
          </w:p>
        </w:tc>
        <w:tc>
          <w:tcPr>
            <w:tcW w:w="2260" w:type="dxa"/>
            <w:vAlign w:val="bottom"/>
            <w:tcBorders>
              <w:bottom w:val="single" w:sz="8" w:color="auto"/>
              <w:right w:val="single" w:sz="8" w:color="auto"/>
            </w:tcBorders>
          </w:tcPr>
          <w:p>
            <w:pPr>
              <w:spacing w:after="0"/>
              <w:rPr>
                <w:sz w:val="4"/>
                <w:szCs w:val="4"/>
                <w:color w:val="auto"/>
              </w:rPr>
            </w:pPr>
          </w:p>
        </w:tc>
      </w:tr>
      <w:tr>
        <w:trPr>
          <w:trHeight w:val="551"/>
        </w:trPr>
        <w:tc>
          <w:tcPr>
            <w:tcW w:w="2200" w:type="dxa"/>
            <w:vAlign w:val="bottom"/>
          </w:tcPr>
          <w:p>
            <w:pPr>
              <w:jc w:val="right"/>
              <w:ind w:right="1661"/>
              <w:spacing w:after="0"/>
              <w:rPr>
                <w:sz w:val="20"/>
                <w:szCs w:val="20"/>
                <w:color w:val="auto"/>
              </w:rPr>
            </w:pPr>
            <w:r>
              <w:rPr>
                <w:rFonts w:ascii="Arial" w:cs="Arial" w:eastAsia="Arial" w:hAnsi="Arial"/>
                <w:sz w:val="20"/>
                <w:szCs w:val="20"/>
                <w:color w:val="auto"/>
              </w:rPr>
              <w:t>[***]</w:t>
            </w:r>
          </w:p>
        </w:tc>
        <w:tc>
          <w:tcPr>
            <w:tcW w:w="152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252"/>
        </w:trPr>
        <w:tc>
          <w:tcPr>
            <w:tcW w:w="220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spacing w:after="0"/>
              <w:rPr>
                <w:sz w:val="21"/>
                <w:szCs w:val="21"/>
                <w:color w:val="auto"/>
              </w:rPr>
            </w:pPr>
          </w:p>
        </w:tc>
        <w:tc>
          <w:tcPr>
            <w:tcW w:w="3000" w:type="dxa"/>
            <w:vAlign w:val="bottom"/>
            <w:tcBorders>
              <w:bottom w:val="single" w:sz="8" w:color="auto"/>
            </w:tcBorders>
          </w:tcPr>
          <w:p>
            <w:pPr>
              <w:spacing w:after="0"/>
              <w:rPr>
                <w:sz w:val="21"/>
                <w:szCs w:val="21"/>
                <w:color w:val="auto"/>
              </w:rPr>
            </w:pPr>
          </w:p>
        </w:tc>
        <w:tc>
          <w:tcPr>
            <w:tcW w:w="2280" w:type="dxa"/>
            <w:vAlign w:val="bottom"/>
            <w:tcBorders>
              <w:bottom w:val="single" w:sz="8" w:color="auto"/>
            </w:tcBorders>
          </w:tcPr>
          <w:p>
            <w:pPr>
              <w:spacing w:after="0"/>
              <w:rPr>
                <w:sz w:val="21"/>
                <w:szCs w:val="21"/>
                <w:color w:val="auto"/>
              </w:rPr>
            </w:pPr>
          </w:p>
        </w:tc>
        <w:tc>
          <w:tcPr>
            <w:tcW w:w="2260" w:type="dxa"/>
            <w:vAlign w:val="bottom"/>
            <w:tcBorders>
              <w:bottom w:val="single" w:sz="8" w:color="auto"/>
            </w:tcBorders>
          </w:tcPr>
          <w:p>
            <w:pPr>
              <w:spacing w:after="0"/>
              <w:rPr>
                <w:sz w:val="21"/>
                <w:szCs w:val="21"/>
                <w:color w:val="auto"/>
              </w:rPr>
            </w:pPr>
          </w:p>
        </w:tc>
      </w:tr>
      <w:tr>
        <w:trPr>
          <w:trHeight w:val="268"/>
        </w:trPr>
        <w:tc>
          <w:tcPr>
            <w:tcW w:w="22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5"/>
              </w:rPr>
              <w:t>Material</w:t>
            </w:r>
          </w:p>
        </w:tc>
        <w:tc>
          <w:tcPr>
            <w:tcW w:w="152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7"/>
              </w:rPr>
              <w:t>Unit</w:t>
            </w:r>
          </w:p>
        </w:tc>
        <w:tc>
          <w:tcPr>
            <w:tcW w:w="300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0"/>
              </w:rPr>
              <w:t>Raw materials</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88"/>
              </w:rPr>
              <w:t>Base line unit price</w:t>
            </w:r>
          </w:p>
        </w:tc>
        <w:tc>
          <w:tcPr>
            <w:tcW w:w="226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86"/>
              </w:rPr>
              <w:t>Base Usage/Cell</w:t>
            </w:r>
          </w:p>
        </w:tc>
      </w:tr>
      <w:tr>
        <w:trPr>
          <w:trHeight w:val="50"/>
        </w:trPr>
        <w:tc>
          <w:tcPr>
            <w:tcW w:w="2200" w:type="dxa"/>
            <w:vAlign w:val="bottom"/>
            <w:tcBorders>
              <w:left w:val="single" w:sz="8" w:color="auto"/>
              <w:bottom w:val="single" w:sz="8" w:color="auto"/>
              <w:right w:val="single" w:sz="8" w:color="auto"/>
            </w:tcBorders>
          </w:tcPr>
          <w:p>
            <w:pPr>
              <w:spacing w:after="0"/>
              <w:rPr>
                <w:sz w:val="4"/>
                <w:szCs w:val="4"/>
                <w:color w:val="auto"/>
              </w:rPr>
            </w:pPr>
          </w:p>
        </w:tc>
        <w:tc>
          <w:tcPr>
            <w:tcW w:w="1520" w:type="dxa"/>
            <w:vAlign w:val="bottom"/>
            <w:tcBorders>
              <w:bottom w:val="single" w:sz="8" w:color="auto"/>
              <w:right w:val="single" w:sz="8" w:color="auto"/>
            </w:tcBorders>
          </w:tcPr>
          <w:p>
            <w:pPr>
              <w:spacing w:after="0"/>
              <w:rPr>
                <w:sz w:val="4"/>
                <w:szCs w:val="4"/>
                <w:color w:val="auto"/>
              </w:rPr>
            </w:pPr>
          </w:p>
        </w:tc>
        <w:tc>
          <w:tcPr>
            <w:tcW w:w="3000" w:type="dxa"/>
            <w:vAlign w:val="bottom"/>
            <w:tcBorders>
              <w:bottom w:val="single" w:sz="8" w:color="auto"/>
              <w:right w:val="single" w:sz="8" w:color="auto"/>
            </w:tcBorders>
          </w:tcPr>
          <w:p>
            <w:pPr>
              <w:spacing w:after="0"/>
              <w:rPr>
                <w:sz w:val="4"/>
                <w:szCs w:val="4"/>
                <w:color w:val="auto"/>
              </w:rPr>
            </w:pPr>
          </w:p>
        </w:tc>
        <w:tc>
          <w:tcPr>
            <w:tcW w:w="2280" w:type="dxa"/>
            <w:vAlign w:val="bottom"/>
            <w:tcBorders>
              <w:bottom w:val="single" w:sz="8" w:color="auto"/>
              <w:right w:val="single" w:sz="8" w:color="auto"/>
            </w:tcBorders>
          </w:tcPr>
          <w:p>
            <w:pPr>
              <w:spacing w:after="0"/>
              <w:rPr>
                <w:sz w:val="4"/>
                <w:szCs w:val="4"/>
                <w:color w:val="auto"/>
              </w:rPr>
            </w:pPr>
          </w:p>
        </w:tc>
        <w:tc>
          <w:tcPr>
            <w:tcW w:w="2260" w:type="dxa"/>
            <w:vAlign w:val="bottom"/>
            <w:tcBorders>
              <w:bottom w:val="single" w:sz="8" w:color="auto"/>
              <w:right w:val="single" w:sz="8" w:color="auto"/>
            </w:tcBorders>
          </w:tcPr>
          <w:p>
            <w:pPr>
              <w:spacing w:after="0"/>
              <w:rPr>
                <w:sz w:val="4"/>
                <w:szCs w:val="4"/>
                <w:color w:val="auto"/>
              </w:rPr>
            </w:pPr>
          </w:p>
        </w:tc>
      </w:tr>
      <w:tr>
        <w:trPr>
          <w:trHeight w:val="268"/>
        </w:trPr>
        <w:tc>
          <w:tcPr>
            <w:tcW w:w="22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15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30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22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w:t>
            </w:r>
          </w:p>
        </w:tc>
      </w:tr>
      <w:tr>
        <w:trPr>
          <w:trHeight w:val="50"/>
        </w:trPr>
        <w:tc>
          <w:tcPr>
            <w:tcW w:w="2200" w:type="dxa"/>
            <w:vAlign w:val="bottom"/>
            <w:tcBorders>
              <w:left w:val="single" w:sz="8" w:color="auto"/>
              <w:right w:val="single" w:sz="8" w:color="auto"/>
            </w:tcBorders>
          </w:tcPr>
          <w:p>
            <w:pPr>
              <w:spacing w:after="0"/>
              <w:rPr>
                <w:sz w:val="4"/>
                <w:szCs w:val="4"/>
                <w:color w:val="auto"/>
              </w:rPr>
            </w:pPr>
          </w:p>
        </w:tc>
        <w:tc>
          <w:tcPr>
            <w:tcW w:w="1520" w:type="dxa"/>
            <w:vAlign w:val="bottom"/>
            <w:tcBorders>
              <w:right w:val="single" w:sz="8" w:color="auto"/>
            </w:tcBorders>
          </w:tcPr>
          <w:p>
            <w:pPr>
              <w:spacing w:after="0"/>
              <w:rPr>
                <w:sz w:val="4"/>
                <w:szCs w:val="4"/>
                <w:color w:val="auto"/>
              </w:rPr>
            </w:pPr>
          </w:p>
        </w:tc>
        <w:tc>
          <w:tcPr>
            <w:tcW w:w="3000" w:type="dxa"/>
            <w:vAlign w:val="bottom"/>
            <w:tcBorders>
              <w:bottom w:val="single" w:sz="8" w:color="auto"/>
              <w:right w:val="single" w:sz="8" w:color="auto"/>
            </w:tcBorders>
          </w:tcPr>
          <w:p>
            <w:pPr>
              <w:spacing w:after="0"/>
              <w:rPr>
                <w:sz w:val="4"/>
                <w:szCs w:val="4"/>
                <w:color w:val="auto"/>
              </w:rPr>
            </w:pPr>
          </w:p>
        </w:tc>
        <w:tc>
          <w:tcPr>
            <w:tcW w:w="2280" w:type="dxa"/>
            <w:vAlign w:val="bottom"/>
            <w:tcBorders>
              <w:bottom w:val="single" w:sz="8" w:color="auto"/>
              <w:right w:val="single" w:sz="8" w:color="auto"/>
            </w:tcBorders>
          </w:tcPr>
          <w:p>
            <w:pPr>
              <w:spacing w:after="0"/>
              <w:rPr>
                <w:sz w:val="4"/>
                <w:szCs w:val="4"/>
                <w:color w:val="auto"/>
              </w:rPr>
            </w:pPr>
          </w:p>
        </w:tc>
        <w:tc>
          <w:tcPr>
            <w:tcW w:w="2260" w:type="dxa"/>
            <w:vAlign w:val="bottom"/>
            <w:tcBorders>
              <w:bottom w:val="single" w:sz="8" w:color="auto"/>
              <w:right w:val="single" w:sz="8" w:color="auto"/>
            </w:tcBorders>
          </w:tcPr>
          <w:p>
            <w:pPr>
              <w:spacing w:after="0"/>
              <w:rPr>
                <w:sz w:val="4"/>
                <w:szCs w:val="4"/>
                <w:color w:val="auto"/>
              </w:rPr>
            </w:pPr>
          </w:p>
        </w:tc>
      </w:tr>
      <w:tr>
        <w:trPr>
          <w:trHeight w:val="268"/>
        </w:trPr>
        <w:tc>
          <w:tcPr>
            <w:tcW w:w="2200" w:type="dxa"/>
            <w:vAlign w:val="bottom"/>
            <w:tcBorders>
              <w:left w:val="single" w:sz="8" w:color="auto"/>
              <w:right w:val="single" w:sz="8" w:color="auto"/>
            </w:tcBorders>
          </w:tcPr>
          <w:p>
            <w:pPr>
              <w:spacing w:after="0"/>
              <w:rPr>
                <w:sz w:val="23"/>
                <w:szCs w:val="23"/>
                <w:color w:val="auto"/>
              </w:rPr>
            </w:pPr>
          </w:p>
        </w:tc>
        <w:tc>
          <w:tcPr>
            <w:tcW w:w="1520" w:type="dxa"/>
            <w:vAlign w:val="bottom"/>
            <w:tcBorders>
              <w:right w:val="single" w:sz="8" w:color="auto"/>
            </w:tcBorders>
          </w:tcPr>
          <w:p>
            <w:pPr>
              <w:spacing w:after="0"/>
              <w:rPr>
                <w:sz w:val="23"/>
                <w:szCs w:val="23"/>
                <w:color w:val="auto"/>
              </w:rPr>
            </w:pPr>
          </w:p>
        </w:tc>
        <w:tc>
          <w:tcPr>
            <w:tcW w:w="30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22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w:t>
            </w:r>
          </w:p>
        </w:tc>
      </w:tr>
      <w:tr>
        <w:trPr>
          <w:trHeight w:val="50"/>
        </w:trPr>
        <w:tc>
          <w:tcPr>
            <w:tcW w:w="2200" w:type="dxa"/>
            <w:vAlign w:val="bottom"/>
            <w:tcBorders>
              <w:left w:val="single" w:sz="8" w:color="auto"/>
              <w:right w:val="single" w:sz="8" w:color="auto"/>
            </w:tcBorders>
          </w:tcPr>
          <w:p>
            <w:pPr>
              <w:spacing w:after="0"/>
              <w:rPr>
                <w:sz w:val="4"/>
                <w:szCs w:val="4"/>
                <w:color w:val="auto"/>
              </w:rPr>
            </w:pPr>
          </w:p>
        </w:tc>
        <w:tc>
          <w:tcPr>
            <w:tcW w:w="1520" w:type="dxa"/>
            <w:vAlign w:val="bottom"/>
            <w:tcBorders>
              <w:right w:val="single" w:sz="8" w:color="auto"/>
            </w:tcBorders>
          </w:tcPr>
          <w:p>
            <w:pPr>
              <w:spacing w:after="0"/>
              <w:rPr>
                <w:sz w:val="4"/>
                <w:szCs w:val="4"/>
                <w:color w:val="auto"/>
              </w:rPr>
            </w:pPr>
          </w:p>
        </w:tc>
        <w:tc>
          <w:tcPr>
            <w:tcW w:w="3000" w:type="dxa"/>
            <w:vAlign w:val="bottom"/>
            <w:tcBorders>
              <w:bottom w:val="single" w:sz="8" w:color="auto"/>
              <w:right w:val="single" w:sz="8" w:color="auto"/>
            </w:tcBorders>
          </w:tcPr>
          <w:p>
            <w:pPr>
              <w:spacing w:after="0"/>
              <w:rPr>
                <w:sz w:val="4"/>
                <w:szCs w:val="4"/>
                <w:color w:val="auto"/>
              </w:rPr>
            </w:pPr>
          </w:p>
        </w:tc>
        <w:tc>
          <w:tcPr>
            <w:tcW w:w="2280" w:type="dxa"/>
            <w:vAlign w:val="bottom"/>
            <w:tcBorders>
              <w:bottom w:val="single" w:sz="8" w:color="auto"/>
              <w:right w:val="single" w:sz="8" w:color="auto"/>
            </w:tcBorders>
          </w:tcPr>
          <w:p>
            <w:pPr>
              <w:spacing w:after="0"/>
              <w:rPr>
                <w:sz w:val="4"/>
                <w:szCs w:val="4"/>
                <w:color w:val="auto"/>
              </w:rPr>
            </w:pPr>
          </w:p>
        </w:tc>
        <w:tc>
          <w:tcPr>
            <w:tcW w:w="2260" w:type="dxa"/>
            <w:vAlign w:val="bottom"/>
            <w:tcBorders>
              <w:bottom w:val="single" w:sz="8" w:color="auto"/>
              <w:right w:val="single" w:sz="8" w:color="auto"/>
            </w:tcBorders>
          </w:tcPr>
          <w:p>
            <w:pPr>
              <w:spacing w:after="0"/>
              <w:rPr>
                <w:sz w:val="4"/>
                <w:szCs w:val="4"/>
                <w:color w:val="auto"/>
              </w:rPr>
            </w:pPr>
          </w:p>
        </w:tc>
      </w:tr>
      <w:tr>
        <w:trPr>
          <w:trHeight w:val="268"/>
        </w:trPr>
        <w:tc>
          <w:tcPr>
            <w:tcW w:w="2200" w:type="dxa"/>
            <w:vAlign w:val="bottom"/>
            <w:tcBorders>
              <w:left w:val="single" w:sz="8" w:color="auto"/>
              <w:right w:val="single" w:sz="8" w:color="auto"/>
            </w:tcBorders>
          </w:tcPr>
          <w:p>
            <w:pPr>
              <w:spacing w:after="0"/>
              <w:rPr>
                <w:sz w:val="23"/>
                <w:szCs w:val="23"/>
                <w:color w:val="auto"/>
              </w:rPr>
            </w:pPr>
          </w:p>
        </w:tc>
        <w:tc>
          <w:tcPr>
            <w:tcW w:w="1520" w:type="dxa"/>
            <w:vAlign w:val="bottom"/>
            <w:tcBorders>
              <w:right w:val="single" w:sz="8" w:color="auto"/>
            </w:tcBorders>
          </w:tcPr>
          <w:p>
            <w:pPr>
              <w:spacing w:after="0"/>
              <w:rPr>
                <w:sz w:val="23"/>
                <w:szCs w:val="23"/>
                <w:color w:val="auto"/>
              </w:rPr>
            </w:pPr>
          </w:p>
        </w:tc>
        <w:tc>
          <w:tcPr>
            <w:tcW w:w="30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22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w:t>
            </w:r>
          </w:p>
        </w:tc>
      </w:tr>
      <w:tr>
        <w:trPr>
          <w:trHeight w:val="50"/>
        </w:trPr>
        <w:tc>
          <w:tcPr>
            <w:tcW w:w="2200" w:type="dxa"/>
            <w:vAlign w:val="bottom"/>
            <w:tcBorders>
              <w:left w:val="single" w:sz="8" w:color="auto"/>
              <w:bottom w:val="single" w:sz="8" w:color="auto"/>
              <w:right w:val="single" w:sz="8" w:color="auto"/>
            </w:tcBorders>
          </w:tcPr>
          <w:p>
            <w:pPr>
              <w:spacing w:after="0"/>
              <w:rPr>
                <w:sz w:val="4"/>
                <w:szCs w:val="4"/>
                <w:color w:val="auto"/>
              </w:rPr>
            </w:pPr>
          </w:p>
        </w:tc>
        <w:tc>
          <w:tcPr>
            <w:tcW w:w="1520" w:type="dxa"/>
            <w:vAlign w:val="bottom"/>
            <w:tcBorders>
              <w:bottom w:val="single" w:sz="8" w:color="auto"/>
              <w:right w:val="single" w:sz="8" w:color="auto"/>
            </w:tcBorders>
          </w:tcPr>
          <w:p>
            <w:pPr>
              <w:spacing w:after="0"/>
              <w:rPr>
                <w:sz w:val="4"/>
                <w:szCs w:val="4"/>
                <w:color w:val="auto"/>
              </w:rPr>
            </w:pPr>
          </w:p>
        </w:tc>
        <w:tc>
          <w:tcPr>
            <w:tcW w:w="3000" w:type="dxa"/>
            <w:vAlign w:val="bottom"/>
            <w:tcBorders>
              <w:bottom w:val="single" w:sz="8" w:color="auto"/>
              <w:right w:val="single" w:sz="8" w:color="auto"/>
            </w:tcBorders>
          </w:tcPr>
          <w:p>
            <w:pPr>
              <w:spacing w:after="0"/>
              <w:rPr>
                <w:sz w:val="4"/>
                <w:szCs w:val="4"/>
                <w:color w:val="auto"/>
              </w:rPr>
            </w:pPr>
          </w:p>
        </w:tc>
        <w:tc>
          <w:tcPr>
            <w:tcW w:w="2280" w:type="dxa"/>
            <w:vAlign w:val="bottom"/>
            <w:tcBorders>
              <w:bottom w:val="single" w:sz="8" w:color="auto"/>
              <w:right w:val="single" w:sz="8" w:color="auto"/>
            </w:tcBorders>
          </w:tcPr>
          <w:p>
            <w:pPr>
              <w:spacing w:after="0"/>
              <w:rPr>
                <w:sz w:val="4"/>
                <w:szCs w:val="4"/>
                <w:color w:val="auto"/>
              </w:rPr>
            </w:pPr>
          </w:p>
        </w:tc>
        <w:tc>
          <w:tcPr>
            <w:tcW w:w="2260" w:type="dxa"/>
            <w:vAlign w:val="bottom"/>
            <w:tcBorders>
              <w:bottom w:val="single" w:sz="8" w:color="auto"/>
              <w:right w:val="single" w:sz="8" w:color="auto"/>
            </w:tcBorders>
          </w:tcPr>
          <w:p>
            <w:pPr>
              <w:spacing w:after="0"/>
              <w:rPr>
                <w:sz w:val="4"/>
                <w:szCs w:val="4"/>
                <w:color w:val="auto"/>
              </w:rPr>
            </w:pPr>
          </w:p>
        </w:tc>
      </w:tr>
      <w:tr>
        <w:trPr>
          <w:trHeight w:val="268"/>
        </w:trPr>
        <w:tc>
          <w:tcPr>
            <w:tcW w:w="22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15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30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22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w:t>
            </w:r>
          </w:p>
        </w:tc>
      </w:tr>
      <w:tr>
        <w:trPr>
          <w:trHeight w:val="50"/>
        </w:trPr>
        <w:tc>
          <w:tcPr>
            <w:tcW w:w="2200" w:type="dxa"/>
            <w:vAlign w:val="bottom"/>
            <w:tcBorders>
              <w:left w:val="single" w:sz="8" w:color="auto"/>
              <w:bottom w:val="single" w:sz="8" w:color="auto"/>
              <w:right w:val="single" w:sz="8" w:color="auto"/>
            </w:tcBorders>
          </w:tcPr>
          <w:p>
            <w:pPr>
              <w:spacing w:after="0"/>
              <w:rPr>
                <w:sz w:val="4"/>
                <w:szCs w:val="4"/>
                <w:color w:val="auto"/>
              </w:rPr>
            </w:pPr>
          </w:p>
        </w:tc>
        <w:tc>
          <w:tcPr>
            <w:tcW w:w="1520" w:type="dxa"/>
            <w:vAlign w:val="bottom"/>
            <w:tcBorders>
              <w:bottom w:val="single" w:sz="8" w:color="auto"/>
              <w:right w:val="single" w:sz="8" w:color="auto"/>
            </w:tcBorders>
          </w:tcPr>
          <w:p>
            <w:pPr>
              <w:spacing w:after="0"/>
              <w:rPr>
                <w:sz w:val="4"/>
                <w:szCs w:val="4"/>
                <w:color w:val="auto"/>
              </w:rPr>
            </w:pPr>
          </w:p>
        </w:tc>
        <w:tc>
          <w:tcPr>
            <w:tcW w:w="3000" w:type="dxa"/>
            <w:vAlign w:val="bottom"/>
            <w:tcBorders>
              <w:bottom w:val="single" w:sz="8" w:color="auto"/>
              <w:right w:val="single" w:sz="8" w:color="auto"/>
            </w:tcBorders>
          </w:tcPr>
          <w:p>
            <w:pPr>
              <w:spacing w:after="0"/>
              <w:rPr>
                <w:sz w:val="4"/>
                <w:szCs w:val="4"/>
                <w:color w:val="auto"/>
              </w:rPr>
            </w:pPr>
          </w:p>
        </w:tc>
        <w:tc>
          <w:tcPr>
            <w:tcW w:w="2280" w:type="dxa"/>
            <w:vAlign w:val="bottom"/>
            <w:tcBorders>
              <w:bottom w:val="single" w:sz="8" w:color="auto"/>
              <w:right w:val="single" w:sz="8" w:color="auto"/>
            </w:tcBorders>
          </w:tcPr>
          <w:p>
            <w:pPr>
              <w:spacing w:after="0"/>
              <w:rPr>
                <w:sz w:val="4"/>
                <w:szCs w:val="4"/>
                <w:color w:val="auto"/>
              </w:rPr>
            </w:pPr>
          </w:p>
        </w:tc>
        <w:tc>
          <w:tcPr>
            <w:tcW w:w="2260" w:type="dxa"/>
            <w:vAlign w:val="bottom"/>
            <w:tcBorders>
              <w:bottom w:val="single" w:sz="8" w:color="auto"/>
              <w:right w:val="single" w:sz="8" w:color="auto"/>
            </w:tcBorders>
          </w:tcPr>
          <w:p>
            <w:pPr>
              <w:spacing w:after="0"/>
              <w:rPr>
                <w:sz w:val="4"/>
                <w:szCs w:val="4"/>
                <w:color w:val="auto"/>
              </w:rPr>
            </w:pPr>
          </w:p>
        </w:tc>
      </w:tr>
      <w:tr>
        <w:trPr>
          <w:trHeight w:val="268"/>
        </w:trPr>
        <w:tc>
          <w:tcPr>
            <w:tcW w:w="22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15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30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22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w:t>
            </w:r>
          </w:p>
        </w:tc>
      </w:tr>
      <w:tr>
        <w:trPr>
          <w:trHeight w:val="50"/>
        </w:trPr>
        <w:tc>
          <w:tcPr>
            <w:tcW w:w="2200" w:type="dxa"/>
            <w:vAlign w:val="bottom"/>
            <w:tcBorders>
              <w:left w:val="single" w:sz="8" w:color="auto"/>
              <w:right w:val="single" w:sz="8" w:color="auto"/>
            </w:tcBorders>
          </w:tcPr>
          <w:p>
            <w:pPr>
              <w:spacing w:after="0"/>
              <w:rPr>
                <w:sz w:val="4"/>
                <w:szCs w:val="4"/>
                <w:color w:val="auto"/>
              </w:rPr>
            </w:pPr>
          </w:p>
        </w:tc>
        <w:tc>
          <w:tcPr>
            <w:tcW w:w="1520" w:type="dxa"/>
            <w:vAlign w:val="bottom"/>
            <w:tcBorders>
              <w:bottom w:val="single" w:sz="8" w:color="auto"/>
              <w:right w:val="single" w:sz="8" w:color="auto"/>
            </w:tcBorders>
          </w:tcPr>
          <w:p>
            <w:pPr>
              <w:spacing w:after="0"/>
              <w:rPr>
                <w:sz w:val="4"/>
                <w:szCs w:val="4"/>
                <w:color w:val="auto"/>
              </w:rPr>
            </w:pPr>
          </w:p>
        </w:tc>
        <w:tc>
          <w:tcPr>
            <w:tcW w:w="3000" w:type="dxa"/>
            <w:vAlign w:val="bottom"/>
            <w:tcBorders>
              <w:bottom w:val="single" w:sz="8" w:color="auto"/>
              <w:right w:val="single" w:sz="8" w:color="auto"/>
            </w:tcBorders>
          </w:tcPr>
          <w:p>
            <w:pPr>
              <w:spacing w:after="0"/>
              <w:rPr>
                <w:sz w:val="4"/>
                <w:szCs w:val="4"/>
                <w:color w:val="auto"/>
              </w:rPr>
            </w:pPr>
          </w:p>
        </w:tc>
        <w:tc>
          <w:tcPr>
            <w:tcW w:w="2280" w:type="dxa"/>
            <w:vAlign w:val="bottom"/>
            <w:tcBorders>
              <w:bottom w:val="single" w:sz="8" w:color="auto"/>
              <w:right w:val="single" w:sz="8" w:color="auto"/>
            </w:tcBorders>
          </w:tcPr>
          <w:p>
            <w:pPr>
              <w:spacing w:after="0"/>
              <w:rPr>
                <w:sz w:val="4"/>
                <w:szCs w:val="4"/>
                <w:color w:val="auto"/>
              </w:rPr>
            </w:pPr>
          </w:p>
        </w:tc>
        <w:tc>
          <w:tcPr>
            <w:tcW w:w="2260" w:type="dxa"/>
            <w:vAlign w:val="bottom"/>
            <w:tcBorders>
              <w:bottom w:val="single" w:sz="8" w:color="auto"/>
              <w:right w:val="single" w:sz="8" w:color="auto"/>
            </w:tcBorders>
          </w:tcPr>
          <w:p>
            <w:pPr>
              <w:spacing w:after="0"/>
              <w:rPr>
                <w:sz w:val="4"/>
                <w:szCs w:val="4"/>
                <w:color w:val="auto"/>
              </w:rPr>
            </w:pPr>
          </w:p>
        </w:tc>
      </w:tr>
      <w:tr>
        <w:trPr>
          <w:trHeight w:val="268"/>
        </w:trPr>
        <w:tc>
          <w:tcPr>
            <w:tcW w:w="2200" w:type="dxa"/>
            <w:vAlign w:val="bottom"/>
            <w:tcBorders>
              <w:left w:val="single" w:sz="8" w:color="auto"/>
              <w:right w:val="single" w:sz="8" w:color="auto"/>
            </w:tcBorders>
          </w:tcPr>
          <w:p>
            <w:pPr>
              <w:spacing w:after="0"/>
              <w:rPr>
                <w:sz w:val="23"/>
                <w:szCs w:val="23"/>
                <w:color w:val="auto"/>
              </w:rPr>
            </w:pPr>
          </w:p>
        </w:tc>
        <w:tc>
          <w:tcPr>
            <w:tcW w:w="15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30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22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w:t>
            </w:r>
          </w:p>
        </w:tc>
      </w:tr>
      <w:tr>
        <w:trPr>
          <w:trHeight w:val="50"/>
        </w:trPr>
        <w:tc>
          <w:tcPr>
            <w:tcW w:w="2200" w:type="dxa"/>
            <w:vAlign w:val="bottom"/>
            <w:tcBorders>
              <w:left w:val="single" w:sz="8" w:color="auto"/>
              <w:bottom w:val="single" w:sz="8" w:color="auto"/>
              <w:right w:val="single" w:sz="8" w:color="auto"/>
            </w:tcBorders>
          </w:tcPr>
          <w:p>
            <w:pPr>
              <w:spacing w:after="0"/>
              <w:rPr>
                <w:sz w:val="4"/>
                <w:szCs w:val="4"/>
                <w:color w:val="auto"/>
              </w:rPr>
            </w:pPr>
          </w:p>
        </w:tc>
        <w:tc>
          <w:tcPr>
            <w:tcW w:w="1520" w:type="dxa"/>
            <w:vAlign w:val="bottom"/>
            <w:tcBorders>
              <w:bottom w:val="single" w:sz="8" w:color="auto"/>
              <w:right w:val="single" w:sz="8" w:color="auto"/>
            </w:tcBorders>
          </w:tcPr>
          <w:p>
            <w:pPr>
              <w:spacing w:after="0"/>
              <w:rPr>
                <w:sz w:val="4"/>
                <w:szCs w:val="4"/>
                <w:color w:val="auto"/>
              </w:rPr>
            </w:pPr>
          </w:p>
        </w:tc>
        <w:tc>
          <w:tcPr>
            <w:tcW w:w="3000" w:type="dxa"/>
            <w:vAlign w:val="bottom"/>
            <w:tcBorders>
              <w:bottom w:val="single" w:sz="8" w:color="auto"/>
              <w:right w:val="single" w:sz="8" w:color="auto"/>
            </w:tcBorders>
          </w:tcPr>
          <w:p>
            <w:pPr>
              <w:spacing w:after="0"/>
              <w:rPr>
                <w:sz w:val="4"/>
                <w:szCs w:val="4"/>
                <w:color w:val="auto"/>
              </w:rPr>
            </w:pPr>
          </w:p>
        </w:tc>
        <w:tc>
          <w:tcPr>
            <w:tcW w:w="2280" w:type="dxa"/>
            <w:vAlign w:val="bottom"/>
            <w:tcBorders>
              <w:bottom w:val="single" w:sz="8" w:color="auto"/>
              <w:right w:val="single" w:sz="8" w:color="auto"/>
            </w:tcBorders>
          </w:tcPr>
          <w:p>
            <w:pPr>
              <w:spacing w:after="0"/>
              <w:rPr>
                <w:sz w:val="4"/>
                <w:szCs w:val="4"/>
                <w:color w:val="auto"/>
              </w:rPr>
            </w:pPr>
          </w:p>
        </w:tc>
        <w:tc>
          <w:tcPr>
            <w:tcW w:w="2260" w:type="dxa"/>
            <w:vAlign w:val="bottom"/>
            <w:tcBorders>
              <w:bottom w:val="single" w:sz="8" w:color="auto"/>
              <w:right w:val="single" w:sz="8" w:color="auto"/>
            </w:tcBorders>
          </w:tcPr>
          <w:p>
            <w:pPr>
              <w:spacing w:after="0"/>
              <w:rPr>
                <w:sz w:val="4"/>
                <w:szCs w:val="4"/>
                <w:color w:val="auto"/>
              </w:rPr>
            </w:pPr>
          </w:p>
        </w:tc>
      </w:tr>
      <w:tr>
        <w:trPr>
          <w:trHeight w:val="268"/>
        </w:trPr>
        <w:tc>
          <w:tcPr>
            <w:tcW w:w="22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15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30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22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w:t>
            </w:r>
          </w:p>
        </w:tc>
      </w:tr>
      <w:tr>
        <w:trPr>
          <w:trHeight w:val="50"/>
        </w:trPr>
        <w:tc>
          <w:tcPr>
            <w:tcW w:w="2200" w:type="dxa"/>
            <w:vAlign w:val="bottom"/>
            <w:tcBorders>
              <w:left w:val="single" w:sz="8" w:color="auto"/>
              <w:bottom w:val="single" w:sz="8" w:color="auto"/>
              <w:right w:val="single" w:sz="8" w:color="auto"/>
            </w:tcBorders>
          </w:tcPr>
          <w:p>
            <w:pPr>
              <w:spacing w:after="0"/>
              <w:rPr>
                <w:sz w:val="4"/>
                <w:szCs w:val="4"/>
                <w:color w:val="auto"/>
              </w:rPr>
            </w:pPr>
          </w:p>
        </w:tc>
        <w:tc>
          <w:tcPr>
            <w:tcW w:w="1520" w:type="dxa"/>
            <w:vAlign w:val="bottom"/>
            <w:tcBorders>
              <w:bottom w:val="single" w:sz="8" w:color="auto"/>
              <w:right w:val="single" w:sz="8" w:color="auto"/>
            </w:tcBorders>
          </w:tcPr>
          <w:p>
            <w:pPr>
              <w:spacing w:after="0"/>
              <w:rPr>
                <w:sz w:val="4"/>
                <w:szCs w:val="4"/>
                <w:color w:val="auto"/>
              </w:rPr>
            </w:pPr>
          </w:p>
        </w:tc>
        <w:tc>
          <w:tcPr>
            <w:tcW w:w="3000" w:type="dxa"/>
            <w:vAlign w:val="bottom"/>
            <w:tcBorders>
              <w:bottom w:val="single" w:sz="8" w:color="auto"/>
              <w:right w:val="single" w:sz="8" w:color="auto"/>
            </w:tcBorders>
          </w:tcPr>
          <w:p>
            <w:pPr>
              <w:spacing w:after="0"/>
              <w:rPr>
                <w:sz w:val="4"/>
                <w:szCs w:val="4"/>
                <w:color w:val="auto"/>
              </w:rPr>
            </w:pPr>
          </w:p>
        </w:tc>
        <w:tc>
          <w:tcPr>
            <w:tcW w:w="2280" w:type="dxa"/>
            <w:vAlign w:val="bottom"/>
            <w:tcBorders>
              <w:bottom w:val="single" w:sz="8" w:color="auto"/>
              <w:right w:val="single" w:sz="8" w:color="auto"/>
            </w:tcBorders>
          </w:tcPr>
          <w:p>
            <w:pPr>
              <w:spacing w:after="0"/>
              <w:rPr>
                <w:sz w:val="4"/>
                <w:szCs w:val="4"/>
                <w:color w:val="auto"/>
              </w:rPr>
            </w:pPr>
          </w:p>
        </w:tc>
        <w:tc>
          <w:tcPr>
            <w:tcW w:w="2260" w:type="dxa"/>
            <w:vAlign w:val="bottom"/>
            <w:tcBorders>
              <w:bottom w:val="single" w:sz="8" w:color="auto"/>
              <w:right w:val="single" w:sz="8" w:color="auto"/>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737235</wp:posOffset>
            </wp:positionV>
            <wp:extent cx="713232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tabs>
          <w:tab w:leader="none" w:pos="4980" w:val="left"/>
        </w:tabs>
        <w:rPr>
          <w:sz w:val="20"/>
          <w:szCs w:val="20"/>
          <w:color w:val="auto"/>
        </w:rPr>
      </w:pPr>
      <w:r>
        <w:rPr>
          <w:rFonts w:ascii="Arial" w:cs="Arial" w:eastAsia="Arial" w:hAnsi="Arial"/>
          <w:sz w:val="20"/>
          <w:szCs w:val="20"/>
          <w:color w:val="auto"/>
        </w:rPr>
        <w:t>Production Pricing Agreement (Standard), ver. January 2021</w:t>
      </w:r>
      <w:r>
        <w:rPr>
          <w:sz w:val="20"/>
          <w:szCs w:val="20"/>
          <w:color w:val="auto"/>
        </w:rPr>
        <w:tab/>
      </w:r>
      <w:r>
        <w:rPr>
          <w:rFonts w:ascii="Arial" w:cs="Arial" w:eastAsia="Arial" w:hAnsi="Arial"/>
          <w:sz w:val="16"/>
          <w:szCs w:val="16"/>
          <w:color w:val="auto"/>
        </w:rPr>
        <w:t xml:space="preserve">Page </w:t>
      </w:r>
      <w:r>
        <w:rPr>
          <w:rFonts w:ascii="Arial" w:cs="Arial" w:eastAsia="Arial" w:hAnsi="Arial"/>
          <w:sz w:val="16"/>
          <w:szCs w:val="16"/>
          <w:b w:val="1"/>
          <w:bCs w:val="1"/>
          <w:color w:val="auto"/>
        </w:rPr>
        <w:t>9</w:t>
      </w:r>
      <w:r>
        <w:rPr>
          <w:rFonts w:ascii="Arial" w:cs="Arial" w:eastAsia="Arial" w:hAnsi="Arial"/>
          <w:sz w:val="16"/>
          <w:szCs w:val="16"/>
          <w:color w:val="auto"/>
        </w:rPr>
        <w:t xml:space="preserve"> of </w:t>
      </w:r>
      <w:r>
        <w:rPr>
          <w:rFonts w:ascii="Arial" w:cs="Arial" w:eastAsia="Arial" w:hAnsi="Arial"/>
          <w:sz w:val="16"/>
          <w:szCs w:val="16"/>
          <w:b w:val="1"/>
          <w:bCs w:val="1"/>
          <w:color w:val="auto"/>
        </w:rPr>
        <w:t>9</w:t>
      </w:r>
    </w:p>
    <w:p>
      <w:pPr>
        <w:sectPr>
          <w:pgSz w:w="11900" w:h="16838" w:orient="portrait"/>
          <w:cols w:equalWidth="0" w:num="1">
            <w:col w:w="11260"/>
          </w:cols>
          <w:pgMar w:left="320" w:top="1399" w:right="319" w:bottom="1440" w:gutter="0" w:footer="0" w:header="0"/>
        </w:sectPr>
      </w:pPr>
    </w:p>
    <w:bookmarkStart w:id="167" w:name="page168"/>
    <w:bookmarkEnd w:id="167"/>
    <w:p>
      <w:pPr>
        <w:ind w:left="10120"/>
        <w:spacing w:after="0"/>
        <w:rPr>
          <w:sz w:val="20"/>
          <w:szCs w:val="20"/>
          <w:color w:val="auto"/>
        </w:rPr>
      </w:pPr>
      <w:r>
        <w:rPr>
          <w:rFonts w:ascii="Arial" w:cs="Arial" w:eastAsia="Arial" w:hAnsi="Arial"/>
          <w:sz w:val="18"/>
          <w:szCs w:val="18"/>
          <w:b w:val="1"/>
          <w:bCs w:val="1"/>
          <w:color w:val="auto"/>
        </w:rPr>
        <w:t>Exhibit 10.36</w:t>
      </w:r>
    </w:p>
    <w:p>
      <w:pPr>
        <w:spacing w:after="0" w:line="239" w:lineRule="exact"/>
        <w:rPr>
          <w:sz w:val="20"/>
          <w:szCs w:val="20"/>
          <w:color w:val="auto"/>
        </w:rPr>
      </w:pPr>
    </w:p>
    <w:p>
      <w:pPr>
        <w:ind w:right="220"/>
        <w:spacing w:after="0" w:line="269" w:lineRule="auto"/>
        <w:rPr>
          <w:sz w:val="20"/>
          <w:szCs w:val="20"/>
          <w:color w:val="auto"/>
        </w:rPr>
      </w:pPr>
      <w:r>
        <w:rPr>
          <w:rFonts w:ascii="Arial" w:cs="Arial" w:eastAsia="Arial" w:hAnsi="Arial"/>
          <w:sz w:val="16"/>
          <w:szCs w:val="16"/>
          <w:b w:val="1"/>
          <w:bCs w:val="1"/>
          <w:color w:val="auto"/>
        </w:rPr>
        <w:t>Certain identified information has been omitted from this document because it is not material and is the type that the Company customarily and actually treats as private or confidential, and has been marked with “[***]” to indicate where omissions have been</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made.</w:t>
      </w:r>
    </w:p>
    <w:p>
      <w:pPr>
        <w:spacing w:after="0" w:line="175"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3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780" w:type="dxa"/>
            <w:vAlign w:val="bottom"/>
            <w:gridSpan w:val="3"/>
          </w:tcPr>
          <w:p>
            <w:pPr>
              <w:spacing w:after="0"/>
              <w:rPr>
                <w:sz w:val="20"/>
                <w:szCs w:val="20"/>
                <w:color w:val="auto"/>
              </w:rPr>
            </w:pPr>
            <w:r>
              <w:rPr>
                <w:rFonts w:ascii="Arial" w:cs="Arial" w:eastAsia="Arial" w:hAnsi="Arial"/>
                <w:sz w:val="20"/>
                <w:szCs w:val="20"/>
                <w:b w:val="1"/>
                <w:bCs w:val="1"/>
                <w:color w:val="auto"/>
              </w:rPr>
              <w:t>Production Pricing Agreement</w:t>
            </w:r>
          </w:p>
        </w:tc>
        <w:tc>
          <w:tcPr>
            <w:tcW w:w="20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77"/>
        </w:trPr>
        <w:tc>
          <w:tcPr>
            <w:tcW w:w="3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32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200" w:type="dxa"/>
            <w:vAlign w:val="bottom"/>
          </w:tcPr>
          <w:p>
            <w:pPr>
              <w:spacing w:after="0"/>
              <w:rPr>
                <w:sz w:val="24"/>
                <w:szCs w:val="24"/>
                <w:color w:val="auto"/>
              </w:rPr>
            </w:pPr>
          </w:p>
        </w:tc>
        <w:tc>
          <w:tcPr>
            <w:tcW w:w="3140" w:type="dxa"/>
            <w:vAlign w:val="bottom"/>
            <w:gridSpan w:val="3"/>
          </w:tcPr>
          <w:p>
            <w:pPr>
              <w:ind w:left="820"/>
              <w:spacing w:after="0"/>
              <w:rPr>
                <w:sz w:val="20"/>
                <w:szCs w:val="20"/>
                <w:color w:val="auto"/>
              </w:rPr>
            </w:pPr>
            <w:r>
              <w:rPr>
                <w:rFonts w:ascii="Arial" w:cs="Arial" w:eastAsia="Arial" w:hAnsi="Arial"/>
                <w:sz w:val="20"/>
                <w:szCs w:val="20"/>
                <w:b w:val="1"/>
                <w:bCs w:val="1"/>
                <w:color w:val="auto"/>
                <w:w w:val="98"/>
              </w:rPr>
              <w:t>Effective Date</w:t>
            </w:r>
            <w:r>
              <w:rPr>
                <w:rFonts w:ascii="Arial" w:cs="Arial" w:eastAsia="Arial" w:hAnsi="Arial"/>
                <w:sz w:val="20"/>
                <w:szCs w:val="20"/>
                <w:color w:val="auto"/>
                <w:w w:val="98"/>
              </w:rPr>
              <w:t>: 12/1/2022</w:t>
            </w:r>
          </w:p>
        </w:tc>
      </w:tr>
      <w:tr>
        <w:trPr>
          <w:trHeight w:val="34"/>
        </w:trPr>
        <w:tc>
          <w:tcPr>
            <w:tcW w:w="3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gridSpan w:val="2"/>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840" w:type="dxa"/>
            <w:vAlign w:val="bottom"/>
            <w:tcBorders>
              <w:top w:val="single" w:sz="8" w:color="auto"/>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r>
      <w:tr>
        <w:trPr>
          <w:trHeight w:val="295"/>
        </w:trPr>
        <w:tc>
          <w:tcPr>
            <w:tcW w:w="31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b w:val="1"/>
                <w:bCs w:val="1"/>
                <w:color w:val="auto"/>
              </w:rPr>
              <w:t>Seller Name</w:t>
            </w:r>
          </w:p>
        </w:tc>
        <w:tc>
          <w:tcPr>
            <w:tcW w:w="4960" w:type="dxa"/>
            <w:vAlign w:val="bottom"/>
            <w:gridSpan w:val="5"/>
          </w:tcPr>
          <w:p>
            <w:pPr>
              <w:ind w:left="20"/>
              <w:spacing w:after="0"/>
              <w:rPr>
                <w:sz w:val="20"/>
                <w:szCs w:val="20"/>
                <w:color w:val="auto"/>
              </w:rPr>
            </w:pPr>
            <w:r>
              <w:rPr>
                <w:rFonts w:ascii="Arial" w:cs="Arial" w:eastAsia="Arial" w:hAnsi="Arial"/>
                <w:sz w:val="20"/>
                <w:szCs w:val="20"/>
                <w:color w:val="auto"/>
                <w:w w:val="92"/>
              </w:rPr>
              <w:t>Panasonic Energy Corporation of North America ("PECNA”)</w:t>
            </w:r>
          </w:p>
        </w:tc>
        <w:tc>
          <w:tcPr>
            <w:tcW w:w="20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r>
      <w:tr>
        <w:trPr>
          <w:trHeight w:val="63"/>
        </w:trPr>
        <w:tc>
          <w:tcPr>
            <w:tcW w:w="3160" w:type="dxa"/>
            <w:vAlign w:val="bottom"/>
            <w:tcBorders>
              <w:left w:val="single" w:sz="8" w:color="auto"/>
              <w:bottom w:val="single" w:sz="8" w:color="auto"/>
              <w:right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2900" w:type="dxa"/>
            <w:vAlign w:val="bottom"/>
            <w:tcBorders>
              <w:bottom w:val="single" w:sz="8" w:color="auto"/>
            </w:tcBorders>
            <w:gridSpan w:val="2"/>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20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220" w:type="dxa"/>
            <w:vAlign w:val="bottom"/>
            <w:tcBorders>
              <w:bottom w:val="single" w:sz="8" w:color="auto"/>
              <w:right w:val="single" w:sz="8" w:color="auto"/>
            </w:tcBorders>
          </w:tcPr>
          <w:p>
            <w:pPr>
              <w:spacing w:after="0"/>
              <w:rPr>
                <w:sz w:val="5"/>
                <w:szCs w:val="5"/>
                <w:color w:val="auto"/>
              </w:rPr>
            </w:pPr>
          </w:p>
        </w:tc>
      </w:tr>
      <w:tr>
        <w:trPr>
          <w:trHeight w:val="268"/>
        </w:trPr>
        <w:tc>
          <w:tcPr>
            <w:tcW w:w="31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Address</w:t>
            </w:r>
          </w:p>
        </w:tc>
        <w:tc>
          <w:tcPr>
            <w:tcW w:w="3500" w:type="dxa"/>
            <w:vAlign w:val="bottom"/>
            <w:gridSpan w:val="3"/>
          </w:tcPr>
          <w:p>
            <w:pPr>
              <w:ind w:left="20"/>
              <w:spacing w:after="0"/>
              <w:rPr>
                <w:sz w:val="20"/>
                <w:szCs w:val="20"/>
                <w:color w:val="auto"/>
              </w:rPr>
            </w:pPr>
            <w:r>
              <w:rPr>
                <w:rFonts w:ascii="Arial" w:cs="Arial" w:eastAsia="Arial" w:hAnsi="Arial"/>
                <w:sz w:val="20"/>
                <w:szCs w:val="20"/>
                <w:color w:val="auto"/>
              </w:rPr>
              <w:t>1 Electric Avenue, Sparks, NV, 89437</w:t>
            </w:r>
          </w:p>
        </w:tc>
        <w:tc>
          <w:tcPr>
            <w:tcW w:w="2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20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20" w:type="dxa"/>
            <w:vAlign w:val="bottom"/>
            <w:tcBorders>
              <w:right w:val="single" w:sz="8" w:color="auto"/>
            </w:tcBorders>
          </w:tcPr>
          <w:p>
            <w:pPr>
              <w:spacing w:after="0"/>
              <w:rPr>
                <w:sz w:val="23"/>
                <w:szCs w:val="23"/>
                <w:color w:val="auto"/>
              </w:rPr>
            </w:pPr>
          </w:p>
        </w:tc>
      </w:tr>
      <w:tr>
        <w:trPr>
          <w:trHeight w:val="50"/>
        </w:trPr>
        <w:tc>
          <w:tcPr>
            <w:tcW w:w="3160" w:type="dxa"/>
            <w:vAlign w:val="bottom"/>
            <w:tcBorders>
              <w:left w:val="single" w:sz="8" w:color="auto"/>
              <w:bottom w:val="single" w:sz="8" w:color="auto"/>
              <w:right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2900" w:type="dxa"/>
            <w:vAlign w:val="bottom"/>
            <w:tcBorders>
              <w:bottom w:val="single" w:sz="8" w:color="auto"/>
            </w:tcBorders>
            <w:gridSpan w:val="2"/>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208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r>
      <w:tr>
        <w:trPr>
          <w:trHeight w:val="268"/>
        </w:trPr>
        <w:tc>
          <w:tcPr>
            <w:tcW w:w="31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Place of Incorporation</w:t>
            </w:r>
          </w:p>
        </w:tc>
        <w:tc>
          <w:tcPr>
            <w:tcW w:w="3500" w:type="dxa"/>
            <w:vAlign w:val="bottom"/>
            <w:gridSpan w:val="3"/>
          </w:tcPr>
          <w:p>
            <w:pPr>
              <w:ind w:left="20"/>
              <w:spacing w:after="0"/>
              <w:rPr>
                <w:sz w:val="20"/>
                <w:szCs w:val="20"/>
                <w:color w:val="auto"/>
              </w:rPr>
            </w:pPr>
            <w:r>
              <w:rPr>
                <w:rFonts w:ascii="Arial" w:cs="Arial" w:eastAsia="Arial" w:hAnsi="Arial"/>
                <w:sz w:val="20"/>
                <w:szCs w:val="20"/>
                <w:color w:val="auto"/>
              </w:rPr>
              <w:t>Delaware</w:t>
            </w:r>
          </w:p>
        </w:tc>
        <w:tc>
          <w:tcPr>
            <w:tcW w:w="2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20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20" w:type="dxa"/>
            <w:vAlign w:val="bottom"/>
            <w:tcBorders>
              <w:right w:val="single" w:sz="8" w:color="auto"/>
            </w:tcBorders>
          </w:tcPr>
          <w:p>
            <w:pPr>
              <w:spacing w:after="0"/>
              <w:rPr>
                <w:sz w:val="23"/>
                <w:szCs w:val="23"/>
                <w:color w:val="auto"/>
              </w:rPr>
            </w:pPr>
          </w:p>
        </w:tc>
      </w:tr>
      <w:tr>
        <w:trPr>
          <w:trHeight w:val="50"/>
        </w:trPr>
        <w:tc>
          <w:tcPr>
            <w:tcW w:w="3160" w:type="dxa"/>
            <w:vAlign w:val="bottom"/>
            <w:tcBorders>
              <w:left w:val="single" w:sz="8" w:color="auto"/>
              <w:bottom w:val="single" w:sz="8" w:color="auto"/>
              <w:right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2900" w:type="dxa"/>
            <w:vAlign w:val="bottom"/>
            <w:tcBorders>
              <w:bottom w:val="single" w:sz="8" w:color="auto"/>
            </w:tcBorders>
            <w:gridSpan w:val="2"/>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208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r>
      <w:tr>
        <w:trPr>
          <w:trHeight w:val="250"/>
        </w:trPr>
        <w:tc>
          <w:tcPr>
            <w:tcW w:w="316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23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20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r>
      <w:tr>
        <w:trPr>
          <w:trHeight w:val="268"/>
        </w:trPr>
        <w:tc>
          <w:tcPr>
            <w:tcW w:w="31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Commodity Description</w:t>
            </w:r>
          </w:p>
        </w:tc>
        <w:tc>
          <w:tcPr>
            <w:tcW w:w="3500" w:type="dxa"/>
            <w:vAlign w:val="bottom"/>
            <w:gridSpan w:val="3"/>
          </w:tcPr>
          <w:p>
            <w:pPr>
              <w:ind w:left="20"/>
              <w:spacing w:after="0"/>
              <w:rPr>
                <w:sz w:val="20"/>
                <w:szCs w:val="20"/>
                <w:color w:val="auto"/>
              </w:rPr>
            </w:pPr>
            <w:r>
              <w:rPr>
                <w:rFonts w:ascii="Arial" w:cs="Arial" w:eastAsia="Arial" w:hAnsi="Arial"/>
                <w:sz w:val="20"/>
                <w:szCs w:val="20"/>
                <w:color w:val="auto"/>
              </w:rPr>
              <w:t>Battery Cells</w:t>
            </w:r>
          </w:p>
        </w:tc>
        <w:tc>
          <w:tcPr>
            <w:tcW w:w="2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20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20" w:type="dxa"/>
            <w:vAlign w:val="bottom"/>
            <w:tcBorders>
              <w:right w:val="single" w:sz="8" w:color="auto"/>
            </w:tcBorders>
          </w:tcPr>
          <w:p>
            <w:pPr>
              <w:spacing w:after="0"/>
              <w:rPr>
                <w:sz w:val="23"/>
                <w:szCs w:val="23"/>
                <w:color w:val="auto"/>
              </w:rPr>
            </w:pPr>
          </w:p>
        </w:tc>
      </w:tr>
      <w:tr>
        <w:trPr>
          <w:trHeight w:val="50"/>
        </w:trPr>
        <w:tc>
          <w:tcPr>
            <w:tcW w:w="3160" w:type="dxa"/>
            <w:vAlign w:val="bottom"/>
            <w:tcBorders>
              <w:left w:val="single" w:sz="8" w:color="auto"/>
              <w:bottom w:val="single" w:sz="8" w:color="auto"/>
              <w:right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2900" w:type="dxa"/>
            <w:vAlign w:val="bottom"/>
            <w:tcBorders>
              <w:bottom w:val="single" w:sz="8" w:color="auto"/>
            </w:tcBorders>
            <w:gridSpan w:val="2"/>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208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r>
      <w:tr>
        <w:trPr>
          <w:trHeight w:val="268"/>
        </w:trPr>
        <w:tc>
          <w:tcPr>
            <w:tcW w:w="31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Tier 1 or Tier 2</w:t>
            </w:r>
          </w:p>
        </w:tc>
        <w:tc>
          <w:tcPr>
            <w:tcW w:w="3500" w:type="dxa"/>
            <w:vAlign w:val="bottom"/>
            <w:gridSpan w:val="3"/>
          </w:tcPr>
          <w:p>
            <w:pPr>
              <w:ind w:left="20"/>
              <w:spacing w:after="0"/>
              <w:rPr>
                <w:sz w:val="20"/>
                <w:szCs w:val="20"/>
                <w:color w:val="auto"/>
              </w:rPr>
            </w:pPr>
            <w:r>
              <w:rPr>
                <w:rFonts w:ascii="Arial" w:cs="Arial" w:eastAsia="Arial" w:hAnsi="Arial"/>
                <w:sz w:val="20"/>
                <w:szCs w:val="20"/>
                <w:color w:val="auto"/>
              </w:rPr>
              <w:t>Tier 1</w:t>
            </w:r>
          </w:p>
        </w:tc>
        <w:tc>
          <w:tcPr>
            <w:tcW w:w="2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20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20" w:type="dxa"/>
            <w:vAlign w:val="bottom"/>
            <w:tcBorders>
              <w:right w:val="single" w:sz="8" w:color="auto"/>
            </w:tcBorders>
          </w:tcPr>
          <w:p>
            <w:pPr>
              <w:spacing w:after="0"/>
              <w:rPr>
                <w:sz w:val="23"/>
                <w:szCs w:val="23"/>
                <w:color w:val="auto"/>
              </w:rPr>
            </w:pPr>
          </w:p>
        </w:tc>
      </w:tr>
      <w:tr>
        <w:trPr>
          <w:trHeight w:val="50"/>
        </w:trPr>
        <w:tc>
          <w:tcPr>
            <w:tcW w:w="3160" w:type="dxa"/>
            <w:vAlign w:val="bottom"/>
            <w:tcBorders>
              <w:left w:val="single" w:sz="8" w:color="auto"/>
              <w:bottom w:val="single" w:sz="8" w:color="auto"/>
              <w:right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2900" w:type="dxa"/>
            <w:vAlign w:val="bottom"/>
            <w:tcBorders>
              <w:bottom w:val="single" w:sz="8" w:color="auto"/>
            </w:tcBorders>
            <w:gridSpan w:val="2"/>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208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r>
      <w:tr>
        <w:trPr>
          <w:trHeight w:val="268"/>
        </w:trPr>
        <w:tc>
          <w:tcPr>
            <w:tcW w:w="31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Supplier Shipping Site Code</w:t>
            </w:r>
          </w:p>
        </w:tc>
        <w:tc>
          <w:tcPr>
            <w:tcW w:w="3500" w:type="dxa"/>
            <w:vAlign w:val="bottom"/>
            <w:gridSpan w:val="3"/>
          </w:tcPr>
          <w:p>
            <w:pPr>
              <w:ind w:left="20"/>
              <w:spacing w:after="0"/>
              <w:rPr>
                <w:sz w:val="20"/>
                <w:szCs w:val="20"/>
                <w:color w:val="auto"/>
              </w:rPr>
            </w:pPr>
            <w:r>
              <w:rPr>
                <w:rFonts w:ascii="Arial" w:cs="Arial" w:eastAsia="Arial" w:hAnsi="Arial"/>
                <w:sz w:val="20"/>
                <w:szCs w:val="20"/>
                <w:color w:val="auto"/>
              </w:rPr>
              <w:t>To be created</w:t>
            </w:r>
          </w:p>
        </w:tc>
        <w:tc>
          <w:tcPr>
            <w:tcW w:w="2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20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20" w:type="dxa"/>
            <w:vAlign w:val="bottom"/>
            <w:tcBorders>
              <w:right w:val="single" w:sz="8" w:color="auto"/>
            </w:tcBorders>
          </w:tcPr>
          <w:p>
            <w:pPr>
              <w:spacing w:after="0"/>
              <w:rPr>
                <w:sz w:val="23"/>
                <w:szCs w:val="23"/>
                <w:color w:val="auto"/>
              </w:rPr>
            </w:pPr>
          </w:p>
        </w:tc>
      </w:tr>
      <w:tr>
        <w:trPr>
          <w:trHeight w:val="50"/>
        </w:trPr>
        <w:tc>
          <w:tcPr>
            <w:tcW w:w="3160" w:type="dxa"/>
            <w:vAlign w:val="bottom"/>
            <w:tcBorders>
              <w:left w:val="single" w:sz="8" w:color="auto"/>
              <w:bottom w:val="single" w:sz="8" w:color="auto"/>
              <w:right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2900" w:type="dxa"/>
            <w:vAlign w:val="bottom"/>
            <w:tcBorders>
              <w:bottom w:val="single" w:sz="8" w:color="auto"/>
            </w:tcBorders>
            <w:gridSpan w:val="2"/>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208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r>
      <w:tr>
        <w:trPr>
          <w:trHeight w:val="268"/>
        </w:trPr>
        <w:tc>
          <w:tcPr>
            <w:tcW w:w="31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Incoterms</w:t>
            </w:r>
          </w:p>
        </w:tc>
        <w:tc>
          <w:tcPr>
            <w:tcW w:w="3500" w:type="dxa"/>
            <w:vAlign w:val="bottom"/>
            <w:gridSpan w:val="3"/>
          </w:tcPr>
          <w:p>
            <w:pPr>
              <w:ind w:left="20"/>
              <w:spacing w:after="0"/>
              <w:rPr>
                <w:sz w:val="20"/>
                <w:szCs w:val="20"/>
                <w:color w:val="auto"/>
              </w:rPr>
            </w:pPr>
            <w:r>
              <w:rPr>
                <w:rFonts w:ascii="Arial" w:cs="Arial" w:eastAsia="Arial" w:hAnsi="Arial"/>
                <w:sz w:val="20"/>
                <w:szCs w:val="20"/>
                <w:color w:val="auto"/>
              </w:rPr>
              <w:t>FCA (Incoterms 2010)</w:t>
            </w:r>
          </w:p>
        </w:tc>
        <w:tc>
          <w:tcPr>
            <w:tcW w:w="2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20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20" w:type="dxa"/>
            <w:vAlign w:val="bottom"/>
            <w:tcBorders>
              <w:right w:val="single" w:sz="8" w:color="auto"/>
            </w:tcBorders>
          </w:tcPr>
          <w:p>
            <w:pPr>
              <w:spacing w:after="0"/>
              <w:rPr>
                <w:sz w:val="23"/>
                <w:szCs w:val="23"/>
                <w:color w:val="auto"/>
              </w:rPr>
            </w:pPr>
          </w:p>
        </w:tc>
      </w:tr>
      <w:tr>
        <w:trPr>
          <w:trHeight w:val="50"/>
        </w:trPr>
        <w:tc>
          <w:tcPr>
            <w:tcW w:w="3160" w:type="dxa"/>
            <w:vAlign w:val="bottom"/>
            <w:tcBorders>
              <w:left w:val="single" w:sz="8" w:color="auto"/>
              <w:bottom w:val="single" w:sz="8" w:color="auto"/>
              <w:right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2900" w:type="dxa"/>
            <w:vAlign w:val="bottom"/>
            <w:tcBorders>
              <w:bottom w:val="single" w:sz="8" w:color="auto"/>
            </w:tcBorders>
            <w:gridSpan w:val="2"/>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208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r>
      <w:tr>
        <w:trPr>
          <w:trHeight w:val="268"/>
        </w:trPr>
        <w:tc>
          <w:tcPr>
            <w:tcW w:w="31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Manufacturing address</w:t>
            </w:r>
          </w:p>
        </w:tc>
        <w:tc>
          <w:tcPr>
            <w:tcW w:w="3500" w:type="dxa"/>
            <w:vAlign w:val="bottom"/>
            <w:gridSpan w:val="3"/>
          </w:tcPr>
          <w:p>
            <w:pPr>
              <w:ind w:left="20"/>
              <w:spacing w:after="0"/>
              <w:rPr>
                <w:sz w:val="20"/>
                <w:szCs w:val="20"/>
                <w:color w:val="auto"/>
              </w:rPr>
            </w:pPr>
            <w:r>
              <w:rPr>
                <w:rFonts w:ascii="Arial" w:cs="Arial" w:eastAsia="Arial" w:hAnsi="Arial"/>
                <w:sz w:val="20"/>
                <w:szCs w:val="20"/>
                <w:color w:val="auto"/>
              </w:rPr>
              <w:t>De Soto, KS</w:t>
            </w:r>
          </w:p>
        </w:tc>
        <w:tc>
          <w:tcPr>
            <w:tcW w:w="2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20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20" w:type="dxa"/>
            <w:vAlign w:val="bottom"/>
            <w:tcBorders>
              <w:right w:val="single" w:sz="8" w:color="auto"/>
            </w:tcBorders>
          </w:tcPr>
          <w:p>
            <w:pPr>
              <w:spacing w:after="0"/>
              <w:rPr>
                <w:sz w:val="23"/>
                <w:szCs w:val="23"/>
                <w:color w:val="auto"/>
              </w:rPr>
            </w:pPr>
          </w:p>
        </w:tc>
      </w:tr>
      <w:tr>
        <w:trPr>
          <w:trHeight w:val="50"/>
        </w:trPr>
        <w:tc>
          <w:tcPr>
            <w:tcW w:w="3160" w:type="dxa"/>
            <w:vAlign w:val="bottom"/>
            <w:tcBorders>
              <w:left w:val="single" w:sz="8" w:color="auto"/>
              <w:bottom w:val="single" w:sz="8" w:color="auto"/>
              <w:right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2900" w:type="dxa"/>
            <w:vAlign w:val="bottom"/>
            <w:tcBorders>
              <w:bottom w:val="single" w:sz="8" w:color="auto"/>
            </w:tcBorders>
            <w:gridSpan w:val="2"/>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208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r>
      <w:tr>
        <w:trPr>
          <w:trHeight w:val="268"/>
        </w:trPr>
        <w:tc>
          <w:tcPr>
            <w:tcW w:w="31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Ship from address</w:t>
            </w:r>
          </w:p>
        </w:tc>
        <w:tc>
          <w:tcPr>
            <w:tcW w:w="3500" w:type="dxa"/>
            <w:vAlign w:val="bottom"/>
            <w:gridSpan w:val="3"/>
          </w:tcPr>
          <w:p>
            <w:pPr>
              <w:ind w:left="20"/>
              <w:spacing w:after="0"/>
              <w:rPr>
                <w:sz w:val="20"/>
                <w:szCs w:val="20"/>
                <w:color w:val="auto"/>
              </w:rPr>
            </w:pPr>
            <w:r>
              <w:rPr>
                <w:rFonts w:ascii="Arial" w:cs="Arial" w:eastAsia="Arial" w:hAnsi="Arial"/>
                <w:sz w:val="20"/>
                <w:szCs w:val="20"/>
                <w:color w:val="auto"/>
                <w:w w:val="89"/>
              </w:rPr>
              <w:t>[To be provided by Panasonic by Jan 2024]</w:t>
            </w:r>
          </w:p>
        </w:tc>
        <w:tc>
          <w:tcPr>
            <w:tcW w:w="2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20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20" w:type="dxa"/>
            <w:vAlign w:val="bottom"/>
            <w:tcBorders>
              <w:right w:val="single" w:sz="8" w:color="auto"/>
            </w:tcBorders>
          </w:tcPr>
          <w:p>
            <w:pPr>
              <w:spacing w:after="0"/>
              <w:rPr>
                <w:sz w:val="23"/>
                <w:szCs w:val="23"/>
                <w:color w:val="auto"/>
              </w:rPr>
            </w:pPr>
          </w:p>
        </w:tc>
      </w:tr>
      <w:tr>
        <w:trPr>
          <w:trHeight w:val="50"/>
        </w:trPr>
        <w:tc>
          <w:tcPr>
            <w:tcW w:w="3160" w:type="dxa"/>
            <w:vAlign w:val="bottom"/>
            <w:tcBorders>
              <w:left w:val="single" w:sz="8" w:color="auto"/>
              <w:bottom w:val="single" w:sz="8" w:color="auto"/>
              <w:right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2900" w:type="dxa"/>
            <w:vAlign w:val="bottom"/>
            <w:tcBorders>
              <w:bottom w:val="single" w:sz="8" w:color="auto"/>
            </w:tcBorders>
            <w:gridSpan w:val="2"/>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208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r>
      <w:tr>
        <w:trPr>
          <w:trHeight w:val="250"/>
        </w:trPr>
        <w:tc>
          <w:tcPr>
            <w:tcW w:w="316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23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20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r>
      <w:tr>
        <w:trPr>
          <w:trHeight w:val="268"/>
        </w:trPr>
        <w:tc>
          <w:tcPr>
            <w:tcW w:w="31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b w:val="1"/>
                <w:bCs w:val="1"/>
                <w:color w:val="auto"/>
              </w:rPr>
              <w:t>Delivery Location</w:t>
            </w:r>
          </w:p>
        </w:tc>
        <w:tc>
          <w:tcPr>
            <w:tcW w:w="3500" w:type="dxa"/>
            <w:vAlign w:val="bottom"/>
            <w:gridSpan w:val="3"/>
          </w:tcPr>
          <w:p>
            <w:pPr>
              <w:ind w:left="20"/>
              <w:spacing w:after="0"/>
              <w:rPr>
                <w:sz w:val="20"/>
                <w:szCs w:val="20"/>
                <w:color w:val="auto"/>
              </w:rPr>
            </w:pPr>
            <w:r>
              <w:rPr>
                <w:rFonts w:ascii="Arial" w:cs="Arial" w:eastAsia="Arial" w:hAnsi="Arial"/>
                <w:sz w:val="20"/>
                <w:szCs w:val="20"/>
                <w:color w:val="auto"/>
              </w:rPr>
              <w:t>Lucid USA, Inc.</w:t>
            </w:r>
          </w:p>
        </w:tc>
        <w:tc>
          <w:tcPr>
            <w:tcW w:w="2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20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20" w:type="dxa"/>
            <w:vAlign w:val="bottom"/>
            <w:tcBorders>
              <w:right w:val="single" w:sz="8" w:color="auto"/>
            </w:tcBorders>
          </w:tcPr>
          <w:p>
            <w:pPr>
              <w:spacing w:after="0"/>
              <w:rPr>
                <w:sz w:val="23"/>
                <w:szCs w:val="23"/>
                <w:color w:val="auto"/>
              </w:rPr>
            </w:pPr>
          </w:p>
        </w:tc>
      </w:tr>
      <w:tr>
        <w:trPr>
          <w:trHeight w:val="50"/>
        </w:trPr>
        <w:tc>
          <w:tcPr>
            <w:tcW w:w="3160" w:type="dxa"/>
            <w:vAlign w:val="bottom"/>
            <w:tcBorders>
              <w:left w:val="single" w:sz="8" w:color="auto"/>
              <w:bottom w:val="single" w:sz="8" w:color="auto"/>
              <w:right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2900" w:type="dxa"/>
            <w:vAlign w:val="bottom"/>
            <w:tcBorders>
              <w:bottom w:val="single" w:sz="8" w:color="auto"/>
            </w:tcBorders>
            <w:gridSpan w:val="2"/>
          </w:tcPr>
          <w:p>
            <w:pPr>
              <w:spacing w:after="0"/>
              <w:rPr>
                <w:sz w:val="4"/>
                <w:szCs w:val="4"/>
                <w:color w:val="auto"/>
              </w:rPr>
            </w:pPr>
          </w:p>
        </w:tc>
        <w:tc>
          <w:tcPr>
            <w:tcW w:w="1460" w:type="dxa"/>
            <w:vAlign w:val="bottom"/>
            <w:tcBorders>
              <w:bottom w:val="single" w:sz="8" w:color="auto"/>
            </w:tcBorders>
            <w:gridSpan w:val="2"/>
          </w:tcPr>
          <w:p>
            <w:pPr>
              <w:spacing w:after="0"/>
              <w:rPr>
                <w:sz w:val="4"/>
                <w:szCs w:val="4"/>
                <w:color w:val="auto"/>
              </w:rPr>
            </w:pPr>
          </w:p>
        </w:tc>
        <w:tc>
          <w:tcPr>
            <w:tcW w:w="3140" w:type="dxa"/>
            <w:vAlign w:val="bottom"/>
            <w:tcBorders>
              <w:bottom w:val="single" w:sz="8" w:color="auto"/>
              <w:right w:val="single" w:sz="8" w:color="auto"/>
            </w:tcBorders>
            <w:gridSpan w:val="3"/>
          </w:tcPr>
          <w:p>
            <w:pPr>
              <w:spacing w:after="0"/>
              <w:rPr>
                <w:sz w:val="4"/>
                <w:szCs w:val="4"/>
                <w:color w:val="auto"/>
              </w:rPr>
            </w:pPr>
          </w:p>
        </w:tc>
      </w:tr>
      <w:tr>
        <w:trPr>
          <w:trHeight w:val="268"/>
        </w:trPr>
        <w:tc>
          <w:tcPr>
            <w:tcW w:w="31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Address</w:t>
            </w:r>
          </w:p>
        </w:tc>
        <w:tc>
          <w:tcPr>
            <w:tcW w:w="8100" w:type="dxa"/>
            <w:vAlign w:val="bottom"/>
            <w:tcBorders>
              <w:right w:val="single" w:sz="8" w:color="auto"/>
            </w:tcBorders>
            <w:gridSpan w:val="8"/>
          </w:tcPr>
          <w:p>
            <w:pPr>
              <w:ind w:left="20"/>
              <w:spacing w:after="0"/>
              <w:rPr>
                <w:sz w:val="20"/>
                <w:szCs w:val="20"/>
                <w:color w:val="auto"/>
              </w:rPr>
            </w:pPr>
            <w:r>
              <w:rPr>
                <w:rFonts w:ascii="Arial" w:cs="Arial" w:eastAsia="Arial" w:hAnsi="Arial"/>
                <w:sz w:val="20"/>
                <w:szCs w:val="20"/>
                <w:color w:val="auto"/>
              </w:rPr>
              <w:t>Lucid Motors Logistics Operations Center, 1115 W. Alameda Dr., Tempe, AZ 85282, USA</w:t>
            </w:r>
          </w:p>
        </w:tc>
      </w:tr>
      <w:tr>
        <w:trPr>
          <w:trHeight w:val="50"/>
        </w:trPr>
        <w:tc>
          <w:tcPr>
            <w:tcW w:w="3160" w:type="dxa"/>
            <w:vAlign w:val="bottom"/>
            <w:tcBorders>
              <w:left w:val="single" w:sz="8" w:color="auto"/>
              <w:bottom w:val="single" w:sz="8" w:color="auto"/>
              <w:right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2900" w:type="dxa"/>
            <w:vAlign w:val="bottom"/>
            <w:tcBorders>
              <w:bottom w:val="single" w:sz="8" w:color="auto"/>
            </w:tcBorders>
            <w:gridSpan w:val="2"/>
          </w:tcPr>
          <w:p>
            <w:pPr>
              <w:spacing w:after="0"/>
              <w:rPr>
                <w:sz w:val="4"/>
                <w:szCs w:val="4"/>
                <w:color w:val="auto"/>
              </w:rPr>
            </w:pPr>
          </w:p>
        </w:tc>
        <w:tc>
          <w:tcPr>
            <w:tcW w:w="1460" w:type="dxa"/>
            <w:vAlign w:val="bottom"/>
            <w:tcBorders>
              <w:bottom w:val="single" w:sz="8" w:color="auto"/>
            </w:tcBorders>
            <w:gridSpan w:val="2"/>
          </w:tcPr>
          <w:p>
            <w:pPr>
              <w:spacing w:after="0"/>
              <w:rPr>
                <w:sz w:val="4"/>
                <w:szCs w:val="4"/>
                <w:color w:val="auto"/>
              </w:rPr>
            </w:pPr>
          </w:p>
        </w:tc>
        <w:tc>
          <w:tcPr>
            <w:tcW w:w="208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r>
      <w:tr>
        <w:trPr>
          <w:trHeight w:val="358"/>
        </w:trPr>
        <w:tc>
          <w:tcPr>
            <w:tcW w:w="31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2"/>
          </w:tcPr>
          <w:p>
            <w:pPr>
              <w:spacing w:after="0"/>
              <w:rPr>
                <w:sz w:val="24"/>
                <w:szCs w:val="24"/>
                <w:color w:val="auto"/>
              </w:rPr>
            </w:pPr>
          </w:p>
        </w:tc>
        <w:tc>
          <w:tcPr>
            <w:tcW w:w="1460" w:type="dxa"/>
            <w:vAlign w:val="bottom"/>
            <w:tcBorders>
              <w:bottom w:val="single" w:sz="8" w:color="auto"/>
            </w:tcBorders>
            <w:gridSpan w:val="2"/>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r>
      <w:tr>
        <w:trPr>
          <w:trHeight w:val="268"/>
        </w:trPr>
        <w:tc>
          <w:tcPr>
            <w:tcW w:w="3160" w:type="dxa"/>
            <w:vAlign w:val="bottom"/>
            <w:tcBorders>
              <w:left w:val="single" w:sz="8" w:color="auto"/>
            </w:tcBorders>
          </w:tcPr>
          <w:p>
            <w:pPr>
              <w:ind w:left="40"/>
              <w:spacing w:after="0"/>
              <w:rPr>
                <w:sz w:val="20"/>
                <w:szCs w:val="20"/>
                <w:color w:val="auto"/>
              </w:rPr>
            </w:pPr>
            <w:r>
              <w:rPr>
                <w:rFonts w:ascii="Arial" w:cs="Arial" w:eastAsia="Arial" w:hAnsi="Arial"/>
                <w:sz w:val="20"/>
                <w:szCs w:val="20"/>
                <w:b w:val="1"/>
                <w:bCs w:val="1"/>
                <w:color w:val="auto"/>
              </w:rPr>
              <w:t>Pricing Validity Period</w:t>
            </w:r>
          </w:p>
        </w:tc>
        <w:tc>
          <w:tcPr>
            <w:tcW w:w="600" w:type="dxa"/>
            <w:vAlign w:val="bottom"/>
            <w:tcBorders>
              <w:right w:val="single" w:sz="8" w:color="auto"/>
            </w:tcBorders>
          </w:tcPr>
          <w:p>
            <w:pPr>
              <w:spacing w:after="0"/>
              <w:rPr>
                <w:sz w:val="23"/>
                <w:szCs w:val="23"/>
                <w:color w:val="auto"/>
              </w:rPr>
            </w:pPr>
          </w:p>
        </w:tc>
        <w:tc>
          <w:tcPr>
            <w:tcW w:w="290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7/1/2025</w:t>
            </w:r>
          </w:p>
        </w:tc>
        <w:tc>
          <w:tcPr>
            <w:tcW w:w="1460" w:type="dxa"/>
            <w:vAlign w:val="bottom"/>
            <w:tcBorders>
              <w:right w:val="single" w:sz="8" w:color="auto"/>
            </w:tcBorders>
            <w:gridSpan w:val="2"/>
          </w:tcPr>
          <w:p>
            <w:pPr>
              <w:ind w:left="20"/>
              <w:spacing w:after="0"/>
              <w:rPr>
                <w:sz w:val="20"/>
                <w:szCs w:val="20"/>
                <w:color w:val="auto"/>
              </w:rPr>
            </w:pPr>
            <w:r>
              <w:rPr>
                <w:rFonts w:ascii="Arial" w:cs="Arial" w:eastAsia="Arial" w:hAnsi="Arial"/>
                <w:sz w:val="20"/>
                <w:szCs w:val="20"/>
                <w:color w:val="auto"/>
              </w:rPr>
              <w:t>through</w:t>
            </w:r>
          </w:p>
        </w:tc>
        <w:tc>
          <w:tcPr>
            <w:tcW w:w="2080" w:type="dxa"/>
            <w:vAlign w:val="bottom"/>
          </w:tcPr>
          <w:p>
            <w:pPr>
              <w:jc w:val="right"/>
              <w:ind w:right="1081"/>
              <w:spacing w:after="0"/>
              <w:rPr>
                <w:sz w:val="20"/>
                <w:szCs w:val="20"/>
                <w:color w:val="auto"/>
              </w:rPr>
            </w:pPr>
            <w:r>
              <w:rPr>
                <w:rFonts w:ascii="Arial" w:cs="Arial" w:eastAsia="Arial" w:hAnsi="Arial"/>
                <w:sz w:val="20"/>
                <w:szCs w:val="20"/>
                <w:color w:val="auto"/>
                <w:w w:val="87"/>
              </w:rPr>
              <w:t>12/31/2031</w:t>
            </w:r>
          </w:p>
        </w:tc>
        <w:tc>
          <w:tcPr>
            <w:tcW w:w="840" w:type="dxa"/>
            <w:vAlign w:val="bottom"/>
          </w:tcPr>
          <w:p>
            <w:pPr>
              <w:spacing w:after="0"/>
              <w:rPr>
                <w:sz w:val="23"/>
                <w:szCs w:val="23"/>
                <w:color w:val="auto"/>
              </w:rPr>
            </w:pPr>
          </w:p>
        </w:tc>
        <w:tc>
          <w:tcPr>
            <w:tcW w:w="220" w:type="dxa"/>
            <w:vAlign w:val="bottom"/>
            <w:tcBorders>
              <w:right w:val="single" w:sz="8" w:color="auto"/>
            </w:tcBorders>
          </w:tcPr>
          <w:p>
            <w:pPr>
              <w:spacing w:after="0"/>
              <w:rPr>
                <w:sz w:val="23"/>
                <w:szCs w:val="23"/>
                <w:color w:val="auto"/>
              </w:rPr>
            </w:pPr>
          </w:p>
        </w:tc>
      </w:tr>
      <w:tr>
        <w:trPr>
          <w:trHeight w:val="50"/>
        </w:trPr>
        <w:tc>
          <w:tcPr>
            <w:tcW w:w="3160" w:type="dxa"/>
            <w:vAlign w:val="bottom"/>
            <w:tcBorders>
              <w:left w:val="single" w:sz="8" w:color="auto"/>
              <w:bottom w:val="single" w:sz="8" w:color="auto"/>
            </w:tcBorders>
          </w:tcPr>
          <w:p>
            <w:pPr>
              <w:spacing w:after="0"/>
              <w:rPr>
                <w:sz w:val="4"/>
                <w:szCs w:val="4"/>
                <w:color w:val="auto"/>
              </w:rPr>
            </w:pPr>
          </w:p>
        </w:tc>
        <w:tc>
          <w:tcPr>
            <w:tcW w:w="600" w:type="dxa"/>
            <w:vAlign w:val="bottom"/>
            <w:tcBorders>
              <w:bottom w:val="single" w:sz="8" w:color="auto"/>
              <w:right w:val="single" w:sz="8" w:color="auto"/>
            </w:tcBorders>
          </w:tcPr>
          <w:p>
            <w:pPr>
              <w:spacing w:after="0"/>
              <w:rPr>
                <w:sz w:val="4"/>
                <w:szCs w:val="4"/>
                <w:color w:val="auto"/>
              </w:rPr>
            </w:pPr>
          </w:p>
        </w:tc>
        <w:tc>
          <w:tcPr>
            <w:tcW w:w="2900" w:type="dxa"/>
            <w:vAlign w:val="bottom"/>
            <w:tcBorders>
              <w:bottom w:val="single" w:sz="8" w:color="auto"/>
              <w:right w:val="single" w:sz="8" w:color="auto"/>
            </w:tcBorders>
            <w:gridSpan w:val="2"/>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200" w:type="dxa"/>
            <w:vAlign w:val="bottom"/>
            <w:tcBorders>
              <w:bottom w:val="single" w:sz="8" w:color="auto"/>
              <w:right w:val="single" w:sz="8" w:color="auto"/>
            </w:tcBorders>
          </w:tcPr>
          <w:p>
            <w:pPr>
              <w:spacing w:after="0"/>
              <w:rPr>
                <w:sz w:val="4"/>
                <w:szCs w:val="4"/>
                <w:color w:val="auto"/>
              </w:rPr>
            </w:pPr>
          </w:p>
        </w:tc>
        <w:tc>
          <w:tcPr>
            <w:tcW w:w="208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r>
      <w:tr>
        <w:trPr>
          <w:trHeight w:val="294"/>
        </w:trPr>
        <w:tc>
          <w:tcPr>
            <w:tcW w:w="3160" w:type="dxa"/>
            <w:vAlign w:val="bottom"/>
            <w:tcBorders>
              <w:left w:val="single" w:sz="8" w:color="auto"/>
            </w:tcBorders>
          </w:tcPr>
          <w:p>
            <w:pPr>
              <w:ind w:left="40"/>
              <w:spacing w:after="0"/>
              <w:rPr>
                <w:sz w:val="20"/>
                <w:szCs w:val="20"/>
                <w:color w:val="auto"/>
              </w:rPr>
            </w:pPr>
            <w:r>
              <w:rPr>
                <w:rFonts w:ascii="Arial" w:cs="Arial" w:eastAsia="Arial" w:hAnsi="Arial"/>
                <w:sz w:val="20"/>
                <w:szCs w:val="20"/>
                <w:b w:val="1"/>
                <w:bCs w:val="1"/>
                <w:color w:val="auto"/>
              </w:rPr>
              <w:t>Production Volume</w:t>
            </w:r>
          </w:p>
        </w:tc>
        <w:tc>
          <w:tcPr>
            <w:tcW w:w="600" w:type="dxa"/>
            <w:vAlign w:val="bottom"/>
            <w:tcBorders>
              <w:right w:val="single" w:sz="8" w:color="auto"/>
            </w:tcBorders>
          </w:tcPr>
          <w:p>
            <w:pPr>
              <w:spacing w:after="0"/>
              <w:rPr>
                <w:sz w:val="24"/>
                <w:szCs w:val="24"/>
                <w:color w:val="auto"/>
              </w:rPr>
            </w:pPr>
          </w:p>
        </w:tc>
        <w:tc>
          <w:tcPr>
            <w:tcW w:w="2900" w:type="dxa"/>
            <w:vAlign w:val="bottom"/>
            <w:gridSpan w:val="2"/>
          </w:tcPr>
          <w:p>
            <w:pPr>
              <w:ind w:left="60"/>
              <w:spacing w:after="0"/>
              <w:rPr>
                <w:sz w:val="20"/>
                <w:szCs w:val="20"/>
                <w:color w:val="auto"/>
              </w:rPr>
            </w:pPr>
            <w:r>
              <w:rPr>
                <w:rFonts w:ascii="Arial" w:cs="Arial" w:eastAsia="Arial" w:hAnsi="Arial"/>
                <w:sz w:val="20"/>
                <w:szCs w:val="20"/>
                <w:color w:val="auto"/>
                <w:w w:val="96"/>
              </w:rPr>
              <w:t>As provided in forecast Exhibit C</w:t>
            </w: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r>
      <w:tr>
        <w:trPr>
          <w:trHeight w:val="64"/>
        </w:trPr>
        <w:tc>
          <w:tcPr>
            <w:tcW w:w="3160" w:type="dxa"/>
            <w:vAlign w:val="bottom"/>
            <w:tcBorders>
              <w:left w:val="single" w:sz="8" w:color="auto"/>
              <w:bottom w:val="single" w:sz="8" w:color="auto"/>
            </w:tcBorders>
          </w:tcPr>
          <w:p>
            <w:pPr>
              <w:spacing w:after="0"/>
              <w:rPr>
                <w:sz w:val="5"/>
                <w:szCs w:val="5"/>
                <w:color w:val="auto"/>
              </w:rPr>
            </w:pPr>
          </w:p>
        </w:tc>
        <w:tc>
          <w:tcPr>
            <w:tcW w:w="600" w:type="dxa"/>
            <w:vAlign w:val="bottom"/>
            <w:tcBorders>
              <w:bottom w:val="single" w:sz="8" w:color="auto"/>
              <w:right w:val="single" w:sz="8" w:color="auto"/>
            </w:tcBorders>
          </w:tcPr>
          <w:p>
            <w:pPr>
              <w:spacing w:after="0"/>
              <w:rPr>
                <w:sz w:val="5"/>
                <w:szCs w:val="5"/>
                <w:color w:val="auto"/>
              </w:rPr>
            </w:pPr>
          </w:p>
        </w:tc>
        <w:tc>
          <w:tcPr>
            <w:tcW w:w="2900" w:type="dxa"/>
            <w:vAlign w:val="bottom"/>
            <w:tcBorders>
              <w:bottom w:val="single" w:sz="8" w:color="auto"/>
            </w:tcBorders>
            <w:gridSpan w:val="2"/>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20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220" w:type="dxa"/>
            <w:vAlign w:val="bottom"/>
            <w:tcBorders>
              <w:bottom w:val="single" w:sz="8" w:color="auto"/>
              <w:right w:val="single" w:sz="8" w:color="auto"/>
            </w:tcBorders>
          </w:tcPr>
          <w:p>
            <w:pPr>
              <w:spacing w:after="0"/>
              <w:rPr>
                <w:sz w:val="5"/>
                <w:szCs w:val="5"/>
                <w:color w:val="auto"/>
              </w:rPr>
            </w:pPr>
          </w:p>
        </w:tc>
      </w:tr>
      <w:tr>
        <w:trPr>
          <w:trHeight w:val="268"/>
        </w:trPr>
        <w:tc>
          <w:tcPr>
            <w:tcW w:w="3160" w:type="dxa"/>
            <w:vAlign w:val="bottom"/>
            <w:tcBorders>
              <w:left w:val="single" w:sz="8" w:color="auto"/>
            </w:tcBorders>
          </w:tcPr>
          <w:p>
            <w:pPr>
              <w:ind w:left="40"/>
              <w:spacing w:after="0"/>
              <w:rPr>
                <w:sz w:val="20"/>
                <w:szCs w:val="20"/>
                <w:color w:val="auto"/>
              </w:rPr>
            </w:pPr>
            <w:r>
              <w:rPr>
                <w:rFonts w:ascii="Arial" w:cs="Arial" w:eastAsia="Arial" w:hAnsi="Arial"/>
                <w:sz w:val="20"/>
                <w:szCs w:val="20"/>
                <w:b w:val="1"/>
                <w:bCs w:val="1"/>
                <w:color w:val="auto"/>
              </w:rPr>
              <w:t>Payment Terms</w:t>
            </w:r>
          </w:p>
        </w:tc>
        <w:tc>
          <w:tcPr>
            <w:tcW w:w="600" w:type="dxa"/>
            <w:vAlign w:val="bottom"/>
            <w:tcBorders>
              <w:right w:val="single" w:sz="8" w:color="auto"/>
            </w:tcBorders>
          </w:tcPr>
          <w:p>
            <w:pPr>
              <w:spacing w:after="0"/>
              <w:rPr>
                <w:sz w:val="23"/>
                <w:szCs w:val="23"/>
                <w:color w:val="auto"/>
              </w:rPr>
            </w:pPr>
          </w:p>
        </w:tc>
        <w:tc>
          <w:tcPr>
            <w:tcW w:w="2900" w:type="dxa"/>
            <w:vAlign w:val="bottom"/>
            <w:gridSpan w:val="2"/>
          </w:tcPr>
          <w:p>
            <w:pPr>
              <w:spacing w:after="0"/>
              <w:rPr>
                <w:sz w:val="20"/>
                <w:szCs w:val="20"/>
                <w:color w:val="auto"/>
              </w:rPr>
            </w:pPr>
            <w:r>
              <w:rPr>
                <w:rFonts w:ascii="Arial" w:cs="Arial" w:eastAsia="Arial" w:hAnsi="Arial"/>
                <w:sz w:val="20"/>
                <w:szCs w:val="20"/>
                <w:color w:val="auto"/>
              </w:rPr>
              <w:t>see Section 5 below</w:t>
            </w:r>
          </w:p>
        </w:tc>
        <w:tc>
          <w:tcPr>
            <w:tcW w:w="2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20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20" w:type="dxa"/>
            <w:vAlign w:val="bottom"/>
            <w:tcBorders>
              <w:right w:val="single" w:sz="8" w:color="auto"/>
            </w:tcBorders>
          </w:tcPr>
          <w:p>
            <w:pPr>
              <w:spacing w:after="0"/>
              <w:rPr>
                <w:sz w:val="23"/>
                <w:szCs w:val="23"/>
                <w:color w:val="auto"/>
              </w:rPr>
            </w:pPr>
          </w:p>
        </w:tc>
      </w:tr>
      <w:tr>
        <w:trPr>
          <w:trHeight w:val="50"/>
        </w:trPr>
        <w:tc>
          <w:tcPr>
            <w:tcW w:w="3160" w:type="dxa"/>
            <w:vAlign w:val="bottom"/>
            <w:tcBorders>
              <w:left w:val="single" w:sz="8" w:color="auto"/>
              <w:bottom w:val="single" w:sz="8" w:color="auto"/>
            </w:tcBorders>
          </w:tcPr>
          <w:p>
            <w:pPr>
              <w:spacing w:after="0"/>
              <w:rPr>
                <w:sz w:val="4"/>
                <w:szCs w:val="4"/>
                <w:color w:val="auto"/>
              </w:rPr>
            </w:pPr>
          </w:p>
        </w:tc>
        <w:tc>
          <w:tcPr>
            <w:tcW w:w="600" w:type="dxa"/>
            <w:vAlign w:val="bottom"/>
            <w:tcBorders>
              <w:bottom w:val="single" w:sz="8" w:color="auto"/>
              <w:right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23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208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r>
    </w:tbl>
    <w:p>
      <w:pPr>
        <w:spacing w:after="0" w:line="267" w:lineRule="exact"/>
        <w:rPr>
          <w:sz w:val="20"/>
          <w:szCs w:val="20"/>
          <w:color w:val="auto"/>
        </w:rPr>
      </w:pPr>
    </w:p>
    <w:p>
      <w:pPr>
        <w:ind w:left="340" w:right="280" w:hanging="332"/>
        <w:spacing w:after="0" w:line="208" w:lineRule="auto"/>
        <w:tabs>
          <w:tab w:leader="none" w:pos="359" w:val="left"/>
        </w:tabs>
        <w:numPr>
          <w:ilvl w:val="0"/>
          <w:numId w:val="103"/>
        </w:numPr>
        <w:rPr>
          <w:rFonts w:ascii="Arial" w:cs="Arial" w:eastAsia="Arial" w:hAnsi="Arial"/>
          <w:sz w:val="20"/>
          <w:szCs w:val="20"/>
          <w:color w:val="auto"/>
        </w:rPr>
      </w:pPr>
      <w:r>
        <w:rPr>
          <w:rFonts w:ascii="Arial" w:cs="Arial" w:eastAsia="Arial" w:hAnsi="Arial"/>
          <w:sz w:val="20"/>
          <w:szCs w:val="20"/>
          <w:color w:val="auto"/>
        </w:rPr>
        <w:t>This Production Pricing Agreement (Standard) (“</w:t>
      </w:r>
      <w:r>
        <w:rPr>
          <w:rFonts w:ascii="Arial" w:cs="Arial" w:eastAsia="Arial" w:hAnsi="Arial"/>
          <w:sz w:val="20"/>
          <w:szCs w:val="20"/>
          <w:u w:val="single" w:color="auto"/>
          <w:color w:val="auto"/>
        </w:rPr>
        <w:t>PPA</w:t>
      </w:r>
      <w:r>
        <w:rPr>
          <w:rFonts w:ascii="Arial" w:cs="Arial" w:eastAsia="Arial" w:hAnsi="Arial"/>
          <w:sz w:val="20"/>
          <w:szCs w:val="20"/>
          <w:color w:val="auto"/>
        </w:rPr>
        <w:t>”) is entered into by Lucid USA, Inc. (“</w:t>
      </w:r>
      <w:r>
        <w:rPr>
          <w:rFonts w:ascii="Arial" w:cs="Arial" w:eastAsia="Arial" w:hAnsi="Arial"/>
          <w:sz w:val="20"/>
          <w:szCs w:val="20"/>
          <w:u w:val="single" w:color="auto"/>
          <w:color w:val="auto"/>
        </w:rPr>
        <w:t>Lucid</w:t>
      </w:r>
      <w:r>
        <w:rPr>
          <w:rFonts w:ascii="Arial" w:cs="Arial" w:eastAsia="Arial" w:hAnsi="Arial"/>
          <w:sz w:val="20"/>
          <w:szCs w:val="20"/>
          <w:color w:val="auto"/>
        </w:rPr>
        <w:t xml:space="preserve">”) and PECNA (identified above) with respect to the goods described in </w:t>
      </w:r>
      <w:r>
        <w:rPr>
          <w:rFonts w:ascii="Arial" w:cs="Arial" w:eastAsia="Arial" w:hAnsi="Arial"/>
          <w:sz w:val="20"/>
          <w:szCs w:val="20"/>
          <w:u w:val="single" w:color="auto"/>
          <w:color w:val="auto"/>
        </w:rPr>
        <w:t>Exhibit A</w:t>
      </w:r>
      <w:r>
        <w:rPr>
          <w:rFonts w:ascii="Arial" w:cs="Arial" w:eastAsia="Arial" w:hAnsi="Arial"/>
          <w:sz w:val="20"/>
          <w:szCs w:val="20"/>
          <w:color w:val="auto"/>
        </w:rPr>
        <w:t xml:space="preserve"> (“</w:t>
      </w:r>
      <w:r>
        <w:rPr>
          <w:rFonts w:ascii="Arial" w:cs="Arial" w:eastAsia="Arial" w:hAnsi="Arial"/>
          <w:sz w:val="20"/>
          <w:szCs w:val="20"/>
          <w:u w:val="single" w:color="auto"/>
          <w:color w:val="auto"/>
        </w:rPr>
        <w:t>Products</w:t>
      </w:r>
      <w:r>
        <w:rPr>
          <w:rFonts w:ascii="Arial" w:cs="Arial" w:eastAsia="Arial" w:hAnsi="Arial"/>
          <w:sz w:val="20"/>
          <w:szCs w:val="20"/>
          <w:color w:val="auto"/>
        </w:rPr>
        <w:t xml:space="preserve">”). Lucid and PECNA are each a “Party” and collectively are the “Parties”. The General Terms and Conditions between Panasonic Energy Co., Ltd. and Lucid dated as of </w:t>
      </w:r>
      <w:r>
        <w:rPr>
          <w:rFonts w:ascii="Arial" w:cs="Arial" w:eastAsia="Arial" w:hAnsi="Arial"/>
          <w:sz w:val="20"/>
          <w:szCs w:val="20"/>
          <w:b w:val="1"/>
          <w:bCs w:val="1"/>
          <w:color w:val="auto"/>
        </w:rPr>
        <w:t>December 1</w:t>
      </w:r>
      <w:r>
        <w:rPr>
          <w:rFonts w:ascii="Arial" w:cs="Arial" w:eastAsia="Arial" w:hAnsi="Arial"/>
          <w:sz w:val="25"/>
          <w:szCs w:val="25"/>
          <w:b w:val="1"/>
          <w:bCs w:val="1"/>
          <w:color w:val="auto"/>
          <w:vertAlign w:val="superscript"/>
        </w:rPr>
        <w:t>st</w:t>
      </w:r>
      <w:r>
        <w:rPr>
          <w:rFonts w:ascii="Arial" w:cs="Arial" w:eastAsia="Arial" w:hAnsi="Arial"/>
          <w:sz w:val="20"/>
          <w:szCs w:val="20"/>
          <w:b w:val="1"/>
          <w:bCs w:val="1"/>
          <w:color w:val="auto"/>
        </w:rPr>
        <w:t>, 2022 (</w:t>
      </w:r>
      <w:r>
        <w:rPr>
          <w:rFonts w:ascii="Arial" w:cs="Arial" w:eastAsia="Arial" w:hAnsi="Arial"/>
          <w:sz w:val="20"/>
          <w:szCs w:val="20"/>
          <w:color w:val="auto"/>
        </w:rPr>
        <w:t>“</w:t>
      </w:r>
      <w:r>
        <w:rPr>
          <w:rFonts w:ascii="Arial" w:cs="Arial" w:eastAsia="Arial" w:hAnsi="Arial"/>
          <w:sz w:val="20"/>
          <w:szCs w:val="20"/>
          <w:u w:val="single" w:color="auto"/>
          <w:color w:val="auto"/>
        </w:rPr>
        <w:t>GTC</w:t>
      </w:r>
      <w:r>
        <w:rPr>
          <w:rFonts w:ascii="Arial" w:cs="Arial" w:eastAsia="Arial" w:hAnsi="Arial"/>
          <w:sz w:val="20"/>
          <w:szCs w:val="20"/>
          <w:color w:val="auto"/>
        </w:rPr>
        <w:t>”) are incorporated by reference into this PPA as an integral part hereof. In case of any inconsistencies between the terms of the GTC and the terms of this PPA, the terms of this PPA shall prevail.</w:t>
      </w:r>
    </w:p>
    <w:p>
      <w:pPr>
        <w:spacing w:after="0" w:line="114" w:lineRule="exact"/>
        <w:rPr>
          <w:rFonts w:ascii="Arial" w:cs="Arial" w:eastAsia="Arial" w:hAnsi="Arial"/>
          <w:sz w:val="20"/>
          <w:szCs w:val="20"/>
          <w:color w:val="auto"/>
        </w:rPr>
      </w:pPr>
    </w:p>
    <w:p>
      <w:pPr>
        <w:ind w:left="340" w:right="300" w:hanging="332"/>
        <w:spacing w:after="0" w:line="265" w:lineRule="auto"/>
        <w:tabs>
          <w:tab w:leader="none" w:pos="362" w:val="left"/>
        </w:tabs>
        <w:numPr>
          <w:ilvl w:val="0"/>
          <w:numId w:val="103"/>
        </w:numPr>
        <w:rPr>
          <w:rFonts w:ascii="Arial" w:cs="Arial" w:eastAsia="Arial" w:hAnsi="Arial"/>
          <w:sz w:val="16"/>
          <w:szCs w:val="16"/>
          <w:color w:val="auto"/>
        </w:rPr>
      </w:pPr>
      <w:r>
        <w:rPr>
          <w:rFonts w:ascii="Arial" w:cs="Arial" w:eastAsia="Arial" w:hAnsi="Arial"/>
          <w:sz w:val="16"/>
          <w:szCs w:val="16"/>
          <w:i w:val="1"/>
          <w:iCs w:val="1"/>
          <w:color w:val="auto"/>
        </w:rPr>
        <w:t>Pricing</w:t>
      </w:r>
      <w:r>
        <w:rPr>
          <w:rFonts w:ascii="Arial" w:cs="Arial" w:eastAsia="Arial" w:hAnsi="Arial"/>
          <w:sz w:val="16"/>
          <w:szCs w:val="16"/>
          <w:color w:val="auto"/>
        </w:rPr>
        <w:t>. Lucid and PECNA agree to the pricing for the Products set forth in</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Exhibit A</w:t>
      </w:r>
      <w:r>
        <w:rPr>
          <w:rFonts w:ascii="Arial" w:cs="Arial" w:eastAsia="Arial" w:hAnsi="Arial"/>
          <w:sz w:val="16"/>
          <w:szCs w:val="16"/>
          <w:i w:val="1"/>
          <w:iCs w:val="1"/>
          <w:color w:val="auto"/>
        </w:rPr>
        <w:t xml:space="preserve"> </w:t>
      </w:r>
      <w:r>
        <w:rPr>
          <w:rFonts w:ascii="Arial" w:cs="Arial" w:eastAsia="Arial" w:hAnsi="Arial"/>
          <w:sz w:val="16"/>
          <w:szCs w:val="16"/>
          <w:color w:val="auto"/>
        </w:rPr>
        <w:t>(“</w:t>
      </w:r>
      <w:r>
        <w:rPr>
          <w:rFonts w:ascii="Arial" w:cs="Arial" w:eastAsia="Arial" w:hAnsi="Arial"/>
          <w:sz w:val="16"/>
          <w:szCs w:val="16"/>
          <w:u w:val="single" w:color="auto"/>
          <w:color w:val="auto"/>
        </w:rPr>
        <w:t>Prices</w:t>
      </w:r>
      <w:r>
        <w:rPr>
          <w:rFonts w:ascii="Arial" w:cs="Arial" w:eastAsia="Arial" w:hAnsi="Arial"/>
          <w:sz w:val="16"/>
          <w:szCs w:val="16"/>
          <w:color w:val="auto"/>
        </w:rPr>
        <w:t>”); The Prices: (a) are subject to certain</w:t>
      </w:r>
      <w:r>
        <w:rPr>
          <w:rFonts w:ascii="Arial" w:cs="Arial" w:eastAsia="Arial" w:hAnsi="Arial"/>
          <w:sz w:val="16"/>
          <w:szCs w:val="16"/>
          <w:i w:val="1"/>
          <w:iCs w:val="1"/>
          <w:color w:val="auto"/>
        </w:rPr>
        <w:t xml:space="preserve"> </w:t>
      </w:r>
      <w:r>
        <w:rPr>
          <w:rFonts w:ascii="Arial" w:cs="Arial" w:eastAsia="Arial" w:hAnsi="Arial"/>
          <w:sz w:val="16"/>
          <w:szCs w:val="16"/>
          <w:color w:val="auto"/>
        </w:rPr>
        <w:t>agreed adjustments for Raw Material Adjustments as provided in Exhibit B and for exchange rate fluctuations between United States Dollars and Japanese Yen with respect to all costs for the Products procured or payable in Japanese Yen as provided in Exhibit B, and</w:t>
      </w:r>
    </w:p>
    <w:p>
      <w:pPr>
        <w:ind w:left="340" w:right="340"/>
        <w:spacing w:after="0" w:line="220" w:lineRule="auto"/>
        <w:rPr>
          <w:rFonts w:ascii="Arial" w:cs="Arial" w:eastAsia="Arial" w:hAnsi="Arial"/>
          <w:sz w:val="16"/>
          <w:szCs w:val="16"/>
          <w:color w:val="auto"/>
        </w:rPr>
      </w:pPr>
      <w:r>
        <w:rPr>
          <w:rFonts w:ascii="Arial" w:cs="Arial" w:eastAsia="Arial" w:hAnsi="Arial"/>
          <w:sz w:val="20"/>
          <w:szCs w:val="20"/>
          <w:color w:val="auto"/>
        </w:rPr>
        <w:t>(b) are exclusive of all applicable sales, value added, surcharges, or similar transfer taxes or charges. PECNA shall extend a sufficient credit limit to Lucid in accordance with the Payment Terms set forth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521335</wp:posOffset>
            </wp:positionV>
            <wp:extent cx="713232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tabs>
          <w:tab w:leader="none" w:pos="4980" w:val="left"/>
        </w:tabs>
        <w:rPr>
          <w:sz w:val="20"/>
          <w:szCs w:val="20"/>
          <w:color w:val="auto"/>
        </w:rPr>
      </w:pPr>
      <w:r>
        <w:rPr>
          <w:rFonts w:ascii="Arial" w:cs="Arial" w:eastAsia="Arial" w:hAnsi="Arial"/>
          <w:sz w:val="20"/>
          <w:szCs w:val="20"/>
          <w:color w:val="auto"/>
        </w:rPr>
        <w:t>Production Pricing Agreement (Standard), ver. January 2021</w:t>
      </w:r>
      <w:r>
        <w:rPr>
          <w:sz w:val="20"/>
          <w:szCs w:val="20"/>
          <w:color w:val="auto"/>
        </w:rPr>
        <w:tab/>
      </w:r>
      <w:r>
        <w:rPr>
          <w:rFonts w:ascii="Arial" w:cs="Arial" w:eastAsia="Arial" w:hAnsi="Arial"/>
          <w:sz w:val="16"/>
          <w:szCs w:val="16"/>
          <w:color w:val="auto"/>
        </w:rPr>
        <w:t xml:space="preserve">Page </w:t>
      </w:r>
      <w:r>
        <w:rPr>
          <w:rFonts w:ascii="Arial" w:cs="Arial" w:eastAsia="Arial" w:hAnsi="Arial"/>
          <w:sz w:val="16"/>
          <w:szCs w:val="16"/>
          <w:b w:val="1"/>
          <w:bCs w:val="1"/>
          <w:color w:val="auto"/>
        </w:rPr>
        <w:t>1</w:t>
      </w:r>
      <w:r>
        <w:rPr>
          <w:rFonts w:ascii="Arial" w:cs="Arial" w:eastAsia="Arial" w:hAnsi="Arial"/>
          <w:sz w:val="16"/>
          <w:szCs w:val="16"/>
          <w:color w:val="auto"/>
        </w:rPr>
        <w:t xml:space="preserve"> of </w:t>
      </w:r>
      <w:r>
        <w:rPr>
          <w:rFonts w:ascii="Arial" w:cs="Arial" w:eastAsia="Arial" w:hAnsi="Arial"/>
          <w:sz w:val="16"/>
          <w:szCs w:val="16"/>
          <w:b w:val="1"/>
          <w:bCs w:val="1"/>
          <w:color w:val="auto"/>
        </w:rPr>
        <w:t>8</w:t>
      </w:r>
    </w:p>
    <w:p>
      <w:pPr>
        <w:sectPr>
          <w:pgSz w:w="11900" w:h="16838" w:orient="portrait"/>
          <w:cols w:equalWidth="0" w:num="1">
            <w:col w:w="11260"/>
          </w:cols>
          <w:pgMar w:left="320" w:top="1399" w:right="319" w:bottom="1440" w:gutter="0" w:footer="0" w:header="0"/>
        </w:sectPr>
      </w:pPr>
    </w:p>
    <w:bookmarkStart w:id="168" w:name="page169"/>
    <w:bookmarkEnd w:id="168"/>
    <w:p>
      <w:pPr>
        <w:spacing w:after="0" w:line="128" w:lineRule="exact"/>
        <w:rPr>
          <w:sz w:val="20"/>
          <w:szCs w:val="20"/>
          <w:color w:val="auto"/>
        </w:rPr>
      </w:pPr>
    </w:p>
    <w:p>
      <w:pPr>
        <w:ind w:left="340" w:right="860" w:hanging="332"/>
        <w:spacing w:after="0" w:line="236" w:lineRule="auto"/>
        <w:tabs>
          <w:tab w:leader="none" w:pos="362" w:val="left"/>
        </w:tabs>
        <w:numPr>
          <w:ilvl w:val="0"/>
          <w:numId w:val="104"/>
        </w:numPr>
        <w:rPr>
          <w:rFonts w:ascii="Arial" w:cs="Arial" w:eastAsia="Arial" w:hAnsi="Arial"/>
          <w:sz w:val="20"/>
          <w:szCs w:val="20"/>
          <w:color w:val="auto"/>
        </w:rPr>
      </w:pPr>
      <w:r>
        <w:rPr>
          <w:rFonts w:ascii="Arial" w:cs="Arial" w:eastAsia="Arial" w:hAnsi="Arial"/>
          <w:sz w:val="20"/>
          <w:szCs w:val="20"/>
          <w:i w:val="1"/>
          <w:iCs w:val="1"/>
          <w:color w:val="auto"/>
        </w:rPr>
        <w:t>Orders, Volumes</w:t>
      </w:r>
      <w:r>
        <w:rPr>
          <w:rFonts w:ascii="Arial" w:cs="Arial" w:eastAsia="Arial" w:hAnsi="Arial"/>
          <w:sz w:val="20"/>
          <w:szCs w:val="20"/>
          <w:color w:val="auto"/>
        </w:rPr>
        <w:t>. Lucid shall issue Production Orders, Spot Orders and Releases (as defined in Schedule 1 of the GTC) for the</w:t>
      </w:r>
      <w:r>
        <w:rPr>
          <w:rFonts w:ascii="Arial" w:cs="Arial" w:eastAsia="Arial" w:hAnsi="Arial"/>
          <w:sz w:val="20"/>
          <w:szCs w:val="20"/>
          <w:i w:val="1"/>
          <w:iCs w:val="1"/>
          <w:color w:val="auto"/>
        </w:rPr>
        <w:t xml:space="preserve"> </w:t>
      </w:r>
      <w:r>
        <w:rPr>
          <w:rFonts w:ascii="Arial" w:cs="Arial" w:eastAsia="Arial" w:hAnsi="Arial"/>
          <w:sz w:val="20"/>
          <w:szCs w:val="20"/>
          <w:color w:val="auto"/>
        </w:rPr>
        <w:t xml:space="preserve">Production Volumes set forth in </w:t>
      </w:r>
      <w:r>
        <w:rPr>
          <w:rFonts w:ascii="Arial" w:cs="Arial" w:eastAsia="Arial" w:hAnsi="Arial"/>
          <w:sz w:val="20"/>
          <w:szCs w:val="20"/>
          <w:u w:val="single" w:color="auto"/>
          <w:color w:val="auto"/>
        </w:rPr>
        <w:t>Exhibit C</w:t>
      </w:r>
      <w:r>
        <w:rPr>
          <w:rFonts w:ascii="Arial" w:cs="Arial" w:eastAsia="Arial" w:hAnsi="Arial"/>
          <w:sz w:val="20"/>
          <w:szCs w:val="20"/>
          <w:color w:val="auto"/>
        </w:rPr>
        <w:t>.</w:t>
      </w:r>
    </w:p>
    <w:p>
      <w:pPr>
        <w:spacing w:after="0" w:line="101" w:lineRule="exact"/>
        <w:rPr>
          <w:rFonts w:ascii="Arial" w:cs="Arial" w:eastAsia="Arial" w:hAnsi="Arial"/>
          <w:sz w:val="20"/>
          <w:szCs w:val="20"/>
          <w:color w:val="auto"/>
        </w:rPr>
      </w:pPr>
    </w:p>
    <w:p>
      <w:pPr>
        <w:ind w:left="340" w:right="80" w:hanging="332"/>
        <w:spacing w:after="0" w:line="238" w:lineRule="auto"/>
        <w:tabs>
          <w:tab w:leader="none" w:pos="362" w:val="left"/>
        </w:tabs>
        <w:numPr>
          <w:ilvl w:val="0"/>
          <w:numId w:val="104"/>
        </w:numPr>
        <w:rPr>
          <w:rFonts w:ascii="Arial" w:cs="Arial" w:eastAsia="Arial" w:hAnsi="Arial"/>
          <w:sz w:val="18"/>
          <w:szCs w:val="18"/>
          <w:color w:val="auto"/>
        </w:rPr>
      </w:pPr>
      <w:r>
        <w:rPr>
          <w:rFonts w:ascii="Arial" w:cs="Arial" w:eastAsia="Arial" w:hAnsi="Arial"/>
          <w:sz w:val="18"/>
          <w:szCs w:val="18"/>
          <w:i w:val="1"/>
          <w:iCs w:val="1"/>
          <w:color w:val="auto"/>
        </w:rPr>
        <w:t>Miscellaneous</w:t>
      </w:r>
      <w:r>
        <w:rPr>
          <w:rFonts w:ascii="Arial" w:cs="Arial" w:eastAsia="Arial" w:hAnsi="Arial"/>
          <w:sz w:val="18"/>
          <w:szCs w:val="18"/>
          <w:color w:val="auto"/>
        </w:rPr>
        <w:t>. PECNA and Lucid agree (a) that the GTC, and the Production Order, Spot Orders and Releases (collectively, the “POs”)</w:t>
      </w:r>
      <w:r>
        <w:rPr>
          <w:rFonts w:ascii="Arial" w:cs="Arial" w:eastAsia="Arial" w:hAnsi="Arial"/>
          <w:sz w:val="18"/>
          <w:szCs w:val="18"/>
          <w:i w:val="1"/>
          <w:iCs w:val="1"/>
          <w:color w:val="auto"/>
        </w:rPr>
        <w:t xml:space="preserve"> </w:t>
      </w:r>
      <w:r>
        <w:rPr>
          <w:rFonts w:ascii="Arial" w:cs="Arial" w:eastAsia="Arial" w:hAnsi="Arial"/>
          <w:sz w:val="18"/>
          <w:szCs w:val="18"/>
          <w:color w:val="auto"/>
        </w:rPr>
        <w:t>issued by or for Lucid and accepted by PECNA in accordance with the relevant terms of the GTC are incorporated as an integral part of this PPA and (b) that the GTC, POs, and this PPA constitute, collectively, the entire agreement between the Parties with respect to the subject matter hereof and supersede all prior oral or written representations or agreements by the Parties with respect to such subject matter. No subsequent terms, conditions, understandings, or agreements purporting to modify the terms of this PPA will be binding unless in writing and signed by both Parties. Any standard preprinted or other terms and conditions included or referenced in the PECNA’s invoice(s) or other documents are excluded and shall not be part of this PPA.</w:t>
      </w:r>
    </w:p>
    <w:p>
      <w:pPr>
        <w:spacing w:after="0" w:line="115" w:lineRule="exact"/>
        <w:rPr>
          <w:rFonts w:ascii="Arial" w:cs="Arial" w:eastAsia="Arial" w:hAnsi="Arial"/>
          <w:sz w:val="18"/>
          <w:szCs w:val="18"/>
          <w:color w:val="auto"/>
        </w:rPr>
      </w:pPr>
    </w:p>
    <w:p>
      <w:pPr>
        <w:ind w:left="360" w:hanging="352"/>
        <w:spacing w:after="0"/>
        <w:tabs>
          <w:tab w:leader="none" w:pos="360" w:val="left"/>
        </w:tabs>
        <w:numPr>
          <w:ilvl w:val="0"/>
          <w:numId w:val="104"/>
        </w:numPr>
        <w:rPr>
          <w:rFonts w:ascii="Arial" w:cs="Arial" w:eastAsia="Arial" w:hAnsi="Arial"/>
          <w:sz w:val="20"/>
          <w:szCs w:val="20"/>
          <w:color w:val="auto"/>
        </w:rPr>
      </w:pPr>
      <w:r>
        <w:rPr>
          <w:rFonts w:ascii="Arial" w:cs="Arial" w:eastAsia="Arial" w:hAnsi="Arial"/>
          <w:sz w:val="20"/>
          <w:szCs w:val="20"/>
          <w:i w:val="1"/>
          <w:iCs w:val="1"/>
          <w:color w:val="auto"/>
        </w:rPr>
        <w:t>Payment terms</w:t>
      </w:r>
    </w:p>
    <w:p>
      <w:pPr>
        <w:spacing w:after="0" w:line="134" w:lineRule="exact"/>
        <w:rPr>
          <w:rFonts w:ascii="Arial" w:cs="Arial" w:eastAsia="Arial" w:hAnsi="Arial"/>
          <w:sz w:val="20"/>
          <w:szCs w:val="20"/>
          <w:color w:val="auto"/>
        </w:rPr>
      </w:pPr>
    </w:p>
    <w:p>
      <w:pPr>
        <w:ind w:left="1300" w:hanging="324"/>
        <w:spacing w:after="0" w:line="220" w:lineRule="auto"/>
        <w:rPr>
          <w:rFonts w:ascii="Arial" w:cs="Arial" w:eastAsia="Arial" w:hAnsi="Arial"/>
          <w:sz w:val="20"/>
          <w:szCs w:val="20"/>
          <w:color w:val="auto"/>
        </w:rPr>
      </w:pPr>
      <w:r>
        <w:rPr>
          <w:rFonts w:ascii="Arial" w:cs="Arial" w:eastAsia="Arial" w:hAnsi="Arial"/>
          <w:sz w:val="20"/>
          <w:szCs w:val="20"/>
          <w:color w:val="auto"/>
        </w:rPr>
        <w:t>a. Payment terms for this PPA will be determined through good faith discussions at the appropriate timing prior to the first delivery of the Products to Lucid with the intention to use the Parties’ best effort to reflect the payment terms agreed to in the production pricing agreement between Lucid and Panasonic Industrial Devices Sales Company of America, Division of Panasonic Corporation of North America dated as of December 1st, 2022.</w:t>
      </w:r>
    </w:p>
    <w:p>
      <w:pPr>
        <w:spacing w:after="0" w:line="345" w:lineRule="exact"/>
        <w:rPr>
          <w:sz w:val="20"/>
          <w:szCs w:val="20"/>
          <w:color w:val="auto"/>
        </w:rPr>
      </w:pPr>
    </w:p>
    <w:p>
      <w:pPr>
        <w:spacing w:after="0"/>
        <w:rPr>
          <w:sz w:val="20"/>
          <w:szCs w:val="20"/>
          <w:color w:val="auto"/>
        </w:rPr>
      </w:pPr>
      <w:r>
        <w:rPr>
          <w:rFonts w:ascii="Arial" w:cs="Arial" w:eastAsia="Arial" w:hAnsi="Arial"/>
          <w:sz w:val="19"/>
          <w:szCs w:val="19"/>
          <w:color w:val="auto"/>
        </w:rPr>
        <w:t>Agreed by authorized representatives of each Party and signed by them as of the date set forth above (the “</w:t>
      </w:r>
      <w:r>
        <w:rPr>
          <w:rFonts w:ascii="Arial" w:cs="Arial" w:eastAsia="Arial" w:hAnsi="Arial"/>
          <w:sz w:val="19"/>
          <w:szCs w:val="19"/>
          <w:u w:val="single" w:color="auto"/>
          <w:color w:val="auto"/>
        </w:rPr>
        <w:t>PPA Effective Date</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334645</wp:posOffset>
            </wp:positionV>
            <wp:extent cx="3385820" cy="179197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47">
                      <a:extLst>
                        <a:ext uri="{28A0092B-C50C-407E-A947-70E740481C1C}"/>
                      </a:extLst>
                    </a:blip>
                    <a:srcRect/>
                    <a:stretch>
                      <a:fillRect/>
                    </a:stretch>
                  </pic:blipFill>
                  <pic:spPr bwMode="auto">
                    <a:xfrm>
                      <a:off x="0" y="0"/>
                      <a:ext cx="3385820" cy="179197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p>
      <w:pPr>
        <w:spacing w:after="0" w:line="200" w:lineRule="exact"/>
        <w:rPr>
          <w:sz w:val="20"/>
          <w:szCs w:val="20"/>
          <w:color w:val="auto"/>
        </w:rPr>
      </w:pPr>
    </w:p>
    <w:p>
      <w:pPr>
        <w:spacing w:after="0" w:line="332" w:lineRule="exact"/>
        <w:rPr>
          <w:sz w:val="20"/>
          <w:szCs w:val="20"/>
          <w:color w:val="auto"/>
        </w:rPr>
      </w:pPr>
    </w:p>
    <w:p>
      <w:pPr>
        <w:ind w:left="580"/>
        <w:spacing w:after="0"/>
        <w:rPr>
          <w:sz w:val="20"/>
          <w:szCs w:val="20"/>
          <w:color w:val="auto"/>
        </w:rPr>
      </w:pPr>
      <w:r>
        <w:rPr>
          <w:rFonts w:ascii="Arial" w:cs="Arial" w:eastAsia="Arial" w:hAnsi="Arial"/>
          <w:sz w:val="19"/>
          <w:szCs w:val="19"/>
          <w:b w:val="1"/>
          <w:bCs w:val="1"/>
          <w:color w:val="auto"/>
        </w:rPr>
        <w:t>Panasonic Energy Corporation of North America</w:t>
      </w:r>
    </w:p>
    <w:p>
      <w:pPr>
        <w:spacing w:after="0" w:line="287" w:lineRule="exact"/>
        <w:rPr>
          <w:sz w:val="20"/>
          <w:szCs w:val="20"/>
          <w:color w:val="auto"/>
        </w:rPr>
      </w:pPr>
    </w:p>
    <w:tbl>
      <w:tblPr>
        <w:tblLayout w:type="fixed"/>
        <w:tblInd w:w="80" w:type="dxa"/>
        <w:tblCellMar>
          <w:top w:w="0" w:type="dxa"/>
          <w:left w:w="0" w:type="dxa"/>
          <w:bottom w:w="0" w:type="dxa"/>
          <w:right w:w="0" w:type="dxa"/>
        </w:tblCellMar>
      </w:tblPr>
      <w:tr>
        <w:trPr>
          <w:trHeight w:val="300"/>
        </w:trPr>
        <w:tc>
          <w:tcPr>
            <w:tcW w:w="1020" w:type="dxa"/>
            <w:vAlign w:val="bottom"/>
          </w:tcPr>
          <w:p>
            <w:pPr>
              <w:spacing w:after="0"/>
              <w:rPr>
                <w:sz w:val="20"/>
                <w:szCs w:val="20"/>
                <w:color w:val="auto"/>
              </w:rPr>
            </w:pPr>
            <w:r>
              <w:rPr>
                <w:rFonts w:ascii="Arial" w:cs="Arial" w:eastAsia="Arial" w:hAnsi="Arial"/>
                <w:sz w:val="20"/>
                <w:szCs w:val="20"/>
                <w:color w:val="auto"/>
              </w:rPr>
              <w:t>By:</w:t>
            </w:r>
          </w:p>
        </w:tc>
        <w:tc>
          <w:tcPr>
            <w:tcW w:w="3880" w:type="dxa"/>
            <w:vAlign w:val="bottom"/>
          </w:tcPr>
          <w:p>
            <w:pPr>
              <w:ind w:left="20"/>
              <w:spacing w:after="0"/>
              <w:rPr>
                <w:sz w:val="20"/>
                <w:szCs w:val="20"/>
                <w:color w:val="auto"/>
              </w:rPr>
            </w:pPr>
            <w:r>
              <w:rPr>
                <w:rFonts w:ascii="Arial" w:cs="Arial" w:eastAsia="Arial" w:hAnsi="Arial"/>
                <w:sz w:val="18"/>
                <w:szCs w:val="18"/>
                <w:color w:val="auto"/>
              </w:rPr>
              <w:t>/s/ Yasuaki Takamoto</w:t>
            </w:r>
          </w:p>
        </w:tc>
        <w:tc>
          <w:tcPr>
            <w:tcW w:w="0" w:type="dxa"/>
            <w:vAlign w:val="bottom"/>
          </w:tcPr>
          <w:p>
            <w:pPr>
              <w:spacing w:after="0"/>
              <w:rPr>
                <w:sz w:val="1"/>
                <w:szCs w:val="1"/>
                <w:color w:val="auto"/>
              </w:rPr>
            </w:pPr>
          </w:p>
        </w:tc>
      </w:tr>
      <w:tr>
        <w:trPr>
          <w:trHeight w:val="108"/>
        </w:trPr>
        <w:tc>
          <w:tcPr>
            <w:tcW w:w="1020" w:type="dxa"/>
            <w:vAlign w:val="bottom"/>
            <w:vMerge w:val="restart"/>
          </w:tcPr>
          <w:p>
            <w:pPr>
              <w:spacing w:after="0"/>
              <w:rPr>
                <w:sz w:val="20"/>
                <w:szCs w:val="20"/>
                <w:color w:val="auto"/>
              </w:rPr>
            </w:pPr>
            <w:r>
              <w:rPr>
                <w:rFonts w:ascii="Arial" w:cs="Arial" w:eastAsia="Arial" w:hAnsi="Arial"/>
                <w:sz w:val="20"/>
                <w:szCs w:val="20"/>
                <w:color w:val="auto"/>
              </w:rPr>
              <w:t>Printed:</w:t>
            </w:r>
          </w:p>
        </w:tc>
        <w:tc>
          <w:tcPr>
            <w:tcW w:w="38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54"/>
        </w:trPr>
        <w:tc>
          <w:tcPr>
            <w:tcW w:w="1020" w:type="dxa"/>
            <w:vAlign w:val="bottom"/>
            <w:vMerge w:val="continue"/>
          </w:tcPr>
          <w:p>
            <w:pPr>
              <w:spacing w:after="0"/>
              <w:rPr>
                <w:sz w:val="22"/>
                <w:szCs w:val="22"/>
                <w:color w:val="auto"/>
              </w:rPr>
            </w:pPr>
          </w:p>
        </w:tc>
        <w:tc>
          <w:tcPr>
            <w:tcW w:w="3880" w:type="dxa"/>
            <w:vAlign w:val="bottom"/>
            <w:vMerge w:val="restart"/>
          </w:tcPr>
          <w:p>
            <w:pPr>
              <w:ind w:left="60"/>
              <w:spacing w:after="0"/>
              <w:rPr>
                <w:sz w:val="20"/>
                <w:szCs w:val="20"/>
                <w:color w:val="auto"/>
              </w:rPr>
            </w:pPr>
            <w:r>
              <w:rPr>
                <w:rFonts w:ascii="Arial" w:cs="Arial" w:eastAsia="Arial" w:hAnsi="Arial"/>
                <w:sz w:val="18"/>
                <w:szCs w:val="18"/>
                <w:color w:val="auto"/>
              </w:rPr>
              <w:t>Yasuaki Takamoto</w:t>
            </w:r>
          </w:p>
        </w:tc>
        <w:tc>
          <w:tcPr>
            <w:tcW w:w="0" w:type="dxa"/>
            <w:vAlign w:val="bottom"/>
          </w:tcPr>
          <w:p>
            <w:pPr>
              <w:spacing w:after="0"/>
              <w:rPr>
                <w:sz w:val="1"/>
                <w:szCs w:val="1"/>
                <w:color w:val="auto"/>
              </w:rPr>
            </w:pPr>
          </w:p>
        </w:tc>
      </w:tr>
      <w:tr>
        <w:trPr>
          <w:trHeight w:val="77"/>
        </w:trPr>
        <w:tc>
          <w:tcPr>
            <w:tcW w:w="1020" w:type="dxa"/>
            <w:vAlign w:val="bottom"/>
          </w:tcPr>
          <w:p>
            <w:pPr>
              <w:spacing w:after="0"/>
              <w:rPr>
                <w:sz w:val="6"/>
                <w:szCs w:val="6"/>
                <w:color w:val="auto"/>
              </w:rPr>
            </w:pPr>
          </w:p>
        </w:tc>
        <w:tc>
          <w:tcPr>
            <w:tcW w:w="38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8"/>
        </w:trPr>
        <w:tc>
          <w:tcPr>
            <w:tcW w:w="1020" w:type="dxa"/>
            <w:vAlign w:val="bottom"/>
            <w:vMerge w:val="restart"/>
          </w:tcPr>
          <w:p>
            <w:pPr>
              <w:spacing w:after="0"/>
              <w:rPr>
                <w:sz w:val="20"/>
                <w:szCs w:val="20"/>
                <w:color w:val="auto"/>
              </w:rPr>
            </w:pPr>
            <w:r>
              <w:rPr>
                <w:rFonts w:ascii="Arial" w:cs="Arial" w:eastAsia="Arial" w:hAnsi="Arial"/>
                <w:sz w:val="20"/>
                <w:szCs w:val="20"/>
                <w:color w:val="auto"/>
              </w:rPr>
              <w:t>Title:</w:t>
            </w:r>
          </w:p>
        </w:tc>
        <w:tc>
          <w:tcPr>
            <w:tcW w:w="38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54"/>
        </w:trPr>
        <w:tc>
          <w:tcPr>
            <w:tcW w:w="1020" w:type="dxa"/>
            <w:vAlign w:val="bottom"/>
            <w:vMerge w:val="continue"/>
          </w:tcPr>
          <w:p>
            <w:pPr>
              <w:spacing w:after="0"/>
              <w:rPr>
                <w:sz w:val="22"/>
                <w:szCs w:val="22"/>
                <w:color w:val="auto"/>
              </w:rPr>
            </w:pPr>
          </w:p>
        </w:tc>
        <w:tc>
          <w:tcPr>
            <w:tcW w:w="3880" w:type="dxa"/>
            <w:vAlign w:val="bottom"/>
            <w:vMerge w:val="restart"/>
          </w:tcPr>
          <w:p>
            <w:pPr>
              <w:ind w:left="60"/>
              <w:spacing w:after="0"/>
              <w:rPr>
                <w:sz w:val="20"/>
                <w:szCs w:val="20"/>
                <w:color w:val="auto"/>
              </w:rPr>
            </w:pPr>
            <w:r>
              <w:rPr>
                <w:rFonts w:ascii="Arial" w:cs="Arial" w:eastAsia="Arial" w:hAnsi="Arial"/>
                <w:sz w:val="18"/>
                <w:szCs w:val="18"/>
                <w:color w:val="auto"/>
              </w:rPr>
              <w:t>President</w:t>
            </w:r>
          </w:p>
        </w:tc>
        <w:tc>
          <w:tcPr>
            <w:tcW w:w="0" w:type="dxa"/>
            <w:vAlign w:val="bottom"/>
          </w:tcPr>
          <w:p>
            <w:pPr>
              <w:spacing w:after="0"/>
              <w:rPr>
                <w:sz w:val="1"/>
                <w:szCs w:val="1"/>
                <w:color w:val="auto"/>
              </w:rPr>
            </w:pPr>
          </w:p>
        </w:tc>
      </w:tr>
      <w:tr>
        <w:trPr>
          <w:trHeight w:val="77"/>
        </w:trPr>
        <w:tc>
          <w:tcPr>
            <w:tcW w:w="1020" w:type="dxa"/>
            <w:vAlign w:val="bottom"/>
          </w:tcPr>
          <w:p>
            <w:pPr>
              <w:spacing w:after="0"/>
              <w:rPr>
                <w:sz w:val="6"/>
                <w:szCs w:val="6"/>
                <w:color w:val="auto"/>
              </w:rPr>
            </w:pPr>
          </w:p>
        </w:tc>
        <w:tc>
          <w:tcPr>
            <w:tcW w:w="38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8"/>
        </w:trPr>
        <w:tc>
          <w:tcPr>
            <w:tcW w:w="1020" w:type="dxa"/>
            <w:vAlign w:val="bottom"/>
            <w:vMerge w:val="restart"/>
          </w:tcPr>
          <w:p>
            <w:pPr>
              <w:spacing w:after="0"/>
              <w:rPr>
                <w:sz w:val="20"/>
                <w:szCs w:val="20"/>
                <w:color w:val="auto"/>
              </w:rPr>
            </w:pPr>
            <w:r>
              <w:rPr>
                <w:rFonts w:ascii="Arial" w:cs="Arial" w:eastAsia="Arial" w:hAnsi="Arial"/>
                <w:sz w:val="20"/>
                <w:szCs w:val="20"/>
                <w:color w:val="auto"/>
              </w:rPr>
              <w:t>Date:</w:t>
            </w:r>
          </w:p>
        </w:tc>
        <w:tc>
          <w:tcPr>
            <w:tcW w:w="38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54"/>
        </w:trPr>
        <w:tc>
          <w:tcPr>
            <w:tcW w:w="1020" w:type="dxa"/>
            <w:vAlign w:val="bottom"/>
            <w:vMerge w:val="continue"/>
          </w:tcPr>
          <w:p>
            <w:pPr>
              <w:spacing w:after="0"/>
              <w:rPr>
                <w:sz w:val="22"/>
                <w:szCs w:val="22"/>
                <w:color w:val="auto"/>
              </w:rPr>
            </w:pPr>
          </w:p>
        </w:tc>
        <w:tc>
          <w:tcPr>
            <w:tcW w:w="3880" w:type="dxa"/>
            <w:vAlign w:val="bottom"/>
            <w:vMerge w:val="restart"/>
          </w:tcPr>
          <w:p>
            <w:pPr>
              <w:ind w:left="60"/>
              <w:spacing w:after="0"/>
              <w:rPr>
                <w:sz w:val="20"/>
                <w:szCs w:val="20"/>
                <w:color w:val="auto"/>
              </w:rPr>
            </w:pPr>
            <w:r>
              <w:rPr>
                <w:rFonts w:ascii="Arial" w:cs="Arial" w:eastAsia="Arial" w:hAnsi="Arial"/>
                <w:sz w:val="18"/>
                <w:szCs w:val="18"/>
                <w:color w:val="auto"/>
              </w:rPr>
              <w:t>Dec 7, 2022</w:t>
            </w:r>
          </w:p>
        </w:tc>
        <w:tc>
          <w:tcPr>
            <w:tcW w:w="0" w:type="dxa"/>
            <w:vAlign w:val="bottom"/>
          </w:tcPr>
          <w:p>
            <w:pPr>
              <w:spacing w:after="0"/>
              <w:rPr>
                <w:sz w:val="1"/>
                <w:szCs w:val="1"/>
                <w:color w:val="auto"/>
              </w:rPr>
            </w:pPr>
          </w:p>
        </w:tc>
      </w:tr>
      <w:tr>
        <w:trPr>
          <w:trHeight w:val="77"/>
        </w:trPr>
        <w:tc>
          <w:tcPr>
            <w:tcW w:w="1020" w:type="dxa"/>
            <w:vAlign w:val="bottom"/>
          </w:tcPr>
          <w:p>
            <w:pPr>
              <w:spacing w:after="0"/>
              <w:rPr>
                <w:sz w:val="6"/>
                <w:szCs w:val="6"/>
                <w:color w:val="auto"/>
              </w:rPr>
            </w:pPr>
          </w:p>
        </w:tc>
        <w:tc>
          <w:tcPr>
            <w:tcW w:w="38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8"/>
        </w:trPr>
        <w:tc>
          <w:tcPr>
            <w:tcW w:w="1020" w:type="dxa"/>
            <w:vAlign w:val="bottom"/>
          </w:tcPr>
          <w:p>
            <w:pPr>
              <w:spacing w:after="0"/>
              <w:rPr>
                <w:sz w:val="9"/>
                <w:szCs w:val="9"/>
                <w:color w:val="auto"/>
              </w:rPr>
            </w:pPr>
          </w:p>
        </w:tc>
        <w:tc>
          <w:tcPr>
            <w:tcW w:w="38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340"/>
        <w:spacing w:after="0"/>
        <w:rPr>
          <w:sz w:val="20"/>
          <w:szCs w:val="20"/>
          <w:color w:val="auto"/>
        </w:rPr>
      </w:pPr>
      <w:r>
        <w:rPr>
          <w:rFonts w:ascii="Arial" w:cs="Arial" w:eastAsia="Arial" w:hAnsi="Arial"/>
          <w:sz w:val="20"/>
          <w:szCs w:val="20"/>
          <w:color w:val="auto"/>
        </w:rPr>
        <w:t>This PPA incorporates the following Exhibits:</w:t>
      </w:r>
    </w:p>
    <w:p>
      <w:pPr>
        <w:spacing w:after="0" w:line="56"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Exhibit A</w:t>
      </w:r>
      <w:r>
        <w:rPr>
          <w:rFonts w:ascii="Arial" w:cs="Arial" w:eastAsia="Arial" w:hAnsi="Arial"/>
          <w:sz w:val="20"/>
          <w:szCs w:val="20"/>
          <w:color w:val="auto"/>
        </w:rPr>
        <w:t>: Product and Price</w:t>
      </w:r>
    </w:p>
    <w:p>
      <w:pPr>
        <w:spacing w:after="0" w:line="207" w:lineRule="auto"/>
        <w:rPr>
          <w:sz w:val="20"/>
          <w:szCs w:val="20"/>
          <w:color w:val="auto"/>
        </w:rPr>
      </w:pPr>
      <w:r>
        <w:rPr>
          <w:rFonts w:ascii="Arial" w:cs="Arial" w:eastAsia="Arial" w:hAnsi="Arial"/>
          <w:sz w:val="19"/>
          <w:szCs w:val="19"/>
          <w:u w:val="single" w:color="auto"/>
          <w:color w:val="auto"/>
        </w:rPr>
        <w:t>Exhibit B</w:t>
      </w:r>
      <w:r>
        <w:rPr>
          <w:rFonts w:ascii="Arial" w:cs="Arial" w:eastAsia="Arial" w:hAnsi="Arial"/>
          <w:sz w:val="19"/>
          <w:szCs w:val="19"/>
          <w:color w:val="auto"/>
        </w:rPr>
        <w:t>: Raw material and exchange price adjustments</w:t>
      </w:r>
    </w:p>
    <w:p>
      <w:pPr>
        <w:spacing w:after="0" w:line="211" w:lineRule="auto"/>
        <w:rPr>
          <w:sz w:val="20"/>
          <w:szCs w:val="20"/>
          <w:color w:val="auto"/>
        </w:rPr>
      </w:pPr>
      <w:r>
        <w:rPr>
          <w:rFonts w:ascii="Arial" w:cs="Arial" w:eastAsia="Arial" w:hAnsi="Arial"/>
          <w:sz w:val="20"/>
          <w:szCs w:val="20"/>
          <w:u w:val="single" w:color="auto"/>
          <w:color w:val="auto"/>
        </w:rPr>
        <w:t>Exhibit C</w:t>
      </w:r>
      <w:r>
        <w:rPr>
          <w:rFonts w:ascii="Arial" w:cs="Arial" w:eastAsia="Arial" w:hAnsi="Arial"/>
          <w:sz w:val="20"/>
          <w:szCs w:val="20"/>
          <w:color w:val="auto"/>
        </w:rPr>
        <w:t>: Volume Forecast</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Exhibit D</w:t>
      </w:r>
      <w:r>
        <w:rPr>
          <w:rFonts w:ascii="Arial" w:cs="Arial" w:eastAsia="Arial" w:hAnsi="Arial"/>
          <w:sz w:val="20"/>
          <w:szCs w:val="20"/>
          <w:color w:val="auto"/>
        </w:rPr>
        <w:t>: Performance Metrics</w:t>
      </w:r>
    </w:p>
    <w:p>
      <w:pPr>
        <w:spacing w:after="0" w:line="65"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Exhibit E</w:t>
      </w:r>
      <w:r>
        <w:rPr>
          <w:rFonts w:ascii="Arial" w:cs="Arial" w:eastAsia="Arial" w:hAnsi="Arial"/>
          <w:sz w:val="20"/>
          <w:szCs w:val="20"/>
          <w:color w:val="auto"/>
        </w:rPr>
        <w:t>: Lucid Pre-payment</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Exhibit F</w:t>
      </w:r>
      <w:r>
        <w:rPr>
          <w:rFonts w:ascii="Arial" w:cs="Arial" w:eastAsia="Arial" w:hAnsi="Arial"/>
          <w:sz w:val="20"/>
          <w:szCs w:val="20"/>
          <w:color w:val="auto"/>
        </w:rPr>
        <w:t>: BOM Cost</w:t>
      </w:r>
    </w:p>
    <w:p>
      <w:pPr>
        <w:spacing w:after="0" w:line="81"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Exhibit G</w:t>
      </w:r>
      <w:r>
        <w:rPr>
          <w:rFonts w:ascii="Arial" w:cs="Arial" w:eastAsia="Arial" w:hAnsi="Arial"/>
          <w:sz w:val="20"/>
          <w:szCs w:val="20"/>
          <w:color w:val="auto"/>
        </w:rPr>
        <w:t>: Inflation Reduction Act (IRA)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7" w:lineRule="exact"/>
        <w:rPr>
          <w:sz w:val="20"/>
          <w:szCs w:val="20"/>
          <w:color w:val="auto"/>
        </w:rPr>
      </w:pPr>
    </w:p>
    <w:p>
      <w:pPr>
        <w:spacing w:after="0" w:line="1" w:lineRule="exact"/>
        <w:rPr>
          <w:sz w:val="1"/>
          <w:szCs w:val="1"/>
          <w:color w:val="auto"/>
        </w:rPr>
      </w:pPr>
    </w:p>
    <w:tbl>
      <w:tblPr>
        <w:tblLayout w:type="fixed"/>
        <w:tblInd w:w="10" w:type="dxa"/>
        <w:tblCellMar>
          <w:top w:w="0" w:type="dxa"/>
          <w:left w:w="0" w:type="dxa"/>
          <w:bottom w:w="0" w:type="dxa"/>
          <w:right w:w="0" w:type="dxa"/>
        </w:tblCellMar>
      </w:tblPr>
      <w:tr>
        <w:trPr>
          <w:trHeight w:val="288"/>
        </w:trPr>
        <w:tc>
          <w:tcPr>
            <w:tcW w:w="1100" w:type="dxa"/>
            <w:vAlign w:val="bottom"/>
            <w:tcBorders>
              <w:top w:val="single" w:sz="8" w:color="auto"/>
              <w:left w:val="single" w:sz="8" w:color="auto"/>
            </w:tcBorders>
          </w:tcPr>
          <w:p>
            <w:pPr>
              <w:spacing w:after="0"/>
              <w:rPr>
                <w:sz w:val="24"/>
                <w:szCs w:val="24"/>
                <w:color w:val="auto"/>
              </w:rPr>
            </w:pPr>
          </w:p>
        </w:tc>
        <w:tc>
          <w:tcPr>
            <w:tcW w:w="4260" w:type="dxa"/>
            <w:vAlign w:val="bottom"/>
            <w:tcBorders>
              <w:top w:val="single" w:sz="8" w:color="auto"/>
              <w:right w:val="single" w:sz="8" w:color="auto"/>
            </w:tcBorders>
            <w:gridSpan w:val="2"/>
          </w:tcPr>
          <w:p>
            <w:pPr>
              <w:ind w:left="900"/>
              <w:spacing w:after="0"/>
              <w:rPr>
                <w:sz w:val="20"/>
                <w:szCs w:val="20"/>
                <w:color w:val="auto"/>
              </w:rPr>
            </w:pPr>
            <w:r>
              <w:rPr>
                <w:rFonts w:ascii="Arial" w:cs="Arial" w:eastAsia="Arial" w:hAnsi="Arial"/>
                <w:sz w:val="20"/>
                <w:szCs w:val="20"/>
                <w:b w:val="1"/>
                <w:bCs w:val="1"/>
                <w:color w:val="auto"/>
              </w:rPr>
              <w:t>Lucid USA, Inc.</w:t>
            </w:r>
          </w:p>
        </w:tc>
        <w:tc>
          <w:tcPr>
            <w:tcW w:w="0" w:type="dxa"/>
            <w:vAlign w:val="bottom"/>
          </w:tcPr>
          <w:p>
            <w:pPr>
              <w:spacing w:after="0"/>
              <w:rPr>
                <w:sz w:val="1"/>
                <w:szCs w:val="1"/>
                <w:color w:val="auto"/>
              </w:rPr>
            </w:pPr>
          </w:p>
        </w:tc>
      </w:tr>
      <w:tr>
        <w:trPr>
          <w:trHeight w:val="522"/>
        </w:trPr>
        <w:tc>
          <w:tcPr>
            <w:tcW w:w="1100" w:type="dxa"/>
            <w:vAlign w:val="bottom"/>
            <w:tcBorders>
              <w:left w:val="single" w:sz="8" w:color="auto"/>
            </w:tcBorders>
          </w:tcPr>
          <w:p>
            <w:pPr>
              <w:ind w:left="80"/>
              <w:spacing w:after="0"/>
              <w:rPr>
                <w:sz w:val="20"/>
                <w:szCs w:val="20"/>
                <w:color w:val="auto"/>
              </w:rPr>
            </w:pPr>
            <w:r>
              <w:rPr>
                <w:rFonts w:ascii="Arial" w:cs="Arial" w:eastAsia="Arial" w:hAnsi="Arial"/>
                <w:sz w:val="20"/>
                <w:szCs w:val="20"/>
                <w:color w:val="auto"/>
              </w:rPr>
              <w:t>By:</w:t>
            </w:r>
          </w:p>
        </w:tc>
        <w:tc>
          <w:tcPr>
            <w:tcW w:w="426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/s/ Sherry House</w:t>
            </w:r>
          </w:p>
        </w:tc>
        <w:tc>
          <w:tcPr>
            <w:tcW w:w="0" w:type="dxa"/>
            <w:vAlign w:val="bottom"/>
          </w:tcPr>
          <w:p>
            <w:pPr>
              <w:spacing w:after="0"/>
              <w:rPr>
                <w:sz w:val="1"/>
                <w:szCs w:val="1"/>
                <w:color w:val="auto"/>
              </w:rPr>
            </w:pPr>
          </w:p>
        </w:tc>
      </w:tr>
      <w:tr>
        <w:trPr>
          <w:trHeight w:val="108"/>
        </w:trPr>
        <w:tc>
          <w:tcPr>
            <w:tcW w:w="1100" w:type="dxa"/>
            <w:vAlign w:val="bottom"/>
            <w:tcBorders>
              <w:left w:val="single" w:sz="8" w:color="auto"/>
            </w:tcBorders>
            <w:vMerge w:val="restart"/>
          </w:tcPr>
          <w:p>
            <w:pPr>
              <w:ind w:left="80"/>
              <w:spacing w:after="0"/>
              <w:rPr>
                <w:sz w:val="20"/>
                <w:szCs w:val="20"/>
                <w:color w:val="auto"/>
              </w:rPr>
            </w:pPr>
            <w:r>
              <w:rPr>
                <w:rFonts w:ascii="Arial" w:cs="Arial" w:eastAsia="Arial" w:hAnsi="Arial"/>
                <w:sz w:val="20"/>
                <w:szCs w:val="20"/>
                <w:color w:val="auto"/>
              </w:rPr>
              <w:t>Printed:</w:t>
            </w:r>
          </w:p>
        </w:tc>
        <w:tc>
          <w:tcPr>
            <w:tcW w:w="3880" w:type="dxa"/>
            <w:vAlign w:val="bottom"/>
            <w:tcBorders>
              <w:bottom w:val="single" w:sz="8" w:color="auto"/>
            </w:tcBorders>
          </w:tcPr>
          <w:p>
            <w:pPr>
              <w:spacing w:after="0"/>
              <w:rPr>
                <w:sz w:val="9"/>
                <w:szCs w:val="9"/>
                <w:color w:val="auto"/>
              </w:rPr>
            </w:pPr>
          </w:p>
        </w:tc>
        <w:tc>
          <w:tcPr>
            <w:tcW w:w="3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54"/>
        </w:trPr>
        <w:tc>
          <w:tcPr>
            <w:tcW w:w="1100" w:type="dxa"/>
            <w:vAlign w:val="bottom"/>
            <w:tcBorders>
              <w:left w:val="single" w:sz="8" w:color="auto"/>
            </w:tcBorders>
            <w:vMerge w:val="continue"/>
          </w:tcPr>
          <w:p>
            <w:pPr>
              <w:spacing w:after="0"/>
              <w:rPr>
                <w:sz w:val="22"/>
                <w:szCs w:val="22"/>
                <w:color w:val="auto"/>
              </w:rPr>
            </w:pPr>
          </w:p>
        </w:tc>
        <w:tc>
          <w:tcPr>
            <w:tcW w:w="4260" w:type="dxa"/>
            <w:vAlign w:val="bottom"/>
            <w:tcBorders>
              <w:right w:val="single" w:sz="8" w:color="auto"/>
            </w:tcBorders>
            <w:gridSpan w:val="2"/>
            <w:vMerge w:val="restart"/>
          </w:tcPr>
          <w:p>
            <w:pPr>
              <w:ind w:left="80"/>
              <w:spacing w:after="0"/>
              <w:rPr>
                <w:sz w:val="20"/>
                <w:szCs w:val="20"/>
                <w:color w:val="auto"/>
              </w:rPr>
            </w:pPr>
            <w:r>
              <w:rPr>
                <w:rFonts w:ascii="Arial" w:cs="Arial" w:eastAsia="Arial" w:hAnsi="Arial"/>
                <w:sz w:val="18"/>
                <w:szCs w:val="18"/>
                <w:color w:val="auto"/>
              </w:rPr>
              <w:t>Sherry House</w:t>
            </w:r>
          </w:p>
        </w:tc>
        <w:tc>
          <w:tcPr>
            <w:tcW w:w="0" w:type="dxa"/>
            <w:vAlign w:val="bottom"/>
          </w:tcPr>
          <w:p>
            <w:pPr>
              <w:spacing w:after="0"/>
              <w:rPr>
                <w:sz w:val="1"/>
                <w:szCs w:val="1"/>
                <w:color w:val="auto"/>
              </w:rPr>
            </w:pPr>
          </w:p>
        </w:tc>
      </w:tr>
      <w:tr>
        <w:trPr>
          <w:trHeight w:val="77"/>
        </w:trPr>
        <w:tc>
          <w:tcPr>
            <w:tcW w:w="1100" w:type="dxa"/>
            <w:vAlign w:val="bottom"/>
            <w:tcBorders>
              <w:left w:val="single" w:sz="8" w:color="auto"/>
            </w:tcBorders>
          </w:tcPr>
          <w:p>
            <w:pPr>
              <w:spacing w:after="0"/>
              <w:rPr>
                <w:sz w:val="6"/>
                <w:szCs w:val="6"/>
                <w:color w:val="auto"/>
              </w:rPr>
            </w:pPr>
          </w:p>
        </w:tc>
        <w:tc>
          <w:tcPr>
            <w:tcW w:w="4260" w:type="dxa"/>
            <w:vAlign w:val="bottom"/>
            <w:tcBorders>
              <w:right w:val="single" w:sz="8" w:color="auto"/>
            </w:tcBorders>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8"/>
        </w:trPr>
        <w:tc>
          <w:tcPr>
            <w:tcW w:w="1100" w:type="dxa"/>
            <w:vAlign w:val="bottom"/>
            <w:tcBorders>
              <w:left w:val="single" w:sz="8" w:color="auto"/>
            </w:tcBorders>
            <w:vMerge w:val="restart"/>
          </w:tcPr>
          <w:p>
            <w:pPr>
              <w:ind w:left="80"/>
              <w:spacing w:after="0"/>
              <w:rPr>
                <w:sz w:val="20"/>
                <w:szCs w:val="20"/>
                <w:color w:val="auto"/>
              </w:rPr>
            </w:pPr>
            <w:r>
              <w:rPr>
                <w:rFonts w:ascii="Arial" w:cs="Arial" w:eastAsia="Arial" w:hAnsi="Arial"/>
                <w:sz w:val="20"/>
                <w:szCs w:val="20"/>
                <w:color w:val="auto"/>
              </w:rPr>
              <w:t>Title:</w:t>
            </w:r>
          </w:p>
        </w:tc>
        <w:tc>
          <w:tcPr>
            <w:tcW w:w="3880" w:type="dxa"/>
            <w:vAlign w:val="bottom"/>
            <w:tcBorders>
              <w:bottom w:val="single" w:sz="8" w:color="auto"/>
            </w:tcBorders>
          </w:tcPr>
          <w:p>
            <w:pPr>
              <w:spacing w:after="0"/>
              <w:rPr>
                <w:sz w:val="9"/>
                <w:szCs w:val="9"/>
                <w:color w:val="auto"/>
              </w:rPr>
            </w:pPr>
          </w:p>
        </w:tc>
        <w:tc>
          <w:tcPr>
            <w:tcW w:w="3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54"/>
        </w:trPr>
        <w:tc>
          <w:tcPr>
            <w:tcW w:w="1100" w:type="dxa"/>
            <w:vAlign w:val="bottom"/>
            <w:tcBorders>
              <w:left w:val="single" w:sz="8" w:color="auto"/>
            </w:tcBorders>
            <w:vMerge w:val="continue"/>
          </w:tcPr>
          <w:p>
            <w:pPr>
              <w:spacing w:after="0"/>
              <w:rPr>
                <w:sz w:val="22"/>
                <w:szCs w:val="22"/>
                <w:color w:val="auto"/>
              </w:rPr>
            </w:pPr>
          </w:p>
        </w:tc>
        <w:tc>
          <w:tcPr>
            <w:tcW w:w="4260" w:type="dxa"/>
            <w:vAlign w:val="bottom"/>
            <w:tcBorders>
              <w:right w:val="single" w:sz="8" w:color="auto"/>
            </w:tcBorders>
            <w:gridSpan w:val="2"/>
            <w:vMerge w:val="restart"/>
          </w:tcPr>
          <w:p>
            <w:pPr>
              <w:ind w:left="80"/>
              <w:spacing w:after="0"/>
              <w:rPr>
                <w:sz w:val="20"/>
                <w:szCs w:val="20"/>
                <w:color w:val="auto"/>
              </w:rPr>
            </w:pPr>
            <w:r>
              <w:rPr>
                <w:rFonts w:ascii="Arial" w:cs="Arial" w:eastAsia="Arial" w:hAnsi="Arial"/>
                <w:sz w:val="18"/>
                <w:szCs w:val="18"/>
                <w:color w:val="auto"/>
              </w:rPr>
              <w:t>Chief Financial Officer</w:t>
            </w:r>
          </w:p>
        </w:tc>
        <w:tc>
          <w:tcPr>
            <w:tcW w:w="0" w:type="dxa"/>
            <w:vAlign w:val="bottom"/>
          </w:tcPr>
          <w:p>
            <w:pPr>
              <w:spacing w:after="0"/>
              <w:rPr>
                <w:sz w:val="1"/>
                <w:szCs w:val="1"/>
                <w:color w:val="auto"/>
              </w:rPr>
            </w:pPr>
          </w:p>
        </w:tc>
      </w:tr>
      <w:tr>
        <w:trPr>
          <w:trHeight w:val="77"/>
        </w:trPr>
        <w:tc>
          <w:tcPr>
            <w:tcW w:w="1100" w:type="dxa"/>
            <w:vAlign w:val="bottom"/>
            <w:tcBorders>
              <w:left w:val="single" w:sz="8" w:color="auto"/>
            </w:tcBorders>
          </w:tcPr>
          <w:p>
            <w:pPr>
              <w:spacing w:after="0"/>
              <w:rPr>
                <w:sz w:val="6"/>
                <w:szCs w:val="6"/>
                <w:color w:val="auto"/>
              </w:rPr>
            </w:pPr>
          </w:p>
        </w:tc>
        <w:tc>
          <w:tcPr>
            <w:tcW w:w="4260" w:type="dxa"/>
            <w:vAlign w:val="bottom"/>
            <w:tcBorders>
              <w:right w:val="single" w:sz="8" w:color="auto"/>
            </w:tcBorders>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8"/>
        </w:trPr>
        <w:tc>
          <w:tcPr>
            <w:tcW w:w="1100" w:type="dxa"/>
            <w:vAlign w:val="bottom"/>
            <w:tcBorders>
              <w:left w:val="single" w:sz="8" w:color="auto"/>
            </w:tcBorders>
            <w:vMerge w:val="restart"/>
          </w:tcPr>
          <w:p>
            <w:pPr>
              <w:ind w:left="80"/>
              <w:spacing w:after="0"/>
              <w:rPr>
                <w:sz w:val="20"/>
                <w:szCs w:val="20"/>
                <w:color w:val="auto"/>
              </w:rPr>
            </w:pPr>
            <w:r>
              <w:rPr>
                <w:rFonts w:ascii="Arial" w:cs="Arial" w:eastAsia="Arial" w:hAnsi="Arial"/>
                <w:sz w:val="20"/>
                <w:szCs w:val="20"/>
                <w:color w:val="auto"/>
              </w:rPr>
              <w:t>Date:</w:t>
            </w:r>
          </w:p>
        </w:tc>
        <w:tc>
          <w:tcPr>
            <w:tcW w:w="3880" w:type="dxa"/>
            <w:vAlign w:val="bottom"/>
            <w:tcBorders>
              <w:bottom w:val="single" w:sz="8" w:color="auto"/>
            </w:tcBorders>
          </w:tcPr>
          <w:p>
            <w:pPr>
              <w:spacing w:after="0"/>
              <w:rPr>
                <w:sz w:val="9"/>
                <w:szCs w:val="9"/>
                <w:color w:val="auto"/>
              </w:rPr>
            </w:pPr>
          </w:p>
        </w:tc>
        <w:tc>
          <w:tcPr>
            <w:tcW w:w="3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54"/>
        </w:trPr>
        <w:tc>
          <w:tcPr>
            <w:tcW w:w="1100" w:type="dxa"/>
            <w:vAlign w:val="bottom"/>
            <w:tcBorders>
              <w:left w:val="single" w:sz="8" w:color="auto"/>
            </w:tcBorders>
            <w:vMerge w:val="continue"/>
          </w:tcPr>
          <w:p>
            <w:pPr>
              <w:spacing w:after="0"/>
              <w:rPr>
                <w:sz w:val="22"/>
                <w:szCs w:val="22"/>
                <w:color w:val="auto"/>
              </w:rPr>
            </w:pPr>
          </w:p>
        </w:tc>
        <w:tc>
          <w:tcPr>
            <w:tcW w:w="3880" w:type="dxa"/>
            <w:vAlign w:val="bottom"/>
            <w:vMerge w:val="restart"/>
          </w:tcPr>
          <w:p>
            <w:pPr>
              <w:ind w:left="80"/>
              <w:spacing w:after="0"/>
              <w:rPr>
                <w:sz w:val="20"/>
                <w:szCs w:val="20"/>
                <w:color w:val="auto"/>
              </w:rPr>
            </w:pPr>
            <w:r>
              <w:rPr>
                <w:rFonts w:ascii="Arial" w:cs="Arial" w:eastAsia="Arial" w:hAnsi="Arial"/>
                <w:sz w:val="18"/>
                <w:szCs w:val="18"/>
                <w:color w:val="auto"/>
              </w:rPr>
              <w:t>12/12/2022</w:t>
            </w:r>
          </w:p>
        </w:tc>
        <w:tc>
          <w:tcPr>
            <w:tcW w:w="38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77"/>
        </w:trPr>
        <w:tc>
          <w:tcPr>
            <w:tcW w:w="1100" w:type="dxa"/>
            <w:vAlign w:val="bottom"/>
            <w:tcBorders>
              <w:left w:val="single" w:sz="8" w:color="auto"/>
            </w:tcBorders>
          </w:tcPr>
          <w:p>
            <w:pPr>
              <w:spacing w:after="0"/>
              <w:rPr>
                <w:sz w:val="6"/>
                <w:szCs w:val="6"/>
                <w:color w:val="auto"/>
              </w:rPr>
            </w:pPr>
          </w:p>
        </w:tc>
        <w:tc>
          <w:tcPr>
            <w:tcW w:w="3880" w:type="dxa"/>
            <w:vAlign w:val="bottom"/>
            <w:vMerge w:val="continue"/>
          </w:tcPr>
          <w:p>
            <w:pPr>
              <w:spacing w:after="0"/>
              <w:rPr>
                <w:sz w:val="6"/>
                <w:szCs w:val="6"/>
                <w:color w:val="auto"/>
              </w:rPr>
            </w:pPr>
          </w:p>
        </w:tc>
        <w:tc>
          <w:tcPr>
            <w:tcW w:w="3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8"/>
        </w:trPr>
        <w:tc>
          <w:tcPr>
            <w:tcW w:w="1100" w:type="dxa"/>
            <w:vAlign w:val="bottom"/>
            <w:tcBorders>
              <w:left w:val="single" w:sz="8" w:color="auto"/>
            </w:tcBorders>
          </w:tcPr>
          <w:p>
            <w:pPr>
              <w:spacing w:after="0"/>
              <w:rPr>
                <w:sz w:val="9"/>
                <w:szCs w:val="9"/>
                <w:color w:val="auto"/>
              </w:rPr>
            </w:pPr>
          </w:p>
        </w:tc>
        <w:tc>
          <w:tcPr>
            <w:tcW w:w="3880" w:type="dxa"/>
            <w:vAlign w:val="bottom"/>
            <w:tcBorders>
              <w:bottom w:val="single" w:sz="8" w:color="auto"/>
            </w:tcBorders>
          </w:tcPr>
          <w:p>
            <w:pPr>
              <w:spacing w:after="0"/>
              <w:rPr>
                <w:sz w:val="9"/>
                <w:szCs w:val="9"/>
                <w:color w:val="auto"/>
              </w:rPr>
            </w:pPr>
          </w:p>
        </w:tc>
        <w:tc>
          <w:tcPr>
            <w:tcW w:w="3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493"/>
        </w:trPr>
        <w:tc>
          <w:tcPr>
            <w:tcW w:w="1100" w:type="dxa"/>
            <w:vAlign w:val="bottom"/>
            <w:tcBorders>
              <w:left w:val="single" w:sz="8" w:color="auto"/>
              <w:bottom w:val="single" w:sz="8" w:color="auto"/>
            </w:tcBorders>
          </w:tcPr>
          <w:p>
            <w:pPr>
              <w:spacing w:after="0"/>
              <w:rPr>
                <w:sz w:val="24"/>
                <w:szCs w:val="24"/>
                <w:color w:val="auto"/>
              </w:rPr>
            </w:pPr>
          </w:p>
        </w:tc>
        <w:tc>
          <w:tcPr>
            <w:tcW w:w="3880" w:type="dxa"/>
            <w:vAlign w:val="bottom"/>
            <w:tcBorders>
              <w:bottom w:val="single" w:sz="8" w:color="auto"/>
            </w:tcBorders>
          </w:tcPr>
          <w:p>
            <w:pPr>
              <w:spacing w:after="0"/>
              <w:rPr>
                <w:sz w:val="24"/>
                <w:szCs w:val="24"/>
                <w:color w:val="auto"/>
              </w:rPr>
            </w:pPr>
          </w:p>
        </w:tc>
        <w:tc>
          <w:tcPr>
            <w:tcW w:w="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-3651885</wp:posOffset>
            </wp:positionH>
            <wp:positionV relativeFrom="paragraph">
              <wp:posOffset>2948940</wp:posOffset>
            </wp:positionV>
            <wp:extent cx="713232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4004" w:lineRule="exact"/>
        <w:rPr>
          <w:sz w:val="20"/>
          <w:szCs w:val="20"/>
          <w:color w:val="auto"/>
        </w:rPr>
      </w:pPr>
    </w:p>
    <w:p>
      <w:pPr>
        <w:sectPr>
          <w:pgSz w:w="11900" w:h="16838" w:orient="portrait"/>
          <w:cols w:equalWidth="0" w:num="2">
            <w:col w:w="5040" w:space="720"/>
            <w:col w:w="5460"/>
          </w:cols>
          <w:pgMar w:left="320" w:top="1440"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tabs>
          <w:tab w:leader="none" w:pos="4980" w:val="left"/>
        </w:tabs>
        <w:rPr>
          <w:sz w:val="20"/>
          <w:szCs w:val="20"/>
          <w:color w:val="auto"/>
        </w:rPr>
      </w:pPr>
      <w:r>
        <w:rPr>
          <w:rFonts w:ascii="Arial" w:cs="Arial" w:eastAsia="Arial" w:hAnsi="Arial"/>
          <w:sz w:val="20"/>
          <w:szCs w:val="20"/>
          <w:color w:val="auto"/>
        </w:rPr>
        <w:t>Production Pricing Agreement (Standard), ver. January 2021</w:t>
      </w:r>
      <w:r>
        <w:rPr>
          <w:sz w:val="20"/>
          <w:szCs w:val="20"/>
          <w:color w:val="auto"/>
        </w:rPr>
        <w:tab/>
      </w:r>
      <w:r>
        <w:rPr>
          <w:rFonts w:ascii="Arial" w:cs="Arial" w:eastAsia="Arial" w:hAnsi="Arial"/>
          <w:sz w:val="16"/>
          <w:szCs w:val="16"/>
          <w:color w:val="auto"/>
        </w:rPr>
        <w:t xml:space="preserve">Page </w:t>
      </w:r>
      <w:r>
        <w:rPr>
          <w:rFonts w:ascii="Arial" w:cs="Arial" w:eastAsia="Arial" w:hAnsi="Arial"/>
          <w:sz w:val="16"/>
          <w:szCs w:val="16"/>
          <w:b w:val="1"/>
          <w:bCs w:val="1"/>
          <w:color w:val="auto"/>
        </w:rPr>
        <w:t>2</w:t>
      </w:r>
      <w:r>
        <w:rPr>
          <w:rFonts w:ascii="Arial" w:cs="Arial" w:eastAsia="Arial" w:hAnsi="Arial"/>
          <w:sz w:val="16"/>
          <w:szCs w:val="16"/>
          <w:color w:val="auto"/>
        </w:rPr>
        <w:t xml:space="preserve"> of </w:t>
      </w:r>
      <w:r>
        <w:rPr>
          <w:rFonts w:ascii="Arial" w:cs="Arial" w:eastAsia="Arial" w:hAnsi="Arial"/>
          <w:sz w:val="16"/>
          <w:szCs w:val="16"/>
          <w:b w:val="1"/>
          <w:bCs w:val="1"/>
          <w:color w:val="auto"/>
        </w:rPr>
        <w:t>8</w:t>
      </w:r>
    </w:p>
    <w:p>
      <w:pPr>
        <w:sectPr>
          <w:pgSz w:w="11900" w:h="16838" w:orient="portrait"/>
          <w:cols w:equalWidth="0" w:num="1">
            <w:col w:w="11220"/>
          </w:cols>
          <w:pgMar w:left="320" w:top="1440" w:right="359" w:bottom="1440" w:gutter="0" w:footer="0" w:header="0"/>
          <w:type w:val="continuous"/>
        </w:sectPr>
      </w:pPr>
    </w:p>
    <w:bookmarkStart w:id="169" w:name="page170"/>
    <w:bookmarkEnd w:id="169"/>
    <w:p>
      <w:pPr>
        <w:spacing w:after="0"/>
        <w:rPr>
          <w:sz w:val="20"/>
          <w:szCs w:val="20"/>
          <w:color w:val="auto"/>
        </w:rPr>
      </w:pPr>
      <w:r>
        <w:rPr>
          <w:rFonts w:ascii="Arial" w:cs="Arial" w:eastAsia="Arial" w:hAnsi="Arial"/>
          <w:sz w:val="20"/>
          <w:szCs w:val="20"/>
          <w:b w:val="1"/>
          <w:bCs w:val="1"/>
          <w:u w:val="single" w:color="auto"/>
          <w:color w:val="auto"/>
        </w:rPr>
        <w:t>Exhibit A: Product and Price</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691515</wp:posOffset>
            </wp:positionV>
            <wp:extent cx="713232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tabs>
          <w:tab w:leader="none" w:pos="4980" w:val="left"/>
        </w:tabs>
        <w:rPr>
          <w:sz w:val="20"/>
          <w:szCs w:val="20"/>
          <w:color w:val="auto"/>
        </w:rPr>
      </w:pPr>
      <w:r>
        <w:rPr>
          <w:rFonts w:ascii="Arial" w:cs="Arial" w:eastAsia="Arial" w:hAnsi="Arial"/>
          <w:sz w:val="20"/>
          <w:szCs w:val="20"/>
          <w:color w:val="auto"/>
        </w:rPr>
        <w:t>Production Pricing Agreement (Standard), ver. January 2021</w:t>
      </w:r>
      <w:r>
        <w:rPr>
          <w:sz w:val="20"/>
          <w:szCs w:val="20"/>
          <w:color w:val="auto"/>
        </w:rPr>
        <w:tab/>
      </w:r>
      <w:r>
        <w:rPr>
          <w:rFonts w:ascii="Arial" w:cs="Arial" w:eastAsia="Arial" w:hAnsi="Arial"/>
          <w:sz w:val="16"/>
          <w:szCs w:val="16"/>
          <w:color w:val="auto"/>
        </w:rPr>
        <w:t xml:space="preserve">Page </w:t>
      </w:r>
      <w:r>
        <w:rPr>
          <w:rFonts w:ascii="Arial" w:cs="Arial" w:eastAsia="Arial" w:hAnsi="Arial"/>
          <w:sz w:val="16"/>
          <w:szCs w:val="16"/>
          <w:b w:val="1"/>
          <w:bCs w:val="1"/>
          <w:color w:val="auto"/>
        </w:rPr>
        <w:t>3</w:t>
      </w:r>
      <w:r>
        <w:rPr>
          <w:rFonts w:ascii="Arial" w:cs="Arial" w:eastAsia="Arial" w:hAnsi="Arial"/>
          <w:sz w:val="16"/>
          <w:szCs w:val="16"/>
          <w:color w:val="auto"/>
        </w:rPr>
        <w:t xml:space="preserve"> of </w:t>
      </w:r>
      <w:r>
        <w:rPr>
          <w:rFonts w:ascii="Arial" w:cs="Arial" w:eastAsia="Arial" w:hAnsi="Arial"/>
          <w:sz w:val="16"/>
          <w:szCs w:val="16"/>
          <w:b w:val="1"/>
          <w:bCs w:val="1"/>
          <w:color w:val="auto"/>
        </w:rPr>
        <w:t>8</w:t>
      </w:r>
    </w:p>
    <w:p>
      <w:pPr>
        <w:sectPr>
          <w:pgSz w:w="11900" w:h="16838" w:orient="portrait"/>
          <w:cols w:equalWidth="0" w:num="1">
            <w:col w:w="10139"/>
          </w:cols>
          <w:pgMar w:left="320" w:top="1399" w:right="1440" w:bottom="1440" w:gutter="0" w:footer="0" w:header="0"/>
        </w:sectPr>
      </w:pPr>
    </w:p>
    <w:bookmarkStart w:id="170" w:name="page171"/>
    <w:bookmarkEnd w:id="170"/>
    <w:p>
      <w:pPr>
        <w:spacing w:after="0"/>
        <w:rPr>
          <w:sz w:val="20"/>
          <w:szCs w:val="20"/>
          <w:color w:val="auto"/>
        </w:rPr>
      </w:pPr>
      <w:r>
        <w:rPr>
          <w:rFonts w:ascii="Arial" w:cs="Arial" w:eastAsia="Arial" w:hAnsi="Arial"/>
          <w:sz w:val="20"/>
          <w:szCs w:val="20"/>
          <w:b w:val="1"/>
          <w:bCs w:val="1"/>
          <w:u w:val="single" w:color="auto"/>
          <w:color w:val="auto"/>
        </w:rPr>
        <w:t>Exhibit B: Raw material and exchange price adjustments</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Chart 1B - Raw material &amp; foreign exchange Indexes</w:t>
      </w:r>
    </w:p>
    <w:p>
      <w:pPr>
        <w:spacing w:after="0" w:line="20" w:lineRule="exact"/>
        <w:rPr>
          <w:sz w:val="20"/>
          <w:szCs w:val="20"/>
          <w:color w:val="auto"/>
        </w:rPr>
      </w:pPr>
    </w:p>
    <w:tbl>
      <w:tblPr>
        <w:tblLayout w:type="fixed"/>
        <w:tblInd w:w="630" w:type="dxa"/>
        <w:tblCellMar>
          <w:top w:w="0" w:type="dxa"/>
          <w:left w:w="0" w:type="dxa"/>
          <w:bottom w:w="0" w:type="dxa"/>
          <w:right w:w="0" w:type="dxa"/>
        </w:tblCellMar>
      </w:tblPr>
      <w:tr>
        <w:trPr>
          <w:trHeight w:val="332"/>
        </w:trPr>
        <w:tc>
          <w:tcPr>
            <w:tcW w:w="60" w:type="dxa"/>
            <w:vAlign w:val="bottom"/>
            <w:tcBorders>
              <w:top w:val="single" w:sz="8" w:color="auto"/>
              <w:left w:val="single" w:sz="8" w:color="auto"/>
              <w:bottom w:val="single" w:sz="8" w:color="D9D9D9"/>
              <w:right w:val="single" w:sz="8" w:color="D9D9D9"/>
            </w:tcBorders>
            <w:shd w:val="clear" w:color="auto" w:fill="D9D9D9"/>
          </w:tcPr>
          <w:p>
            <w:pPr>
              <w:spacing w:after="0"/>
              <w:rPr>
                <w:sz w:val="24"/>
                <w:szCs w:val="24"/>
                <w:color w:val="auto"/>
              </w:rPr>
            </w:pPr>
          </w:p>
        </w:tc>
        <w:tc>
          <w:tcPr>
            <w:tcW w:w="2080" w:type="dxa"/>
            <w:vAlign w:val="bottom"/>
            <w:tcBorders>
              <w:top w:val="single" w:sz="8" w:color="auto"/>
              <w:bottom w:val="single" w:sz="8" w:color="D9D9D9"/>
              <w:right w:val="single" w:sz="8" w:color="auto"/>
            </w:tcBorders>
            <w:shd w:val="clear" w:color="auto" w:fill="D9D9D9"/>
          </w:tcPr>
          <w:p>
            <w:pPr>
              <w:jc w:val="right"/>
              <w:ind w:right="161"/>
              <w:spacing w:after="0"/>
              <w:rPr>
                <w:sz w:val="20"/>
                <w:szCs w:val="20"/>
                <w:color w:val="auto"/>
              </w:rPr>
            </w:pPr>
            <w:r>
              <w:rPr>
                <w:rFonts w:ascii="Arial" w:cs="Arial" w:eastAsia="Arial" w:hAnsi="Arial"/>
                <w:sz w:val="20"/>
                <w:szCs w:val="20"/>
                <w:b w:val="1"/>
                <w:bCs w:val="1"/>
                <w:color w:val="auto"/>
              </w:rPr>
              <w:t>Raw Material Type</w:t>
            </w:r>
          </w:p>
        </w:tc>
        <w:tc>
          <w:tcPr>
            <w:tcW w:w="140" w:type="dxa"/>
            <w:vAlign w:val="bottom"/>
            <w:tcBorders>
              <w:top w:val="single" w:sz="8" w:color="auto"/>
              <w:bottom w:val="single" w:sz="8" w:color="D9D9D9"/>
            </w:tcBorders>
            <w:shd w:val="clear" w:color="auto" w:fill="D9D9D9"/>
          </w:tcPr>
          <w:p>
            <w:pPr>
              <w:spacing w:after="0"/>
              <w:rPr>
                <w:sz w:val="24"/>
                <w:szCs w:val="24"/>
                <w:color w:val="auto"/>
              </w:rPr>
            </w:pPr>
          </w:p>
        </w:tc>
        <w:tc>
          <w:tcPr>
            <w:tcW w:w="980" w:type="dxa"/>
            <w:vAlign w:val="bottom"/>
            <w:tcBorders>
              <w:top w:val="single" w:sz="8" w:color="auto"/>
              <w:bottom w:val="single" w:sz="8" w:color="D9D9D9"/>
            </w:tcBorders>
            <w:gridSpan w:val="2"/>
            <w:shd w:val="clear" w:color="auto" w:fill="D9D9D9"/>
          </w:tcPr>
          <w:p>
            <w:pPr>
              <w:jc w:val="center"/>
              <w:spacing w:after="0"/>
              <w:rPr>
                <w:sz w:val="20"/>
                <w:szCs w:val="20"/>
                <w:color w:val="auto"/>
              </w:rPr>
            </w:pPr>
            <w:r>
              <w:rPr>
                <w:rFonts w:ascii="Arial" w:cs="Arial" w:eastAsia="Arial" w:hAnsi="Arial"/>
                <w:sz w:val="20"/>
                <w:szCs w:val="20"/>
                <w:b w:val="1"/>
                <w:bCs w:val="1"/>
                <w:color w:val="auto"/>
                <w:w w:val="88"/>
              </w:rPr>
              <w:t>Unit cost</w:t>
            </w:r>
          </w:p>
        </w:tc>
        <w:tc>
          <w:tcPr>
            <w:tcW w:w="180" w:type="dxa"/>
            <w:vAlign w:val="bottom"/>
            <w:tcBorders>
              <w:top w:val="single" w:sz="8" w:color="auto"/>
              <w:bottom w:val="single" w:sz="8" w:color="D9D9D9"/>
              <w:right w:val="single" w:sz="8" w:color="auto"/>
            </w:tcBorders>
            <w:shd w:val="clear" w:color="auto" w:fill="D9D9D9"/>
          </w:tcPr>
          <w:p>
            <w:pPr>
              <w:spacing w:after="0"/>
              <w:rPr>
                <w:sz w:val="24"/>
                <w:szCs w:val="24"/>
                <w:color w:val="auto"/>
              </w:rPr>
            </w:pPr>
          </w:p>
        </w:tc>
        <w:tc>
          <w:tcPr>
            <w:tcW w:w="3540" w:type="dxa"/>
            <w:vAlign w:val="bottom"/>
            <w:tcBorders>
              <w:top w:val="single" w:sz="8" w:color="auto"/>
              <w:bottom w:val="single" w:sz="8" w:color="D9D9D9"/>
              <w:right w:val="single" w:sz="8" w:color="auto"/>
            </w:tcBorders>
            <w:gridSpan w:val="2"/>
            <w:shd w:val="clear" w:color="auto" w:fill="D9D9D9"/>
          </w:tcPr>
          <w:p>
            <w:pPr>
              <w:jc w:val="right"/>
              <w:ind w:right="1001"/>
              <w:spacing w:after="0"/>
              <w:rPr>
                <w:sz w:val="20"/>
                <w:szCs w:val="20"/>
                <w:color w:val="auto"/>
              </w:rPr>
            </w:pPr>
            <w:r>
              <w:rPr>
                <w:rFonts w:ascii="Arial" w:cs="Arial" w:eastAsia="Arial" w:hAnsi="Arial"/>
                <w:sz w:val="20"/>
                <w:szCs w:val="20"/>
                <w:b w:val="1"/>
                <w:bCs w:val="1"/>
                <w:color w:val="auto"/>
              </w:rPr>
              <w:t>Index Authority</w:t>
            </w:r>
          </w:p>
        </w:tc>
        <w:tc>
          <w:tcPr>
            <w:tcW w:w="3660" w:type="dxa"/>
            <w:vAlign w:val="bottom"/>
            <w:tcBorders>
              <w:top w:val="single" w:sz="8" w:color="auto"/>
              <w:bottom w:val="single" w:sz="8" w:color="D9D9D9"/>
              <w:right w:val="single" w:sz="8" w:color="auto"/>
            </w:tcBorders>
            <w:gridSpan w:val="2"/>
            <w:shd w:val="clear" w:color="auto" w:fill="D9D9D9"/>
          </w:tcPr>
          <w:p>
            <w:pPr>
              <w:ind w:left="1320"/>
              <w:spacing w:after="0"/>
              <w:rPr>
                <w:sz w:val="20"/>
                <w:szCs w:val="20"/>
                <w:color w:val="auto"/>
              </w:rPr>
            </w:pPr>
            <w:r>
              <w:rPr>
                <w:rFonts w:ascii="Arial" w:cs="Arial" w:eastAsia="Arial" w:hAnsi="Arial"/>
                <w:sz w:val="20"/>
                <w:szCs w:val="20"/>
                <w:b w:val="1"/>
                <w:bCs w:val="1"/>
                <w:color w:val="auto"/>
              </w:rPr>
              <w:t>Description</w:t>
            </w:r>
          </w:p>
        </w:tc>
        <w:tc>
          <w:tcPr>
            <w:tcW w:w="0" w:type="dxa"/>
            <w:vAlign w:val="bottom"/>
          </w:tcPr>
          <w:p>
            <w:pPr>
              <w:spacing w:after="0"/>
              <w:rPr>
                <w:sz w:val="1"/>
                <w:szCs w:val="1"/>
                <w:color w:val="auto"/>
              </w:rPr>
            </w:pPr>
          </w:p>
        </w:tc>
      </w:tr>
      <w:tr>
        <w:trPr>
          <w:trHeight w:val="268"/>
        </w:trPr>
        <w:tc>
          <w:tcPr>
            <w:tcW w:w="2140" w:type="dxa"/>
            <w:vAlign w:val="bottom"/>
            <w:tcBorders>
              <w:top w:val="single" w:sz="8" w:color="auto"/>
              <w:left w:val="single" w:sz="8" w:color="auto"/>
              <w:right w:val="single" w:sz="8" w:color="auto"/>
            </w:tcBorders>
            <w:gridSpan w:val="2"/>
          </w:tcPr>
          <w:p>
            <w:pPr>
              <w:jc w:val="right"/>
              <w:ind w:right="1541"/>
              <w:spacing w:after="0"/>
              <w:rPr>
                <w:sz w:val="20"/>
                <w:szCs w:val="20"/>
                <w:color w:val="auto"/>
              </w:rPr>
            </w:pPr>
            <w:r>
              <w:rPr>
                <w:rFonts w:ascii="Arial" w:cs="Arial" w:eastAsia="Arial" w:hAnsi="Arial"/>
                <w:sz w:val="20"/>
                <w:szCs w:val="20"/>
                <w:color w:val="auto"/>
              </w:rPr>
              <w:t>[***]</w:t>
            </w:r>
          </w:p>
        </w:tc>
        <w:tc>
          <w:tcPr>
            <w:tcW w:w="140" w:type="dxa"/>
            <w:vAlign w:val="bottom"/>
            <w:tcBorders>
              <w:top w:val="single" w:sz="8" w:color="auto"/>
            </w:tcBorders>
          </w:tcPr>
          <w:p>
            <w:pPr>
              <w:spacing w:after="0"/>
              <w:rPr>
                <w:sz w:val="23"/>
                <w:szCs w:val="23"/>
                <w:color w:val="auto"/>
              </w:rPr>
            </w:pPr>
          </w:p>
        </w:tc>
        <w:tc>
          <w:tcPr>
            <w:tcW w:w="980" w:type="dxa"/>
            <w:vAlign w:val="bottom"/>
            <w:tcBorders>
              <w:top w:val="single" w:sz="8" w:color="auto"/>
            </w:tcBorders>
            <w:gridSpan w:val="2"/>
          </w:tcPr>
          <w:p>
            <w:pPr>
              <w:jc w:val="center"/>
              <w:spacing w:after="0"/>
              <w:rPr>
                <w:sz w:val="20"/>
                <w:szCs w:val="20"/>
                <w:color w:val="auto"/>
              </w:rPr>
            </w:pPr>
            <w:r>
              <w:rPr>
                <w:rFonts w:ascii="Arial" w:cs="Arial" w:eastAsia="Arial" w:hAnsi="Arial"/>
                <w:sz w:val="20"/>
                <w:szCs w:val="20"/>
                <w:color w:val="auto"/>
              </w:rPr>
              <w:t>[***]</w:t>
            </w:r>
          </w:p>
        </w:tc>
        <w:tc>
          <w:tcPr>
            <w:tcW w:w="180" w:type="dxa"/>
            <w:vAlign w:val="bottom"/>
            <w:tcBorders>
              <w:top w:val="single" w:sz="8" w:color="auto"/>
              <w:right w:val="single" w:sz="8" w:color="auto"/>
            </w:tcBorders>
          </w:tcPr>
          <w:p>
            <w:pPr>
              <w:spacing w:after="0"/>
              <w:rPr>
                <w:sz w:val="23"/>
                <w:szCs w:val="23"/>
                <w:color w:val="auto"/>
              </w:rPr>
            </w:pPr>
          </w:p>
        </w:tc>
        <w:tc>
          <w:tcPr>
            <w:tcW w:w="2200" w:type="dxa"/>
            <w:vAlign w:val="bottom"/>
            <w:tcBorders>
              <w:top w:val="single" w:sz="8" w:color="auto"/>
            </w:tcBorders>
          </w:tcPr>
          <w:p>
            <w:pPr>
              <w:jc w:val="right"/>
              <w:ind w:right="1621"/>
              <w:spacing w:after="0"/>
              <w:rPr>
                <w:sz w:val="20"/>
                <w:szCs w:val="20"/>
                <w:color w:val="auto"/>
              </w:rPr>
            </w:pPr>
            <w:r>
              <w:rPr>
                <w:rFonts w:ascii="Arial" w:cs="Arial" w:eastAsia="Arial" w:hAnsi="Arial"/>
                <w:sz w:val="20"/>
                <w:szCs w:val="20"/>
                <w:color w:val="auto"/>
              </w:rPr>
              <w:t>[***]</w:t>
            </w:r>
          </w:p>
        </w:tc>
        <w:tc>
          <w:tcPr>
            <w:tcW w:w="1340" w:type="dxa"/>
            <w:vAlign w:val="bottom"/>
            <w:tcBorders>
              <w:top w:val="single" w:sz="8" w:color="auto"/>
              <w:right w:val="single" w:sz="8" w:color="auto"/>
            </w:tcBorders>
          </w:tcPr>
          <w:p>
            <w:pPr>
              <w:spacing w:after="0"/>
              <w:rPr>
                <w:sz w:val="23"/>
                <w:szCs w:val="23"/>
                <w:color w:val="auto"/>
              </w:rPr>
            </w:pPr>
          </w:p>
        </w:tc>
        <w:tc>
          <w:tcPr>
            <w:tcW w:w="1520" w:type="dxa"/>
            <w:vAlign w:val="bottom"/>
            <w:tcBorders>
              <w:top w:val="single" w:sz="8" w:color="auto"/>
            </w:tcBorders>
          </w:tcPr>
          <w:p>
            <w:pPr>
              <w:jc w:val="right"/>
              <w:ind w:right="921"/>
              <w:spacing w:after="0"/>
              <w:rPr>
                <w:sz w:val="20"/>
                <w:szCs w:val="20"/>
                <w:color w:val="auto"/>
              </w:rPr>
            </w:pPr>
            <w:r>
              <w:rPr>
                <w:rFonts w:ascii="Arial" w:cs="Arial" w:eastAsia="Arial" w:hAnsi="Arial"/>
                <w:sz w:val="20"/>
                <w:szCs w:val="20"/>
                <w:color w:val="auto"/>
              </w:rPr>
              <w:t>[***]</w:t>
            </w:r>
          </w:p>
        </w:tc>
        <w:tc>
          <w:tcPr>
            <w:tcW w:w="2140" w:type="dxa"/>
            <w:vAlign w:val="bottom"/>
            <w:tcBorders>
              <w:top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50"/>
        </w:trPr>
        <w:tc>
          <w:tcPr>
            <w:tcW w:w="60" w:type="dxa"/>
            <w:vAlign w:val="bottom"/>
            <w:tcBorders>
              <w:left w:val="single" w:sz="8" w:color="auto"/>
              <w:bottom w:val="single" w:sz="8" w:color="auto"/>
            </w:tcBorders>
          </w:tcPr>
          <w:p>
            <w:pPr>
              <w:spacing w:after="0"/>
              <w:rPr>
                <w:sz w:val="4"/>
                <w:szCs w:val="4"/>
                <w:color w:val="auto"/>
              </w:rPr>
            </w:pPr>
          </w:p>
        </w:tc>
        <w:tc>
          <w:tcPr>
            <w:tcW w:w="2080" w:type="dxa"/>
            <w:vAlign w:val="bottom"/>
            <w:tcBorders>
              <w:bottom w:val="single" w:sz="8" w:color="auto"/>
              <w:right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80" w:type="dxa"/>
            <w:vAlign w:val="bottom"/>
            <w:tcBorders>
              <w:bottom w:val="single" w:sz="8" w:color="auto"/>
              <w:right w:val="single" w:sz="8" w:color="auto"/>
            </w:tcBorders>
          </w:tcPr>
          <w:p>
            <w:pPr>
              <w:spacing w:after="0"/>
              <w:rPr>
                <w:sz w:val="4"/>
                <w:szCs w:val="4"/>
                <w:color w:val="auto"/>
              </w:rPr>
            </w:pPr>
          </w:p>
        </w:tc>
        <w:tc>
          <w:tcPr>
            <w:tcW w:w="2200" w:type="dxa"/>
            <w:vAlign w:val="bottom"/>
            <w:tcBorders>
              <w:bottom w:val="single" w:sz="8" w:color="auto"/>
            </w:tcBorders>
          </w:tcPr>
          <w:p>
            <w:pPr>
              <w:spacing w:after="0"/>
              <w:rPr>
                <w:sz w:val="4"/>
                <w:szCs w:val="4"/>
                <w:color w:val="auto"/>
              </w:rPr>
            </w:pPr>
          </w:p>
        </w:tc>
        <w:tc>
          <w:tcPr>
            <w:tcW w:w="1340" w:type="dxa"/>
            <w:vAlign w:val="bottom"/>
            <w:tcBorders>
              <w:bottom w:val="single" w:sz="8" w:color="auto"/>
              <w:right w:val="single" w:sz="8" w:color="auto"/>
            </w:tcBorders>
          </w:tcPr>
          <w:p>
            <w:pPr>
              <w:spacing w:after="0"/>
              <w:rPr>
                <w:sz w:val="4"/>
                <w:szCs w:val="4"/>
                <w:color w:val="auto"/>
              </w:rPr>
            </w:pPr>
          </w:p>
        </w:tc>
        <w:tc>
          <w:tcPr>
            <w:tcW w:w="1520" w:type="dxa"/>
            <w:vAlign w:val="bottom"/>
            <w:tcBorders>
              <w:bottom w:val="single" w:sz="8" w:color="auto"/>
            </w:tcBorders>
          </w:tcPr>
          <w:p>
            <w:pPr>
              <w:spacing w:after="0"/>
              <w:rPr>
                <w:sz w:val="4"/>
                <w:szCs w:val="4"/>
                <w:color w:val="auto"/>
              </w:rPr>
            </w:pPr>
          </w:p>
        </w:tc>
        <w:tc>
          <w:tcPr>
            <w:tcW w:w="21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140" w:type="dxa"/>
            <w:vAlign w:val="bottom"/>
            <w:tcBorders>
              <w:left w:val="single" w:sz="8" w:color="auto"/>
              <w:right w:val="single" w:sz="8" w:color="auto"/>
            </w:tcBorders>
            <w:gridSpan w:val="2"/>
          </w:tcPr>
          <w:p>
            <w:pPr>
              <w:jc w:val="right"/>
              <w:ind w:right="1541"/>
              <w:spacing w:after="0"/>
              <w:rPr>
                <w:sz w:val="20"/>
                <w:szCs w:val="20"/>
                <w:color w:val="auto"/>
              </w:rPr>
            </w:pPr>
            <w:r>
              <w:rPr>
                <w:rFonts w:ascii="Arial" w:cs="Arial" w:eastAsia="Arial" w:hAnsi="Arial"/>
                <w:sz w:val="20"/>
                <w:szCs w:val="20"/>
                <w:color w:val="auto"/>
              </w:rPr>
              <w:t>[***]</w:t>
            </w:r>
          </w:p>
        </w:tc>
        <w:tc>
          <w:tcPr>
            <w:tcW w:w="140" w:type="dxa"/>
            <w:vAlign w:val="bottom"/>
          </w:tcPr>
          <w:p>
            <w:pPr>
              <w:spacing w:after="0"/>
              <w:rPr>
                <w:sz w:val="23"/>
                <w:szCs w:val="23"/>
                <w:color w:val="auto"/>
              </w:rPr>
            </w:pPr>
          </w:p>
        </w:tc>
        <w:tc>
          <w:tcPr>
            <w:tcW w:w="980" w:type="dxa"/>
            <w:vAlign w:val="bottom"/>
            <w:gridSpan w:val="2"/>
          </w:tcPr>
          <w:p>
            <w:pPr>
              <w:jc w:val="center"/>
              <w:spacing w:after="0"/>
              <w:rPr>
                <w:sz w:val="20"/>
                <w:szCs w:val="20"/>
                <w:color w:val="auto"/>
              </w:rPr>
            </w:pPr>
            <w:r>
              <w:rPr>
                <w:rFonts w:ascii="Arial" w:cs="Arial" w:eastAsia="Arial" w:hAnsi="Arial"/>
                <w:sz w:val="20"/>
                <w:szCs w:val="20"/>
                <w:color w:val="auto"/>
              </w:rPr>
              <w:t>[***]</w:t>
            </w:r>
          </w:p>
        </w:tc>
        <w:tc>
          <w:tcPr>
            <w:tcW w:w="180" w:type="dxa"/>
            <w:vAlign w:val="bottom"/>
            <w:tcBorders>
              <w:right w:val="single" w:sz="8" w:color="auto"/>
            </w:tcBorders>
          </w:tcPr>
          <w:p>
            <w:pPr>
              <w:spacing w:after="0"/>
              <w:rPr>
                <w:sz w:val="23"/>
                <w:szCs w:val="23"/>
                <w:color w:val="auto"/>
              </w:rPr>
            </w:pPr>
          </w:p>
        </w:tc>
        <w:tc>
          <w:tcPr>
            <w:tcW w:w="2200" w:type="dxa"/>
            <w:vAlign w:val="bottom"/>
          </w:tcPr>
          <w:p>
            <w:pPr>
              <w:jc w:val="right"/>
              <w:ind w:right="1621"/>
              <w:spacing w:after="0"/>
              <w:rPr>
                <w:sz w:val="20"/>
                <w:szCs w:val="20"/>
                <w:color w:val="auto"/>
              </w:rPr>
            </w:pPr>
            <w:r>
              <w:rPr>
                <w:rFonts w:ascii="Arial" w:cs="Arial" w:eastAsia="Arial" w:hAnsi="Arial"/>
                <w:sz w:val="20"/>
                <w:szCs w:val="20"/>
                <w:color w:val="auto"/>
              </w:rPr>
              <w:t>[***]</w:t>
            </w:r>
          </w:p>
        </w:tc>
        <w:tc>
          <w:tcPr>
            <w:tcW w:w="1340" w:type="dxa"/>
            <w:vAlign w:val="bottom"/>
            <w:tcBorders>
              <w:right w:val="single" w:sz="8" w:color="auto"/>
            </w:tcBorders>
          </w:tcPr>
          <w:p>
            <w:pPr>
              <w:spacing w:after="0"/>
              <w:rPr>
                <w:sz w:val="23"/>
                <w:szCs w:val="23"/>
                <w:color w:val="auto"/>
              </w:rPr>
            </w:pPr>
          </w:p>
        </w:tc>
        <w:tc>
          <w:tcPr>
            <w:tcW w:w="1520" w:type="dxa"/>
            <w:vAlign w:val="bottom"/>
          </w:tcPr>
          <w:p>
            <w:pPr>
              <w:jc w:val="right"/>
              <w:ind w:right="921"/>
              <w:spacing w:after="0"/>
              <w:rPr>
                <w:sz w:val="20"/>
                <w:szCs w:val="20"/>
                <w:color w:val="auto"/>
              </w:rPr>
            </w:pPr>
            <w:r>
              <w:rPr>
                <w:rFonts w:ascii="Arial" w:cs="Arial" w:eastAsia="Arial" w:hAnsi="Arial"/>
                <w:sz w:val="20"/>
                <w:szCs w:val="20"/>
                <w:color w:val="auto"/>
              </w:rPr>
              <w:t>[***]</w:t>
            </w:r>
          </w:p>
        </w:tc>
        <w:tc>
          <w:tcPr>
            <w:tcW w:w="21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50"/>
        </w:trPr>
        <w:tc>
          <w:tcPr>
            <w:tcW w:w="60" w:type="dxa"/>
            <w:vAlign w:val="bottom"/>
            <w:tcBorders>
              <w:left w:val="single" w:sz="8" w:color="auto"/>
              <w:bottom w:val="single" w:sz="8" w:color="auto"/>
            </w:tcBorders>
          </w:tcPr>
          <w:p>
            <w:pPr>
              <w:spacing w:after="0"/>
              <w:rPr>
                <w:sz w:val="4"/>
                <w:szCs w:val="4"/>
                <w:color w:val="auto"/>
              </w:rPr>
            </w:pPr>
          </w:p>
        </w:tc>
        <w:tc>
          <w:tcPr>
            <w:tcW w:w="2080" w:type="dxa"/>
            <w:vAlign w:val="bottom"/>
            <w:tcBorders>
              <w:bottom w:val="single" w:sz="8" w:color="auto"/>
              <w:right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80" w:type="dxa"/>
            <w:vAlign w:val="bottom"/>
            <w:tcBorders>
              <w:bottom w:val="single" w:sz="8" w:color="auto"/>
              <w:right w:val="single" w:sz="8" w:color="auto"/>
            </w:tcBorders>
          </w:tcPr>
          <w:p>
            <w:pPr>
              <w:spacing w:after="0"/>
              <w:rPr>
                <w:sz w:val="4"/>
                <w:szCs w:val="4"/>
                <w:color w:val="auto"/>
              </w:rPr>
            </w:pPr>
          </w:p>
        </w:tc>
        <w:tc>
          <w:tcPr>
            <w:tcW w:w="2200" w:type="dxa"/>
            <w:vAlign w:val="bottom"/>
            <w:tcBorders>
              <w:bottom w:val="single" w:sz="8" w:color="auto"/>
            </w:tcBorders>
          </w:tcPr>
          <w:p>
            <w:pPr>
              <w:spacing w:after="0"/>
              <w:rPr>
                <w:sz w:val="4"/>
                <w:szCs w:val="4"/>
                <w:color w:val="auto"/>
              </w:rPr>
            </w:pPr>
          </w:p>
        </w:tc>
        <w:tc>
          <w:tcPr>
            <w:tcW w:w="1340" w:type="dxa"/>
            <w:vAlign w:val="bottom"/>
            <w:tcBorders>
              <w:bottom w:val="single" w:sz="8" w:color="auto"/>
              <w:right w:val="single" w:sz="8" w:color="auto"/>
            </w:tcBorders>
          </w:tcPr>
          <w:p>
            <w:pPr>
              <w:spacing w:after="0"/>
              <w:rPr>
                <w:sz w:val="4"/>
                <w:szCs w:val="4"/>
                <w:color w:val="auto"/>
              </w:rPr>
            </w:pPr>
          </w:p>
        </w:tc>
        <w:tc>
          <w:tcPr>
            <w:tcW w:w="1520" w:type="dxa"/>
            <w:vAlign w:val="bottom"/>
            <w:tcBorders>
              <w:bottom w:val="single" w:sz="8" w:color="auto"/>
            </w:tcBorders>
          </w:tcPr>
          <w:p>
            <w:pPr>
              <w:spacing w:after="0"/>
              <w:rPr>
                <w:sz w:val="4"/>
                <w:szCs w:val="4"/>
                <w:color w:val="auto"/>
              </w:rPr>
            </w:pPr>
          </w:p>
        </w:tc>
        <w:tc>
          <w:tcPr>
            <w:tcW w:w="21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140" w:type="dxa"/>
            <w:vAlign w:val="bottom"/>
            <w:tcBorders>
              <w:left w:val="single" w:sz="8" w:color="auto"/>
              <w:right w:val="single" w:sz="8" w:color="auto"/>
            </w:tcBorders>
            <w:gridSpan w:val="2"/>
          </w:tcPr>
          <w:p>
            <w:pPr>
              <w:jc w:val="right"/>
              <w:ind w:right="1541"/>
              <w:spacing w:after="0"/>
              <w:rPr>
                <w:sz w:val="20"/>
                <w:szCs w:val="20"/>
                <w:color w:val="auto"/>
              </w:rPr>
            </w:pPr>
            <w:r>
              <w:rPr>
                <w:rFonts w:ascii="Arial" w:cs="Arial" w:eastAsia="Arial" w:hAnsi="Arial"/>
                <w:sz w:val="20"/>
                <w:szCs w:val="20"/>
                <w:color w:val="auto"/>
              </w:rPr>
              <w:t>[***]</w:t>
            </w:r>
          </w:p>
        </w:tc>
        <w:tc>
          <w:tcPr>
            <w:tcW w:w="140" w:type="dxa"/>
            <w:vAlign w:val="bottom"/>
          </w:tcPr>
          <w:p>
            <w:pPr>
              <w:spacing w:after="0"/>
              <w:rPr>
                <w:sz w:val="23"/>
                <w:szCs w:val="23"/>
                <w:color w:val="auto"/>
              </w:rPr>
            </w:pPr>
          </w:p>
        </w:tc>
        <w:tc>
          <w:tcPr>
            <w:tcW w:w="980" w:type="dxa"/>
            <w:vAlign w:val="bottom"/>
            <w:gridSpan w:val="2"/>
          </w:tcPr>
          <w:p>
            <w:pPr>
              <w:jc w:val="center"/>
              <w:spacing w:after="0"/>
              <w:rPr>
                <w:sz w:val="20"/>
                <w:szCs w:val="20"/>
                <w:color w:val="auto"/>
              </w:rPr>
            </w:pPr>
            <w:r>
              <w:rPr>
                <w:rFonts w:ascii="Arial" w:cs="Arial" w:eastAsia="Arial" w:hAnsi="Arial"/>
                <w:sz w:val="20"/>
                <w:szCs w:val="20"/>
                <w:color w:val="auto"/>
              </w:rPr>
              <w:t>[***]</w:t>
            </w:r>
          </w:p>
        </w:tc>
        <w:tc>
          <w:tcPr>
            <w:tcW w:w="180" w:type="dxa"/>
            <w:vAlign w:val="bottom"/>
            <w:tcBorders>
              <w:right w:val="single" w:sz="8" w:color="auto"/>
            </w:tcBorders>
          </w:tcPr>
          <w:p>
            <w:pPr>
              <w:spacing w:after="0"/>
              <w:rPr>
                <w:sz w:val="23"/>
                <w:szCs w:val="23"/>
                <w:color w:val="auto"/>
              </w:rPr>
            </w:pPr>
          </w:p>
        </w:tc>
        <w:tc>
          <w:tcPr>
            <w:tcW w:w="2200" w:type="dxa"/>
            <w:vAlign w:val="bottom"/>
          </w:tcPr>
          <w:p>
            <w:pPr>
              <w:jc w:val="right"/>
              <w:ind w:right="1621"/>
              <w:spacing w:after="0"/>
              <w:rPr>
                <w:sz w:val="20"/>
                <w:szCs w:val="20"/>
                <w:color w:val="auto"/>
              </w:rPr>
            </w:pPr>
            <w:r>
              <w:rPr>
                <w:rFonts w:ascii="Arial" w:cs="Arial" w:eastAsia="Arial" w:hAnsi="Arial"/>
                <w:sz w:val="20"/>
                <w:szCs w:val="20"/>
                <w:color w:val="auto"/>
              </w:rPr>
              <w:t>[***]</w:t>
            </w:r>
          </w:p>
        </w:tc>
        <w:tc>
          <w:tcPr>
            <w:tcW w:w="1340" w:type="dxa"/>
            <w:vAlign w:val="bottom"/>
            <w:tcBorders>
              <w:right w:val="single" w:sz="8" w:color="auto"/>
            </w:tcBorders>
          </w:tcPr>
          <w:p>
            <w:pPr>
              <w:spacing w:after="0"/>
              <w:rPr>
                <w:sz w:val="23"/>
                <w:szCs w:val="23"/>
                <w:color w:val="auto"/>
              </w:rPr>
            </w:pPr>
          </w:p>
        </w:tc>
        <w:tc>
          <w:tcPr>
            <w:tcW w:w="1520" w:type="dxa"/>
            <w:vAlign w:val="bottom"/>
          </w:tcPr>
          <w:p>
            <w:pPr>
              <w:jc w:val="right"/>
              <w:ind w:right="921"/>
              <w:spacing w:after="0"/>
              <w:rPr>
                <w:sz w:val="20"/>
                <w:szCs w:val="20"/>
                <w:color w:val="auto"/>
              </w:rPr>
            </w:pPr>
            <w:r>
              <w:rPr>
                <w:rFonts w:ascii="Arial" w:cs="Arial" w:eastAsia="Arial" w:hAnsi="Arial"/>
                <w:sz w:val="20"/>
                <w:szCs w:val="20"/>
                <w:color w:val="auto"/>
              </w:rPr>
              <w:t>[***]</w:t>
            </w:r>
          </w:p>
        </w:tc>
        <w:tc>
          <w:tcPr>
            <w:tcW w:w="21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50"/>
        </w:trPr>
        <w:tc>
          <w:tcPr>
            <w:tcW w:w="60" w:type="dxa"/>
            <w:vAlign w:val="bottom"/>
            <w:tcBorders>
              <w:left w:val="single" w:sz="8" w:color="auto"/>
              <w:bottom w:val="single" w:sz="8" w:color="auto"/>
            </w:tcBorders>
          </w:tcPr>
          <w:p>
            <w:pPr>
              <w:spacing w:after="0"/>
              <w:rPr>
                <w:sz w:val="4"/>
                <w:szCs w:val="4"/>
                <w:color w:val="auto"/>
              </w:rPr>
            </w:pPr>
          </w:p>
        </w:tc>
        <w:tc>
          <w:tcPr>
            <w:tcW w:w="2080" w:type="dxa"/>
            <w:vAlign w:val="bottom"/>
            <w:tcBorders>
              <w:bottom w:val="single" w:sz="8" w:color="auto"/>
              <w:right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80" w:type="dxa"/>
            <w:vAlign w:val="bottom"/>
            <w:tcBorders>
              <w:bottom w:val="single" w:sz="8" w:color="auto"/>
              <w:right w:val="single" w:sz="8" w:color="auto"/>
            </w:tcBorders>
          </w:tcPr>
          <w:p>
            <w:pPr>
              <w:spacing w:after="0"/>
              <w:rPr>
                <w:sz w:val="4"/>
                <w:szCs w:val="4"/>
                <w:color w:val="auto"/>
              </w:rPr>
            </w:pPr>
          </w:p>
        </w:tc>
        <w:tc>
          <w:tcPr>
            <w:tcW w:w="2200" w:type="dxa"/>
            <w:vAlign w:val="bottom"/>
            <w:tcBorders>
              <w:bottom w:val="single" w:sz="8" w:color="auto"/>
            </w:tcBorders>
          </w:tcPr>
          <w:p>
            <w:pPr>
              <w:spacing w:after="0"/>
              <w:rPr>
                <w:sz w:val="4"/>
                <w:szCs w:val="4"/>
                <w:color w:val="auto"/>
              </w:rPr>
            </w:pPr>
          </w:p>
        </w:tc>
        <w:tc>
          <w:tcPr>
            <w:tcW w:w="1340" w:type="dxa"/>
            <w:vAlign w:val="bottom"/>
            <w:tcBorders>
              <w:bottom w:val="single" w:sz="8" w:color="auto"/>
              <w:right w:val="single" w:sz="8" w:color="auto"/>
            </w:tcBorders>
          </w:tcPr>
          <w:p>
            <w:pPr>
              <w:spacing w:after="0"/>
              <w:rPr>
                <w:sz w:val="4"/>
                <w:szCs w:val="4"/>
                <w:color w:val="auto"/>
              </w:rPr>
            </w:pPr>
          </w:p>
        </w:tc>
        <w:tc>
          <w:tcPr>
            <w:tcW w:w="1520" w:type="dxa"/>
            <w:vAlign w:val="bottom"/>
            <w:tcBorders>
              <w:bottom w:val="single" w:sz="8" w:color="auto"/>
            </w:tcBorders>
          </w:tcPr>
          <w:p>
            <w:pPr>
              <w:spacing w:after="0"/>
              <w:rPr>
                <w:sz w:val="4"/>
                <w:szCs w:val="4"/>
                <w:color w:val="auto"/>
              </w:rPr>
            </w:pPr>
          </w:p>
        </w:tc>
        <w:tc>
          <w:tcPr>
            <w:tcW w:w="21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140" w:type="dxa"/>
            <w:vAlign w:val="bottom"/>
            <w:tcBorders>
              <w:left w:val="single" w:sz="8" w:color="auto"/>
              <w:right w:val="single" w:sz="8" w:color="auto"/>
            </w:tcBorders>
            <w:gridSpan w:val="2"/>
          </w:tcPr>
          <w:p>
            <w:pPr>
              <w:jc w:val="right"/>
              <w:ind w:right="1541"/>
              <w:spacing w:after="0"/>
              <w:rPr>
                <w:sz w:val="20"/>
                <w:szCs w:val="20"/>
                <w:color w:val="auto"/>
              </w:rPr>
            </w:pPr>
            <w:r>
              <w:rPr>
                <w:rFonts w:ascii="Arial" w:cs="Arial" w:eastAsia="Arial" w:hAnsi="Arial"/>
                <w:sz w:val="20"/>
                <w:szCs w:val="20"/>
                <w:color w:val="auto"/>
              </w:rPr>
              <w:t>[***]</w:t>
            </w:r>
          </w:p>
        </w:tc>
        <w:tc>
          <w:tcPr>
            <w:tcW w:w="140" w:type="dxa"/>
            <w:vAlign w:val="bottom"/>
          </w:tcPr>
          <w:p>
            <w:pPr>
              <w:spacing w:after="0"/>
              <w:rPr>
                <w:sz w:val="23"/>
                <w:szCs w:val="23"/>
                <w:color w:val="auto"/>
              </w:rPr>
            </w:pPr>
          </w:p>
        </w:tc>
        <w:tc>
          <w:tcPr>
            <w:tcW w:w="980" w:type="dxa"/>
            <w:vAlign w:val="bottom"/>
            <w:gridSpan w:val="2"/>
          </w:tcPr>
          <w:p>
            <w:pPr>
              <w:jc w:val="center"/>
              <w:spacing w:after="0"/>
              <w:rPr>
                <w:sz w:val="20"/>
                <w:szCs w:val="20"/>
                <w:color w:val="auto"/>
              </w:rPr>
            </w:pPr>
            <w:r>
              <w:rPr>
                <w:rFonts w:ascii="Arial" w:cs="Arial" w:eastAsia="Arial" w:hAnsi="Arial"/>
                <w:sz w:val="20"/>
                <w:szCs w:val="20"/>
                <w:color w:val="auto"/>
              </w:rPr>
              <w:t>[***]</w:t>
            </w:r>
          </w:p>
        </w:tc>
        <w:tc>
          <w:tcPr>
            <w:tcW w:w="180" w:type="dxa"/>
            <w:vAlign w:val="bottom"/>
            <w:tcBorders>
              <w:right w:val="single" w:sz="8" w:color="auto"/>
            </w:tcBorders>
          </w:tcPr>
          <w:p>
            <w:pPr>
              <w:spacing w:after="0"/>
              <w:rPr>
                <w:sz w:val="23"/>
                <w:szCs w:val="23"/>
                <w:color w:val="auto"/>
              </w:rPr>
            </w:pPr>
          </w:p>
        </w:tc>
        <w:tc>
          <w:tcPr>
            <w:tcW w:w="2200" w:type="dxa"/>
            <w:vAlign w:val="bottom"/>
          </w:tcPr>
          <w:p>
            <w:pPr>
              <w:jc w:val="right"/>
              <w:ind w:right="1621"/>
              <w:spacing w:after="0"/>
              <w:rPr>
                <w:sz w:val="20"/>
                <w:szCs w:val="20"/>
                <w:color w:val="auto"/>
              </w:rPr>
            </w:pPr>
            <w:r>
              <w:rPr>
                <w:rFonts w:ascii="Arial" w:cs="Arial" w:eastAsia="Arial" w:hAnsi="Arial"/>
                <w:sz w:val="20"/>
                <w:szCs w:val="20"/>
                <w:color w:val="auto"/>
              </w:rPr>
              <w:t>[***]</w:t>
            </w:r>
          </w:p>
        </w:tc>
        <w:tc>
          <w:tcPr>
            <w:tcW w:w="1340" w:type="dxa"/>
            <w:vAlign w:val="bottom"/>
            <w:tcBorders>
              <w:right w:val="single" w:sz="8" w:color="auto"/>
            </w:tcBorders>
          </w:tcPr>
          <w:p>
            <w:pPr>
              <w:spacing w:after="0"/>
              <w:rPr>
                <w:sz w:val="23"/>
                <w:szCs w:val="23"/>
                <w:color w:val="auto"/>
              </w:rPr>
            </w:pPr>
          </w:p>
        </w:tc>
        <w:tc>
          <w:tcPr>
            <w:tcW w:w="1520" w:type="dxa"/>
            <w:vAlign w:val="bottom"/>
          </w:tcPr>
          <w:p>
            <w:pPr>
              <w:jc w:val="right"/>
              <w:ind w:right="921"/>
              <w:spacing w:after="0"/>
              <w:rPr>
                <w:sz w:val="20"/>
                <w:szCs w:val="20"/>
                <w:color w:val="auto"/>
              </w:rPr>
            </w:pPr>
            <w:r>
              <w:rPr>
                <w:rFonts w:ascii="Arial" w:cs="Arial" w:eastAsia="Arial" w:hAnsi="Arial"/>
                <w:sz w:val="20"/>
                <w:szCs w:val="20"/>
                <w:color w:val="auto"/>
              </w:rPr>
              <w:t>[***]</w:t>
            </w:r>
          </w:p>
        </w:tc>
        <w:tc>
          <w:tcPr>
            <w:tcW w:w="21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50"/>
        </w:trPr>
        <w:tc>
          <w:tcPr>
            <w:tcW w:w="60" w:type="dxa"/>
            <w:vAlign w:val="bottom"/>
            <w:tcBorders>
              <w:left w:val="single" w:sz="8" w:color="auto"/>
              <w:bottom w:val="single" w:sz="8" w:color="auto"/>
            </w:tcBorders>
          </w:tcPr>
          <w:p>
            <w:pPr>
              <w:spacing w:after="0"/>
              <w:rPr>
                <w:sz w:val="4"/>
                <w:szCs w:val="4"/>
                <w:color w:val="auto"/>
              </w:rPr>
            </w:pPr>
          </w:p>
        </w:tc>
        <w:tc>
          <w:tcPr>
            <w:tcW w:w="2080" w:type="dxa"/>
            <w:vAlign w:val="bottom"/>
            <w:tcBorders>
              <w:bottom w:val="single" w:sz="8" w:color="auto"/>
              <w:right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80" w:type="dxa"/>
            <w:vAlign w:val="bottom"/>
            <w:tcBorders>
              <w:bottom w:val="single" w:sz="8" w:color="auto"/>
              <w:right w:val="single" w:sz="8" w:color="auto"/>
            </w:tcBorders>
          </w:tcPr>
          <w:p>
            <w:pPr>
              <w:spacing w:after="0"/>
              <w:rPr>
                <w:sz w:val="4"/>
                <w:szCs w:val="4"/>
                <w:color w:val="auto"/>
              </w:rPr>
            </w:pPr>
          </w:p>
        </w:tc>
        <w:tc>
          <w:tcPr>
            <w:tcW w:w="2200" w:type="dxa"/>
            <w:vAlign w:val="bottom"/>
            <w:tcBorders>
              <w:bottom w:val="single" w:sz="8" w:color="auto"/>
            </w:tcBorders>
          </w:tcPr>
          <w:p>
            <w:pPr>
              <w:spacing w:after="0"/>
              <w:rPr>
                <w:sz w:val="4"/>
                <w:szCs w:val="4"/>
                <w:color w:val="auto"/>
              </w:rPr>
            </w:pPr>
          </w:p>
        </w:tc>
        <w:tc>
          <w:tcPr>
            <w:tcW w:w="1340" w:type="dxa"/>
            <w:vAlign w:val="bottom"/>
            <w:tcBorders>
              <w:bottom w:val="single" w:sz="8" w:color="auto"/>
              <w:right w:val="single" w:sz="8" w:color="auto"/>
            </w:tcBorders>
          </w:tcPr>
          <w:p>
            <w:pPr>
              <w:spacing w:after="0"/>
              <w:rPr>
                <w:sz w:val="4"/>
                <w:szCs w:val="4"/>
                <w:color w:val="auto"/>
              </w:rPr>
            </w:pPr>
          </w:p>
        </w:tc>
        <w:tc>
          <w:tcPr>
            <w:tcW w:w="1520" w:type="dxa"/>
            <w:vAlign w:val="bottom"/>
            <w:tcBorders>
              <w:bottom w:val="single" w:sz="8" w:color="auto"/>
            </w:tcBorders>
          </w:tcPr>
          <w:p>
            <w:pPr>
              <w:spacing w:after="0"/>
              <w:rPr>
                <w:sz w:val="4"/>
                <w:szCs w:val="4"/>
                <w:color w:val="auto"/>
              </w:rPr>
            </w:pPr>
          </w:p>
        </w:tc>
        <w:tc>
          <w:tcPr>
            <w:tcW w:w="21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140" w:type="dxa"/>
            <w:vAlign w:val="bottom"/>
            <w:tcBorders>
              <w:left w:val="single" w:sz="8" w:color="auto"/>
              <w:right w:val="single" w:sz="8" w:color="auto"/>
            </w:tcBorders>
            <w:gridSpan w:val="2"/>
          </w:tcPr>
          <w:p>
            <w:pPr>
              <w:jc w:val="right"/>
              <w:ind w:right="1541"/>
              <w:spacing w:after="0"/>
              <w:rPr>
                <w:sz w:val="20"/>
                <w:szCs w:val="20"/>
                <w:color w:val="auto"/>
              </w:rPr>
            </w:pPr>
            <w:r>
              <w:rPr>
                <w:rFonts w:ascii="Arial" w:cs="Arial" w:eastAsia="Arial" w:hAnsi="Arial"/>
                <w:sz w:val="20"/>
                <w:szCs w:val="20"/>
                <w:color w:val="auto"/>
              </w:rPr>
              <w:t>[***]</w:t>
            </w:r>
          </w:p>
        </w:tc>
        <w:tc>
          <w:tcPr>
            <w:tcW w:w="140" w:type="dxa"/>
            <w:vAlign w:val="bottom"/>
          </w:tcPr>
          <w:p>
            <w:pPr>
              <w:spacing w:after="0"/>
              <w:rPr>
                <w:sz w:val="23"/>
                <w:szCs w:val="23"/>
                <w:color w:val="auto"/>
              </w:rPr>
            </w:pPr>
          </w:p>
        </w:tc>
        <w:tc>
          <w:tcPr>
            <w:tcW w:w="980" w:type="dxa"/>
            <w:vAlign w:val="bottom"/>
            <w:gridSpan w:val="2"/>
          </w:tcPr>
          <w:p>
            <w:pPr>
              <w:jc w:val="center"/>
              <w:spacing w:after="0"/>
              <w:rPr>
                <w:sz w:val="20"/>
                <w:szCs w:val="20"/>
                <w:color w:val="auto"/>
              </w:rPr>
            </w:pPr>
            <w:r>
              <w:rPr>
                <w:rFonts w:ascii="Arial" w:cs="Arial" w:eastAsia="Arial" w:hAnsi="Arial"/>
                <w:sz w:val="20"/>
                <w:szCs w:val="20"/>
                <w:color w:val="auto"/>
              </w:rPr>
              <w:t>[***]</w:t>
            </w:r>
          </w:p>
        </w:tc>
        <w:tc>
          <w:tcPr>
            <w:tcW w:w="180" w:type="dxa"/>
            <w:vAlign w:val="bottom"/>
            <w:tcBorders>
              <w:right w:val="single" w:sz="8" w:color="auto"/>
            </w:tcBorders>
          </w:tcPr>
          <w:p>
            <w:pPr>
              <w:spacing w:after="0"/>
              <w:rPr>
                <w:sz w:val="23"/>
                <w:szCs w:val="23"/>
                <w:color w:val="auto"/>
              </w:rPr>
            </w:pPr>
          </w:p>
        </w:tc>
        <w:tc>
          <w:tcPr>
            <w:tcW w:w="2200" w:type="dxa"/>
            <w:vAlign w:val="bottom"/>
          </w:tcPr>
          <w:p>
            <w:pPr>
              <w:jc w:val="right"/>
              <w:ind w:right="1621"/>
              <w:spacing w:after="0"/>
              <w:rPr>
                <w:sz w:val="20"/>
                <w:szCs w:val="20"/>
                <w:color w:val="auto"/>
              </w:rPr>
            </w:pPr>
            <w:r>
              <w:rPr>
                <w:rFonts w:ascii="Arial" w:cs="Arial" w:eastAsia="Arial" w:hAnsi="Arial"/>
                <w:sz w:val="20"/>
                <w:szCs w:val="20"/>
                <w:color w:val="auto"/>
              </w:rPr>
              <w:t>[***]</w:t>
            </w:r>
          </w:p>
        </w:tc>
        <w:tc>
          <w:tcPr>
            <w:tcW w:w="1340" w:type="dxa"/>
            <w:vAlign w:val="bottom"/>
            <w:tcBorders>
              <w:right w:val="single" w:sz="8" w:color="auto"/>
            </w:tcBorders>
          </w:tcPr>
          <w:p>
            <w:pPr>
              <w:spacing w:after="0"/>
              <w:rPr>
                <w:sz w:val="23"/>
                <w:szCs w:val="23"/>
                <w:color w:val="auto"/>
              </w:rPr>
            </w:pPr>
          </w:p>
        </w:tc>
        <w:tc>
          <w:tcPr>
            <w:tcW w:w="1520" w:type="dxa"/>
            <w:vAlign w:val="bottom"/>
          </w:tcPr>
          <w:p>
            <w:pPr>
              <w:jc w:val="right"/>
              <w:ind w:right="921"/>
              <w:spacing w:after="0"/>
              <w:rPr>
                <w:sz w:val="20"/>
                <w:szCs w:val="20"/>
                <w:color w:val="auto"/>
              </w:rPr>
            </w:pPr>
            <w:r>
              <w:rPr>
                <w:rFonts w:ascii="Arial" w:cs="Arial" w:eastAsia="Arial" w:hAnsi="Arial"/>
                <w:sz w:val="20"/>
                <w:szCs w:val="20"/>
                <w:color w:val="auto"/>
              </w:rPr>
              <w:t>[***]</w:t>
            </w:r>
          </w:p>
        </w:tc>
        <w:tc>
          <w:tcPr>
            <w:tcW w:w="21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50"/>
        </w:trPr>
        <w:tc>
          <w:tcPr>
            <w:tcW w:w="60" w:type="dxa"/>
            <w:vAlign w:val="bottom"/>
            <w:tcBorders>
              <w:left w:val="single" w:sz="8" w:color="auto"/>
              <w:bottom w:val="single" w:sz="8" w:color="auto"/>
            </w:tcBorders>
          </w:tcPr>
          <w:p>
            <w:pPr>
              <w:spacing w:after="0"/>
              <w:rPr>
                <w:sz w:val="4"/>
                <w:szCs w:val="4"/>
                <w:color w:val="auto"/>
              </w:rPr>
            </w:pPr>
          </w:p>
        </w:tc>
        <w:tc>
          <w:tcPr>
            <w:tcW w:w="2080" w:type="dxa"/>
            <w:vAlign w:val="bottom"/>
            <w:tcBorders>
              <w:bottom w:val="single" w:sz="8" w:color="auto"/>
              <w:right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80" w:type="dxa"/>
            <w:vAlign w:val="bottom"/>
            <w:tcBorders>
              <w:bottom w:val="single" w:sz="8" w:color="auto"/>
              <w:right w:val="single" w:sz="8" w:color="auto"/>
            </w:tcBorders>
          </w:tcPr>
          <w:p>
            <w:pPr>
              <w:spacing w:after="0"/>
              <w:rPr>
                <w:sz w:val="4"/>
                <w:szCs w:val="4"/>
                <w:color w:val="auto"/>
              </w:rPr>
            </w:pPr>
          </w:p>
        </w:tc>
        <w:tc>
          <w:tcPr>
            <w:tcW w:w="2200" w:type="dxa"/>
            <w:vAlign w:val="bottom"/>
            <w:tcBorders>
              <w:bottom w:val="single" w:sz="8" w:color="auto"/>
            </w:tcBorders>
          </w:tcPr>
          <w:p>
            <w:pPr>
              <w:spacing w:after="0"/>
              <w:rPr>
                <w:sz w:val="4"/>
                <w:szCs w:val="4"/>
                <w:color w:val="auto"/>
              </w:rPr>
            </w:pPr>
          </w:p>
        </w:tc>
        <w:tc>
          <w:tcPr>
            <w:tcW w:w="1340" w:type="dxa"/>
            <w:vAlign w:val="bottom"/>
            <w:tcBorders>
              <w:bottom w:val="single" w:sz="8" w:color="auto"/>
              <w:right w:val="single" w:sz="8" w:color="auto"/>
            </w:tcBorders>
          </w:tcPr>
          <w:p>
            <w:pPr>
              <w:spacing w:after="0"/>
              <w:rPr>
                <w:sz w:val="4"/>
                <w:szCs w:val="4"/>
                <w:color w:val="auto"/>
              </w:rPr>
            </w:pPr>
          </w:p>
        </w:tc>
        <w:tc>
          <w:tcPr>
            <w:tcW w:w="1520" w:type="dxa"/>
            <w:vAlign w:val="bottom"/>
            <w:tcBorders>
              <w:bottom w:val="single" w:sz="8" w:color="auto"/>
            </w:tcBorders>
          </w:tcPr>
          <w:p>
            <w:pPr>
              <w:spacing w:after="0"/>
              <w:rPr>
                <w:sz w:val="4"/>
                <w:szCs w:val="4"/>
                <w:color w:val="auto"/>
              </w:rPr>
            </w:pPr>
          </w:p>
        </w:tc>
        <w:tc>
          <w:tcPr>
            <w:tcW w:w="21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140" w:type="dxa"/>
            <w:vAlign w:val="bottom"/>
            <w:tcBorders>
              <w:left w:val="single" w:sz="8" w:color="auto"/>
              <w:right w:val="single" w:sz="8" w:color="auto"/>
            </w:tcBorders>
            <w:gridSpan w:val="2"/>
          </w:tcPr>
          <w:p>
            <w:pPr>
              <w:jc w:val="right"/>
              <w:ind w:right="1541"/>
              <w:spacing w:after="0"/>
              <w:rPr>
                <w:sz w:val="20"/>
                <w:szCs w:val="20"/>
                <w:color w:val="auto"/>
              </w:rPr>
            </w:pPr>
            <w:r>
              <w:rPr>
                <w:rFonts w:ascii="Arial" w:cs="Arial" w:eastAsia="Arial" w:hAnsi="Arial"/>
                <w:sz w:val="20"/>
                <w:szCs w:val="20"/>
                <w:color w:val="auto"/>
              </w:rPr>
              <w:t>[***]</w:t>
            </w:r>
          </w:p>
        </w:tc>
        <w:tc>
          <w:tcPr>
            <w:tcW w:w="140" w:type="dxa"/>
            <w:vAlign w:val="bottom"/>
          </w:tcPr>
          <w:p>
            <w:pPr>
              <w:spacing w:after="0"/>
              <w:rPr>
                <w:sz w:val="23"/>
                <w:szCs w:val="23"/>
                <w:color w:val="auto"/>
              </w:rPr>
            </w:pPr>
          </w:p>
        </w:tc>
        <w:tc>
          <w:tcPr>
            <w:tcW w:w="980" w:type="dxa"/>
            <w:vAlign w:val="bottom"/>
            <w:gridSpan w:val="2"/>
          </w:tcPr>
          <w:p>
            <w:pPr>
              <w:jc w:val="center"/>
              <w:spacing w:after="0"/>
              <w:rPr>
                <w:sz w:val="20"/>
                <w:szCs w:val="20"/>
                <w:color w:val="auto"/>
              </w:rPr>
            </w:pPr>
            <w:r>
              <w:rPr>
                <w:rFonts w:ascii="Arial" w:cs="Arial" w:eastAsia="Arial" w:hAnsi="Arial"/>
                <w:sz w:val="20"/>
                <w:szCs w:val="20"/>
                <w:color w:val="auto"/>
              </w:rPr>
              <w:t>[***]</w:t>
            </w:r>
          </w:p>
        </w:tc>
        <w:tc>
          <w:tcPr>
            <w:tcW w:w="180" w:type="dxa"/>
            <w:vAlign w:val="bottom"/>
            <w:tcBorders>
              <w:right w:val="single" w:sz="8" w:color="auto"/>
            </w:tcBorders>
          </w:tcPr>
          <w:p>
            <w:pPr>
              <w:spacing w:after="0"/>
              <w:rPr>
                <w:sz w:val="23"/>
                <w:szCs w:val="23"/>
                <w:color w:val="auto"/>
              </w:rPr>
            </w:pPr>
          </w:p>
        </w:tc>
        <w:tc>
          <w:tcPr>
            <w:tcW w:w="2200" w:type="dxa"/>
            <w:vAlign w:val="bottom"/>
          </w:tcPr>
          <w:p>
            <w:pPr>
              <w:jc w:val="right"/>
              <w:ind w:right="1621"/>
              <w:spacing w:after="0"/>
              <w:rPr>
                <w:sz w:val="20"/>
                <w:szCs w:val="20"/>
                <w:color w:val="auto"/>
              </w:rPr>
            </w:pPr>
            <w:r>
              <w:rPr>
                <w:rFonts w:ascii="Arial" w:cs="Arial" w:eastAsia="Arial" w:hAnsi="Arial"/>
                <w:sz w:val="20"/>
                <w:szCs w:val="20"/>
                <w:color w:val="auto"/>
              </w:rPr>
              <w:t>[***]</w:t>
            </w:r>
          </w:p>
        </w:tc>
        <w:tc>
          <w:tcPr>
            <w:tcW w:w="1340" w:type="dxa"/>
            <w:vAlign w:val="bottom"/>
            <w:tcBorders>
              <w:right w:val="single" w:sz="8" w:color="auto"/>
            </w:tcBorders>
          </w:tcPr>
          <w:p>
            <w:pPr>
              <w:spacing w:after="0"/>
              <w:rPr>
                <w:sz w:val="23"/>
                <w:szCs w:val="23"/>
                <w:color w:val="auto"/>
              </w:rPr>
            </w:pPr>
          </w:p>
        </w:tc>
        <w:tc>
          <w:tcPr>
            <w:tcW w:w="1520" w:type="dxa"/>
            <w:vAlign w:val="bottom"/>
          </w:tcPr>
          <w:p>
            <w:pPr>
              <w:jc w:val="right"/>
              <w:ind w:right="921"/>
              <w:spacing w:after="0"/>
              <w:rPr>
                <w:sz w:val="20"/>
                <w:szCs w:val="20"/>
                <w:color w:val="auto"/>
              </w:rPr>
            </w:pPr>
            <w:r>
              <w:rPr>
                <w:rFonts w:ascii="Arial" w:cs="Arial" w:eastAsia="Arial" w:hAnsi="Arial"/>
                <w:sz w:val="20"/>
                <w:szCs w:val="20"/>
                <w:color w:val="auto"/>
              </w:rPr>
              <w:t>[***]</w:t>
            </w:r>
          </w:p>
        </w:tc>
        <w:tc>
          <w:tcPr>
            <w:tcW w:w="21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50"/>
        </w:trPr>
        <w:tc>
          <w:tcPr>
            <w:tcW w:w="60" w:type="dxa"/>
            <w:vAlign w:val="bottom"/>
            <w:tcBorders>
              <w:left w:val="single" w:sz="8" w:color="auto"/>
              <w:bottom w:val="single" w:sz="8" w:color="auto"/>
            </w:tcBorders>
          </w:tcPr>
          <w:p>
            <w:pPr>
              <w:spacing w:after="0"/>
              <w:rPr>
                <w:sz w:val="4"/>
                <w:szCs w:val="4"/>
                <w:color w:val="auto"/>
              </w:rPr>
            </w:pPr>
          </w:p>
        </w:tc>
        <w:tc>
          <w:tcPr>
            <w:tcW w:w="2080" w:type="dxa"/>
            <w:vAlign w:val="bottom"/>
            <w:tcBorders>
              <w:bottom w:val="single" w:sz="8" w:color="auto"/>
              <w:right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80" w:type="dxa"/>
            <w:vAlign w:val="bottom"/>
            <w:tcBorders>
              <w:bottom w:val="single" w:sz="8" w:color="auto"/>
              <w:right w:val="single" w:sz="8" w:color="auto"/>
            </w:tcBorders>
          </w:tcPr>
          <w:p>
            <w:pPr>
              <w:spacing w:after="0"/>
              <w:rPr>
                <w:sz w:val="4"/>
                <w:szCs w:val="4"/>
                <w:color w:val="auto"/>
              </w:rPr>
            </w:pPr>
          </w:p>
        </w:tc>
        <w:tc>
          <w:tcPr>
            <w:tcW w:w="2200" w:type="dxa"/>
            <w:vAlign w:val="bottom"/>
            <w:tcBorders>
              <w:bottom w:val="single" w:sz="8" w:color="auto"/>
            </w:tcBorders>
          </w:tcPr>
          <w:p>
            <w:pPr>
              <w:spacing w:after="0"/>
              <w:rPr>
                <w:sz w:val="4"/>
                <w:szCs w:val="4"/>
                <w:color w:val="auto"/>
              </w:rPr>
            </w:pPr>
          </w:p>
        </w:tc>
        <w:tc>
          <w:tcPr>
            <w:tcW w:w="1340" w:type="dxa"/>
            <w:vAlign w:val="bottom"/>
            <w:tcBorders>
              <w:bottom w:val="single" w:sz="8" w:color="auto"/>
              <w:right w:val="single" w:sz="8" w:color="auto"/>
            </w:tcBorders>
          </w:tcPr>
          <w:p>
            <w:pPr>
              <w:spacing w:after="0"/>
              <w:rPr>
                <w:sz w:val="4"/>
                <w:szCs w:val="4"/>
                <w:color w:val="auto"/>
              </w:rPr>
            </w:pPr>
          </w:p>
        </w:tc>
        <w:tc>
          <w:tcPr>
            <w:tcW w:w="1520" w:type="dxa"/>
            <w:vAlign w:val="bottom"/>
            <w:tcBorders>
              <w:bottom w:val="single" w:sz="8" w:color="auto"/>
            </w:tcBorders>
          </w:tcPr>
          <w:p>
            <w:pPr>
              <w:spacing w:after="0"/>
              <w:rPr>
                <w:sz w:val="4"/>
                <w:szCs w:val="4"/>
                <w:color w:val="auto"/>
              </w:rPr>
            </w:pPr>
          </w:p>
        </w:tc>
        <w:tc>
          <w:tcPr>
            <w:tcW w:w="21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551"/>
        </w:trPr>
        <w:tc>
          <w:tcPr>
            <w:tcW w:w="2140" w:type="dxa"/>
            <w:vAlign w:val="bottom"/>
            <w:gridSpan w:val="2"/>
          </w:tcPr>
          <w:p>
            <w:pPr>
              <w:ind w:left="40"/>
              <w:spacing w:after="0"/>
              <w:rPr>
                <w:sz w:val="20"/>
                <w:szCs w:val="20"/>
                <w:color w:val="auto"/>
              </w:rPr>
            </w:pPr>
            <w:r>
              <w:rPr>
                <w:rFonts w:ascii="Arial" w:cs="Arial" w:eastAsia="Arial" w:hAnsi="Arial"/>
                <w:sz w:val="20"/>
                <w:szCs w:val="20"/>
                <w:color w:val="auto"/>
              </w:rPr>
              <w:t>[***]</w:t>
            </w: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7"/>
        </w:trPr>
        <w:tc>
          <w:tcPr>
            <w:tcW w:w="60" w:type="dxa"/>
            <w:vAlign w:val="bottom"/>
          </w:tcPr>
          <w:p>
            <w:pPr>
              <w:spacing w:after="0"/>
              <w:rPr>
                <w:sz w:val="24"/>
                <w:szCs w:val="24"/>
                <w:color w:val="auto"/>
              </w:rPr>
            </w:pPr>
          </w:p>
        </w:tc>
        <w:tc>
          <w:tcPr>
            <w:tcW w:w="5580" w:type="dxa"/>
            <w:vAlign w:val="bottom"/>
            <w:tcBorders>
              <w:bottom w:val="single" w:sz="8" w:color="auto"/>
            </w:tcBorders>
            <w:gridSpan w:val="6"/>
          </w:tcPr>
          <w:p>
            <w:pPr>
              <w:spacing w:after="0"/>
              <w:rPr>
                <w:sz w:val="20"/>
                <w:szCs w:val="20"/>
                <w:color w:val="auto"/>
              </w:rPr>
            </w:pPr>
            <w:r>
              <w:rPr>
                <w:rFonts w:ascii="Arial" w:cs="Arial" w:eastAsia="Arial" w:hAnsi="Arial"/>
                <w:sz w:val="20"/>
                <w:szCs w:val="20"/>
                <w:color w:val="auto"/>
              </w:rPr>
              <w:t>Chart 2B – Raw Material adjustment cadence</w:t>
            </w:r>
          </w:p>
        </w:tc>
        <w:tc>
          <w:tcPr>
            <w:tcW w:w="134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2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2"/>
        </w:trPr>
        <w:tc>
          <w:tcPr>
            <w:tcW w:w="60" w:type="dxa"/>
            <w:vAlign w:val="bottom"/>
            <w:tcBorders>
              <w:right w:val="single" w:sz="8" w:color="auto"/>
            </w:tcBorders>
          </w:tcPr>
          <w:p>
            <w:pPr>
              <w:spacing w:after="0"/>
              <w:rPr>
                <w:sz w:val="23"/>
                <w:szCs w:val="23"/>
                <w:color w:val="auto"/>
              </w:rPr>
            </w:pPr>
          </w:p>
        </w:tc>
        <w:tc>
          <w:tcPr>
            <w:tcW w:w="2220" w:type="dxa"/>
            <w:vAlign w:val="bottom"/>
            <w:gridSpan w:val="2"/>
            <w:shd w:val="clear" w:color="auto" w:fill="D9D9D9"/>
          </w:tcPr>
          <w:p>
            <w:pPr>
              <w:ind w:left="660"/>
              <w:spacing w:after="0"/>
              <w:rPr>
                <w:sz w:val="20"/>
                <w:szCs w:val="20"/>
                <w:color w:val="auto"/>
              </w:rPr>
            </w:pPr>
            <w:r>
              <w:rPr>
                <w:rFonts w:ascii="Arial" w:cs="Arial" w:eastAsia="Arial" w:hAnsi="Arial"/>
                <w:sz w:val="20"/>
                <w:szCs w:val="20"/>
                <w:b w:val="1"/>
                <w:bCs w:val="1"/>
                <w:color w:val="auto"/>
                <w:w w:val="98"/>
              </w:rPr>
              <w:t>Shipment Month</w:t>
            </w:r>
          </w:p>
        </w:tc>
        <w:tc>
          <w:tcPr>
            <w:tcW w:w="580" w:type="dxa"/>
            <w:vAlign w:val="bottom"/>
            <w:tcBorders>
              <w:right w:val="single" w:sz="8" w:color="auto"/>
            </w:tcBorders>
            <w:shd w:val="clear" w:color="auto" w:fill="D9D9D9"/>
          </w:tcPr>
          <w:p>
            <w:pPr>
              <w:spacing w:after="0"/>
              <w:rPr>
                <w:sz w:val="23"/>
                <w:szCs w:val="23"/>
                <w:color w:val="auto"/>
              </w:rPr>
            </w:pPr>
          </w:p>
        </w:tc>
        <w:tc>
          <w:tcPr>
            <w:tcW w:w="2780" w:type="dxa"/>
            <w:vAlign w:val="bottom"/>
            <w:tcBorders>
              <w:right w:val="single" w:sz="8" w:color="auto"/>
            </w:tcBorders>
            <w:gridSpan w:val="3"/>
            <w:shd w:val="clear" w:color="auto" w:fill="D9D9D9"/>
          </w:tcPr>
          <w:p>
            <w:pPr>
              <w:jc w:val="center"/>
              <w:spacing w:after="0"/>
              <w:rPr>
                <w:sz w:val="20"/>
                <w:szCs w:val="20"/>
                <w:color w:val="auto"/>
              </w:rPr>
            </w:pPr>
            <w:r>
              <w:rPr>
                <w:rFonts w:ascii="Arial" w:cs="Arial" w:eastAsia="Arial" w:hAnsi="Arial"/>
                <w:sz w:val="20"/>
                <w:szCs w:val="20"/>
                <w:b w:val="1"/>
                <w:bCs w:val="1"/>
                <w:color w:val="auto"/>
                <w:w w:val="90"/>
              </w:rPr>
              <w:t>Arithmetic average of the daily</w:t>
            </w:r>
          </w:p>
        </w:tc>
        <w:tc>
          <w:tcPr>
            <w:tcW w:w="2860" w:type="dxa"/>
            <w:vAlign w:val="bottom"/>
            <w:tcBorders>
              <w:right w:val="single" w:sz="8" w:color="auto"/>
            </w:tcBorders>
            <w:gridSpan w:val="2"/>
            <w:shd w:val="clear" w:color="auto" w:fill="D9D9D9"/>
          </w:tcPr>
          <w:p>
            <w:pPr>
              <w:jc w:val="right"/>
              <w:ind w:right="141"/>
              <w:spacing w:after="0"/>
              <w:rPr>
                <w:sz w:val="20"/>
                <w:szCs w:val="20"/>
                <w:color w:val="auto"/>
              </w:rPr>
            </w:pPr>
            <w:r>
              <w:rPr>
                <w:rFonts w:ascii="Arial" w:cs="Arial" w:eastAsia="Arial" w:hAnsi="Arial"/>
                <w:sz w:val="20"/>
                <w:szCs w:val="20"/>
                <w:b w:val="1"/>
                <w:bCs w:val="1"/>
                <w:color w:val="auto"/>
                <w:w w:val="95"/>
              </w:rPr>
              <w:t>Applies for following indices</w:t>
            </w:r>
          </w:p>
        </w:tc>
        <w:tc>
          <w:tcPr>
            <w:tcW w:w="2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60" w:type="dxa"/>
            <w:vAlign w:val="bottom"/>
            <w:tcBorders>
              <w:right w:val="single" w:sz="8" w:color="auto"/>
            </w:tcBorders>
          </w:tcPr>
          <w:p>
            <w:pPr>
              <w:spacing w:after="0"/>
              <w:rPr>
                <w:sz w:val="22"/>
                <w:szCs w:val="22"/>
                <w:color w:val="auto"/>
              </w:rPr>
            </w:pPr>
          </w:p>
        </w:tc>
        <w:tc>
          <w:tcPr>
            <w:tcW w:w="2080" w:type="dxa"/>
            <w:vAlign w:val="bottom"/>
            <w:tcBorders>
              <w:right w:val="single" w:sz="8" w:color="D9D9D9"/>
            </w:tcBorders>
            <w:shd w:val="clear" w:color="auto" w:fill="D9D9D9"/>
          </w:tcPr>
          <w:p>
            <w:pPr>
              <w:spacing w:after="0"/>
              <w:rPr>
                <w:sz w:val="22"/>
                <w:szCs w:val="22"/>
                <w:color w:val="auto"/>
              </w:rPr>
            </w:pPr>
          </w:p>
        </w:tc>
        <w:tc>
          <w:tcPr>
            <w:tcW w:w="140" w:type="dxa"/>
            <w:vAlign w:val="bottom"/>
            <w:shd w:val="clear" w:color="auto" w:fill="D9D9D9"/>
          </w:tcPr>
          <w:p>
            <w:pPr>
              <w:spacing w:after="0"/>
              <w:rPr>
                <w:sz w:val="22"/>
                <w:szCs w:val="22"/>
                <w:color w:val="auto"/>
              </w:rPr>
            </w:pPr>
          </w:p>
        </w:tc>
        <w:tc>
          <w:tcPr>
            <w:tcW w:w="580" w:type="dxa"/>
            <w:vAlign w:val="bottom"/>
            <w:tcBorders>
              <w:right w:val="single" w:sz="8" w:color="auto"/>
            </w:tcBorders>
            <w:shd w:val="clear" w:color="auto" w:fill="D9D9D9"/>
          </w:tcPr>
          <w:p>
            <w:pPr>
              <w:spacing w:after="0"/>
              <w:rPr>
                <w:sz w:val="22"/>
                <w:szCs w:val="22"/>
                <w:color w:val="auto"/>
              </w:rPr>
            </w:pPr>
          </w:p>
        </w:tc>
        <w:tc>
          <w:tcPr>
            <w:tcW w:w="2780" w:type="dxa"/>
            <w:vAlign w:val="bottom"/>
            <w:tcBorders>
              <w:right w:val="single" w:sz="8" w:color="auto"/>
            </w:tcBorders>
            <w:gridSpan w:val="3"/>
            <w:shd w:val="clear" w:color="auto" w:fill="D9D9D9"/>
          </w:tcPr>
          <w:p>
            <w:pPr>
              <w:jc w:val="center"/>
              <w:spacing w:after="0"/>
              <w:rPr>
                <w:sz w:val="20"/>
                <w:szCs w:val="20"/>
                <w:color w:val="auto"/>
              </w:rPr>
            </w:pPr>
            <w:r>
              <w:rPr>
                <w:rFonts w:ascii="Arial" w:cs="Arial" w:eastAsia="Arial" w:hAnsi="Arial"/>
                <w:sz w:val="20"/>
                <w:szCs w:val="20"/>
                <w:b w:val="1"/>
                <w:bCs w:val="1"/>
                <w:color w:val="auto"/>
                <w:w w:val="91"/>
              </w:rPr>
              <w:t>Calculated Index price during</w:t>
            </w:r>
          </w:p>
        </w:tc>
        <w:tc>
          <w:tcPr>
            <w:tcW w:w="1340" w:type="dxa"/>
            <w:vAlign w:val="bottom"/>
            <w:tcBorders>
              <w:right w:val="single" w:sz="8" w:color="D9D9D9"/>
            </w:tcBorders>
            <w:shd w:val="clear" w:color="auto" w:fill="D9D9D9"/>
          </w:tcPr>
          <w:p>
            <w:pPr>
              <w:spacing w:after="0"/>
              <w:rPr>
                <w:sz w:val="22"/>
                <w:szCs w:val="22"/>
                <w:color w:val="auto"/>
              </w:rPr>
            </w:pPr>
          </w:p>
        </w:tc>
        <w:tc>
          <w:tcPr>
            <w:tcW w:w="1520" w:type="dxa"/>
            <w:vAlign w:val="bottom"/>
            <w:tcBorders>
              <w:right w:val="single" w:sz="8" w:color="auto"/>
            </w:tcBorders>
            <w:shd w:val="clear" w:color="auto" w:fill="D9D9D9"/>
          </w:tcPr>
          <w:p>
            <w:pPr>
              <w:spacing w:after="0"/>
              <w:rPr>
                <w:sz w:val="22"/>
                <w:szCs w:val="22"/>
                <w:color w:val="auto"/>
              </w:rPr>
            </w:pPr>
          </w:p>
        </w:tc>
        <w:tc>
          <w:tcPr>
            <w:tcW w:w="2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25"/>
        </w:trPr>
        <w:tc>
          <w:tcPr>
            <w:tcW w:w="60" w:type="dxa"/>
            <w:vAlign w:val="bottom"/>
            <w:tcBorders>
              <w:right w:val="single" w:sz="8" w:color="auto"/>
            </w:tcBorders>
          </w:tcPr>
          <w:p>
            <w:pPr>
              <w:spacing w:after="0"/>
              <w:rPr>
                <w:sz w:val="24"/>
                <w:szCs w:val="24"/>
                <w:color w:val="auto"/>
              </w:rPr>
            </w:pPr>
          </w:p>
        </w:tc>
        <w:tc>
          <w:tcPr>
            <w:tcW w:w="2080" w:type="dxa"/>
            <w:vAlign w:val="bottom"/>
            <w:tcBorders>
              <w:bottom w:val="single" w:sz="8" w:color="D9D9D9"/>
              <w:right w:val="single" w:sz="8" w:color="D9D9D9"/>
            </w:tcBorders>
            <w:shd w:val="clear" w:color="auto" w:fill="D9D9D9"/>
          </w:tcPr>
          <w:p>
            <w:pPr>
              <w:spacing w:after="0"/>
              <w:rPr>
                <w:sz w:val="24"/>
                <w:szCs w:val="24"/>
                <w:color w:val="auto"/>
              </w:rPr>
            </w:pPr>
          </w:p>
        </w:tc>
        <w:tc>
          <w:tcPr>
            <w:tcW w:w="140" w:type="dxa"/>
            <w:vAlign w:val="bottom"/>
            <w:tcBorders>
              <w:bottom w:val="single" w:sz="8" w:color="D9D9D9"/>
            </w:tcBorders>
            <w:shd w:val="clear" w:color="auto" w:fill="D9D9D9"/>
          </w:tcPr>
          <w:p>
            <w:pPr>
              <w:spacing w:after="0"/>
              <w:rPr>
                <w:sz w:val="24"/>
                <w:szCs w:val="24"/>
                <w:color w:val="auto"/>
              </w:rPr>
            </w:pPr>
          </w:p>
        </w:tc>
        <w:tc>
          <w:tcPr>
            <w:tcW w:w="580" w:type="dxa"/>
            <w:vAlign w:val="bottom"/>
            <w:tcBorders>
              <w:bottom w:val="single" w:sz="8" w:color="D9D9D9"/>
              <w:right w:val="single" w:sz="8" w:color="auto"/>
            </w:tcBorders>
            <w:shd w:val="clear" w:color="auto" w:fill="D9D9D9"/>
          </w:tcPr>
          <w:p>
            <w:pPr>
              <w:spacing w:after="0"/>
              <w:rPr>
                <w:sz w:val="24"/>
                <w:szCs w:val="24"/>
                <w:color w:val="auto"/>
              </w:rPr>
            </w:pPr>
          </w:p>
        </w:tc>
        <w:tc>
          <w:tcPr>
            <w:tcW w:w="400" w:type="dxa"/>
            <w:vAlign w:val="bottom"/>
            <w:tcBorders>
              <w:bottom w:val="single" w:sz="8" w:color="D9D9D9"/>
            </w:tcBorders>
            <w:shd w:val="clear" w:color="auto" w:fill="D9D9D9"/>
          </w:tcPr>
          <w:p>
            <w:pPr>
              <w:spacing w:after="0"/>
              <w:rPr>
                <w:sz w:val="24"/>
                <w:szCs w:val="24"/>
                <w:color w:val="auto"/>
              </w:rPr>
            </w:pPr>
          </w:p>
        </w:tc>
        <w:tc>
          <w:tcPr>
            <w:tcW w:w="2380" w:type="dxa"/>
            <w:vAlign w:val="bottom"/>
            <w:tcBorders>
              <w:bottom w:val="single" w:sz="8" w:color="D9D9D9"/>
              <w:right w:val="single" w:sz="8" w:color="auto"/>
            </w:tcBorders>
            <w:gridSpan w:val="2"/>
            <w:shd w:val="clear" w:color="auto" w:fill="D9D9D9"/>
          </w:tcPr>
          <w:p>
            <w:pPr>
              <w:jc w:val="center"/>
              <w:ind w:right="321"/>
              <w:spacing w:after="0"/>
              <w:rPr>
                <w:sz w:val="20"/>
                <w:szCs w:val="20"/>
                <w:color w:val="auto"/>
              </w:rPr>
            </w:pPr>
            <w:r>
              <w:rPr>
                <w:rFonts w:ascii="Arial" w:cs="Arial" w:eastAsia="Arial" w:hAnsi="Arial"/>
                <w:sz w:val="20"/>
                <w:szCs w:val="20"/>
                <w:b w:val="1"/>
                <w:bCs w:val="1"/>
                <w:color w:val="auto"/>
                <w:w w:val="89"/>
              </w:rPr>
              <w:t>the following period:</w:t>
            </w:r>
          </w:p>
        </w:tc>
        <w:tc>
          <w:tcPr>
            <w:tcW w:w="1340" w:type="dxa"/>
            <w:vAlign w:val="bottom"/>
            <w:tcBorders>
              <w:bottom w:val="single" w:sz="8" w:color="D9D9D9"/>
              <w:right w:val="single" w:sz="8" w:color="D9D9D9"/>
            </w:tcBorders>
            <w:shd w:val="clear" w:color="auto" w:fill="D9D9D9"/>
          </w:tcPr>
          <w:p>
            <w:pPr>
              <w:spacing w:after="0"/>
              <w:rPr>
                <w:sz w:val="24"/>
                <w:szCs w:val="24"/>
                <w:color w:val="auto"/>
              </w:rPr>
            </w:pPr>
          </w:p>
        </w:tc>
        <w:tc>
          <w:tcPr>
            <w:tcW w:w="1520" w:type="dxa"/>
            <w:vAlign w:val="bottom"/>
            <w:tcBorders>
              <w:bottom w:val="single" w:sz="8" w:color="D9D9D9"/>
              <w:right w:val="single" w:sz="8" w:color="auto"/>
            </w:tcBorders>
            <w:shd w:val="clear" w:color="auto" w:fill="D9D9D9"/>
          </w:tcPr>
          <w:p>
            <w:pPr>
              <w:spacing w:after="0"/>
              <w:rPr>
                <w:sz w:val="24"/>
                <w:szCs w:val="24"/>
                <w:color w:val="auto"/>
              </w:rPr>
            </w:pPr>
          </w:p>
        </w:tc>
        <w:tc>
          <w:tcPr>
            <w:tcW w:w="2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60" w:type="dxa"/>
            <w:vAlign w:val="bottom"/>
            <w:tcBorders>
              <w:right w:val="single" w:sz="8" w:color="auto"/>
            </w:tcBorders>
          </w:tcPr>
          <w:p>
            <w:pPr>
              <w:spacing w:after="0"/>
              <w:rPr>
                <w:sz w:val="21"/>
                <w:szCs w:val="21"/>
                <w:color w:val="auto"/>
              </w:rPr>
            </w:pPr>
          </w:p>
        </w:tc>
        <w:tc>
          <w:tcPr>
            <w:tcW w:w="2080" w:type="dxa"/>
            <w:vAlign w:val="bottom"/>
            <w:tcBorders>
              <w:top w:val="single" w:sz="8" w:color="auto"/>
            </w:tcBorders>
          </w:tcPr>
          <w:p>
            <w:pPr>
              <w:jc w:val="right"/>
              <w:ind w:right="381"/>
              <w:spacing w:after="0"/>
              <w:rPr>
                <w:sz w:val="20"/>
                <w:szCs w:val="20"/>
                <w:color w:val="auto"/>
              </w:rPr>
            </w:pPr>
            <w:r>
              <w:rPr>
                <w:rFonts w:ascii="Arial" w:cs="Arial" w:eastAsia="Arial" w:hAnsi="Arial"/>
                <w:sz w:val="20"/>
                <w:szCs w:val="20"/>
                <w:color w:val="auto"/>
              </w:rPr>
              <w:t>[***]</w:t>
            </w:r>
          </w:p>
        </w:tc>
        <w:tc>
          <w:tcPr>
            <w:tcW w:w="140" w:type="dxa"/>
            <w:vAlign w:val="bottom"/>
            <w:tcBorders>
              <w:top w:val="single" w:sz="8" w:color="auto"/>
            </w:tcBorders>
          </w:tcPr>
          <w:p>
            <w:pPr>
              <w:spacing w:after="0"/>
              <w:rPr>
                <w:sz w:val="21"/>
                <w:szCs w:val="21"/>
                <w:color w:val="auto"/>
              </w:rPr>
            </w:pPr>
          </w:p>
        </w:tc>
        <w:tc>
          <w:tcPr>
            <w:tcW w:w="580" w:type="dxa"/>
            <w:vAlign w:val="bottom"/>
            <w:tcBorders>
              <w:top w:val="single" w:sz="8" w:color="auto"/>
              <w:right w:val="single" w:sz="8" w:color="auto"/>
            </w:tcBorders>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2380" w:type="dxa"/>
            <w:vAlign w:val="bottom"/>
            <w:tcBorders>
              <w:top w:val="single" w:sz="8" w:color="auto"/>
              <w:right w:val="single" w:sz="8" w:color="auto"/>
            </w:tcBorders>
            <w:gridSpan w:val="2"/>
          </w:tcPr>
          <w:p>
            <w:pPr>
              <w:jc w:val="center"/>
              <w:ind w:right="321"/>
              <w:spacing w:after="0"/>
              <w:rPr>
                <w:sz w:val="20"/>
                <w:szCs w:val="20"/>
                <w:color w:val="auto"/>
              </w:rPr>
            </w:pPr>
            <w:r>
              <w:rPr>
                <w:rFonts w:ascii="Arial" w:cs="Arial" w:eastAsia="Arial" w:hAnsi="Arial"/>
                <w:sz w:val="20"/>
                <w:szCs w:val="20"/>
                <w:color w:val="auto"/>
              </w:rPr>
              <w:t>[***]</w:t>
            </w:r>
          </w:p>
        </w:tc>
        <w:tc>
          <w:tcPr>
            <w:tcW w:w="1340" w:type="dxa"/>
            <w:vAlign w:val="bottom"/>
            <w:tcBorders>
              <w:top w:val="single" w:sz="8" w:color="auto"/>
            </w:tcBorders>
          </w:tcPr>
          <w:p>
            <w:pPr>
              <w:spacing w:after="0"/>
              <w:rPr>
                <w:sz w:val="21"/>
                <w:szCs w:val="21"/>
                <w:color w:val="auto"/>
              </w:rPr>
            </w:pPr>
          </w:p>
        </w:tc>
        <w:tc>
          <w:tcPr>
            <w:tcW w:w="1520" w:type="dxa"/>
            <w:vAlign w:val="bottom"/>
            <w:tcBorders>
              <w:top w:val="single" w:sz="8" w:color="auto"/>
              <w:right w:val="single" w:sz="8" w:color="auto"/>
            </w:tcBorders>
          </w:tcPr>
          <w:p>
            <w:pPr>
              <w:spacing w:after="0"/>
              <w:rPr>
                <w:sz w:val="21"/>
                <w:szCs w:val="21"/>
                <w:color w:val="auto"/>
              </w:rPr>
            </w:pPr>
          </w:p>
        </w:tc>
        <w:tc>
          <w:tcPr>
            <w:tcW w:w="2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1"/>
        </w:trPr>
        <w:tc>
          <w:tcPr>
            <w:tcW w:w="60" w:type="dxa"/>
            <w:vAlign w:val="bottom"/>
            <w:tcBorders>
              <w:right w:val="single" w:sz="8" w:color="auto"/>
            </w:tcBorders>
          </w:tcPr>
          <w:p>
            <w:pPr>
              <w:spacing w:after="0"/>
              <w:rPr>
                <w:sz w:val="8"/>
                <w:szCs w:val="8"/>
                <w:color w:val="auto"/>
              </w:rPr>
            </w:pPr>
          </w:p>
        </w:tc>
        <w:tc>
          <w:tcPr>
            <w:tcW w:w="20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80" w:type="dxa"/>
            <w:vAlign w:val="bottom"/>
            <w:tcBorders>
              <w:bottom w:val="single" w:sz="8" w:color="auto"/>
              <w:right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380" w:type="dxa"/>
            <w:vAlign w:val="bottom"/>
            <w:tcBorders>
              <w:bottom w:val="single" w:sz="8" w:color="auto"/>
              <w:right w:val="single" w:sz="8" w:color="auto"/>
            </w:tcBorders>
            <w:gridSpan w:val="2"/>
          </w:tcPr>
          <w:p>
            <w:pPr>
              <w:spacing w:after="0"/>
              <w:rPr>
                <w:sz w:val="8"/>
                <w:szCs w:val="8"/>
                <w:color w:val="auto"/>
              </w:rPr>
            </w:pPr>
          </w:p>
        </w:tc>
        <w:tc>
          <w:tcPr>
            <w:tcW w:w="1340" w:type="dxa"/>
            <w:vAlign w:val="bottom"/>
          </w:tcPr>
          <w:p>
            <w:pPr>
              <w:spacing w:after="0"/>
              <w:rPr>
                <w:sz w:val="8"/>
                <w:szCs w:val="8"/>
                <w:color w:val="auto"/>
              </w:rPr>
            </w:pPr>
          </w:p>
        </w:tc>
        <w:tc>
          <w:tcPr>
            <w:tcW w:w="1520" w:type="dxa"/>
            <w:vAlign w:val="bottom"/>
            <w:tcBorders>
              <w:right w:val="single" w:sz="8" w:color="auto"/>
            </w:tcBorders>
          </w:tcPr>
          <w:p>
            <w:pPr>
              <w:spacing w:after="0"/>
              <w:rPr>
                <w:sz w:val="8"/>
                <w:szCs w:val="8"/>
                <w:color w:val="auto"/>
              </w:rPr>
            </w:pPr>
          </w:p>
        </w:tc>
        <w:tc>
          <w:tcPr>
            <w:tcW w:w="2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4"/>
        </w:trPr>
        <w:tc>
          <w:tcPr>
            <w:tcW w:w="60" w:type="dxa"/>
            <w:vAlign w:val="bottom"/>
            <w:tcBorders>
              <w:right w:val="single" w:sz="8" w:color="auto"/>
            </w:tcBorders>
          </w:tcPr>
          <w:p>
            <w:pPr>
              <w:spacing w:after="0"/>
              <w:rPr>
                <w:sz w:val="21"/>
                <w:szCs w:val="21"/>
                <w:color w:val="auto"/>
              </w:rPr>
            </w:pPr>
          </w:p>
        </w:tc>
        <w:tc>
          <w:tcPr>
            <w:tcW w:w="2080" w:type="dxa"/>
            <w:vAlign w:val="bottom"/>
          </w:tcPr>
          <w:p>
            <w:pPr>
              <w:jc w:val="right"/>
              <w:ind w:right="381"/>
              <w:spacing w:after="0"/>
              <w:rPr>
                <w:sz w:val="20"/>
                <w:szCs w:val="20"/>
                <w:color w:val="auto"/>
              </w:rPr>
            </w:pPr>
            <w:r>
              <w:rPr>
                <w:rFonts w:ascii="Arial" w:cs="Arial" w:eastAsia="Arial" w:hAnsi="Arial"/>
                <w:sz w:val="20"/>
                <w:szCs w:val="20"/>
                <w:color w:val="auto"/>
              </w:rPr>
              <w:t>[***]</w:t>
            </w:r>
          </w:p>
        </w:tc>
        <w:tc>
          <w:tcPr>
            <w:tcW w:w="140" w:type="dxa"/>
            <w:vAlign w:val="bottom"/>
          </w:tcPr>
          <w:p>
            <w:pPr>
              <w:spacing w:after="0"/>
              <w:rPr>
                <w:sz w:val="21"/>
                <w:szCs w:val="21"/>
                <w:color w:val="auto"/>
              </w:rPr>
            </w:pPr>
          </w:p>
        </w:tc>
        <w:tc>
          <w:tcPr>
            <w:tcW w:w="580" w:type="dxa"/>
            <w:vAlign w:val="bottom"/>
            <w:tcBorders>
              <w:right w:val="single" w:sz="8" w:color="auto"/>
            </w:tcBorders>
          </w:tcPr>
          <w:p>
            <w:pPr>
              <w:spacing w:after="0"/>
              <w:rPr>
                <w:sz w:val="21"/>
                <w:szCs w:val="21"/>
                <w:color w:val="auto"/>
              </w:rPr>
            </w:pPr>
          </w:p>
        </w:tc>
        <w:tc>
          <w:tcPr>
            <w:tcW w:w="400" w:type="dxa"/>
            <w:vAlign w:val="bottom"/>
          </w:tcPr>
          <w:p>
            <w:pPr>
              <w:spacing w:after="0"/>
              <w:rPr>
                <w:sz w:val="21"/>
                <w:szCs w:val="21"/>
                <w:color w:val="auto"/>
              </w:rPr>
            </w:pPr>
          </w:p>
        </w:tc>
        <w:tc>
          <w:tcPr>
            <w:tcW w:w="2380" w:type="dxa"/>
            <w:vAlign w:val="bottom"/>
            <w:tcBorders>
              <w:right w:val="single" w:sz="8" w:color="auto"/>
            </w:tcBorders>
            <w:gridSpan w:val="2"/>
          </w:tcPr>
          <w:p>
            <w:pPr>
              <w:jc w:val="center"/>
              <w:ind w:right="321"/>
              <w:spacing w:after="0"/>
              <w:rPr>
                <w:sz w:val="20"/>
                <w:szCs w:val="20"/>
                <w:color w:val="auto"/>
              </w:rPr>
            </w:pPr>
            <w:r>
              <w:rPr>
                <w:rFonts w:ascii="Arial" w:cs="Arial" w:eastAsia="Arial" w:hAnsi="Arial"/>
                <w:sz w:val="20"/>
                <w:szCs w:val="20"/>
                <w:color w:val="auto"/>
              </w:rPr>
              <w:t>[***]</w:t>
            </w:r>
          </w:p>
        </w:tc>
        <w:tc>
          <w:tcPr>
            <w:tcW w:w="1340" w:type="dxa"/>
            <w:vAlign w:val="bottom"/>
            <w:vMerge w:val="restart"/>
          </w:tcPr>
          <w:p>
            <w:pPr>
              <w:jc w:val="right"/>
              <w:ind w:right="741"/>
              <w:spacing w:after="0"/>
              <w:rPr>
                <w:sz w:val="20"/>
                <w:szCs w:val="20"/>
                <w:color w:val="auto"/>
              </w:rPr>
            </w:pPr>
            <w:r>
              <w:rPr>
                <w:rFonts w:ascii="Arial" w:cs="Arial" w:eastAsia="Arial" w:hAnsi="Arial"/>
                <w:sz w:val="20"/>
                <w:szCs w:val="20"/>
                <w:color w:val="auto"/>
              </w:rPr>
              <w:t>[***]</w:t>
            </w:r>
          </w:p>
        </w:tc>
        <w:tc>
          <w:tcPr>
            <w:tcW w:w="1520" w:type="dxa"/>
            <w:vAlign w:val="bottom"/>
            <w:tcBorders>
              <w:right w:val="single" w:sz="8" w:color="auto"/>
            </w:tcBorders>
          </w:tcPr>
          <w:p>
            <w:pPr>
              <w:spacing w:after="0"/>
              <w:rPr>
                <w:sz w:val="21"/>
                <w:szCs w:val="21"/>
                <w:color w:val="auto"/>
              </w:rPr>
            </w:pPr>
          </w:p>
        </w:tc>
        <w:tc>
          <w:tcPr>
            <w:tcW w:w="2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3"/>
        </w:trPr>
        <w:tc>
          <w:tcPr>
            <w:tcW w:w="60" w:type="dxa"/>
            <w:vAlign w:val="bottom"/>
            <w:tcBorders>
              <w:right w:val="single" w:sz="8" w:color="auto"/>
            </w:tcBorders>
          </w:tcPr>
          <w:p>
            <w:pPr>
              <w:spacing w:after="0"/>
              <w:rPr>
                <w:sz w:val="10"/>
                <w:szCs w:val="10"/>
                <w:color w:val="auto"/>
              </w:rPr>
            </w:pPr>
          </w:p>
        </w:tc>
        <w:tc>
          <w:tcPr>
            <w:tcW w:w="20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80" w:type="dxa"/>
            <w:vAlign w:val="bottom"/>
            <w:tcBorders>
              <w:bottom w:val="single" w:sz="8" w:color="auto"/>
              <w:right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2200" w:type="dxa"/>
            <w:vAlign w:val="bottom"/>
            <w:tcBorders>
              <w:bottom w:val="single" w:sz="8" w:color="auto"/>
              <w:right w:val="single" w:sz="8" w:color="auto"/>
            </w:tcBorders>
          </w:tcPr>
          <w:p>
            <w:pPr>
              <w:spacing w:after="0"/>
              <w:rPr>
                <w:sz w:val="10"/>
                <w:szCs w:val="10"/>
                <w:color w:val="auto"/>
              </w:rPr>
            </w:pPr>
          </w:p>
        </w:tc>
        <w:tc>
          <w:tcPr>
            <w:tcW w:w="1340" w:type="dxa"/>
            <w:vAlign w:val="bottom"/>
            <w:vMerge w:val="continue"/>
          </w:tcPr>
          <w:p>
            <w:pPr>
              <w:spacing w:after="0"/>
              <w:rPr>
                <w:sz w:val="10"/>
                <w:szCs w:val="10"/>
                <w:color w:val="auto"/>
              </w:rPr>
            </w:pPr>
          </w:p>
        </w:tc>
        <w:tc>
          <w:tcPr>
            <w:tcW w:w="1520" w:type="dxa"/>
            <w:vAlign w:val="bottom"/>
            <w:tcBorders>
              <w:right w:val="single" w:sz="8" w:color="auto"/>
            </w:tcBorders>
          </w:tcPr>
          <w:p>
            <w:pPr>
              <w:spacing w:after="0"/>
              <w:rPr>
                <w:sz w:val="10"/>
                <w:szCs w:val="10"/>
                <w:color w:val="auto"/>
              </w:rPr>
            </w:pPr>
          </w:p>
        </w:tc>
        <w:tc>
          <w:tcPr>
            <w:tcW w:w="2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9"/>
        </w:trPr>
        <w:tc>
          <w:tcPr>
            <w:tcW w:w="60" w:type="dxa"/>
            <w:vAlign w:val="bottom"/>
            <w:tcBorders>
              <w:right w:val="single" w:sz="8" w:color="auto"/>
            </w:tcBorders>
          </w:tcPr>
          <w:p>
            <w:pPr>
              <w:spacing w:after="0"/>
              <w:rPr>
                <w:sz w:val="21"/>
                <w:szCs w:val="21"/>
                <w:color w:val="auto"/>
              </w:rPr>
            </w:pPr>
          </w:p>
        </w:tc>
        <w:tc>
          <w:tcPr>
            <w:tcW w:w="2080" w:type="dxa"/>
            <w:vAlign w:val="bottom"/>
          </w:tcPr>
          <w:p>
            <w:pPr>
              <w:jc w:val="right"/>
              <w:ind w:right="381"/>
              <w:spacing w:after="0"/>
              <w:rPr>
                <w:sz w:val="20"/>
                <w:szCs w:val="20"/>
                <w:color w:val="auto"/>
              </w:rPr>
            </w:pPr>
            <w:r>
              <w:rPr>
                <w:rFonts w:ascii="Arial" w:cs="Arial" w:eastAsia="Arial" w:hAnsi="Arial"/>
                <w:sz w:val="20"/>
                <w:szCs w:val="20"/>
                <w:color w:val="auto"/>
              </w:rPr>
              <w:t>[***]</w:t>
            </w:r>
          </w:p>
        </w:tc>
        <w:tc>
          <w:tcPr>
            <w:tcW w:w="140" w:type="dxa"/>
            <w:vAlign w:val="bottom"/>
          </w:tcPr>
          <w:p>
            <w:pPr>
              <w:spacing w:after="0"/>
              <w:rPr>
                <w:sz w:val="21"/>
                <w:szCs w:val="21"/>
                <w:color w:val="auto"/>
              </w:rPr>
            </w:pPr>
          </w:p>
        </w:tc>
        <w:tc>
          <w:tcPr>
            <w:tcW w:w="580" w:type="dxa"/>
            <w:vAlign w:val="bottom"/>
            <w:tcBorders>
              <w:right w:val="single" w:sz="8" w:color="auto"/>
            </w:tcBorders>
          </w:tcPr>
          <w:p>
            <w:pPr>
              <w:spacing w:after="0"/>
              <w:rPr>
                <w:sz w:val="21"/>
                <w:szCs w:val="21"/>
                <w:color w:val="auto"/>
              </w:rPr>
            </w:pPr>
          </w:p>
        </w:tc>
        <w:tc>
          <w:tcPr>
            <w:tcW w:w="400" w:type="dxa"/>
            <w:vAlign w:val="bottom"/>
          </w:tcPr>
          <w:p>
            <w:pPr>
              <w:spacing w:after="0"/>
              <w:rPr>
                <w:sz w:val="21"/>
                <w:szCs w:val="21"/>
                <w:color w:val="auto"/>
              </w:rPr>
            </w:pPr>
          </w:p>
        </w:tc>
        <w:tc>
          <w:tcPr>
            <w:tcW w:w="2380" w:type="dxa"/>
            <w:vAlign w:val="bottom"/>
            <w:tcBorders>
              <w:right w:val="single" w:sz="8" w:color="auto"/>
            </w:tcBorders>
            <w:gridSpan w:val="2"/>
          </w:tcPr>
          <w:p>
            <w:pPr>
              <w:jc w:val="center"/>
              <w:ind w:right="321"/>
              <w:spacing w:after="0"/>
              <w:rPr>
                <w:sz w:val="20"/>
                <w:szCs w:val="20"/>
                <w:color w:val="auto"/>
              </w:rPr>
            </w:pPr>
            <w:r>
              <w:rPr>
                <w:rFonts w:ascii="Arial" w:cs="Arial" w:eastAsia="Arial" w:hAnsi="Arial"/>
                <w:sz w:val="20"/>
                <w:szCs w:val="20"/>
                <w:color w:val="auto"/>
              </w:rPr>
              <w:t>[***]</w:t>
            </w:r>
          </w:p>
        </w:tc>
        <w:tc>
          <w:tcPr>
            <w:tcW w:w="1340" w:type="dxa"/>
            <w:vAlign w:val="bottom"/>
          </w:tcPr>
          <w:p>
            <w:pPr>
              <w:spacing w:after="0"/>
              <w:rPr>
                <w:sz w:val="21"/>
                <w:szCs w:val="21"/>
                <w:color w:val="auto"/>
              </w:rPr>
            </w:pPr>
          </w:p>
        </w:tc>
        <w:tc>
          <w:tcPr>
            <w:tcW w:w="1520" w:type="dxa"/>
            <w:vAlign w:val="bottom"/>
            <w:tcBorders>
              <w:right w:val="single" w:sz="8" w:color="auto"/>
            </w:tcBorders>
          </w:tcPr>
          <w:p>
            <w:pPr>
              <w:spacing w:after="0"/>
              <w:rPr>
                <w:sz w:val="21"/>
                <w:szCs w:val="21"/>
                <w:color w:val="auto"/>
              </w:rPr>
            </w:pPr>
          </w:p>
        </w:tc>
        <w:tc>
          <w:tcPr>
            <w:tcW w:w="2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8"/>
        </w:trPr>
        <w:tc>
          <w:tcPr>
            <w:tcW w:w="60" w:type="dxa"/>
            <w:vAlign w:val="bottom"/>
            <w:tcBorders>
              <w:right w:val="single" w:sz="8" w:color="auto"/>
            </w:tcBorders>
          </w:tcPr>
          <w:p>
            <w:pPr>
              <w:spacing w:after="0"/>
              <w:rPr>
                <w:sz w:val="11"/>
                <w:szCs w:val="11"/>
                <w:color w:val="auto"/>
              </w:rPr>
            </w:pPr>
          </w:p>
        </w:tc>
        <w:tc>
          <w:tcPr>
            <w:tcW w:w="20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80" w:type="dxa"/>
            <w:vAlign w:val="bottom"/>
            <w:tcBorders>
              <w:bottom w:val="single" w:sz="8" w:color="auto"/>
              <w:right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380" w:type="dxa"/>
            <w:vAlign w:val="bottom"/>
            <w:tcBorders>
              <w:bottom w:val="single" w:sz="8" w:color="auto"/>
              <w:right w:val="single" w:sz="8" w:color="auto"/>
            </w:tcBorders>
            <w:gridSpan w:val="2"/>
          </w:tcPr>
          <w:p>
            <w:pPr>
              <w:spacing w:after="0"/>
              <w:rPr>
                <w:sz w:val="11"/>
                <w:szCs w:val="11"/>
                <w:color w:val="auto"/>
              </w:rPr>
            </w:pPr>
          </w:p>
        </w:tc>
        <w:tc>
          <w:tcPr>
            <w:tcW w:w="1340" w:type="dxa"/>
            <w:vAlign w:val="bottom"/>
          </w:tcPr>
          <w:p>
            <w:pPr>
              <w:spacing w:after="0"/>
              <w:rPr>
                <w:sz w:val="11"/>
                <w:szCs w:val="11"/>
                <w:color w:val="auto"/>
              </w:rPr>
            </w:pPr>
          </w:p>
        </w:tc>
        <w:tc>
          <w:tcPr>
            <w:tcW w:w="1520" w:type="dxa"/>
            <w:vAlign w:val="bottom"/>
            <w:tcBorders>
              <w:right w:val="single" w:sz="8" w:color="auto"/>
            </w:tcBorders>
          </w:tcPr>
          <w:p>
            <w:pPr>
              <w:spacing w:after="0"/>
              <w:rPr>
                <w:sz w:val="11"/>
                <w:szCs w:val="11"/>
                <w:color w:val="auto"/>
              </w:rPr>
            </w:pPr>
          </w:p>
        </w:tc>
        <w:tc>
          <w:tcPr>
            <w:tcW w:w="2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4"/>
        </w:trPr>
        <w:tc>
          <w:tcPr>
            <w:tcW w:w="60" w:type="dxa"/>
            <w:vAlign w:val="bottom"/>
            <w:tcBorders>
              <w:right w:val="single" w:sz="8" w:color="auto"/>
            </w:tcBorders>
          </w:tcPr>
          <w:p>
            <w:pPr>
              <w:spacing w:after="0"/>
              <w:rPr>
                <w:sz w:val="21"/>
                <w:szCs w:val="21"/>
                <w:color w:val="auto"/>
              </w:rPr>
            </w:pPr>
          </w:p>
        </w:tc>
        <w:tc>
          <w:tcPr>
            <w:tcW w:w="2080" w:type="dxa"/>
            <w:vAlign w:val="bottom"/>
          </w:tcPr>
          <w:p>
            <w:pPr>
              <w:jc w:val="right"/>
              <w:ind w:right="381"/>
              <w:spacing w:after="0"/>
              <w:rPr>
                <w:sz w:val="20"/>
                <w:szCs w:val="20"/>
                <w:color w:val="auto"/>
              </w:rPr>
            </w:pPr>
            <w:r>
              <w:rPr>
                <w:rFonts w:ascii="Arial" w:cs="Arial" w:eastAsia="Arial" w:hAnsi="Arial"/>
                <w:sz w:val="20"/>
                <w:szCs w:val="20"/>
                <w:color w:val="auto"/>
              </w:rPr>
              <w:t>[***]</w:t>
            </w:r>
          </w:p>
        </w:tc>
        <w:tc>
          <w:tcPr>
            <w:tcW w:w="140" w:type="dxa"/>
            <w:vAlign w:val="bottom"/>
          </w:tcPr>
          <w:p>
            <w:pPr>
              <w:spacing w:after="0"/>
              <w:rPr>
                <w:sz w:val="21"/>
                <w:szCs w:val="21"/>
                <w:color w:val="auto"/>
              </w:rPr>
            </w:pPr>
          </w:p>
        </w:tc>
        <w:tc>
          <w:tcPr>
            <w:tcW w:w="580" w:type="dxa"/>
            <w:vAlign w:val="bottom"/>
            <w:tcBorders>
              <w:right w:val="single" w:sz="8" w:color="auto"/>
            </w:tcBorders>
          </w:tcPr>
          <w:p>
            <w:pPr>
              <w:spacing w:after="0"/>
              <w:rPr>
                <w:sz w:val="21"/>
                <w:szCs w:val="21"/>
                <w:color w:val="auto"/>
              </w:rPr>
            </w:pPr>
          </w:p>
        </w:tc>
        <w:tc>
          <w:tcPr>
            <w:tcW w:w="400" w:type="dxa"/>
            <w:vAlign w:val="bottom"/>
          </w:tcPr>
          <w:p>
            <w:pPr>
              <w:spacing w:after="0"/>
              <w:rPr>
                <w:sz w:val="21"/>
                <w:szCs w:val="21"/>
                <w:color w:val="auto"/>
              </w:rPr>
            </w:pPr>
          </w:p>
        </w:tc>
        <w:tc>
          <w:tcPr>
            <w:tcW w:w="2380" w:type="dxa"/>
            <w:vAlign w:val="bottom"/>
            <w:tcBorders>
              <w:right w:val="single" w:sz="8" w:color="auto"/>
            </w:tcBorders>
            <w:gridSpan w:val="2"/>
          </w:tcPr>
          <w:p>
            <w:pPr>
              <w:jc w:val="center"/>
              <w:ind w:right="321"/>
              <w:spacing w:after="0"/>
              <w:rPr>
                <w:sz w:val="20"/>
                <w:szCs w:val="20"/>
                <w:color w:val="auto"/>
              </w:rPr>
            </w:pPr>
            <w:r>
              <w:rPr>
                <w:rFonts w:ascii="Arial" w:cs="Arial" w:eastAsia="Arial" w:hAnsi="Arial"/>
                <w:sz w:val="20"/>
                <w:szCs w:val="20"/>
                <w:color w:val="auto"/>
              </w:rPr>
              <w:t>[***]</w:t>
            </w:r>
          </w:p>
        </w:tc>
        <w:tc>
          <w:tcPr>
            <w:tcW w:w="1340" w:type="dxa"/>
            <w:vAlign w:val="bottom"/>
          </w:tcPr>
          <w:p>
            <w:pPr>
              <w:spacing w:after="0"/>
              <w:rPr>
                <w:sz w:val="21"/>
                <w:szCs w:val="21"/>
                <w:color w:val="auto"/>
              </w:rPr>
            </w:pPr>
          </w:p>
        </w:tc>
        <w:tc>
          <w:tcPr>
            <w:tcW w:w="1520" w:type="dxa"/>
            <w:vAlign w:val="bottom"/>
            <w:tcBorders>
              <w:right w:val="single" w:sz="8" w:color="auto"/>
            </w:tcBorders>
          </w:tcPr>
          <w:p>
            <w:pPr>
              <w:spacing w:after="0"/>
              <w:rPr>
                <w:sz w:val="21"/>
                <w:szCs w:val="21"/>
                <w:color w:val="auto"/>
              </w:rPr>
            </w:pPr>
          </w:p>
        </w:tc>
        <w:tc>
          <w:tcPr>
            <w:tcW w:w="2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5"/>
        </w:trPr>
        <w:tc>
          <w:tcPr>
            <w:tcW w:w="60" w:type="dxa"/>
            <w:vAlign w:val="bottom"/>
            <w:tcBorders>
              <w:right w:val="single" w:sz="8" w:color="auto"/>
            </w:tcBorders>
          </w:tcPr>
          <w:p>
            <w:pPr>
              <w:spacing w:after="0"/>
              <w:rPr>
                <w:sz w:val="13"/>
                <w:szCs w:val="13"/>
                <w:color w:val="auto"/>
              </w:rPr>
            </w:pPr>
          </w:p>
        </w:tc>
        <w:tc>
          <w:tcPr>
            <w:tcW w:w="20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80" w:type="dxa"/>
            <w:vAlign w:val="bottom"/>
            <w:tcBorders>
              <w:bottom w:val="single" w:sz="8" w:color="auto"/>
              <w:right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200" w:type="dxa"/>
            <w:vAlign w:val="bottom"/>
            <w:tcBorders>
              <w:bottom w:val="single" w:sz="8" w:color="auto"/>
              <w:right w:val="single" w:sz="8" w:color="auto"/>
            </w:tcBorders>
          </w:tcPr>
          <w:p>
            <w:pPr>
              <w:spacing w:after="0"/>
              <w:rPr>
                <w:sz w:val="13"/>
                <w:szCs w:val="13"/>
                <w:color w:val="auto"/>
              </w:rPr>
            </w:pPr>
          </w:p>
        </w:tc>
        <w:tc>
          <w:tcPr>
            <w:tcW w:w="1340" w:type="dxa"/>
            <w:vAlign w:val="bottom"/>
            <w:tcBorders>
              <w:bottom w:val="single" w:sz="8" w:color="auto"/>
            </w:tcBorders>
          </w:tcPr>
          <w:p>
            <w:pPr>
              <w:spacing w:after="0"/>
              <w:rPr>
                <w:sz w:val="13"/>
                <w:szCs w:val="13"/>
                <w:color w:val="auto"/>
              </w:rPr>
            </w:pPr>
          </w:p>
        </w:tc>
        <w:tc>
          <w:tcPr>
            <w:tcW w:w="1520" w:type="dxa"/>
            <w:vAlign w:val="bottom"/>
            <w:tcBorders>
              <w:bottom w:val="single" w:sz="8" w:color="auto"/>
              <w:right w:val="single" w:sz="8" w:color="auto"/>
            </w:tcBorders>
          </w:tcPr>
          <w:p>
            <w:pPr>
              <w:spacing w:after="0"/>
              <w:rPr>
                <w:sz w:val="13"/>
                <w:szCs w:val="13"/>
                <w:color w:val="auto"/>
              </w:rPr>
            </w:pPr>
          </w:p>
        </w:tc>
        <w:tc>
          <w:tcPr>
            <w:tcW w:w="21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30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Chart 3B – Raw material formula and base price</w:t>
      </w:r>
    </w:p>
    <w:p>
      <w:pPr>
        <w:spacing w:after="0" w:line="20" w:lineRule="exact"/>
        <w:rPr>
          <w:sz w:val="20"/>
          <w:szCs w:val="20"/>
          <w:color w:val="auto"/>
        </w:rPr>
      </w:pPr>
    </w:p>
    <w:tbl>
      <w:tblPr>
        <w:tblLayout w:type="fixed"/>
        <w:tblInd w:w="670" w:type="dxa"/>
        <w:tblCellMar>
          <w:top w:w="0" w:type="dxa"/>
          <w:left w:w="0" w:type="dxa"/>
          <w:bottom w:w="0" w:type="dxa"/>
          <w:right w:w="0" w:type="dxa"/>
        </w:tblCellMar>
      </w:tblPr>
      <w:tr>
        <w:trPr>
          <w:trHeight w:val="256"/>
        </w:trPr>
        <w:tc>
          <w:tcPr>
            <w:tcW w:w="2140" w:type="dxa"/>
            <w:vAlign w:val="bottom"/>
            <w:tcBorders>
              <w:top w:val="single" w:sz="8" w:color="auto"/>
              <w:left w:val="single" w:sz="8" w:color="auto"/>
              <w:bottom w:val="single" w:sz="8" w:color="auto"/>
              <w:right w:val="single" w:sz="8" w:color="D9D9D9"/>
            </w:tcBorders>
            <w:shd w:val="clear" w:color="auto" w:fill="D9D9D9"/>
          </w:tcPr>
          <w:p>
            <w:pPr>
              <w:ind w:left="80"/>
              <w:spacing w:after="0"/>
              <w:rPr>
                <w:sz w:val="20"/>
                <w:szCs w:val="20"/>
                <w:color w:val="auto"/>
              </w:rPr>
            </w:pPr>
            <w:r>
              <w:rPr>
                <w:rFonts w:ascii="Arial" w:cs="Arial" w:eastAsia="Arial" w:hAnsi="Arial"/>
                <w:sz w:val="20"/>
                <w:szCs w:val="20"/>
                <w:color w:val="auto"/>
              </w:rPr>
              <w:t>Definition</w:t>
            </w:r>
          </w:p>
        </w:tc>
        <w:tc>
          <w:tcPr>
            <w:tcW w:w="1320" w:type="dxa"/>
            <w:vAlign w:val="bottom"/>
            <w:tcBorders>
              <w:top w:val="single" w:sz="8" w:color="auto"/>
              <w:bottom w:val="single" w:sz="8" w:color="auto"/>
              <w:right w:val="single" w:sz="8" w:color="auto"/>
            </w:tcBorders>
            <w:shd w:val="clear" w:color="auto" w:fill="D9D9D9"/>
          </w:tcPr>
          <w:p>
            <w:pPr>
              <w:spacing w:after="0"/>
              <w:rPr>
                <w:sz w:val="22"/>
                <w:szCs w:val="22"/>
                <w:color w:val="auto"/>
              </w:rPr>
            </w:pPr>
          </w:p>
        </w:tc>
        <w:tc>
          <w:tcPr>
            <w:tcW w:w="1060" w:type="dxa"/>
            <w:vAlign w:val="bottom"/>
            <w:tcBorders>
              <w:top w:val="single" w:sz="8" w:color="auto"/>
              <w:bottom w:val="single" w:sz="8" w:color="auto"/>
              <w:right w:val="single" w:sz="8" w:color="auto"/>
            </w:tcBorders>
            <w:shd w:val="clear" w:color="auto" w:fill="D9D9D9"/>
          </w:tcPr>
          <w:p>
            <w:pPr>
              <w:jc w:val="right"/>
              <w:ind w:right="241"/>
              <w:spacing w:after="0"/>
              <w:rPr>
                <w:sz w:val="20"/>
                <w:szCs w:val="20"/>
                <w:color w:val="auto"/>
              </w:rPr>
            </w:pPr>
            <w:r>
              <w:rPr>
                <w:rFonts w:ascii="Arial" w:cs="Arial" w:eastAsia="Arial" w:hAnsi="Arial"/>
                <w:sz w:val="20"/>
                <w:szCs w:val="20"/>
                <w:color w:val="auto"/>
              </w:rPr>
              <w:t>[***]</w:t>
            </w:r>
          </w:p>
        </w:tc>
        <w:tc>
          <w:tcPr>
            <w:tcW w:w="1040" w:type="dxa"/>
            <w:vAlign w:val="bottom"/>
            <w:tcBorders>
              <w:top w:val="single" w:sz="8" w:color="auto"/>
              <w:bottom w:val="single" w:sz="8" w:color="auto"/>
              <w:right w:val="single" w:sz="8" w:color="auto"/>
            </w:tcBorders>
            <w:shd w:val="clear" w:color="auto" w:fill="D9D9D9"/>
          </w:tcPr>
          <w:p>
            <w:pPr>
              <w:jc w:val="right"/>
              <w:ind w:right="221"/>
              <w:spacing w:after="0"/>
              <w:rPr>
                <w:sz w:val="20"/>
                <w:szCs w:val="20"/>
                <w:color w:val="auto"/>
              </w:rPr>
            </w:pPr>
            <w:r>
              <w:rPr>
                <w:rFonts w:ascii="Arial" w:cs="Arial" w:eastAsia="Arial" w:hAnsi="Arial"/>
                <w:sz w:val="20"/>
                <w:szCs w:val="20"/>
                <w:color w:val="auto"/>
              </w:rPr>
              <w:t>[***]</w:t>
            </w:r>
          </w:p>
        </w:tc>
        <w:tc>
          <w:tcPr>
            <w:tcW w:w="1060" w:type="dxa"/>
            <w:vAlign w:val="bottom"/>
            <w:tcBorders>
              <w:top w:val="single" w:sz="8" w:color="auto"/>
              <w:bottom w:val="single" w:sz="8" w:color="auto"/>
              <w:right w:val="single" w:sz="8" w:color="auto"/>
            </w:tcBorders>
            <w:shd w:val="clear" w:color="auto" w:fill="D9D9D9"/>
          </w:tcPr>
          <w:p>
            <w:pPr>
              <w:jc w:val="right"/>
              <w:ind w:right="221"/>
              <w:spacing w:after="0"/>
              <w:rPr>
                <w:sz w:val="20"/>
                <w:szCs w:val="20"/>
                <w:color w:val="auto"/>
              </w:rPr>
            </w:pPr>
            <w:r>
              <w:rPr>
                <w:rFonts w:ascii="Arial" w:cs="Arial" w:eastAsia="Arial" w:hAnsi="Arial"/>
                <w:sz w:val="20"/>
                <w:szCs w:val="20"/>
                <w:color w:val="auto"/>
              </w:rPr>
              <w:t>[***]</w:t>
            </w:r>
          </w:p>
        </w:tc>
        <w:tc>
          <w:tcPr>
            <w:tcW w:w="1060" w:type="dxa"/>
            <w:vAlign w:val="bottom"/>
            <w:tcBorders>
              <w:top w:val="single" w:sz="8" w:color="auto"/>
              <w:bottom w:val="single" w:sz="8" w:color="auto"/>
              <w:right w:val="single" w:sz="8" w:color="auto"/>
            </w:tcBorders>
            <w:shd w:val="clear" w:color="auto" w:fill="D9D9D9"/>
          </w:tcPr>
          <w:p>
            <w:pPr>
              <w:jc w:val="right"/>
              <w:ind w:right="241"/>
              <w:spacing w:after="0"/>
              <w:rPr>
                <w:sz w:val="20"/>
                <w:szCs w:val="20"/>
                <w:color w:val="auto"/>
              </w:rPr>
            </w:pPr>
            <w:r>
              <w:rPr>
                <w:rFonts w:ascii="Arial" w:cs="Arial" w:eastAsia="Arial" w:hAnsi="Arial"/>
                <w:sz w:val="20"/>
                <w:szCs w:val="20"/>
                <w:color w:val="auto"/>
              </w:rPr>
              <w:t>[***]</w:t>
            </w:r>
          </w:p>
        </w:tc>
        <w:tc>
          <w:tcPr>
            <w:tcW w:w="1040" w:type="dxa"/>
            <w:vAlign w:val="bottom"/>
            <w:tcBorders>
              <w:top w:val="single" w:sz="8" w:color="auto"/>
              <w:bottom w:val="single" w:sz="8" w:color="auto"/>
              <w:right w:val="single" w:sz="8" w:color="auto"/>
            </w:tcBorders>
            <w:shd w:val="clear" w:color="auto" w:fill="D9D9D9"/>
          </w:tcPr>
          <w:p>
            <w:pPr>
              <w:jc w:val="right"/>
              <w:ind w:right="221"/>
              <w:spacing w:after="0"/>
              <w:rPr>
                <w:sz w:val="20"/>
                <w:szCs w:val="20"/>
                <w:color w:val="auto"/>
              </w:rPr>
            </w:pPr>
            <w:r>
              <w:rPr>
                <w:rFonts w:ascii="Arial" w:cs="Arial" w:eastAsia="Arial" w:hAnsi="Arial"/>
                <w:sz w:val="20"/>
                <w:szCs w:val="20"/>
                <w:color w:val="auto"/>
              </w:rPr>
              <w:t>[***]</w:t>
            </w:r>
          </w:p>
        </w:tc>
        <w:tc>
          <w:tcPr>
            <w:tcW w:w="1060" w:type="dxa"/>
            <w:vAlign w:val="bottom"/>
            <w:tcBorders>
              <w:top w:val="single" w:sz="8" w:color="auto"/>
              <w:bottom w:val="single" w:sz="8" w:color="auto"/>
              <w:right w:val="single" w:sz="8" w:color="auto"/>
            </w:tcBorders>
            <w:shd w:val="clear" w:color="auto" w:fill="D9D9D9"/>
          </w:tcPr>
          <w:p>
            <w:pPr>
              <w:jc w:val="right"/>
              <w:ind w:right="221"/>
              <w:spacing w:after="0"/>
              <w:rPr>
                <w:sz w:val="20"/>
                <w:szCs w:val="20"/>
                <w:color w:val="auto"/>
              </w:rPr>
            </w:pPr>
            <w:r>
              <w:rPr>
                <w:rFonts w:ascii="Arial" w:cs="Arial" w:eastAsia="Arial" w:hAnsi="Arial"/>
                <w:sz w:val="20"/>
                <w:szCs w:val="20"/>
                <w:color w:val="auto"/>
              </w:rPr>
              <w:t>[***]</w:t>
            </w:r>
          </w:p>
        </w:tc>
      </w:tr>
      <w:tr>
        <w:trPr>
          <w:trHeight w:val="250"/>
        </w:trPr>
        <w:tc>
          <w:tcPr>
            <w:tcW w:w="21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w:t>
            </w:r>
          </w:p>
        </w:tc>
        <w:tc>
          <w:tcPr>
            <w:tcW w:w="1320" w:type="dxa"/>
            <w:vAlign w:val="bottom"/>
            <w:tcBorders>
              <w:bottom w:val="single" w:sz="8" w:color="auto"/>
              <w:right w:val="single" w:sz="8" w:color="auto"/>
            </w:tcBorders>
          </w:tcPr>
          <w:p>
            <w:pPr>
              <w:jc w:val="right"/>
              <w:ind w:right="361"/>
              <w:spacing w:after="0"/>
              <w:rPr>
                <w:sz w:val="20"/>
                <w:szCs w:val="20"/>
                <w:color w:val="auto"/>
              </w:rPr>
            </w:pPr>
            <w:r>
              <w:rPr>
                <w:rFonts w:ascii="Arial" w:cs="Arial" w:eastAsia="Arial" w:hAnsi="Arial"/>
                <w:sz w:val="20"/>
                <w:szCs w:val="20"/>
                <w:color w:val="auto"/>
              </w:rPr>
              <w:t>[***]</w:t>
            </w:r>
          </w:p>
        </w:tc>
        <w:tc>
          <w:tcPr>
            <w:tcW w:w="1060" w:type="dxa"/>
            <w:vAlign w:val="bottom"/>
            <w:tcBorders>
              <w:bottom w:val="single" w:sz="8" w:color="auto"/>
              <w:right w:val="single" w:sz="8" w:color="auto"/>
            </w:tcBorders>
          </w:tcPr>
          <w:p>
            <w:pPr>
              <w:jc w:val="right"/>
              <w:ind w:right="481"/>
              <w:spacing w:after="0"/>
              <w:rPr>
                <w:sz w:val="20"/>
                <w:szCs w:val="20"/>
                <w:color w:val="auto"/>
              </w:rPr>
            </w:pPr>
            <w:r>
              <w:rPr>
                <w:rFonts w:ascii="Arial" w:cs="Arial" w:eastAsia="Arial" w:hAnsi="Arial"/>
                <w:sz w:val="20"/>
                <w:szCs w:val="20"/>
                <w:color w:val="auto"/>
              </w:rPr>
              <w:t>[***]</w:t>
            </w:r>
          </w:p>
        </w:tc>
        <w:tc>
          <w:tcPr>
            <w:tcW w:w="1040" w:type="dxa"/>
            <w:vAlign w:val="bottom"/>
            <w:tcBorders>
              <w:bottom w:val="single" w:sz="8" w:color="auto"/>
              <w:right w:val="single" w:sz="8" w:color="auto"/>
            </w:tcBorders>
          </w:tcPr>
          <w:p>
            <w:pPr>
              <w:jc w:val="right"/>
              <w:ind w:right="461"/>
              <w:spacing w:after="0"/>
              <w:rPr>
                <w:sz w:val="20"/>
                <w:szCs w:val="20"/>
                <w:color w:val="auto"/>
              </w:rPr>
            </w:pPr>
            <w:r>
              <w:rPr>
                <w:rFonts w:ascii="Arial" w:cs="Arial" w:eastAsia="Arial" w:hAnsi="Arial"/>
                <w:sz w:val="20"/>
                <w:szCs w:val="20"/>
                <w:color w:val="auto"/>
              </w:rPr>
              <w:t>[***]</w:t>
            </w:r>
          </w:p>
        </w:tc>
        <w:tc>
          <w:tcPr>
            <w:tcW w:w="1060" w:type="dxa"/>
            <w:vAlign w:val="bottom"/>
            <w:tcBorders>
              <w:bottom w:val="single" w:sz="8" w:color="auto"/>
              <w:right w:val="single" w:sz="8" w:color="auto"/>
            </w:tcBorders>
          </w:tcPr>
          <w:p>
            <w:pPr>
              <w:jc w:val="right"/>
              <w:ind w:right="461"/>
              <w:spacing w:after="0"/>
              <w:rPr>
                <w:sz w:val="20"/>
                <w:szCs w:val="20"/>
                <w:color w:val="auto"/>
              </w:rPr>
            </w:pPr>
            <w:r>
              <w:rPr>
                <w:rFonts w:ascii="Arial" w:cs="Arial" w:eastAsia="Arial" w:hAnsi="Arial"/>
                <w:sz w:val="20"/>
                <w:szCs w:val="20"/>
                <w:color w:val="auto"/>
              </w:rPr>
              <w:t>[***]</w:t>
            </w:r>
          </w:p>
        </w:tc>
        <w:tc>
          <w:tcPr>
            <w:tcW w:w="1060" w:type="dxa"/>
            <w:vAlign w:val="bottom"/>
            <w:tcBorders>
              <w:bottom w:val="single" w:sz="8" w:color="auto"/>
              <w:right w:val="single" w:sz="8" w:color="auto"/>
            </w:tcBorders>
          </w:tcPr>
          <w:p>
            <w:pPr>
              <w:jc w:val="right"/>
              <w:ind w:right="481"/>
              <w:spacing w:after="0"/>
              <w:rPr>
                <w:sz w:val="20"/>
                <w:szCs w:val="20"/>
                <w:color w:val="auto"/>
              </w:rPr>
            </w:pPr>
            <w:r>
              <w:rPr>
                <w:rFonts w:ascii="Arial" w:cs="Arial" w:eastAsia="Arial" w:hAnsi="Arial"/>
                <w:sz w:val="20"/>
                <w:szCs w:val="20"/>
                <w:color w:val="auto"/>
              </w:rPr>
              <w:t>[***]</w:t>
            </w:r>
          </w:p>
        </w:tc>
        <w:tc>
          <w:tcPr>
            <w:tcW w:w="1040" w:type="dxa"/>
            <w:vAlign w:val="bottom"/>
            <w:tcBorders>
              <w:bottom w:val="single" w:sz="8" w:color="auto"/>
              <w:right w:val="single" w:sz="8" w:color="auto"/>
            </w:tcBorders>
          </w:tcPr>
          <w:p>
            <w:pPr>
              <w:jc w:val="right"/>
              <w:ind w:right="461"/>
              <w:spacing w:after="0"/>
              <w:rPr>
                <w:sz w:val="20"/>
                <w:szCs w:val="20"/>
                <w:color w:val="auto"/>
              </w:rPr>
            </w:pPr>
            <w:r>
              <w:rPr>
                <w:rFonts w:ascii="Arial" w:cs="Arial" w:eastAsia="Arial" w:hAnsi="Arial"/>
                <w:sz w:val="20"/>
                <w:szCs w:val="20"/>
                <w:color w:val="auto"/>
              </w:rPr>
              <w:t>[***]</w:t>
            </w:r>
          </w:p>
        </w:tc>
        <w:tc>
          <w:tcPr>
            <w:tcW w:w="1060" w:type="dxa"/>
            <w:vAlign w:val="bottom"/>
            <w:tcBorders>
              <w:bottom w:val="single" w:sz="8" w:color="auto"/>
              <w:right w:val="single" w:sz="8" w:color="auto"/>
            </w:tcBorders>
          </w:tcPr>
          <w:p>
            <w:pPr>
              <w:spacing w:after="0"/>
              <w:rPr>
                <w:sz w:val="21"/>
                <w:szCs w:val="21"/>
                <w:color w:val="auto"/>
              </w:rPr>
            </w:pPr>
          </w:p>
        </w:tc>
      </w:tr>
      <w:tr>
        <w:trPr>
          <w:trHeight w:val="250"/>
        </w:trPr>
        <w:tc>
          <w:tcPr>
            <w:tcW w:w="21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w:t>
            </w:r>
          </w:p>
        </w:tc>
        <w:tc>
          <w:tcPr>
            <w:tcW w:w="1320" w:type="dxa"/>
            <w:vAlign w:val="bottom"/>
            <w:tcBorders>
              <w:bottom w:val="single" w:sz="8" w:color="auto"/>
              <w:right w:val="single" w:sz="8" w:color="auto"/>
            </w:tcBorders>
          </w:tcPr>
          <w:p>
            <w:pPr>
              <w:jc w:val="right"/>
              <w:ind w:right="361"/>
              <w:spacing w:after="0"/>
              <w:rPr>
                <w:sz w:val="20"/>
                <w:szCs w:val="20"/>
                <w:color w:val="auto"/>
              </w:rPr>
            </w:pPr>
            <w:r>
              <w:rPr>
                <w:rFonts w:ascii="Arial" w:cs="Arial" w:eastAsia="Arial" w:hAnsi="Arial"/>
                <w:sz w:val="20"/>
                <w:szCs w:val="20"/>
                <w:color w:val="auto"/>
              </w:rPr>
              <w:t>[***]</w:t>
            </w:r>
          </w:p>
        </w:tc>
        <w:tc>
          <w:tcPr>
            <w:tcW w:w="1060" w:type="dxa"/>
            <w:vAlign w:val="bottom"/>
            <w:tcBorders>
              <w:bottom w:val="single" w:sz="8" w:color="auto"/>
              <w:right w:val="single" w:sz="8" w:color="auto"/>
            </w:tcBorders>
          </w:tcPr>
          <w:p>
            <w:pPr>
              <w:jc w:val="right"/>
              <w:ind w:right="481"/>
              <w:spacing w:after="0"/>
              <w:rPr>
                <w:sz w:val="20"/>
                <w:szCs w:val="20"/>
                <w:color w:val="auto"/>
              </w:rPr>
            </w:pPr>
            <w:r>
              <w:rPr>
                <w:rFonts w:ascii="Arial" w:cs="Arial" w:eastAsia="Arial" w:hAnsi="Arial"/>
                <w:sz w:val="20"/>
                <w:szCs w:val="20"/>
                <w:color w:val="auto"/>
              </w:rPr>
              <w:t>[***]</w:t>
            </w:r>
          </w:p>
        </w:tc>
        <w:tc>
          <w:tcPr>
            <w:tcW w:w="1040" w:type="dxa"/>
            <w:vAlign w:val="bottom"/>
            <w:tcBorders>
              <w:bottom w:val="single" w:sz="8" w:color="auto"/>
              <w:right w:val="single" w:sz="8" w:color="auto"/>
            </w:tcBorders>
          </w:tcPr>
          <w:p>
            <w:pPr>
              <w:jc w:val="right"/>
              <w:ind w:right="461"/>
              <w:spacing w:after="0"/>
              <w:rPr>
                <w:sz w:val="20"/>
                <w:szCs w:val="20"/>
                <w:color w:val="auto"/>
              </w:rPr>
            </w:pPr>
            <w:r>
              <w:rPr>
                <w:rFonts w:ascii="Arial" w:cs="Arial" w:eastAsia="Arial" w:hAnsi="Arial"/>
                <w:sz w:val="20"/>
                <w:szCs w:val="20"/>
                <w:color w:val="auto"/>
              </w:rPr>
              <w:t>[***]</w:t>
            </w:r>
          </w:p>
        </w:tc>
        <w:tc>
          <w:tcPr>
            <w:tcW w:w="1060" w:type="dxa"/>
            <w:vAlign w:val="bottom"/>
            <w:tcBorders>
              <w:bottom w:val="single" w:sz="8" w:color="auto"/>
              <w:right w:val="single" w:sz="8" w:color="auto"/>
            </w:tcBorders>
          </w:tcPr>
          <w:p>
            <w:pPr>
              <w:jc w:val="right"/>
              <w:ind w:right="461"/>
              <w:spacing w:after="0"/>
              <w:rPr>
                <w:sz w:val="20"/>
                <w:szCs w:val="20"/>
                <w:color w:val="auto"/>
              </w:rPr>
            </w:pPr>
            <w:r>
              <w:rPr>
                <w:rFonts w:ascii="Arial" w:cs="Arial" w:eastAsia="Arial" w:hAnsi="Arial"/>
                <w:sz w:val="20"/>
                <w:szCs w:val="20"/>
                <w:color w:val="auto"/>
              </w:rPr>
              <w:t>[***]</w:t>
            </w:r>
          </w:p>
        </w:tc>
        <w:tc>
          <w:tcPr>
            <w:tcW w:w="1060" w:type="dxa"/>
            <w:vAlign w:val="bottom"/>
            <w:tcBorders>
              <w:bottom w:val="single" w:sz="8" w:color="auto"/>
              <w:right w:val="single" w:sz="8" w:color="auto"/>
            </w:tcBorders>
          </w:tcPr>
          <w:p>
            <w:pPr>
              <w:jc w:val="right"/>
              <w:ind w:right="481"/>
              <w:spacing w:after="0"/>
              <w:rPr>
                <w:sz w:val="20"/>
                <w:szCs w:val="20"/>
                <w:color w:val="auto"/>
              </w:rPr>
            </w:pPr>
            <w:r>
              <w:rPr>
                <w:rFonts w:ascii="Arial" w:cs="Arial" w:eastAsia="Arial" w:hAnsi="Arial"/>
                <w:sz w:val="20"/>
                <w:szCs w:val="20"/>
                <w:color w:val="auto"/>
              </w:rPr>
              <w:t>[***]</w:t>
            </w:r>
          </w:p>
        </w:tc>
        <w:tc>
          <w:tcPr>
            <w:tcW w:w="1040" w:type="dxa"/>
            <w:vAlign w:val="bottom"/>
            <w:tcBorders>
              <w:bottom w:val="single" w:sz="8" w:color="auto"/>
              <w:right w:val="single" w:sz="8" w:color="auto"/>
            </w:tcBorders>
          </w:tcPr>
          <w:p>
            <w:pPr>
              <w:jc w:val="right"/>
              <w:ind w:right="461"/>
              <w:spacing w:after="0"/>
              <w:rPr>
                <w:sz w:val="20"/>
                <w:szCs w:val="20"/>
                <w:color w:val="auto"/>
              </w:rPr>
            </w:pPr>
            <w:r>
              <w:rPr>
                <w:rFonts w:ascii="Arial" w:cs="Arial" w:eastAsia="Arial" w:hAnsi="Arial"/>
                <w:sz w:val="20"/>
                <w:szCs w:val="20"/>
                <w:color w:val="auto"/>
              </w:rPr>
              <w:t>[***]</w:t>
            </w:r>
          </w:p>
        </w:tc>
        <w:tc>
          <w:tcPr>
            <w:tcW w:w="1060" w:type="dxa"/>
            <w:vAlign w:val="bottom"/>
            <w:tcBorders>
              <w:bottom w:val="single" w:sz="8" w:color="auto"/>
              <w:right w:val="single" w:sz="8" w:color="auto"/>
            </w:tcBorders>
          </w:tcPr>
          <w:p>
            <w:pPr>
              <w:jc w:val="right"/>
              <w:ind w:right="461"/>
              <w:spacing w:after="0"/>
              <w:rPr>
                <w:sz w:val="20"/>
                <w:szCs w:val="20"/>
                <w:color w:val="auto"/>
              </w:rPr>
            </w:pPr>
            <w:r>
              <w:rPr>
                <w:rFonts w:ascii="Arial" w:cs="Arial" w:eastAsia="Arial" w:hAnsi="Arial"/>
                <w:sz w:val="20"/>
                <w:szCs w:val="20"/>
                <w:color w:val="auto"/>
              </w:rPr>
              <w:t>[***]</w:t>
            </w:r>
          </w:p>
        </w:tc>
      </w:tr>
      <w:tr>
        <w:trPr>
          <w:trHeight w:val="250"/>
        </w:trPr>
        <w:tc>
          <w:tcPr>
            <w:tcW w:w="21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w:t>
            </w:r>
          </w:p>
        </w:tc>
        <w:tc>
          <w:tcPr>
            <w:tcW w:w="1320" w:type="dxa"/>
            <w:vAlign w:val="bottom"/>
            <w:tcBorders>
              <w:bottom w:val="single" w:sz="8" w:color="auto"/>
              <w:right w:val="single" w:sz="8" w:color="auto"/>
            </w:tcBorders>
          </w:tcPr>
          <w:p>
            <w:pPr>
              <w:jc w:val="right"/>
              <w:ind w:right="361"/>
              <w:spacing w:after="0"/>
              <w:rPr>
                <w:sz w:val="20"/>
                <w:szCs w:val="20"/>
                <w:color w:val="auto"/>
              </w:rPr>
            </w:pPr>
            <w:r>
              <w:rPr>
                <w:rFonts w:ascii="Arial" w:cs="Arial" w:eastAsia="Arial" w:hAnsi="Arial"/>
                <w:sz w:val="20"/>
                <w:szCs w:val="20"/>
                <w:color w:val="auto"/>
              </w:rPr>
              <w:t>[***]</w:t>
            </w:r>
          </w:p>
        </w:tc>
        <w:tc>
          <w:tcPr>
            <w:tcW w:w="1060" w:type="dxa"/>
            <w:vAlign w:val="bottom"/>
            <w:tcBorders>
              <w:bottom w:val="single" w:sz="8" w:color="auto"/>
              <w:right w:val="single" w:sz="8" w:color="auto"/>
            </w:tcBorders>
          </w:tcPr>
          <w:p>
            <w:pPr>
              <w:jc w:val="right"/>
              <w:ind w:right="481"/>
              <w:spacing w:after="0"/>
              <w:rPr>
                <w:sz w:val="20"/>
                <w:szCs w:val="20"/>
                <w:color w:val="auto"/>
              </w:rPr>
            </w:pPr>
            <w:r>
              <w:rPr>
                <w:rFonts w:ascii="Arial" w:cs="Arial" w:eastAsia="Arial" w:hAnsi="Arial"/>
                <w:sz w:val="20"/>
                <w:szCs w:val="20"/>
                <w:color w:val="auto"/>
              </w:rPr>
              <w:t>[***]</w:t>
            </w:r>
          </w:p>
        </w:tc>
        <w:tc>
          <w:tcPr>
            <w:tcW w:w="1040" w:type="dxa"/>
            <w:vAlign w:val="bottom"/>
            <w:tcBorders>
              <w:bottom w:val="single" w:sz="8" w:color="auto"/>
              <w:right w:val="single" w:sz="8" w:color="auto"/>
            </w:tcBorders>
          </w:tcPr>
          <w:p>
            <w:pPr>
              <w:jc w:val="right"/>
              <w:ind w:right="461"/>
              <w:spacing w:after="0"/>
              <w:rPr>
                <w:sz w:val="20"/>
                <w:szCs w:val="20"/>
                <w:color w:val="auto"/>
              </w:rPr>
            </w:pPr>
            <w:r>
              <w:rPr>
                <w:rFonts w:ascii="Arial" w:cs="Arial" w:eastAsia="Arial" w:hAnsi="Arial"/>
                <w:sz w:val="20"/>
                <w:szCs w:val="20"/>
                <w:color w:val="auto"/>
              </w:rPr>
              <w:t>[***]</w:t>
            </w:r>
          </w:p>
        </w:tc>
        <w:tc>
          <w:tcPr>
            <w:tcW w:w="1060" w:type="dxa"/>
            <w:vAlign w:val="bottom"/>
            <w:tcBorders>
              <w:bottom w:val="single" w:sz="8" w:color="auto"/>
              <w:right w:val="single" w:sz="8" w:color="auto"/>
            </w:tcBorders>
          </w:tcPr>
          <w:p>
            <w:pPr>
              <w:jc w:val="right"/>
              <w:ind w:right="461"/>
              <w:spacing w:after="0"/>
              <w:rPr>
                <w:sz w:val="20"/>
                <w:szCs w:val="20"/>
                <w:color w:val="auto"/>
              </w:rPr>
            </w:pPr>
            <w:r>
              <w:rPr>
                <w:rFonts w:ascii="Arial" w:cs="Arial" w:eastAsia="Arial" w:hAnsi="Arial"/>
                <w:sz w:val="20"/>
                <w:szCs w:val="20"/>
                <w:color w:val="auto"/>
              </w:rPr>
              <w:t>[***]</w:t>
            </w:r>
          </w:p>
        </w:tc>
        <w:tc>
          <w:tcPr>
            <w:tcW w:w="1060" w:type="dxa"/>
            <w:vAlign w:val="bottom"/>
            <w:tcBorders>
              <w:bottom w:val="single" w:sz="8" w:color="auto"/>
              <w:right w:val="single" w:sz="8" w:color="auto"/>
            </w:tcBorders>
          </w:tcPr>
          <w:p>
            <w:pPr>
              <w:jc w:val="right"/>
              <w:ind w:right="481"/>
              <w:spacing w:after="0"/>
              <w:rPr>
                <w:sz w:val="20"/>
                <w:szCs w:val="20"/>
                <w:color w:val="auto"/>
              </w:rPr>
            </w:pPr>
            <w:r>
              <w:rPr>
                <w:rFonts w:ascii="Arial" w:cs="Arial" w:eastAsia="Arial" w:hAnsi="Arial"/>
                <w:sz w:val="20"/>
                <w:szCs w:val="20"/>
                <w:color w:val="auto"/>
              </w:rPr>
              <w:t>[***]</w:t>
            </w:r>
          </w:p>
        </w:tc>
        <w:tc>
          <w:tcPr>
            <w:tcW w:w="1040" w:type="dxa"/>
            <w:vAlign w:val="bottom"/>
            <w:tcBorders>
              <w:bottom w:val="single" w:sz="8" w:color="auto"/>
              <w:right w:val="single" w:sz="8" w:color="auto"/>
            </w:tcBorders>
          </w:tcPr>
          <w:p>
            <w:pPr>
              <w:jc w:val="right"/>
              <w:ind w:right="461"/>
              <w:spacing w:after="0"/>
              <w:rPr>
                <w:sz w:val="20"/>
                <w:szCs w:val="20"/>
                <w:color w:val="auto"/>
              </w:rPr>
            </w:pPr>
            <w:r>
              <w:rPr>
                <w:rFonts w:ascii="Arial" w:cs="Arial" w:eastAsia="Arial" w:hAnsi="Arial"/>
                <w:sz w:val="20"/>
                <w:szCs w:val="20"/>
                <w:color w:val="auto"/>
              </w:rPr>
              <w:t>[***]</w:t>
            </w:r>
          </w:p>
        </w:tc>
        <w:tc>
          <w:tcPr>
            <w:tcW w:w="1060" w:type="dxa"/>
            <w:vAlign w:val="bottom"/>
            <w:tcBorders>
              <w:bottom w:val="single" w:sz="8" w:color="auto"/>
              <w:right w:val="single" w:sz="8" w:color="auto"/>
            </w:tcBorders>
          </w:tcPr>
          <w:p>
            <w:pPr>
              <w:jc w:val="right"/>
              <w:ind w:right="461"/>
              <w:spacing w:after="0"/>
              <w:rPr>
                <w:sz w:val="20"/>
                <w:szCs w:val="20"/>
                <w:color w:val="auto"/>
              </w:rPr>
            </w:pPr>
            <w:r>
              <w:rPr>
                <w:rFonts w:ascii="Arial" w:cs="Arial" w:eastAsia="Arial" w:hAnsi="Arial"/>
                <w:sz w:val="20"/>
                <w:szCs w:val="20"/>
                <w:color w:val="auto"/>
              </w:rPr>
              <w:t>[***]</w:t>
            </w:r>
          </w:p>
        </w:tc>
      </w:tr>
    </w:tbl>
    <w:p>
      <w:pPr>
        <w:spacing w:after="0" w:line="307"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Example only, [***]</w:t>
      </w:r>
    </w:p>
    <w:p>
      <w:pPr>
        <w:spacing w:after="0" w:line="16" w:lineRule="exact"/>
        <w:rPr>
          <w:sz w:val="20"/>
          <w:szCs w:val="20"/>
          <w:color w:val="auto"/>
        </w:rPr>
      </w:pPr>
    </w:p>
    <w:tbl>
      <w:tblPr>
        <w:tblLayout w:type="fixed"/>
        <w:tblInd w:w="670" w:type="dxa"/>
        <w:tblCellMar>
          <w:top w:w="0" w:type="dxa"/>
          <w:left w:w="0" w:type="dxa"/>
          <w:bottom w:w="0" w:type="dxa"/>
          <w:right w:w="0" w:type="dxa"/>
        </w:tblCellMar>
      </w:tblPr>
      <w:tr>
        <w:trPr>
          <w:trHeight w:val="250"/>
        </w:trPr>
        <w:tc>
          <w:tcPr>
            <w:tcW w:w="1580" w:type="dxa"/>
            <w:vAlign w:val="bottom"/>
            <w:tcBorders>
              <w:top w:val="single" w:sz="8" w:color="auto"/>
              <w:left w:val="single" w:sz="8" w:color="auto"/>
              <w:bottom w:val="single" w:sz="8" w:color="auto"/>
              <w:right w:val="single" w:sz="8" w:color="D9D9D9"/>
            </w:tcBorders>
            <w:shd w:val="clear" w:color="auto" w:fill="D9D9D9"/>
          </w:tcPr>
          <w:p>
            <w:pPr>
              <w:ind w:left="80"/>
              <w:spacing w:after="0"/>
              <w:rPr>
                <w:sz w:val="20"/>
                <w:szCs w:val="20"/>
                <w:color w:val="auto"/>
              </w:rPr>
            </w:pPr>
            <w:r>
              <w:rPr>
                <w:rFonts w:ascii="Arial" w:cs="Arial" w:eastAsia="Arial" w:hAnsi="Arial"/>
                <w:sz w:val="20"/>
                <w:szCs w:val="20"/>
                <w:color w:val="auto"/>
              </w:rPr>
              <w:t>Definition</w:t>
            </w:r>
          </w:p>
        </w:tc>
        <w:tc>
          <w:tcPr>
            <w:tcW w:w="1080" w:type="dxa"/>
            <w:vAlign w:val="bottom"/>
            <w:tcBorders>
              <w:top w:val="single" w:sz="8" w:color="auto"/>
              <w:bottom w:val="single" w:sz="8" w:color="auto"/>
              <w:right w:val="single" w:sz="8" w:color="auto"/>
            </w:tcBorders>
            <w:shd w:val="clear" w:color="auto" w:fill="D9D9D9"/>
          </w:tcPr>
          <w:p>
            <w:pPr>
              <w:spacing w:after="0"/>
              <w:rPr>
                <w:sz w:val="21"/>
                <w:szCs w:val="21"/>
                <w:color w:val="auto"/>
              </w:rPr>
            </w:pPr>
          </w:p>
        </w:tc>
        <w:tc>
          <w:tcPr>
            <w:tcW w:w="1140" w:type="dxa"/>
            <w:vAlign w:val="bottom"/>
            <w:tcBorders>
              <w:top w:val="single" w:sz="8" w:color="auto"/>
              <w:bottom w:val="single" w:sz="8" w:color="auto"/>
              <w:right w:val="single" w:sz="8" w:color="auto"/>
            </w:tcBorders>
            <w:shd w:val="clear" w:color="auto" w:fill="D9D9D9"/>
          </w:tcPr>
          <w:p>
            <w:pPr>
              <w:jc w:val="right"/>
              <w:ind w:right="261"/>
              <w:spacing w:after="0"/>
              <w:rPr>
                <w:sz w:val="20"/>
                <w:szCs w:val="20"/>
                <w:color w:val="auto"/>
              </w:rPr>
            </w:pPr>
            <w:r>
              <w:rPr>
                <w:rFonts w:ascii="Arial" w:cs="Arial" w:eastAsia="Arial" w:hAnsi="Arial"/>
                <w:sz w:val="20"/>
                <w:szCs w:val="20"/>
                <w:color w:val="auto"/>
              </w:rPr>
              <w:t>[***]</w:t>
            </w:r>
          </w:p>
        </w:tc>
        <w:tc>
          <w:tcPr>
            <w:tcW w:w="1140" w:type="dxa"/>
            <w:vAlign w:val="bottom"/>
            <w:tcBorders>
              <w:top w:val="single" w:sz="8" w:color="auto"/>
              <w:bottom w:val="single" w:sz="8" w:color="auto"/>
              <w:right w:val="single" w:sz="8" w:color="auto"/>
            </w:tcBorders>
            <w:shd w:val="clear" w:color="auto" w:fill="D9D9D9"/>
          </w:tcPr>
          <w:p>
            <w:pPr>
              <w:jc w:val="right"/>
              <w:ind w:right="261"/>
              <w:spacing w:after="0"/>
              <w:rPr>
                <w:sz w:val="20"/>
                <w:szCs w:val="20"/>
                <w:color w:val="auto"/>
              </w:rPr>
            </w:pPr>
            <w:r>
              <w:rPr>
                <w:rFonts w:ascii="Arial" w:cs="Arial" w:eastAsia="Arial" w:hAnsi="Arial"/>
                <w:sz w:val="20"/>
                <w:szCs w:val="20"/>
                <w:color w:val="auto"/>
              </w:rPr>
              <w:t>[***]</w:t>
            </w:r>
          </w:p>
        </w:tc>
        <w:tc>
          <w:tcPr>
            <w:tcW w:w="1180" w:type="dxa"/>
            <w:vAlign w:val="bottom"/>
            <w:tcBorders>
              <w:top w:val="single" w:sz="8" w:color="auto"/>
              <w:bottom w:val="single" w:sz="8" w:color="auto"/>
              <w:right w:val="single" w:sz="8" w:color="auto"/>
            </w:tcBorders>
            <w:shd w:val="clear" w:color="auto" w:fill="D9D9D9"/>
          </w:tcPr>
          <w:p>
            <w:pPr>
              <w:jc w:val="right"/>
              <w:ind w:right="281"/>
              <w:spacing w:after="0"/>
              <w:rPr>
                <w:sz w:val="20"/>
                <w:szCs w:val="20"/>
                <w:color w:val="auto"/>
              </w:rPr>
            </w:pPr>
            <w:r>
              <w:rPr>
                <w:rFonts w:ascii="Arial" w:cs="Arial" w:eastAsia="Arial" w:hAnsi="Arial"/>
                <w:sz w:val="20"/>
                <w:szCs w:val="20"/>
                <w:color w:val="auto"/>
              </w:rPr>
              <w:t>[***]</w:t>
            </w:r>
          </w:p>
        </w:tc>
        <w:tc>
          <w:tcPr>
            <w:tcW w:w="1420" w:type="dxa"/>
            <w:vAlign w:val="bottom"/>
            <w:tcBorders>
              <w:top w:val="single" w:sz="8" w:color="auto"/>
              <w:bottom w:val="single" w:sz="8" w:color="auto"/>
              <w:right w:val="single" w:sz="8" w:color="auto"/>
            </w:tcBorders>
            <w:shd w:val="clear" w:color="auto" w:fill="D9D9D9"/>
          </w:tcPr>
          <w:p>
            <w:pPr>
              <w:jc w:val="right"/>
              <w:ind w:right="401"/>
              <w:spacing w:after="0"/>
              <w:rPr>
                <w:sz w:val="20"/>
                <w:szCs w:val="20"/>
                <w:color w:val="auto"/>
              </w:rPr>
            </w:pPr>
            <w:r>
              <w:rPr>
                <w:rFonts w:ascii="Arial" w:cs="Arial" w:eastAsia="Arial" w:hAnsi="Arial"/>
                <w:sz w:val="20"/>
                <w:szCs w:val="20"/>
                <w:color w:val="auto"/>
              </w:rPr>
              <w:t>[***]</w:t>
            </w:r>
          </w:p>
        </w:tc>
        <w:tc>
          <w:tcPr>
            <w:tcW w:w="1240" w:type="dxa"/>
            <w:vAlign w:val="bottom"/>
            <w:tcBorders>
              <w:top w:val="single" w:sz="8" w:color="auto"/>
              <w:bottom w:val="single" w:sz="8" w:color="auto"/>
              <w:right w:val="single" w:sz="8" w:color="auto"/>
            </w:tcBorders>
            <w:shd w:val="clear" w:color="auto" w:fill="D9D9D9"/>
          </w:tcPr>
          <w:p>
            <w:pPr>
              <w:jc w:val="right"/>
              <w:ind w:right="321"/>
              <w:spacing w:after="0"/>
              <w:rPr>
                <w:sz w:val="20"/>
                <w:szCs w:val="20"/>
                <w:color w:val="auto"/>
              </w:rPr>
            </w:pPr>
            <w:r>
              <w:rPr>
                <w:rFonts w:ascii="Arial" w:cs="Arial" w:eastAsia="Arial" w:hAnsi="Arial"/>
                <w:sz w:val="20"/>
                <w:szCs w:val="20"/>
                <w:color w:val="auto"/>
              </w:rPr>
              <w:t>[***]</w:t>
            </w:r>
          </w:p>
        </w:tc>
        <w:tc>
          <w:tcPr>
            <w:tcW w:w="1040" w:type="dxa"/>
            <w:vAlign w:val="bottom"/>
            <w:tcBorders>
              <w:top w:val="single" w:sz="8" w:color="auto"/>
              <w:bottom w:val="single" w:sz="8" w:color="auto"/>
              <w:right w:val="single" w:sz="8" w:color="auto"/>
            </w:tcBorders>
            <w:shd w:val="clear" w:color="auto" w:fill="D9D9D9"/>
          </w:tcPr>
          <w:p>
            <w:pPr>
              <w:jc w:val="right"/>
              <w:ind w:right="221"/>
              <w:spacing w:after="0"/>
              <w:rPr>
                <w:sz w:val="20"/>
                <w:szCs w:val="20"/>
                <w:color w:val="auto"/>
              </w:rPr>
            </w:pPr>
            <w:r>
              <w:rPr>
                <w:rFonts w:ascii="Arial" w:cs="Arial" w:eastAsia="Arial" w:hAnsi="Arial"/>
                <w:sz w:val="20"/>
                <w:szCs w:val="20"/>
                <w:color w:val="auto"/>
              </w:rPr>
              <w:t>[***]</w:t>
            </w:r>
          </w:p>
        </w:tc>
      </w:tr>
      <w:tr>
        <w:trPr>
          <w:trHeight w:val="247"/>
        </w:trPr>
        <w:tc>
          <w:tcPr>
            <w:tcW w:w="15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w:t>
            </w:r>
          </w:p>
        </w:tc>
        <w:tc>
          <w:tcPr>
            <w:tcW w:w="1080" w:type="dxa"/>
            <w:vAlign w:val="bottom"/>
            <w:tcBorders>
              <w:bottom w:val="single" w:sz="8" w:color="auto"/>
              <w:right w:val="single" w:sz="8" w:color="auto"/>
            </w:tcBorders>
          </w:tcPr>
          <w:p>
            <w:pPr>
              <w:jc w:val="right"/>
              <w:ind w:right="241"/>
              <w:spacing w:after="0"/>
              <w:rPr>
                <w:sz w:val="20"/>
                <w:szCs w:val="20"/>
                <w:color w:val="auto"/>
              </w:rPr>
            </w:pPr>
            <w:r>
              <w:rPr>
                <w:rFonts w:ascii="Arial" w:cs="Arial" w:eastAsia="Arial" w:hAnsi="Arial"/>
                <w:sz w:val="20"/>
                <w:szCs w:val="20"/>
                <w:color w:val="auto"/>
              </w:rPr>
              <w:t>[***]</w:t>
            </w:r>
          </w:p>
        </w:tc>
        <w:tc>
          <w:tcPr>
            <w:tcW w:w="1140" w:type="dxa"/>
            <w:vAlign w:val="bottom"/>
            <w:tcBorders>
              <w:bottom w:val="single" w:sz="8" w:color="auto"/>
              <w:right w:val="single" w:sz="8" w:color="auto"/>
            </w:tcBorders>
          </w:tcPr>
          <w:p>
            <w:pPr>
              <w:jc w:val="right"/>
              <w:ind w:right="541"/>
              <w:spacing w:after="0"/>
              <w:rPr>
                <w:sz w:val="20"/>
                <w:szCs w:val="20"/>
                <w:color w:val="auto"/>
              </w:rPr>
            </w:pPr>
            <w:r>
              <w:rPr>
                <w:rFonts w:ascii="Arial" w:cs="Arial" w:eastAsia="Arial" w:hAnsi="Arial"/>
                <w:sz w:val="20"/>
                <w:szCs w:val="20"/>
                <w:color w:val="auto"/>
              </w:rPr>
              <w:t>[***]</w:t>
            </w:r>
          </w:p>
        </w:tc>
        <w:tc>
          <w:tcPr>
            <w:tcW w:w="1140" w:type="dxa"/>
            <w:vAlign w:val="bottom"/>
            <w:tcBorders>
              <w:bottom w:val="single" w:sz="8" w:color="auto"/>
              <w:right w:val="single" w:sz="8" w:color="auto"/>
            </w:tcBorders>
          </w:tcPr>
          <w:p>
            <w:pPr>
              <w:jc w:val="right"/>
              <w:ind w:right="561"/>
              <w:spacing w:after="0"/>
              <w:rPr>
                <w:sz w:val="20"/>
                <w:szCs w:val="20"/>
                <w:color w:val="auto"/>
              </w:rPr>
            </w:pPr>
            <w:r>
              <w:rPr>
                <w:rFonts w:ascii="Arial" w:cs="Arial" w:eastAsia="Arial" w:hAnsi="Arial"/>
                <w:sz w:val="20"/>
                <w:szCs w:val="20"/>
                <w:color w:val="auto"/>
              </w:rPr>
              <w:t>[***]</w:t>
            </w:r>
          </w:p>
        </w:tc>
        <w:tc>
          <w:tcPr>
            <w:tcW w:w="1180" w:type="dxa"/>
            <w:vAlign w:val="bottom"/>
            <w:tcBorders>
              <w:bottom w:val="single" w:sz="8" w:color="auto"/>
              <w:right w:val="single" w:sz="8" w:color="auto"/>
            </w:tcBorders>
          </w:tcPr>
          <w:p>
            <w:pPr>
              <w:jc w:val="right"/>
              <w:ind w:right="581"/>
              <w:spacing w:after="0"/>
              <w:rPr>
                <w:sz w:val="20"/>
                <w:szCs w:val="20"/>
                <w:color w:val="auto"/>
              </w:rPr>
            </w:pPr>
            <w:r>
              <w:rPr>
                <w:rFonts w:ascii="Arial" w:cs="Arial" w:eastAsia="Arial" w:hAnsi="Arial"/>
                <w:sz w:val="20"/>
                <w:szCs w:val="20"/>
                <w:color w:val="auto"/>
              </w:rPr>
              <w:t>[***]</w:t>
            </w:r>
          </w:p>
        </w:tc>
        <w:tc>
          <w:tcPr>
            <w:tcW w:w="1420" w:type="dxa"/>
            <w:vAlign w:val="bottom"/>
            <w:tcBorders>
              <w:bottom w:val="single" w:sz="8" w:color="auto"/>
              <w:right w:val="single" w:sz="8" w:color="auto"/>
            </w:tcBorders>
          </w:tcPr>
          <w:p>
            <w:pPr>
              <w:jc w:val="right"/>
              <w:ind w:right="841"/>
              <w:spacing w:after="0"/>
              <w:rPr>
                <w:sz w:val="20"/>
                <w:szCs w:val="20"/>
                <w:color w:val="auto"/>
              </w:rPr>
            </w:pPr>
            <w:r>
              <w:rPr>
                <w:rFonts w:ascii="Arial" w:cs="Arial" w:eastAsia="Arial" w:hAnsi="Arial"/>
                <w:sz w:val="20"/>
                <w:szCs w:val="20"/>
                <w:color w:val="auto"/>
              </w:rPr>
              <w:t>[***]</w:t>
            </w:r>
          </w:p>
        </w:tc>
        <w:tc>
          <w:tcPr>
            <w:tcW w:w="1240" w:type="dxa"/>
            <w:vAlign w:val="bottom"/>
            <w:tcBorders>
              <w:bottom w:val="single" w:sz="8" w:color="auto"/>
              <w:right w:val="single" w:sz="8" w:color="auto"/>
            </w:tcBorders>
          </w:tcPr>
          <w:p>
            <w:pPr>
              <w:jc w:val="right"/>
              <w:ind w:right="641"/>
              <w:spacing w:after="0"/>
              <w:rPr>
                <w:sz w:val="20"/>
                <w:szCs w:val="20"/>
                <w:color w:val="auto"/>
              </w:rPr>
            </w:pPr>
            <w:r>
              <w:rPr>
                <w:rFonts w:ascii="Arial" w:cs="Arial" w:eastAsia="Arial" w:hAnsi="Arial"/>
                <w:sz w:val="20"/>
                <w:szCs w:val="20"/>
                <w:color w:val="auto"/>
              </w:rPr>
              <w:t>[***]</w:t>
            </w:r>
          </w:p>
        </w:tc>
        <w:tc>
          <w:tcPr>
            <w:tcW w:w="1040" w:type="dxa"/>
            <w:vAlign w:val="bottom"/>
            <w:tcBorders>
              <w:bottom w:val="single" w:sz="8" w:color="auto"/>
              <w:right w:val="single" w:sz="8" w:color="auto"/>
            </w:tcBorders>
          </w:tcPr>
          <w:p>
            <w:pPr>
              <w:spacing w:after="0"/>
              <w:rPr>
                <w:sz w:val="21"/>
                <w:szCs w:val="21"/>
                <w:color w:val="auto"/>
              </w:rPr>
            </w:pPr>
          </w:p>
        </w:tc>
      </w:tr>
      <w:tr>
        <w:trPr>
          <w:trHeight w:val="250"/>
        </w:trPr>
        <w:tc>
          <w:tcPr>
            <w:tcW w:w="15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w:t>
            </w:r>
          </w:p>
        </w:tc>
        <w:tc>
          <w:tcPr>
            <w:tcW w:w="1080" w:type="dxa"/>
            <w:vAlign w:val="bottom"/>
            <w:tcBorders>
              <w:bottom w:val="single" w:sz="8" w:color="auto"/>
              <w:right w:val="single" w:sz="8" w:color="auto"/>
            </w:tcBorders>
          </w:tcPr>
          <w:p>
            <w:pPr>
              <w:jc w:val="right"/>
              <w:ind w:right="241"/>
              <w:spacing w:after="0"/>
              <w:rPr>
                <w:sz w:val="20"/>
                <w:szCs w:val="20"/>
                <w:color w:val="auto"/>
              </w:rPr>
            </w:pPr>
            <w:r>
              <w:rPr>
                <w:rFonts w:ascii="Arial" w:cs="Arial" w:eastAsia="Arial" w:hAnsi="Arial"/>
                <w:sz w:val="20"/>
                <w:szCs w:val="20"/>
                <w:color w:val="auto"/>
              </w:rPr>
              <w:t>[***]</w:t>
            </w:r>
          </w:p>
        </w:tc>
        <w:tc>
          <w:tcPr>
            <w:tcW w:w="1140" w:type="dxa"/>
            <w:vAlign w:val="bottom"/>
            <w:tcBorders>
              <w:bottom w:val="single" w:sz="8" w:color="auto"/>
              <w:right w:val="single" w:sz="8" w:color="auto"/>
            </w:tcBorders>
          </w:tcPr>
          <w:p>
            <w:pPr>
              <w:jc w:val="right"/>
              <w:ind w:right="541"/>
              <w:spacing w:after="0"/>
              <w:rPr>
                <w:sz w:val="20"/>
                <w:szCs w:val="20"/>
                <w:color w:val="auto"/>
              </w:rPr>
            </w:pPr>
            <w:r>
              <w:rPr>
                <w:rFonts w:ascii="Arial" w:cs="Arial" w:eastAsia="Arial" w:hAnsi="Arial"/>
                <w:sz w:val="20"/>
                <w:szCs w:val="20"/>
                <w:color w:val="auto"/>
              </w:rPr>
              <w:t>[***]</w:t>
            </w:r>
          </w:p>
        </w:tc>
        <w:tc>
          <w:tcPr>
            <w:tcW w:w="1140" w:type="dxa"/>
            <w:vAlign w:val="bottom"/>
            <w:tcBorders>
              <w:bottom w:val="single" w:sz="8" w:color="auto"/>
              <w:right w:val="single" w:sz="8" w:color="auto"/>
            </w:tcBorders>
          </w:tcPr>
          <w:p>
            <w:pPr>
              <w:jc w:val="right"/>
              <w:ind w:right="561"/>
              <w:spacing w:after="0"/>
              <w:rPr>
                <w:sz w:val="20"/>
                <w:szCs w:val="20"/>
                <w:color w:val="auto"/>
              </w:rPr>
            </w:pPr>
            <w:r>
              <w:rPr>
                <w:rFonts w:ascii="Arial" w:cs="Arial" w:eastAsia="Arial" w:hAnsi="Arial"/>
                <w:sz w:val="20"/>
                <w:szCs w:val="20"/>
                <w:color w:val="auto"/>
              </w:rPr>
              <w:t>[***]</w:t>
            </w:r>
          </w:p>
        </w:tc>
        <w:tc>
          <w:tcPr>
            <w:tcW w:w="1180" w:type="dxa"/>
            <w:vAlign w:val="bottom"/>
            <w:tcBorders>
              <w:bottom w:val="single" w:sz="8" w:color="auto"/>
              <w:right w:val="single" w:sz="8" w:color="auto"/>
            </w:tcBorders>
          </w:tcPr>
          <w:p>
            <w:pPr>
              <w:jc w:val="right"/>
              <w:ind w:right="581"/>
              <w:spacing w:after="0"/>
              <w:rPr>
                <w:sz w:val="20"/>
                <w:szCs w:val="20"/>
                <w:color w:val="auto"/>
              </w:rPr>
            </w:pPr>
            <w:r>
              <w:rPr>
                <w:rFonts w:ascii="Arial" w:cs="Arial" w:eastAsia="Arial" w:hAnsi="Arial"/>
                <w:sz w:val="20"/>
                <w:szCs w:val="20"/>
                <w:color w:val="auto"/>
              </w:rPr>
              <w:t>[***]</w:t>
            </w:r>
          </w:p>
        </w:tc>
        <w:tc>
          <w:tcPr>
            <w:tcW w:w="1420" w:type="dxa"/>
            <w:vAlign w:val="bottom"/>
            <w:tcBorders>
              <w:bottom w:val="single" w:sz="8" w:color="auto"/>
              <w:right w:val="single" w:sz="8" w:color="auto"/>
            </w:tcBorders>
          </w:tcPr>
          <w:p>
            <w:pPr>
              <w:jc w:val="right"/>
              <w:ind w:right="841"/>
              <w:spacing w:after="0"/>
              <w:rPr>
                <w:sz w:val="20"/>
                <w:szCs w:val="20"/>
                <w:color w:val="auto"/>
              </w:rPr>
            </w:pPr>
            <w:r>
              <w:rPr>
                <w:rFonts w:ascii="Arial" w:cs="Arial" w:eastAsia="Arial" w:hAnsi="Arial"/>
                <w:sz w:val="20"/>
                <w:szCs w:val="20"/>
                <w:color w:val="auto"/>
              </w:rPr>
              <w:t>[***]</w:t>
            </w:r>
          </w:p>
        </w:tc>
        <w:tc>
          <w:tcPr>
            <w:tcW w:w="1240" w:type="dxa"/>
            <w:vAlign w:val="bottom"/>
            <w:tcBorders>
              <w:bottom w:val="single" w:sz="8" w:color="auto"/>
              <w:right w:val="single" w:sz="8" w:color="auto"/>
            </w:tcBorders>
          </w:tcPr>
          <w:p>
            <w:pPr>
              <w:jc w:val="right"/>
              <w:ind w:right="641"/>
              <w:spacing w:after="0"/>
              <w:rPr>
                <w:sz w:val="20"/>
                <w:szCs w:val="20"/>
                <w:color w:val="auto"/>
              </w:rPr>
            </w:pPr>
            <w:r>
              <w:rPr>
                <w:rFonts w:ascii="Arial" w:cs="Arial" w:eastAsia="Arial" w:hAnsi="Arial"/>
                <w:sz w:val="20"/>
                <w:szCs w:val="20"/>
                <w:color w:val="auto"/>
              </w:rPr>
              <w:t>[***]</w:t>
            </w:r>
          </w:p>
        </w:tc>
        <w:tc>
          <w:tcPr>
            <w:tcW w:w="1040" w:type="dxa"/>
            <w:vAlign w:val="bottom"/>
            <w:tcBorders>
              <w:bottom w:val="single" w:sz="8" w:color="auto"/>
              <w:right w:val="single" w:sz="8" w:color="auto"/>
            </w:tcBorders>
          </w:tcPr>
          <w:p>
            <w:pPr>
              <w:spacing w:after="0"/>
              <w:rPr>
                <w:sz w:val="21"/>
                <w:szCs w:val="21"/>
                <w:color w:val="auto"/>
              </w:rPr>
            </w:pPr>
          </w:p>
        </w:tc>
      </w:tr>
      <w:tr>
        <w:trPr>
          <w:trHeight w:val="250"/>
        </w:trPr>
        <w:tc>
          <w:tcPr>
            <w:tcW w:w="15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w:t>
            </w:r>
          </w:p>
        </w:tc>
        <w:tc>
          <w:tcPr>
            <w:tcW w:w="1080" w:type="dxa"/>
            <w:vAlign w:val="bottom"/>
            <w:tcBorders>
              <w:bottom w:val="single" w:sz="8" w:color="auto"/>
              <w:right w:val="single" w:sz="8" w:color="auto"/>
            </w:tcBorders>
          </w:tcPr>
          <w:p>
            <w:pPr>
              <w:jc w:val="right"/>
              <w:ind w:right="241"/>
              <w:spacing w:after="0"/>
              <w:rPr>
                <w:sz w:val="20"/>
                <w:szCs w:val="20"/>
                <w:color w:val="auto"/>
              </w:rPr>
            </w:pPr>
            <w:r>
              <w:rPr>
                <w:rFonts w:ascii="Arial" w:cs="Arial" w:eastAsia="Arial" w:hAnsi="Arial"/>
                <w:sz w:val="20"/>
                <w:szCs w:val="20"/>
                <w:color w:val="auto"/>
              </w:rPr>
              <w:t>[***]</w:t>
            </w:r>
          </w:p>
        </w:tc>
        <w:tc>
          <w:tcPr>
            <w:tcW w:w="1140" w:type="dxa"/>
            <w:vAlign w:val="bottom"/>
            <w:tcBorders>
              <w:bottom w:val="single" w:sz="8" w:color="auto"/>
              <w:right w:val="single" w:sz="8" w:color="auto"/>
            </w:tcBorders>
          </w:tcPr>
          <w:p>
            <w:pPr>
              <w:jc w:val="right"/>
              <w:ind w:right="541"/>
              <w:spacing w:after="0"/>
              <w:rPr>
                <w:sz w:val="20"/>
                <w:szCs w:val="20"/>
                <w:color w:val="auto"/>
              </w:rPr>
            </w:pPr>
            <w:r>
              <w:rPr>
                <w:rFonts w:ascii="Arial" w:cs="Arial" w:eastAsia="Arial" w:hAnsi="Arial"/>
                <w:sz w:val="20"/>
                <w:szCs w:val="20"/>
                <w:color w:val="auto"/>
              </w:rPr>
              <w:t>[***]</w:t>
            </w:r>
          </w:p>
        </w:tc>
        <w:tc>
          <w:tcPr>
            <w:tcW w:w="1140" w:type="dxa"/>
            <w:vAlign w:val="bottom"/>
            <w:tcBorders>
              <w:bottom w:val="single" w:sz="8" w:color="auto"/>
              <w:right w:val="single" w:sz="8" w:color="auto"/>
            </w:tcBorders>
          </w:tcPr>
          <w:p>
            <w:pPr>
              <w:jc w:val="right"/>
              <w:ind w:right="561"/>
              <w:spacing w:after="0"/>
              <w:rPr>
                <w:sz w:val="20"/>
                <w:szCs w:val="20"/>
                <w:color w:val="auto"/>
              </w:rPr>
            </w:pPr>
            <w:r>
              <w:rPr>
                <w:rFonts w:ascii="Arial" w:cs="Arial" w:eastAsia="Arial" w:hAnsi="Arial"/>
                <w:sz w:val="20"/>
                <w:szCs w:val="20"/>
                <w:color w:val="auto"/>
              </w:rPr>
              <w:t>[***]</w:t>
            </w:r>
          </w:p>
        </w:tc>
        <w:tc>
          <w:tcPr>
            <w:tcW w:w="1180" w:type="dxa"/>
            <w:vAlign w:val="bottom"/>
            <w:tcBorders>
              <w:bottom w:val="single" w:sz="8" w:color="auto"/>
              <w:right w:val="single" w:sz="8" w:color="auto"/>
            </w:tcBorders>
          </w:tcPr>
          <w:p>
            <w:pPr>
              <w:jc w:val="right"/>
              <w:ind w:right="581"/>
              <w:spacing w:after="0"/>
              <w:rPr>
                <w:sz w:val="20"/>
                <w:szCs w:val="20"/>
                <w:color w:val="auto"/>
              </w:rPr>
            </w:pPr>
            <w:r>
              <w:rPr>
                <w:rFonts w:ascii="Arial" w:cs="Arial" w:eastAsia="Arial" w:hAnsi="Arial"/>
                <w:sz w:val="20"/>
                <w:szCs w:val="20"/>
                <w:color w:val="auto"/>
              </w:rPr>
              <w:t>[***]</w:t>
            </w:r>
          </w:p>
        </w:tc>
        <w:tc>
          <w:tcPr>
            <w:tcW w:w="1420" w:type="dxa"/>
            <w:vAlign w:val="bottom"/>
            <w:tcBorders>
              <w:bottom w:val="single" w:sz="8" w:color="auto"/>
              <w:right w:val="single" w:sz="8" w:color="auto"/>
            </w:tcBorders>
          </w:tcPr>
          <w:p>
            <w:pPr>
              <w:jc w:val="right"/>
              <w:ind w:right="841"/>
              <w:spacing w:after="0"/>
              <w:rPr>
                <w:sz w:val="20"/>
                <w:szCs w:val="20"/>
                <w:color w:val="auto"/>
              </w:rPr>
            </w:pPr>
            <w:r>
              <w:rPr>
                <w:rFonts w:ascii="Arial" w:cs="Arial" w:eastAsia="Arial" w:hAnsi="Arial"/>
                <w:sz w:val="20"/>
                <w:szCs w:val="20"/>
                <w:color w:val="auto"/>
              </w:rPr>
              <w:t>[***]</w:t>
            </w:r>
          </w:p>
        </w:tc>
        <w:tc>
          <w:tcPr>
            <w:tcW w:w="1240" w:type="dxa"/>
            <w:vAlign w:val="bottom"/>
            <w:tcBorders>
              <w:bottom w:val="single" w:sz="8" w:color="auto"/>
              <w:right w:val="single" w:sz="8" w:color="auto"/>
            </w:tcBorders>
          </w:tcPr>
          <w:p>
            <w:pPr>
              <w:jc w:val="right"/>
              <w:ind w:right="641"/>
              <w:spacing w:after="0"/>
              <w:rPr>
                <w:sz w:val="20"/>
                <w:szCs w:val="20"/>
                <w:color w:val="auto"/>
              </w:rPr>
            </w:pPr>
            <w:r>
              <w:rPr>
                <w:rFonts w:ascii="Arial" w:cs="Arial" w:eastAsia="Arial" w:hAnsi="Arial"/>
                <w:sz w:val="20"/>
                <w:szCs w:val="20"/>
                <w:color w:val="auto"/>
              </w:rPr>
              <w:t>[***]</w:t>
            </w:r>
          </w:p>
        </w:tc>
        <w:tc>
          <w:tcPr>
            <w:tcW w:w="1040" w:type="dxa"/>
            <w:vAlign w:val="bottom"/>
            <w:tcBorders>
              <w:bottom w:val="single" w:sz="8" w:color="auto"/>
              <w:right w:val="single" w:sz="8" w:color="auto"/>
            </w:tcBorders>
          </w:tcPr>
          <w:p>
            <w:pPr>
              <w:jc w:val="right"/>
              <w:ind w:right="461"/>
              <w:spacing w:after="0"/>
              <w:rPr>
                <w:sz w:val="20"/>
                <w:szCs w:val="20"/>
                <w:color w:val="auto"/>
              </w:rPr>
            </w:pPr>
            <w:r>
              <w:rPr>
                <w:rFonts w:ascii="Arial" w:cs="Arial" w:eastAsia="Arial" w:hAnsi="Arial"/>
                <w:sz w:val="20"/>
                <w:szCs w:val="20"/>
                <w:color w:val="auto"/>
              </w:rPr>
              <w:t>[***]</w:t>
            </w:r>
          </w:p>
        </w:tc>
      </w:tr>
    </w:tbl>
    <w:p>
      <w:pPr>
        <w:spacing w:after="0" w:line="64"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Other cell costs: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842010</wp:posOffset>
            </wp:positionV>
            <wp:extent cx="713232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60"/>
          </w:cols>
          <w:pgMar w:left="320" w:top="1399"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tabs>
          <w:tab w:leader="none" w:pos="4980" w:val="left"/>
        </w:tabs>
        <w:rPr>
          <w:sz w:val="20"/>
          <w:szCs w:val="20"/>
          <w:color w:val="auto"/>
        </w:rPr>
      </w:pPr>
      <w:r>
        <w:rPr>
          <w:rFonts w:ascii="Arial" w:cs="Arial" w:eastAsia="Arial" w:hAnsi="Arial"/>
          <w:sz w:val="20"/>
          <w:szCs w:val="20"/>
          <w:color w:val="auto"/>
        </w:rPr>
        <w:t>Production Pricing Agreement (Standard), ver. January 2021</w:t>
      </w:r>
      <w:r>
        <w:rPr>
          <w:sz w:val="20"/>
          <w:szCs w:val="20"/>
          <w:color w:val="auto"/>
        </w:rPr>
        <w:tab/>
      </w:r>
      <w:r>
        <w:rPr>
          <w:rFonts w:ascii="Arial" w:cs="Arial" w:eastAsia="Arial" w:hAnsi="Arial"/>
          <w:sz w:val="16"/>
          <w:szCs w:val="16"/>
          <w:color w:val="auto"/>
        </w:rPr>
        <w:t xml:space="preserve">Page </w:t>
      </w:r>
      <w:r>
        <w:rPr>
          <w:rFonts w:ascii="Arial" w:cs="Arial" w:eastAsia="Arial" w:hAnsi="Arial"/>
          <w:sz w:val="16"/>
          <w:szCs w:val="16"/>
          <w:b w:val="1"/>
          <w:bCs w:val="1"/>
          <w:color w:val="auto"/>
        </w:rPr>
        <w:t>4</w:t>
      </w:r>
      <w:r>
        <w:rPr>
          <w:rFonts w:ascii="Arial" w:cs="Arial" w:eastAsia="Arial" w:hAnsi="Arial"/>
          <w:sz w:val="16"/>
          <w:szCs w:val="16"/>
          <w:color w:val="auto"/>
        </w:rPr>
        <w:t xml:space="preserve"> of </w:t>
      </w:r>
      <w:r>
        <w:rPr>
          <w:rFonts w:ascii="Arial" w:cs="Arial" w:eastAsia="Arial" w:hAnsi="Arial"/>
          <w:sz w:val="16"/>
          <w:szCs w:val="16"/>
          <w:b w:val="1"/>
          <w:bCs w:val="1"/>
          <w:color w:val="auto"/>
        </w:rPr>
        <w:t>8</w:t>
      </w:r>
    </w:p>
    <w:p>
      <w:pPr>
        <w:sectPr>
          <w:pgSz w:w="11900" w:h="16838" w:orient="portrait"/>
          <w:cols w:equalWidth="0" w:num="1">
            <w:col w:w="11260"/>
          </w:cols>
          <w:pgMar w:left="320" w:top="1399" w:right="319" w:bottom="1440" w:gutter="0" w:footer="0" w:header="0"/>
          <w:type w:val="continuous"/>
        </w:sectPr>
      </w:pPr>
    </w:p>
    <w:bookmarkStart w:id="171" w:name="page172"/>
    <w:bookmarkEnd w:id="171"/>
    <w:p>
      <w:pPr>
        <w:ind w:left="660"/>
        <w:spacing w:after="0"/>
        <w:rPr>
          <w:sz w:val="20"/>
          <w:szCs w:val="20"/>
          <w:color w:val="auto"/>
        </w:rPr>
      </w:pPr>
      <w:r>
        <w:rPr>
          <w:rFonts w:ascii="Arial" w:cs="Arial" w:eastAsia="Arial" w:hAnsi="Arial"/>
          <w:sz w:val="20"/>
          <w:szCs w:val="20"/>
          <w:color w:val="auto"/>
        </w:rPr>
        <w:t>Chart 4B – Exchange Rate</w:t>
      </w:r>
    </w:p>
    <w:p>
      <w:pPr>
        <w:spacing w:after="0" w:line="361" w:lineRule="exact"/>
        <w:rPr>
          <w:sz w:val="20"/>
          <w:szCs w:val="20"/>
          <w:color w:val="auto"/>
        </w:rPr>
      </w:pPr>
    </w:p>
    <w:tbl>
      <w:tblPr>
        <w:tblLayout w:type="fixed"/>
        <w:tblInd w:w="670" w:type="dxa"/>
        <w:tblCellMar>
          <w:top w:w="0" w:type="dxa"/>
          <w:left w:w="0" w:type="dxa"/>
          <w:bottom w:w="0" w:type="dxa"/>
          <w:right w:w="0" w:type="dxa"/>
        </w:tblCellMar>
      </w:tblPr>
      <w:tr>
        <w:trPr>
          <w:trHeight w:val="267"/>
        </w:trPr>
        <w:tc>
          <w:tcPr>
            <w:tcW w:w="2340" w:type="dxa"/>
            <w:vAlign w:val="bottom"/>
            <w:tcBorders>
              <w:top w:val="single" w:sz="8" w:color="auto"/>
              <w:left w:val="single" w:sz="8" w:color="auto"/>
              <w:bottom w:val="single" w:sz="8" w:color="auto"/>
              <w:right w:val="single" w:sz="8" w:color="auto"/>
            </w:tcBorders>
            <w:shd w:val="clear" w:color="auto" w:fill="D9D9D9"/>
          </w:tcPr>
          <w:p>
            <w:pPr>
              <w:jc w:val="right"/>
              <w:ind w:right="861"/>
              <w:spacing w:after="0"/>
              <w:rPr>
                <w:sz w:val="20"/>
                <w:szCs w:val="20"/>
                <w:color w:val="auto"/>
              </w:rPr>
            </w:pPr>
            <w:r>
              <w:rPr>
                <w:rFonts w:ascii="Arial" w:cs="Arial" w:eastAsia="Arial" w:hAnsi="Arial"/>
                <w:sz w:val="20"/>
                <w:szCs w:val="20"/>
                <w:b w:val="1"/>
                <w:bCs w:val="1"/>
                <w:i w:val="1"/>
                <w:iCs w:val="1"/>
                <w:color w:val="auto"/>
              </w:rPr>
              <w:t>Input</w:t>
            </w:r>
          </w:p>
        </w:tc>
        <w:tc>
          <w:tcPr>
            <w:tcW w:w="2260" w:type="dxa"/>
            <w:vAlign w:val="bottom"/>
            <w:tcBorders>
              <w:top w:val="single" w:sz="8" w:color="auto"/>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20"/>
                <w:szCs w:val="20"/>
                <w:b w:val="1"/>
                <w:bCs w:val="1"/>
                <w:i w:val="1"/>
                <w:iCs w:val="1"/>
                <w:color w:val="auto"/>
                <w:w w:val="83"/>
              </w:rPr>
              <w:t>Representative letter</w:t>
            </w:r>
          </w:p>
        </w:tc>
        <w:tc>
          <w:tcPr>
            <w:tcW w:w="3200" w:type="dxa"/>
            <w:vAlign w:val="bottom"/>
            <w:tcBorders>
              <w:top w:val="single" w:sz="8" w:color="auto"/>
              <w:bottom w:val="single" w:sz="8" w:color="auto"/>
              <w:right w:val="single" w:sz="8" w:color="auto"/>
            </w:tcBorders>
            <w:shd w:val="clear" w:color="auto" w:fill="D9D9D9"/>
          </w:tcPr>
          <w:p>
            <w:pPr>
              <w:jc w:val="right"/>
              <w:ind w:right="1041"/>
              <w:spacing w:after="0"/>
              <w:rPr>
                <w:sz w:val="20"/>
                <w:szCs w:val="20"/>
                <w:color w:val="auto"/>
              </w:rPr>
            </w:pPr>
            <w:r>
              <w:rPr>
                <w:rFonts w:ascii="Arial" w:cs="Arial" w:eastAsia="Arial" w:hAnsi="Arial"/>
                <w:sz w:val="20"/>
                <w:szCs w:val="20"/>
                <w:b w:val="1"/>
                <w:bCs w:val="1"/>
                <w:i w:val="1"/>
                <w:iCs w:val="1"/>
                <w:color w:val="auto"/>
              </w:rPr>
              <w:t>Description</w:t>
            </w:r>
          </w:p>
        </w:tc>
        <w:tc>
          <w:tcPr>
            <w:tcW w:w="2320" w:type="dxa"/>
            <w:vAlign w:val="bottom"/>
            <w:tcBorders>
              <w:top w:val="single" w:sz="8" w:color="auto"/>
              <w:bottom w:val="single" w:sz="8" w:color="auto"/>
              <w:right w:val="single" w:sz="8" w:color="auto"/>
            </w:tcBorders>
            <w:shd w:val="clear" w:color="auto" w:fill="D9D9D9"/>
          </w:tcPr>
          <w:p>
            <w:pPr>
              <w:jc w:val="right"/>
              <w:ind w:right="841"/>
              <w:spacing w:after="0"/>
              <w:rPr>
                <w:sz w:val="20"/>
                <w:szCs w:val="20"/>
                <w:color w:val="auto"/>
              </w:rPr>
            </w:pPr>
            <w:r>
              <w:rPr>
                <w:rFonts w:ascii="Arial" w:cs="Arial" w:eastAsia="Arial" w:hAnsi="Arial"/>
                <w:sz w:val="20"/>
                <w:szCs w:val="20"/>
                <w:b w:val="1"/>
                <w:bCs w:val="1"/>
                <w:i w:val="1"/>
                <w:iCs w:val="1"/>
                <w:color w:val="auto"/>
              </w:rPr>
              <w:t>Value</w:t>
            </w:r>
          </w:p>
        </w:tc>
      </w:tr>
      <w:tr>
        <w:trPr>
          <w:trHeight w:val="250"/>
        </w:trPr>
        <w:tc>
          <w:tcPr>
            <w:tcW w:w="2340" w:type="dxa"/>
            <w:vAlign w:val="bottom"/>
            <w:tcBorders>
              <w:left w:val="single" w:sz="8" w:color="auto"/>
              <w:bottom w:val="single" w:sz="8" w:color="auto"/>
              <w:right w:val="single" w:sz="8" w:color="auto"/>
            </w:tcBorders>
          </w:tcPr>
          <w:p>
            <w:pPr>
              <w:jc w:val="right"/>
              <w:ind w:right="1741"/>
              <w:spacing w:after="0"/>
              <w:rPr>
                <w:sz w:val="20"/>
                <w:szCs w:val="20"/>
                <w:color w:val="auto"/>
              </w:rPr>
            </w:pPr>
            <w:r>
              <w:rPr>
                <w:rFonts w:ascii="Arial" w:cs="Arial" w:eastAsia="Arial" w:hAnsi="Arial"/>
                <w:sz w:val="20"/>
                <w:szCs w:val="20"/>
                <w:color w:val="auto"/>
              </w:rPr>
              <w:t>[***]</w:t>
            </w:r>
          </w:p>
        </w:tc>
        <w:tc>
          <w:tcPr>
            <w:tcW w:w="2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3200" w:type="dxa"/>
            <w:vAlign w:val="bottom"/>
            <w:tcBorders>
              <w:bottom w:val="single" w:sz="8" w:color="auto"/>
              <w:right w:val="single" w:sz="8" w:color="auto"/>
            </w:tcBorders>
          </w:tcPr>
          <w:p>
            <w:pPr>
              <w:jc w:val="right"/>
              <w:ind w:right="2621"/>
              <w:spacing w:after="0"/>
              <w:rPr>
                <w:sz w:val="20"/>
                <w:szCs w:val="20"/>
                <w:color w:val="auto"/>
              </w:rPr>
            </w:pPr>
            <w:r>
              <w:rPr>
                <w:rFonts w:ascii="Arial" w:cs="Arial" w:eastAsia="Arial" w:hAnsi="Arial"/>
                <w:sz w:val="20"/>
                <w:szCs w:val="20"/>
                <w:color w:val="auto"/>
              </w:rPr>
              <w:t>[***]</w:t>
            </w:r>
          </w:p>
        </w:tc>
        <w:tc>
          <w:tcPr>
            <w:tcW w:w="2320" w:type="dxa"/>
            <w:vAlign w:val="bottom"/>
            <w:tcBorders>
              <w:bottom w:val="single" w:sz="8" w:color="auto"/>
              <w:right w:val="single" w:sz="8" w:color="auto"/>
            </w:tcBorders>
          </w:tcPr>
          <w:p>
            <w:pPr>
              <w:jc w:val="right"/>
              <w:ind w:right="1741"/>
              <w:spacing w:after="0"/>
              <w:rPr>
                <w:sz w:val="20"/>
                <w:szCs w:val="20"/>
                <w:color w:val="auto"/>
              </w:rPr>
            </w:pPr>
            <w:r>
              <w:rPr>
                <w:rFonts w:ascii="Arial" w:cs="Arial" w:eastAsia="Arial" w:hAnsi="Arial"/>
                <w:sz w:val="20"/>
                <w:szCs w:val="20"/>
                <w:color w:val="auto"/>
              </w:rPr>
              <w:t>[***]</w:t>
            </w:r>
          </w:p>
        </w:tc>
      </w:tr>
      <w:tr>
        <w:trPr>
          <w:trHeight w:val="250"/>
        </w:trPr>
        <w:tc>
          <w:tcPr>
            <w:tcW w:w="2340" w:type="dxa"/>
            <w:vAlign w:val="bottom"/>
            <w:tcBorders>
              <w:left w:val="single" w:sz="8" w:color="auto"/>
              <w:bottom w:val="single" w:sz="8" w:color="auto"/>
              <w:right w:val="single" w:sz="8" w:color="auto"/>
            </w:tcBorders>
          </w:tcPr>
          <w:p>
            <w:pPr>
              <w:jc w:val="right"/>
              <w:ind w:right="1741"/>
              <w:spacing w:after="0"/>
              <w:rPr>
                <w:sz w:val="20"/>
                <w:szCs w:val="20"/>
                <w:color w:val="auto"/>
              </w:rPr>
            </w:pPr>
            <w:r>
              <w:rPr>
                <w:rFonts w:ascii="Arial" w:cs="Arial" w:eastAsia="Arial" w:hAnsi="Arial"/>
                <w:sz w:val="20"/>
                <w:szCs w:val="20"/>
                <w:color w:val="auto"/>
              </w:rPr>
              <w:t>[***]</w:t>
            </w:r>
          </w:p>
        </w:tc>
        <w:tc>
          <w:tcPr>
            <w:tcW w:w="2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3200" w:type="dxa"/>
            <w:vAlign w:val="bottom"/>
            <w:tcBorders>
              <w:bottom w:val="single" w:sz="8" w:color="auto"/>
              <w:right w:val="single" w:sz="8" w:color="auto"/>
            </w:tcBorders>
          </w:tcPr>
          <w:p>
            <w:pPr>
              <w:jc w:val="right"/>
              <w:ind w:right="2621"/>
              <w:spacing w:after="0"/>
              <w:rPr>
                <w:sz w:val="20"/>
                <w:szCs w:val="20"/>
                <w:color w:val="auto"/>
              </w:rPr>
            </w:pPr>
            <w:r>
              <w:rPr>
                <w:rFonts w:ascii="Arial" w:cs="Arial" w:eastAsia="Arial" w:hAnsi="Arial"/>
                <w:sz w:val="20"/>
                <w:szCs w:val="20"/>
                <w:color w:val="auto"/>
              </w:rPr>
              <w:t>[***]</w:t>
            </w:r>
          </w:p>
        </w:tc>
        <w:tc>
          <w:tcPr>
            <w:tcW w:w="2320" w:type="dxa"/>
            <w:vAlign w:val="bottom"/>
            <w:tcBorders>
              <w:bottom w:val="single" w:sz="8" w:color="auto"/>
              <w:right w:val="single" w:sz="8" w:color="auto"/>
            </w:tcBorders>
          </w:tcPr>
          <w:p>
            <w:pPr>
              <w:jc w:val="right"/>
              <w:ind w:right="1741"/>
              <w:spacing w:after="0"/>
              <w:rPr>
                <w:sz w:val="20"/>
                <w:szCs w:val="20"/>
                <w:color w:val="auto"/>
              </w:rPr>
            </w:pPr>
            <w:r>
              <w:rPr>
                <w:rFonts w:ascii="Arial" w:cs="Arial" w:eastAsia="Arial" w:hAnsi="Arial"/>
                <w:sz w:val="20"/>
                <w:szCs w:val="20"/>
                <w:color w:val="auto"/>
              </w:rPr>
              <w:t>[***]</w:t>
            </w:r>
          </w:p>
        </w:tc>
      </w:tr>
      <w:tr>
        <w:trPr>
          <w:trHeight w:val="250"/>
        </w:trPr>
        <w:tc>
          <w:tcPr>
            <w:tcW w:w="2340" w:type="dxa"/>
            <w:vAlign w:val="bottom"/>
            <w:tcBorders>
              <w:left w:val="single" w:sz="8" w:color="auto"/>
              <w:bottom w:val="single" w:sz="8" w:color="auto"/>
              <w:right w:val="single" w:sz="8" w:color="auto"/>
            </w:tcBorders>
          </w:tcPr>
          <w:p>
            <w:pPr>
              <w:jc w:val="right"/>
              <w:ind w:right="1741"/>
              <w:spacing w:after="0"/>
              <w:rPr>
                <w:sz w:val="20"/>
                <w:szCs w:val="20"/>
                <w:color w:val="auto"/>
              </w:rPr>
            </w:pPr>
            <w:r>
              <w:rPr>
                <w:rFonts w:ascii="Arial" w:cs="Arial" w:eastAsia="Arial" w:hAnsi="Arial"/>
                <w:sz w:val="20"/>
                <w:szCs w:val="20"/>
                <w:color w:val="auto"/>
              </w:rPr>
              <w:t>[***]</w:t>
            </w:r>
          </w:p>
        </w:tc>
        <w:tc>
          <w:tcPr>
            <w:tcW w:w="2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3200" w:type="dxa"/>
            <w:vAlign w:val="bottom"/>
            <w:tcBorders>
              <w:bottom w:val="single" w:sz="8" w:color="auto"/>
              <w:right w:val="single" w:sz="8" w:color="auto"/>
            </w:tcBorders>
          </w:tcPr>
          <w:p>
            <w:pPr>
              <w:jc w:val="right"/>
              <w:ind w:right="2621"/>
              <w:spacing w:after="0"/>
              <w:rPr>
                <w:sz w:val="20"/>
                <w:szCs w:val="20"/>
                <w:color w:val="auto"/>
              </w:rPr>
            </w:pPr>
            <w:r>
              <w:rPr>
                <w:rFonts w:ascii="Arial" w:cs="Arial" w:eastAsia="Arial" w:hAnsi="Arial"/>
                <w:sz w:val="20"/>
                <w:szCs w:val="20"/>
                <w:color w:val="auto"/>
              </w:rPr>
              <w:t>[***]</w:t>
            </w:r>
          </w:p>
        </w:tc>
        <w:tc>
          <w:tcPr>
            <w:tcW w:w="2320" w:type="dxa"/>
            <w:vAlign w:val="bottom"/>
            <w:tcBorders>
              <w:bottom w:val="single" w:sz="8" w:color="auto"/>
              <w:right w:val="single" w:sz="8" w:color="auto"/>
            </w:tcBorders>
          </w:tcPr>
          <w:p>
            <w:pPr>
              <w:jc w:val="right"/>
              <w:ind w:right="1741"/>
              <w:spacing w:after="0"/>
              <w:rPr>
                <w:sz w:val="20"/>
                <w:szCs w:val="20"/>
                <w:color w:val="auto"/>
              </w:rPr>
            </w:pPr>
            <w:r>
              <w:rPr>
                <w:rFonts w:ascii="Arial" w:cs="Arial" w:eastAsia="Arial" w:hAnsi="Arial"/>
                <w:sz w:val="20"/>
                <w:szCs w:val="20"/>
                <w:color w:val="auto"/>
              </w:rPr>
              <w:t>[***]</w:t>
            </w:r>
          </w:p>
        </w:tc>
      </w:tr>
      <w:tr>
        <w:trPr>
          <w:trHeight w:val="250"/>
        </w:trPr>
        <w:tc>
          <w:tcPr>
            <w:tcW w:w="2340" w:type="dxa"/>
            <w:vAlign w:val="bottom"/>
            <w:tcBorders>
              <w:left w:val="single" w:sz="8" w:color="auto"/>
              <w:bottom w:val="single" w:sz="8" w:color="auto"/>
              <w:right w:val="single" w:sz="8" w:color="auto"/>
            </w:tcBorders>
          </w:tcPr>
          <w:p>
            <w:pPr>
              <w:jc w:val="right"/>
              <w:ind w:right="1741"/>
              <w:spacing w:after="0"/>
              <w:rPr>
                <w:sz w:val="20"/>
                <w:szCs w:val="20"/>
                <w:color w:val="auto"/>
              </w:rPr>
            </w:pPr>
            <w:r>
              <w:rPr>
                <w:rFonts w:ascii="Arial" w:cs="Arial" w:eastAsia="Arial" w:hAnsi="Arial"/>
                <w:sz w:val="20"/>
                <w:szCs w:val="20"/>
                <w:color w:val="auto"/>
              </w:rPr>
              <w:t>[***]</w:t>
            </w:r>
          </w:p>
        </w:tc>
        <w:tc>
          <w:tcPr>
            <w:tcW w:w="2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3200" w:type="dxa"/>
            <w:vAlign w:val="bottom"/>
            <w:tcBorders>
              <w:bottom w:val="single" w:sz="8" w:color="auto"/>
              <w:right w:val="single" w:sz="8" w:color="auto"/>
            </w:tcBorders>
          </w:tcPr>
          <w:p>
            <w:pPr>
              <w:jc w:val="right"/>
              <w:ind w:right="2621"/>
              <w:spacing w:after="0"/>
              <w:rPr>
                <w:sz w:val="20"/>
                <w:szCs w:val="20"/>
                <w:color w:val="auto"/>
              </w:rPr>
            </w:pPr>
            <w:r>
              <w:rPr>
                <w:rFonts w:ascii="Arial" w:cs="Arial" w:eastAsia="Arial" w:hAnsi="Arial"/>
                <w:sz w:val="20"/>
                <w:szCs w:val="20"/>
                <w:color w:val="auto"/>
              </w:rPr>
              <w:t>[***]</w:t>
            </w:r>
          </w:p>
        </w:tc>
        <w:tc>
          <w:tcPr>
            <w:tcW w:w="2320" w:type="dxa"/>
            <w:vAlign w:val="bottom"/>
            <w:tcBorders>
              <w:bottom w:val="single" w:sz="8" w:color="auto"/>
              <w:right w:val="single" w:sz="8" w:color="auto"/>
            </w:tcBorders>
          </w:tcPr>
          <w:p>
            <w:pPr>
              <w:jc w:val="right"/>
              <w:ind w:right="1741"/>
              <w:spacing w:after="0"/>
              <w:rPr>
                <w:sz w:val="20"/>
                <w:szCs w:val="20"/>
                <w:color w:val="auto"/>
              </w:rPr>
            </w:pPr>
            <w:r>
              <w:rPr>
                <w:rFonts w:ascii="Arial" w:cs="Arial" w:eastAsia="Arial" w:hAnsi="Arial"/>
                <w:sz w:val="20"/>
                <w:szCs w:val="20"/>
                <w:color w:val="auto"/>
              </w:rPr>
              <w:t>[***]</w:t>
            </w:r>
          </w:p>
        </w:tc>
      </w:tr>
      <w:tr>
        <w:trPr>
          <w:trHeight w:val="250"/>
        </w:trPr>
        <w:tc>
          <w:tcPr>
            <w:tcW w:w="2340" w:type="dxa"/>
            <w:vAlign w:val="bottom"/>
            <w:tcBorders>
              <w:left w:val="single" w:sz="8" w:color="auto"/>
              <w:bottom w:val="single" w:sz="8" w:color="auto"/>
              <w:right w:val="single" w:sz="8" w:color="auto"/>
            </w:tcBorders>
          </w:tcPr>
          <w:p>
            <w:pPr>
              <w:jc w:val="right"/>
              <w:ind w:right="1741"/>
              <w:spacing w:after="0"/>
              <w:rPr>
                <w:sz w:val="20"/>
                <w:szCs w:val="20"/>
                <w:color w:val="auto"/>
              </w:rPr>
            </w:pPr>
            <w:r>
              <w:rPr>
                <w:rFonts w:ascii="Arial" w:cs="Arial" w:eastAsia="Arial" w:hAnsi="Arial"/>
                <w:sz w:val="20"/>
                <w:szCs w:val="20"/>
                <w:color w:val="auto"/>
              </w:rPr>
              <w:t>[***]</w:t>
            </w:r>
          </w:p>
        </w:tc>
        <w:tc>
          <w:tcPr>
            <w:tcW w:w="2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3200" w:type="dxa"/>
            <w:vAlign w:val="bottom"/>
            <w:tcBorders>
              <w:bottom w:val="single" w:sz="8" w:color="auto"/>
              <w:right w:val="single" w:sz="8" w:color="auto"/>
            </w:tcBorders>
          </w:tcPr>
          <w:p>
            <w:pPr>
              <w:jc w:val="right"/>
              <w:ind w:right="2621"/>
              <w:spacing w:after="0"/>
              <w:rPr>
                <w:sz w:val="20"/>
                <w:szCs w:val="20"/>
                <w:color w:val="auto"/>
              </w:rPr>
            </w:pPr>
            <w:r>
              <w:rPr>
                <w:rFonts w:ascii="Arial" w:cs="Arial" w:eastAsia="Arial" w:hAnsi="Arial"/>
                <w:sz w:val="20"/>
                <w:szCs w:val="20"/>
                <w:color w:val="auto"/>
              </w:rPr>
              <w:t>[***]</w:t>
            </w:r>
          </w:p>
        </w:tc>
        <w:tc>
          <w:tcPr>
            <w:tcW w:w="2320" w:type="dxa"/>
            <w:vAlign w:val="bottom"/>
            <w:tcBorders>
              <w:bottom w:val="single" w:sz="8" w:color="auto"/>
              <w:right w:val="single" w:sz="8" w:color="auto"/>
            </w:tcBorders>
          </w:tcPr>
          <w:p>
            <w:pPr>
              <w:jc w:val="right"/>
              <w:ind w:right="1741"/>
              <w:spacing w:after="0"/>
              <w:rPr>
                <w:sz w:val="20"/>
                <w:szCs w:val="20"/>
                <w:color w:val="auto"/>
              </w:rPr>
            </w:pPr>
            <w:r>
              <w:rPr>
                <w:rFonts w:ascii="Arial" w:cs="Arial" w:eastAsia="Arial" w:hAnsi="Arial"/>
                <w:sz w:val="20"/>
                <w:szCs w:val="20"/>
                <w:color w:val="auto"/>
              </w:rPr>
              <w:t>[***]</w:t>
            </w:r>
          </w:p>
        </w:tc>
      </w:tr>
      <w:tr>
        <w:trPr>
          <w:trHeight w:val="250"/>
        </w:trPr>
        <w:tc>
          <w:tcPr>
            <w:tcW w:w="2340" w:type="dxa"/>
            <w:vAlign w:val="bottom"/>
            <w:tcBorders>
              <w:left w:val="single" w:sz="8" w:color="auto"/>
              <w:bottom w:val="single" w:sz="8" w:color="auto"/>
              <w:right w:val="single" w:sz="8" w:color="auto"/>
            </w:tcBorders>
          </w:tcPr>
          <w:p>
            <w:pPr>
              <w:jc w:val="right"/>
              <w:ind w:right="1741"/>
              <w:spacing w:after="0"/>
              <w:rPr>
                <w:sz w:val="20"/>
                <w:szCs w:val="20"/>
                <w:color w:val="auto"/>
              </w:rPr>
            </w:pPr>
            <w:r>
              <w:rPr>
                <w:rFonts w:ascii="Arial" w:cs="Arial" w:eastAsia="Arial" w:hAnsi="Arial"/>
                <w:sz w:val="20"/>
                <w:szCs w:val="20"/>
                <w:color w:val="auto"/>
              </w:rPr>
              <w:t>[***]</w:t>
            </w:r>
          </w:p>
        </w:tc>
        <w:tc>
          <w:tcPr>
            <w:tcW w:w="2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3200" w:type="dxa"/>
            <w:vAlign w:val="bottom"/>
            <w:tcBorders>
              <w:bottom w:val="single" w:sz="8" w:color="auto"/>
              <w:right w:val="single" w:sz="8" w:color="auto"/>
            </w:tcBorders>
          </w:tcPr>
          <w:p>
            <w:pPr>
              <w:jc w:val="right"/>
              <w:ind w:right="2621"/>
              <w:spacing w:after="0"/>
              <w:rPr>
                <w:sz w:val="20"/>
                <w:szCs w:val="20"/>
                <w:color w:val="auto"/>
              </w:rPr>
            </w:pPr>
            <w:r>
              <w:rPr>
                <w:rFonts w:ascii="Arial" w:cs="Arial" w:eastAsia="Arial" w:hAnsi="Arial"/>
                <w:sz w:val="20"/>
                <w:szCs w:val="20"/>
                <w:color w:val="auto"/>
              </w:rPr>
              <w:t>[***]</w:t>
            </w:r>
          </w:p>
        </w:tc>
        <w:tc>
          <w:tcPr>
            <w:tcW w:w="2320" w:type="dxa"/>
            <w:vAlign w:val="bottom"/>
            <w:tcBorders>
              <w:bottom w:val="single" w:sz="8" w:color="auto"/>
              <w:right w:val="single" w:sz="8" w:color="auto"/>
            </w:tcBorders>
          </w:tcPr>
          <w:p>
            <w:pPr>
              <w:jc w:val="right"/>
              <w:ind w:right="1741"/>
              <w:spacing w:after="0"/>
              <w:rPr>
                <w:sz w:val="20"/>
                <w:szCs w:val="20"/>
                <w:color w:val="auto"/>
              </w:rPr>
            </w:pPr>
            <w:r>
              <w:rPr>
                <w:rFonts w:ascii="Arial" w:cs="Arial" w:eastAsia="Arial" w:hAnsi="Arial"/>
                <w:sz w:val="20"/>
                <w:szCs w:val="20"/>
                <w:color w:val="auto"/>
              </w:rPr>
              <w:t>[***]</w:t>
            </w:r>
          </w:p>
        </w:tc>
      </w:tr>
      <w:tr>
        <w:trPr>
          <w:trHeight w:val="250"/>
        </w:trPr>
        <w:tc>
          <w:tcPr>
            <w:tcW w:w="2340" w:type="dxa"/>
            <w:vAlign w:val="bottom"/>
            <w:tcBorders>
              <w:left w:val="single" w:sz="8" w:color="auto"/>
              <w:bottom w:val="single" w:sz="8" w:color="auto"/>
              <w:right w:val="single" w:sz="8" w:color="auto"/>
            </w:tcBorders>
          </w:tcPr>
          <w:p>
            <w:pPr>
              <w:jc w:val="right"/>
              <w:ind w:right="1741"/>
              <w:spacing w:after="0"/>
              <w:rPr>
                <w:sz w:val="20"/>
                <w:szCs w:val="20"/>
                <w:color w:val="auto"/>
              </w:rPr>
            </w:pPr>
            <w:r>
              <w:rPr>
                <w:rFonts w:ascii="Arial" w:cs="Arial" w:eastAsia="Arial" w:hAnsi="Arial"/>
                <w:sz w:val="20"/>
                <w:szCs w:val="20"/>
                <w:color w:val="auto"/>
              </w:rPr>
              <w:t>[***]</w:t>
            </w:r>
          </w:p>
        </w:tc>
        <w:tc>
          <w:tcPr>
            <w:tcW w:w="2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3200" w:type="dxa"/>
            <w:vAlign w:val="bottom"/>
            <w:tcBorders>
              <w:bottom w:val="single" w:sz="8" w:color="auto"/>
              <w:right w:val="single" w:sz="8" w:color="auto"/>
            </w:tcBorders>
          </w:tcPr>
          <w:p>
            <w:pPr>
              <w:jc w:val="right"/>
              <w:ind w:right="2621"/>
              <w:spacing w:after="0"/>
              <w:rPr>
                <w:sz w:val="20"/>
                <w:szCs w:val="20"/>
                <w:color w:val="auto"/>
              </w:rPr>
            </w:pPr>
            <w:r>
              <w:rPr>
                <w:rFonts w:ascii="Arial" w:cs="Arial" w:eastAsia="Arial" w:hAnsi="Arial"/>
                <w:sz w:val="20"/>
                <w:szCs w:val="20"/>
                <w:color w:val="auto"/>
              </w:rPr>
              <w:t>[***]</w:t>
            </w:r>
          </w:p>
        </w:tc>
        <w:tc>
          <w:tcPr>
            <w:tcW w:w="2320" w:type="dxa"/>
            <w:vAlign w:val="bottom"/>
            <w:tcBorders>
              <w:bottom w:val="single" w:sz="8" w:color="auto"/>
              <w:right w:val="single" w:sz="8" w:color="auto"/>
            </w:tcBorders>
          </w:tcPr>
          <w:p>
            <w:pPr>
              <w:jc w:val="right"/>
              <w:ind w:right="1741"/>
              <w:spacing w:after="0"/>
              <w:rPr>
                <w:sz w:val="20"/>
                <w:szCs w:val="20"/>
                <w:color w:val="auto"/>
              </w:rPr>
            </w:pPr>
            <w:r>
              <w:rPr>
                <w:rFonts w:ascii="Arial" w:cs="Arial" w:eastAsia="Arial" w:hAnsi="Arial"/>
                <w:sz w:val="20"/>
                <w:szCs w:val="20"/>
                <w:color w:val="auto"/>
              </w:rPr>
              <w:t>[***]</w:t>
            </w:r>
          </w:p>
        </w:tc>
      </w:tr>
    </w:tbl>
    <w:p>
      <w:pPr>
        <w:spacing w:after="0" w:line="29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756285</wp:posOffset>
            </wp:positionV>
            <wp:extent cx="713232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tabs>
          <w:tab w:leader="none" w:pos="4980" w:val="left"/>
        </w:tabs>
        <w:rPr>
          <w:sz w:val="20"/>
          <w:szCs w:val="20"/>
          <w:color w:val="auto"/>
        </w:rPr>
      </w:pPr>
      <w:r>
        <w:rPr>
          <w:rFonts w:ascii="Arial" w:cs="Arial" w:eastAsia="Arial" w:hAnsi="Arial"/>
          <w:sz w:val="20"/>
          <w:szCs w:val="20"/>
          <w:color w:val="auto"/>
        </w:rPr>
        <w:t>Production Pricing Agreement (Standard), ver. January 2021</w:t>
      </w:r>
      <w:r>
        <w:rPr>
          <w:sz w:val="20"/>
          <w:szCs w:val="20"/>
          <w:color w:val="auto"/>
        </w:rPr>
        <w:tab/>
      </w:r>
      <w:r>
        <w:rPr>
          <w:rFonts w:ascii="Arial" w:cs="Arial" w:eastAsia="Arial" w:hAnsi="Arial"/>
          <w:sz w:val="16"/>
          <w:szCs w:val="16"/>
          <w:color w:val="auto"/>
        </w:rPr>
        <w:t xml:space="preserve">Page </w:t>
      </w:r>
      <w:r>
        <w:rPr>
          <w:rFonts w:ascii="Arial" w:cs="Arial" w:eastAsia="Arial" w:hAnsi="Arial"/>
          <w:sz w:val="16"/>
          <w:szCs w:val="16"/>
          <w:b w:val="1"/>
          <w:bCs w:val="1"/>
          <w:color w:val="auto"/>
        </w:rPr>
        <w:t>5</w:t>
      </w:r>
      <w:r>
        <w:rPr>
          <w:rFonts w:ascii="Arial" w:cs="Arial" w:eastAsia="Arial" w:hAnsi="Arial"/>
          <w:sz w:val="16"/>
          <w:szCs w:val="16"/>
          <w:color w:val="auto"/>
        </w:rPr>
        <w:t xml:space="preserve"> of </w:t>
      </w:r>
      <w:r>
        <w:rPr>
          <w:rFonts w:ascii="Arial" w:cs="Arial" w:eastAsia="Arial" w:hAnsi="Arial"/>
          <w:sz w:val="16"/>
          <w:szCs w:val="16"/>
          <w:b w:val="1"/>
          <w:bCs w:val="1"/>
          <w:color w:val="auto"/>
        </w:rPr>
        <w:t>8</w:t>
      </w:r>
    </w:p>
    <w:p>
      <w:pPr>
        <w:sectPr>
          <w:pgSz w:w="11900" w:h="16838" w:orient="portrait"/>
          <w:cols w:equalWidth="0" w:num="1">
            <w:col w:w="10760"/>
          </w:cols>
          <w:pgMar w:left="320" w:top="1405" w:right="819" w:bottom="1440" w:gutter="0" w:footer="0" w:header="0"/>
        </w:sectPr>
      </w:pPr>
    </w:p>
    <w:bookmarkStart w:id="172" w:name="page173"/>
    <w:bookmarkEnd w:id="172"/>
    <w:p>
      <w:pPr>
        <w:spacing w:after="0"/>
        <w:rPr>
          <w:sz w:val="20"/>
          <w:szCs w:val="20"/>
          <w:color w:val="auto"/>
        </w:rPr>
      </w:pPr>
      <w:r>
        <w:rPr>
          <w:rFonts w:ascii="Arial" w:cs="Arial" w:eastAsia="Arial" w:hAnsi="Arial"/>
          <w:sz w:val="20"/>
          <w:szCs w:val="20"/>
          <w:b w:val="1"/>
          <w:bCs w:val="1"/>
          <w:u w:val="single" w:color="auto"/>
          <w:color w:val="auto"/>
        </w:rPr>
        <w:t>Exhibit C: Volume Forecast</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678815</wp:posOffset>
            </wp:positionV>
            <wp:extent cx="713232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tabs>
          <w:tab w:leader="none" w:pos="4980" w:val="left"/>
        </w:tabs>
        <w:rPr>
          <w:sz w:val="20"/>
          <w:szCs w:val="20"/>
          <w:color w:val="auto"/>
        </w:rPr>
      </w:pPr>
      <w:r>
        <w:rPr>
          <w:rFonts w:ascii="Arial" w:cs="Arial" w:eastAsia="Arial" w:hAnsi="Arial"/>
          <w:sz w:val="20"/>
          <w:szCs w:val="20"/>
          <w:color w:val="auto"/>
        </w:rPr>
        <w:t>Production Pricing Agreement (Standard), ver. January 2021</w:t>
      </w:r>
      <w:r>
        <w:rPr>
          <w:sz w:val="20"/>
          <w:szCs w:val="20"/>
          <w:color w:val="auto"/>
        </w:rPr>
        <w:tab/>
      </w:r>
      <w:r>
        <w:rPr>
          <w:rFonts w:ascii="Arial" w:cs="Arial" w:eastAsia="Arial" w:hAnsi="Arial"/>
          <w:sz w:val="16"/>
          <w:szCs w:val="16"/>
          <w:color w:val="auto"/>
        </w:rPr>
        <w:t xml:space="preserve">Page </w:t>
      </w:r>
      <w:r>
        <w:rPr>
          <w:rFonts w:ascii="Arial" w:cs="Arial" w:eastAsia="Arial" w:hAnsi="Arial"/>
          <w:sz w:val="16"/>
          <w:szCs w:val="16"/>
          <w:b w:val="1"/>
          <w:bCs w:val="1"/>
          <w:color w:val="auto"/>
        </w:rPr>
        <w:t>6</w:t>
      </w:r>
      <w:r>
        <w:rPr>
          <w:rFonts w:ascii="Arial" w:cs="Arial" w:eastAsia="Arial" w:hAnsi="Arial"/>
          <w:sz w:val="16"/>
          <w:szCs w:val="16"/>
          <w:color w:val="auto"/>
        </w:rPr>
        <w:t xml:space="preserve"> of </w:t>
      </w:r>
      <w:r>
        <w:rPr>
          <w:rFonts w:ascii="Arial" w:cs="Arial" w:eastAsia="Arial" w:hAnsi="Arial"/>
          <w:sz w:val="16"/>
          <w:szCs w:val="16"/>
          <w:b w:val="1"/>
          <w:bCs w:val="1"/>
          <w:color w:val="auto"/>
        </w:rPr>
        <w:t>8</w:t>
      </w:r>
    </w:p>
    <w:p>
      <w:pPr>
        <w:sectPr>
          <w:pgSz w:w="11900" w:h="16838" w:orient="portrait"/>
          <w:cols w:equalWidth="0" w:num="1">
            <w:col w:w="10139"/>
          </w:cols>
          <w:pgMar w:left="320" w:top="1399" w:right="1440" w:bottom="1440" w:gutter="0" w:footer="0" w:header="0"/>
        </w:sectPr>
      </w:pPr>
    </w:p>
    <w:bookmarkStart w:id="173" w:name="page174"/>
    <w:bookmarkEnd w:id="173"/>
    <w:p>
      <w:pPr>
        <w:spacing w:after="0"/>
        <w:rPr>
          <w:sz w:val="20"/>
          <w:szCs w:val="20"/>
          <w:color w:val="auto"/>
        </w:rPr>
      </w:pPr>
      <w:r>
        <w:rPr>
          <w:rFonts w:ascii="Arial" w:cs="Arial" w:eastAsia="Arial" w:hAnsi="Arial"/>
          <w:sz w:val="20"/>
          <w:szCs w:val="20"/>
          <w:b w:val="1"/>
          <w:bCs w:val="1"/>
          <w:u w:val="single" w:color="auto"/>
          <w:color w:val="auto"/>
        </w:rPr>
        <w:t>Exhibit D: Performance Metrics</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As referenced in the GTC, the Parties agree to the following Performance Metrics.</w:t>
      </w:r>
    </w:p>
    <w:p>
      <w:pPr>
        <w:spacing w:after="0" w:line="16" w:lineRule="exact"/>
        <w:rPr>
          <w:sz w:val="20"/>
          <w:szCs w:val="20"/>
          <w:color w:val="auto"/>
        </w:rPr>
      </w:pPr>
    </w:p>
    <w:tbl>
      <w:tblPr>
        <w:tblLayout w:type="fixed"/>
        <w:tblInd w:w="10" w:type="dxa"/>
        <w:tblCellMar>
          <w:top w:w="0" w:type="dxa"/>
          <w:left w:w="0" w:type="dxa"/>
          <w:bottom w:w="0" w:type="dxa"/>
          <w:right w:w="0" w:type="dxa"/>
        </w:tblCellMar>
      </w:tblPr>
      <w:tr>
        <w:trPr>
          <w:trHeight w:val="323"/>
        </w:trPr>
        <w:tc>
          <w:tcPr>
            <w:tcW w:w="980" w:type="dxa"/>
            <w:vAlign w:val="bottom"/>
            <w:tcBorders>
              <w:top w:val="single" w:sz="8" w:color="auto"/>
              <w:left w:val="single" w:sz="8" w:color="auto"/>
              <w:bottom w:val="single" w:sz="8" w:color="D9D9D9"/>
            </w:tcBorders>
            <w:shd w:val="clear" w:color="auto" w:fill="D9D9D9"/>
          </w:tcPr>
          <w:p>
            <w:pPr>
              <w:spacing w:after="0"/>
              <w:rPr>
                <w:sz w:val="24"/>
                <w:szCs w:val="24"/>
                <w:color w:val="auto"/>
              </w:rPr>
            </w:pPr>
          </w:p>
        </w:tc>
        <w:tc>
          <w:tcPr>
            <w:tcW w:w="1680" w:type="dxa"/>
            <w:vAlign w:val="bottom"/>
            <w:tcBorders>
              <w:top w:val="single" w:sz="8" w:color="auto"/>
              <w:bottom w:val="single" w:sz="8" w:color="D9D9D9"/>
              <w:right w:val="single" w:sz="8" w:color="D9D9D9"/>
            </w:tcBorders>
            <w:gridSpan w:val="2"/>
            <w:shd w:val="clear" w:color="auto" w:fill="D9D9D9"/>
          </w:tcPr>
          <w:p>
            <w:pPr>
              <w:jc w:val="center"/>
              <w:ind w:right="141"/>
              <w:spacing w:after="0"/>
              <w:rPr>
                <w:sz w:val="20"/>
                <w:szCs w:val="20"/>
                <w:color w:val="auto"/>
              </w:rPr>
            </w:pPr>
            <w:r>
              <w:rPr>
                <w:rFonts w:ascii="Arial" w:cs="Arial" w:eastAsia="Arial" w:hAnsi="Arial"/>
                <w:sz w:val="20"/>
                <w:szCs w:val="20"/>
                <w:b w:val="1"/>
                <w:bCs w:val="1"/>
                <w:color w:val="auto"/>
                <w:w w:val="94"/>
              </w:rPr>
              <w:t>Metric Name</w:t>
            </w:r>
          </w:p>
        </w:tc>
        <w:tc>
          <w:tcPr>
            <w:tcW w:w="720" w:type="dxa"/>
            <w:vAlign w:val="bottom"/>
            <w:tcBorders>
              <w:top w:val="single" w:sz="8" w:color="auto"/>
              <w:bottom w:val="single" w:sz="8" w:color="D9D9D9"/>
              <w:right w:val="single" w:sz="8" w:color="auto"/>
            </w:tcBorders>
            <w:shd w:val="clear" w:color="auto" w:fill="D9D9D9"/>
          </w:tcPr>
          <w:p>
            <w:pPr>
              <w:spacing w:after="0"/>
              <w:rPr>
                <w:sz w:val="24"/>
                <w:szCs w:val="24"/>
                <w:color w:val="auto"/>
              </w:rPr>
            </w:pPr>
          </w:p>
        </w:tc>
        <w:tc>
          <w:tcPr>
            <w:tcW w:w="3400" w:type="dxa"/>
            <w:vAlign w:val="bottom"/>
            <w:tcBorders>
              <w:top w:val="single" w:sz="8" w:color="auto"/>
              <w:bottom w:val="single" w:sz="8" w:color="D9D9D9"/>
              <w:right w:val="single" w:sz="8" w:color="auto"/>
            </w:tcBorders>
            <w:shd w:val="clear" w:color="auto" w:fill="D9D9D9"/>
          </w:tcPr>
          <w:p>
            <w:pPr>
              <w:jc w:val="right"/>
              <w:ind w:right="1321"/>
              <w:spacing w:after="0"/>
              <w:rPr>
                <w:sz w:val="20"/>
                <w:szCs w:val="20"/>
                <w:color w:val="auto"/>
              </w:rPr>
            </w:pPr>
            <w:r>
              <w:rPr>
                <w:rFonts w:ascii="Arial" w:cs="Arial" w:eastAsia="Arial" w:hAnsi="Arial"/>
                <w:sz w:val="20"/>
                <w:szCs w:val="20"/>
                <w:b w:val="1"/>
                <w:bCs w:val="1"/>
                <w:color w:val="auto"/>
              </w:rPr>
              <w:t>Metric</w:t>
            </w:r>
          </w:p>
        </w:tc>
        <w:tc>
          <w:tcPr>
            <w:tcW w:w="40" w:type="dxa"/>
            <w:vAlign w:val="bottom"/>
            <w:tcBorders>
              <w:top w:val="single" w:sz="8" w:color="auto"/>
              <w:bottom w:val="single" w:sz="8" w:color="D9D9D9"/>
              <w:right w:val="single" w:sz="8" w:color="D9D9D9"/>
            </w:tcBorders>
            <w:shd w:val="clear" w:color="auto" w:fill="D9D9D9"/>
          </w:tcPr>
          <w:p>
            <w:pPr>
              <w:spacing w:after="0"/>
              <w:rPr>
                <w:sz w:val="24"/>
                <w:szCs w:val="24"/>
                <w:color w:val="auto"/>
              </w:rPr>
            </w:pPr>
          </w:p>
        </w:tc>
        <w:tc>
          <w:tcPr>
            <w:tcW w:w="840" w:type="dxa"/>
            <w:vAlign w:val="bottom"/>
            <w:tcBorders>
              <w:top w:val="single" w:sz="8" w:color="auto"/>
              <w:bottom w:val="single" w:sz="8" w:color="D9D9D9"/>
            </w:tcBorders>
            <w:shd w:val="clear" w:color="auto" w:fill="D9D9D9"/>
          </w:tcPr>
          <w:p>
            <w:pPr>
              <w:spacing w:after="0"/>
              <w:rPr>
                <w:sz w:val="24"/>
                <w:szCs w:val="24"/>
                <w:color w:val="auto"/>
              </w:rPr>
            </w:pPr>
          </w:p>
        </w:tc>
        <w:tc>
          <w:tcPr>
            <w:tcW w:w="3360" w:type="dxa"/>
            <w:vAlign w:val="bottom"/>
            <w:tcBorders>
              <w:top w:val="single" w:sz="8" w:color="auto"/>
              <w:bottom w:val="single" w:sz="8" w:color="D9D9D9"/>
              <w:right w:val="single" w:sz="8" w:color="auto"/>
            </w:tcBorders>
            <w:gridSpan w:val="2"/>
            <w:shd w:val="clear" w:color="auto" w:fill="D9D9D9"/>
          </w:tcPr>
          <w:p>
            <w:pPr>
              <w:jc w:val="right"/>
              <w:ind w:right="1201"/>
              <w:spacing w:after="0"/>
              <w:rPr>
                <w:sz w:val="20"/>
                <w:szCs w:val="20"/>
                <w:color w:val="auto"/>
              </w:rPr>
            </w:pPr>
            <w:r>
              <w:rPr>
                <w:rFonts w:ascii="Arial" w:cs="Arial" w:eastAsia="Arial" w:hAnsi="Arial"/>
                <w:sz w:val="20"/>
                <w:szCs w:val="20"/>
                <w:b w:val="1"/>
                <w:bCs w:val="1"/>
                <w:color w:val="auto"/>
              </w:rPr>
              <w:t>Detailed calculation</w:t>
            </w:r>
          </w:p>
        </w:tc>
        <w:tc>
          <w:tcPr>
            <w:tcW w:w="240" w:type="dxa"/>
            <w:vAlign w:val="bottom"/>
          </w:tcPr>
          <w:p>
            <w:pPr>
              <w:spacing w:after="0"/>
              <w:rPr>
                <w:sz w:val="24"/>
                <w:szCs w:val="24"/>
                <w:color w:val="auto"/>
              </w:rPr>
            </w:pPr>
          </w:p>
        </w:tc>
      </w:tr>
      <w:tr>
        <w:trPr>
          <w:trHeight w:val="313"/>
        </w:trPr>
        <w:tc>
          <w:tcPr>
            <w:tcW w:w="980" w:type="dxa"/>
            <w:vAlign w:val="bottom"/>
            <w:tcBorders>
              <w:top w:val="single" w:sz="8" w:color="auto"/>
              <w:left w:val="single" w:sz="8" w:color="auto"/>
              <w:bottom w:val="single" w:sz="8" w:color="auto"/>
            </w:tcBorders>
          </w:tcPr>
          <w:p>
            <w:pPr>
              <w:spacing w:after="0"/>
              <w:rPr>
                <w:sz w:val="24"/>
                <w:szCs w:val="24"/>
                <w:color w:val="auto"/>
              </w:rPr>
            </w:pPr>
          </w:p>
        </w:tc>
        <w:tc>
          <w:tcPr>
            <w:tcW w:w="1680" w:type="dxa"/>
            <w:vAlign w:val="bottom"/>
            <w:tcBorders>
              <w:top w:val="single" w:sz="8" w:color="auto"/>
              <w:bottom w:val="single" w:sz="8" w:color="auto"/>
            </w:tcBorders>
            <w:gridSpan w:val="2"/>
          </w:tcPr>
          <w:p>
            <w:pPr>
              <w:jc w:val="center"/>
              <w:ind w:right="161"/>
              <w:spacing w:after="0"/>
              <w:rPr>
                <w:sz w:val="20"/>
                <w:szCs w:val="20"/>
                <w:color w:val="auto"/>
              </w:rPr>
            </w:pPr>
            <w:r>
              <w:rPr>
                <w:rFonts w:ascii="Arial" w:cs="Arial" w:eastAsia="Arial" w:hAnsi="Arial"/>
                <w:sz w:val="20"/>
                <w:szCs w:val="20"/>
                <w:color w:val="auto"/>
              </w:rPr>
              <w:t>[***]</w:t>
            </w:r>
          </w:p>
        </w:tc>
        <w:tc>
          <w:tcPr>
            <w:tcW w:w="720" w:type="dxa"/>
            <w:vAlign w:val="bottom"/>
            <w:tcBorders>
              <w:top w:val="single" w:sz="8" w:color="auto"/>
              <w:bottom w:val="single" w:sz="8" w:color="auto"/>
              <w:right w:val="single" w:sz="8" w:color="auto"/>
            </w:tcBorders>
          </w:tcPr>
          <w:p>
            <w:pPr>
              <w:spacing w:after="0"/>
              <w:rPr>
                <w:sz w:val="24"/>
                <w:szCs w:val="24"/>
                <w:color w:val="auto"/>
              </w:rPr>
            </w:pPr>
          </w:p>
        </w:tc>
        <w:tc>
          <w:tcPr>
            <w:tcW w:w="3400" w:type="dxa"/>
            <w:vAlign w:val="bottom"/>
            <w:tcBorders>
              <w:top w:val="single" w:sz="8" w:color="auto"/>
              <w:bottom w:val="single" w:sz="8" w:color="auto"/>
              <w:right w:val="single" w:sz="8" w:color="auto"/>
            </w:tcBorders>
          </w:tcPr>
          <w:p>
            <w:pPr>
              <w:jc w:val="right"/>
              <w:ind w:right="2861"/>
              <w:spacing w:after="0"/>
              <w:rPr>
                <w:sz w:val="20"/>
                <w:szCs w:val="20"/>
                <w:color w:val="auto"/>
              </w:rPr>
            </w:pPr>
            <w:r>
              <w:rPr>
                <w:rFonts w:ascii="Arial" w:cs="Arial" w:eastAsia="Arial" w:hAnsi="Arial"/>
                <w:sz w:val="20"/>
                <w:szCs w:val="20"/>
                <w:color w:val="auto"/>
              </w:rPr>
              <w:t>[***]</w:t>
            </w:r>
          </w:p>
        </w:tc>
        <w:tc>
          <w:tcPr>
            <w:tcW w:w="880" w:type="dxa"/>
            <w:vAlign w:val="bottom"/>
            <w:tcBorders>
              <w:top w:val="single" w:sz="8" w:color="auto"/>
              <w:bottom w:val="single" w:sz="8" w:color="auto"/>
            </w:tcBorders>
            <w:gridSpan w:val="2"/>
          </w:tcPr>
          <w:p>
            <w:pPr>
              <w:jc w:val="right"/>
              <w:ind w:right="341"/>
              <w:spacing w:after="0"/>
              <w:rPr>
                <w:sz w:val="20"/>
                <w:szCs w:val="20"/>
                <w:color w:val="auto"/>
              </w:rPr>
            </w:pPr>
            <w:r>
              <w:rPr>
                <w:rFonts w:ascii="Arial" w:cs="Arial" w:eastAsia="Arial" w:hAnsi="Arial"/>
                <w:sz w:val="20"/>
                <w:szCs w:val="20"/>
                <w:color w:val="auto"/>
              </w:rPr>
              <w:t>[***]</w:t>
            </w:r>
          </w:p>
        </w:tc>
        <w:tc>
          <w:tcPr>
            <w:tcW w:w="1420" w:type="dxa"/>
            <w:vAlign w:val="bottom"/>
            <w:tcBorders>
              <w:top w:val="single" w:sz="8" w:color="auto"/>
              <w:bottom w:val="single" w:sz="8" w:color="auto"/>
            </w:tcBorders>
          </w:tcPr>
          <w:p>
            <w:pPr>
              <w:spacing w:after="0"/>
              <w:rPr>
                <w:sz w:val="24"/>
                <w:szCs w:val="24"/>
                <w:color w:val="auto"/>
              </w:rPr>
            </w:pPr>
          </w:p>
        </w:tc>
        <w:tc>
          <w:tcPr>
            <w:tcW w:w="1940" w:type="dxa"/>
            <w:vAlign w:val="bottom"/>
            <w:tcBorders>
              <w:top w:val="single" w:sz="8" w:color="auto"/>
              <w:bottom w:val="single" w:sz="8" w:color="auto"/>
              <w:right w:val="single" w:sz="8" w:color="auto"/>
            </w:tcBorders>
          </w:tcPr>
          <w:p>
            <w:pPr>
              <w:spacing w:after="0"/>
              <w:rPr>
                <w:sz w:val="24"/>
                <w:szCs w:val="24"/>
                <w:color w:val="auto"/>
              </w:rPr>
            </w:pPr>
          </w:p>
        </w:tc>
        <w:tc>
          <w:tcPr>
            <w:tcW w:w="240" w:type="dxa"/>
            <w:vAlign w:val="bottom"/>
          </w:tcPr>
          <w:p>
            <w:pPr>
              <w:spacing w:after="0"/>
              <w:rPr>
                <w:sz w:val="24"/>
                <w:szCs w:val="24"/>
                <w:color w:val="auto"/>
              </w:rPr>
            </w:pPr>
          </w:p>
        </w:tc>
      </w:tr>
      <w:tr>
        <w:trPr>
          <w:trHeight w:val="272"/>
        </w:trPr>
        <w:tc>
          <w:tcPr>
            <w:tcW w:w="980" w:type="dxa"/>
            <w:vAlign w:val="bottom"/>
            <w:tcBorders>
              <w:left w:val="single" w:sz="8" w:color="auto"/>
            </w:tcBorders>
          </w:tcPr>
          <w:p>
            <w:pPr>
              <w:spacing w:after="0"/>
              <w:rPr>
                <w:sz w:val="23"/>
                <w:szCs w:val="23"/>
                <w:color w:val="auto"/>
              </w:rPr>
            </w:pPr>
          </w:p>
        </w:tc>
        <w:tc>
          <w:tcPr>
            <w:tcW w:w="1680" w:type="dxa"/>
            <w:vAlign w:val="bottom"/>
            <w:gridSpan w:val="2"/>
          </w:tcPr>
          <w:p>
            <w:pPr>
              <w:jc w:val="center"/>
              <w:ind w:right="161"/>
              <w:spacing w:after="0"/>
              <w:rPr>
                <w:sz w:val="20"/>
                <w:szCs w:val="20"/>
                <w:color w:val="auto"/>
              </w:rPr>
            </w:pPr>
            <w:r>
              <w:rPr>
                <w:rFonts w:ascii="Arial" w:cs="Arial" w:eastAsia="Arial" w:hAnsi="Arial"/>
                <w:sz w:val="20"/>
                <w:szCs w:val="20"/>
                <w:color w:val="auto"/>
              </w:rPr>
              <w:t>[***]</w:t>
            </w:r>
          </w:p>
        </w:tc>
        <w:tc>
          <w:tcPr>
            <w:tcW w:w="720" w:type="dxa"/>
            <w:vAlign w:val="bottom"/>
            <w:tcBorders>
              <w:right w:val="single" w:sz="8" w:color="auto"/>
            </w:tcBorders>
          </w:tcPr>
          <w:p>
            <w:pPr>
              <w:spacing w:after="0"/>
              <w:rPr>
                <w:sz w:val="23"/>
                <w:szCs w:val="23"/>
                <w:color w:val="auto"/>
              </w:rPr>
            </w:pPr>
          </w:p>
        </w:tc>
        <w:tc>
          <w:tcPr>
            <w:tcW w:w="3400" w:type="dxa"/>
            <w:vAlign w:val="bottom"/>
            <w:tcBorders>
              <w:right w:val="single" w:sz="8" w:color="auto"/>
            </w:tcBorders>
          </w:tcPr>
          <w:p>
            <w:pPr>
              <w:jc w:val="right"/>
              <w:ind w:right="2861"/>
              <w:spacing w:after="0"/>
              <w:rPr>
                <w:sz w:val="20"/>
                <w:szCs w:val="20"/>
                <w:color w:val="auto"/>
              </w:rPr>
            </w:pPr>
            <w:r>
              <w:rPr>
                <w:rFonts w:ascii="Arial" w:cs="Arial" w:eastAsia="Arial" w:hAnsi="Arial"/>
                <w:sz w:val="20"/>
                <w:szCs w:val="20"/>
                <w:color w:val="auto"/>
              </w:rPr>
              <w:t>[***]</w:t>
            </w:r>
          </w:p>
        </w:tc>
        <w:tc>
          <w:tcPr>
            <w:tcW w:w="880" w:type="dxa"/>
            <w:vAlign w:val="bottom"/>
            <w:gridSpan w:val="2"/>
          </w:tcPr>
          <w:p>
            <w:pPr>
              <w:jc w:val="right"/>
              <w:ind w:right="341"/>
              <w:spacing w:after="0"/>
              <w:rPr>
                <w:sz w:val="20"/>
                <w:szCs w:val="20"/>
                <w:color w:val="auto"/>
              </w:rPr>
            </w:pPr>
            <w:r>
              <w:rPr>
                <w:rFonts w:ascii="Arial" w:cs="Arial" w:eastAsia="Arial" w:hAnsi="Arial"/>
                <w:sz w:val="20"/>
                <w:szCs w:val="20"/>
                <w:color w:val="auto"/>
              </w:rPr>
              <w:t>[***]</w:t>
            </w:r>
          </w:p>
        </w:tc>
        <w:tc>
          <w:tcPr>
            <w:tcW w:w="1420" w:type="dxa"/>
            <w:vAlign w:val="bottom"/>
          </w:tcPr>
          <w:p>
            <w:pPr>
              <w:spacing w:after="0"/>
              <w:rPr>
                <w:sz w:val="23"/>
                <w:szCs w:val="23"/>
                <w:color w:val="auto"/>
              </w:rPr>
            </w:pPr>
          </w:p>
        </w:tc>
        <w:tc>
          <w:tcPr>
            <w:tcW w:w="1940" w:type="dxa"/>
            <w:vAlign w:val="bottom"/>
            <w:tcBorders>
              <w:right w:val="single" w:sz="8" w:color="auto"/>
            </w:tcBorders>
          </w:tcPr>
          <w:p>
            <w:pPr>
              <w:spacing w:after="0"/>
              <w:rPr>
                <w:sz w:val="23"/>
                <w:szCs w:val="23"/>
                <w:color w:val="auto"/>
              </w:rPr>
            </w:pPr>
          </w:p>
        </w:tc>
        <w:tc>
          <w:tcPr>
            <w:tcW w:w="240" w:type="dxa"/>
            <w:vAlign w:val="bottom"/>
          </w:tcPr>
          <w:p>
            <w:pPr>
              <w:spacing w:after="0"/>
              <w:rPr>
                <w:sz w:val="23"/>
                <w:szCs w:val="23"/>
                <w:color w:val="auto"/>
              </w:rPr>
            </w:pPr>
          </w:p>
        </w:tc>
      </w:tr>
      <w:tr>
        <w:trPr>
          <w:trHeight w:val="50"/>
        </w:trPr>
        <w:tc>
          <w:tcPr>
            <w:tcW w:w="1400" w:type="dxa"/>
            <w:vAlign w:val="bottom"/>
            <w:tcBorders>
              <w:left w:val="single" w:sz="8" w:color="auto"/>
              <w:bottom w:val="single" w:sz="8" w:color="auto"/>
            </w:tcBorders>
            <w:gridSpan w:val="2"/>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720" w:type="dxa"/>
            <w:vAlign w:val="bottom"/>
            <w:tcBorders>
              <w:bottom w:val="single" w:sz="8" w:color="auto"/>
              <w:right w:val="single" w:sz="8" w:color="auto"/>
            </w:tcBorders>
          </w:tcPr>
          <w:p>
            <w:pPr>
              <w:spacing w:after="0"/>
              <w:rPr>
                <w:sz w:val="4"/>
                <w:szCs w:val="4"/>
                <w:color w:val="auto"/>
              </w:rPr>
            </w:pPr>
          </w:p>
        </w:tc>
        <w:tc>
          <w:tcPr>
            <w:tcW w:w="3400" w:type="dxa"/>
            <w:vAlign w:val="bottom"/>
            <w:tcBorders>
              <w:bottom w:val="single" w:sz="8" w:color="auto"/>
              <w:right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1940" w:type="dxa"/>
            <w:vAlign w:val="bottom"/>
            <w:tcBorders>
              <w:bottom w:val="single" w:sz="8" w:color="auto"/>
              <w:right w:val="single" w:sz="8" w:color="auto"/>
            </w:tcBorders>
          </w:tcPr>
          <w:p>
            <w:pPr>
              <w:spacing w:after="0"/>
              <w:rPr>
                <w:sz w:val="4"/>
                <w:szCs w:val="4"/>
                <w:color w:val="auto"/>
              </w:rPr>
            </w:pPr>
          </w:p>
        </w:tc>
        <w:tc>
          <w:tcPr>
            <w:tcW w:w="240" w:type="dxa"/>
            <w:vAlign w:val="bottom"/>
          </w:tcPr>
          <w:p>
            <w:pPr>
              <w:spacing w:after="0"/>
              <w:rPr>
                <w:sz w:val="4"/>
                <w:szCs w:val="4"/>
                <w:color w:val="auto"/>
              </w:rPr>
            </w:pPr>
          </w:p>
        </w:tc>
      </w:tr>
      <w:tr>
        <w:trPr>
          <w:trHeight w:val="750"/>
        </w:trPr>
        <w:tc>
          <w:tcPr>
            <w:tcW w:w="2660" w:type="dxa"/>
            <w:vAlign w:val="bottom"/>
            <w:tcBorders>
              <w:bottom w:val="single" w:sz="8" w:color="auto"/>
            </w:tcBorders>
            <w:gridSpan w:val="3"/>
          </w:tcPr>
          <w:p>
            <w:pPr>
              <w:spacing w:after="0"/>
              <w:rPr>
                <w:sz w:val="20"/>
                <w:szCs w:val="20"/>
                <w:color w:val="auto"/>
              </w:rPr>
            </w:pPr>
            <w:r>
              <w:rPr>
                <w:rFonts w:ascii="Arial" w:cs="Arial" w:eastAsia="Arial" w:hAnsi="Arial"/>
                <w:sz w:val="20"/>
                <w:szCs w:val="20"/>
                <w:b w:val="1"/>
                <w:bCs w:val="1"/>
                <w:color w:val="auto"/>
                <w:w w:val="92"/>
              </w:rPr>
              <w:t>Exhibit E: Lucid Pre-payment:</w:t>
            </w:r>
          </w:p>
        </w:tc>
        <w:tc>
          <w:tcPr>
            <w:tcW w:w="72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44"/>
        </w:trPr>
        <w:tc>
          <w:tcPr>
            <w:tcW w:w="6780" w:type="dxa"/>
            <w:vAlign w:val="bottom"/>
            <w:gridSpan w:val="5"/>
          </w:tcPr>
          <w:p>
            <w:pPr>
              <w:spacing w:after="0"/>
              <w:rPr>
                <w:sz w:val="20"/>
                <w:szCs w:val="20"/>
                <w:color w:val="auto"/>
              </w:rPr>
            </w:pPr>
            <w:r>
              <w:rPr>
                <w:rFonts w:ascii="Arial" w:cs="Arial" w:eastAsia="Arial" w:hAnsi="Arial"/>
                <w:sz w:val="20"/>
                <w:szCs w:val="20"/>
                <w:color w:val="auto"/>
              </w:rPr>
              <w:t>Lucid agrees to pay PECNA a non-refundable prepayment amount of [***].</w:t>
            </w:r>
          </w:p>
        </w:tc>
        <w:tc>
          <w:tcPr>
            <w:tcW w:w="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240" w:type="dxa"/>
            <w:vAlign w:val="bottom"/>
          </w:tcPr>
          <w:p>
            <w:pPr>
              <w:spacing w:after="0"/>
              <w:rPr>
                <w:sz w:val="21"/>
                <w:szCs w:val="21"/>
                <w:color w:val="auto"/>
              </w:rPr>
            </w:pPr>
          </w:p>
        </w:tc>
      </w:tr>
      <w:tr>
        <w:trPr>
          <w:trHeight w:val="658"/>
        </w:trPr>
        <w:tc>
          <w:tcPr>
            <w:tcW w:w="2660" w:type="dxa"/>
            <w:vAlign w:val="bottom"/>
            <w:gridSpan w:val="3"/>
          </w:tcPr>
          <w:p>
            <w:pPr>
              <w:spacing w:after="0"/>
              <w:rPr>
                <w:sz w:val="20"/>
                <w:szCs w:val="20"/>
                <w:color w:val="auto"/>
              </w:rPr>
            </w:pPr>
            <w:r>
              <w:rPr>
                <w:rFonts w:ascii="Arial" w:cs="Arial" w:eastAsia="Arial" w:hAnsi="Arial"/>
                <w:sz w:val="20"/>
                <w:szCs w:val="20"/>
                <w:color w:val="auto"/>
              </w:rPr>
              <w:t>Payment Schedule:</w:t>
            </w:r>
          </w:p>
        </w:tc>
        <w:tc>
          <w:tcPr>
            <w:tcW w:w="72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53"/>
        </w:trPr>
        <w:tc>
          <w:tcPr>
            <w:tcW w:w="98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spacing w:after="0"/>
              <w:rPr>
                <w:sz w:val="21"/>
                <w:szCs w:val="21"/>
                <w:color w:val="auto"/>
              </w:rPr>
            </w:pPr>
          </w:p>
        </w:tc>
        <w:tc>
          <w:tcPr>
            <w:tcW w:w="4120" w:type="dxa"/>
            <w:vAlign w:val="bottom"/>
            <w:tcBorders>
              <w:bottom w:val="single" w:sz="8" w:color="auto"/>
            </w:tcBorders>
            <w:gridSpan w:val="2"/>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spacing w:after="0"/>
              <w:rPr>
                <w:sz w:val="21"/>
                <w:szCs w:val="21"/>
                <w:color w:val="auto"/>
              </w:rPr>
            </w:pPr>
          </w:p>
        </w:tc>
        <w:tc>
          <w:tcPr>
            <w:tcW w:w="194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r>
      <w:tr>
        <w:trPr>
          <w:trHeight w:val="268"/>
        </w:trPr>
        <w:tc>
          <w:tcPr>
            <w:tcW w:w="980" w:type="dxa"/>
            <w:vAlign w:val="bottom"/>
            <w:tcBorders>
              <w:left w:val="single" w:sz="8" w:color="auto"/>
            </w:tcBorders>
          </w:tcPr>
          <w:p>
            <w:pPr>
              <w:ind w:left="40"/>
              <w:spacing w:after="0"/>
              <w:rPr>
                <w:sz w:val="20"/>
                <w:szCs w:val="20"/>
                <w:color w:val="auto"/>
              </w:rPr>
            </w:pPr>
            <w:r>
              <w:rPr>
                <w:rFonts w:ascii="Arial" w:cs="Arial" w:eastAsia="Arial" w:hAnsi="Arial"/>
                <w:sz w:val="20"/>
                <w:szCs w:val="20"/>
                <w:color w:val="auto"/>
              </w:rPr>
              <w:t>Milestone</w:t>
            </w:r>
          </w:p>
        </w:tc>
        <w:tc>
          <w:tcPr>
            <w:tcW w:w="420" w:type="dxa"/>
            <w:vAlign w:val="bottom"/>
            <w:tcBorders>
              <w:right w:val="single" w:sz="8" w:color="auto"/>
            </w:tcBorders>
          </w:tcPr>
          <w:p>
            <w:pPr>
              <w:spacing w:after="0"/>
              <w:rPr>
                <w:sz w:val="23"/>
                <w:szCs w:val="23"/>
                <w:color w:val="auto"/>
              </w:rPr>
            </w:pPr>
          </w:p>
        </w:tc>
        <w:tc>
          <w:tcPr>
            <w:tcW w:w="126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Payment %</w:t>
            </w:r>
          </w:p>
        </w:tc>
        <w:tc>
          <w:tcPr>
            <w:tcW w:w="4120" w:type="dxa"/>
            <w:vAlign w:val="bottom"/>
            <w:gridSpan w:val="2"/>
          </w:tcPr>
          <w:p>
            <w:pPr>
              <w:ind w:left="20"/>
              <w:spacing w:after="0"/>
              <w:rPr>
                <w:sz w:val="20"/>
                <w:szCs w:val="20"/>
                <w:color w:val="auto"/>
              </w:rPr>
            </w:pPr>
            <w:r>
              <w:rPr>
                <w:rFonts w:ascii="Arial" w:cs="Arial" w:eastAsia="Arial" w:hAnsi="Arial"/>
                <w:sz w:val="20"/>
                <w:szCs w:val="20"/>
                <w:color w:val="auto"/>
              </w:rPr>
              <w:t>Milestone description</w:t>
            </w:r>
          </w:p>
        </w:tc>
        <w:tc>
          <w:tcPr>
            <w:tcW w:w="40" w:type="dxa"/>
            <w:vAlign w:val="bottom"/>
            <w:tcBorders>
              <w:right w:val="single" w:sz="8" w:color="auto"/>
            </w:tcBorders>
          </w:tcPr>
          <w:p>
            <w:pPr>
              <w:spacing w:after="0"/>
              <w:rPr>
                <w:sz w:val="23"/>
                <w:szCs w:val="23"/>
                <w:color w:val="auto"/>
              </w:rPr>
            </w:pPr>
          </w:p>
        </w:tc>
        <w:tc>
          <w:tcPr>
            <w:tcW w:w="840" w:type="dxa"/>
            <w:vAlign w:val="bottom"/>
          </w:tcPr>
          <w:p>
            <w:pPr>
              <w:jc w:val="right"/>
              <w:ind w:right="301"/>
              <w:spacing w:after="0"/>
              <w:rPr>
                <w:sz w:val="20"/>
                <w:szCs w:val="20"/>
                <w:color w:val="auto"/>
              </w:rPr>
            </w:pPr>
            <w:r>
              <w:rPr>
                <w:rFonts w:ascii="Arial" w:cs="Arial" w:eastAsia="Arial" w:hAnsi="Arial"/>
                <w:sz w:val="20"/>
                <w:szCs w:val="20"/>
                <w:color w:val="auto"/>
              </w:rPr>
              <w:t>[***]</w:t>
            </w:r>
          </w:p>
        </w:tc>
        <w:tc>
          <w:tcPr>
            <w:tcW w:w="1420" w:type="dxa"/>
            <w:vAlign w:val="bottom"/>
            <w:tcBorders>
              <w:right w:val="single" w:sz="8" w:color="auto"/>
            </w:tcBorders>
          </w:tcPr>
          <w:p>
            <w:pPr>
              <w:spacing w:after="0"/>
              <w:rPr>
                <w:sz w:val="23"/>
                <w:szCs w:val="23"/>
                <w:color w:val="auto"/>
              </w:rPr>
            </w:pPr>
          </w:p>
        </w:tc>
        <w:tc>
          <w:tcPr>
            <w:tcW w:w="1940" w:type="dxa"/>
            <w:vAlign w:val="bottom"/>
          </w:tcPr>
          <w:p>
            <w:pPr>
              <w:jc w:val="right"/>
              <w:ind w:right="1401"/>
              <w:spacing w:after="0"/>
              <w:rPr>
                <w:sz w:val="20"/>
                <w:szCs w:val="20"/>
                <w:color w:val="auto"/>
              </w:rPr>
            </w:pPr>
            <w:r>
              <w:rPr>
                <w:rFonts w:ascii="Arial" w:cs="Arial" w:eastAsia="Arial" w:hAnsi="Arial"/>
                <w:sz w:val="20"/>
                <w:szCs w:val="20"/>
                <w:color w:val="auto"/>
              </w:rPr>
              <w:t>[***]</w:t>
            </w:r>
          </w:p>
        </w:tc>
        <w:tc>
          <w:tcPr>
            <w:tcW w:w="240" w:type="dxa"/>
            <w:vAlign w:val="bottom"/>
            <w:tcBorders>
              <w:right w:val="single" w:sz="8" w:color="auto"/>
            </w:tcBorders>
          </w:tcPr>
          <w:p>
            <w:pPr>
              <w:spacing w:after="0"/>
              <w:rPr>
                <w:sz w:val="23"/>
                <w:szCs w:val="23"/>
                <w:color w:val="auto"/>
              </w:rPr>
            </w:pPr>
          </w:p>
        </w:tc>
      </w:tr>
      <w:tr>
        <w:trPr>
          <w:trHeight w:val="50"/>
        </w:trPr>
        <w:tc>
          <w:tcPr>
            <w:tcW w:w="980" w:type="dxa"/>
            <w:vAlign w:val="bottom"/>
            <w:tcBorders>
              <w:left w:val="single" w:sz="8" w:color="auto"/>
              <w:bottom w:val="single" w:sz="8" w:color="auto"/>
            </w:tcBorders>
          </w:tcPr>
          <w:p>
            <w:pPr>
              <w:spacing w:after="0"/>
              <w:rPr>
                <w:sz w:val="4"/>
                <w:szCs w:val="4"/>
                <w:color w:val="auto"/>
              </w:rPr>
            </w:pPr>
          </w:p>
        </w:tc>
        <w:tc>
          <w:tcPr>
            <w:tcW w:w="420" w:type="dxa"/>
            <w:vAlign w:val="bottom"/>
            <w:tcBorders>
              <w:bottom w:val="single" w:sz="8" w:color="auto"/>
              <w:right w:val="single" w:sz="8" w:color="auto"/>
            </w:tcBorders>
          </w:tcPr>
          <w:p>
            <w:pPr>
              <w:spacing w:after="0"/>
              <w:rPr>
                <w:sz w:val="4"/>
                <w:szCs w:val="4"/>
                <w:color w:val="auto"/>
              </w:rPr>
            </w:pPr>
          </w:p>
        </w:tc>
        <w:tc>
          <w:tcPr>
            <w:tcW w:w="1260" w:type="dxa"/>
            <w:vAlign w:val="bottom"/>
            <w:tcBorders>
              <w:bottom w:val="single" w:sz="8" w:color="auto"/>
              <w:right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3400" w:type="dxa"/>
            <w:vAlign w:val="bottom"/>
            <w:tcBorders>
              <w:bottom w:val="single" w:sz="8" w:color="auto"/>
            </w:tcBorders>
          </w:tcPr>
          <w:p>
            <w:pPr>
              <w:spacing w:after="0"/>
              <w:rPr>
                <w:sz w:val="4"/>
                <w:szCs w:val="4"/>
                <w:color w:val="auto"/>
              </w:rPr>
            </w:pPr>
          </w:p>
        </w:tc>
        <w:tc>
          <w:tcPr>
            <w:tcW w:w="40" w:type="dxa"/>
            <w:vAlign w:val="bottom"/>
            <w:tcBorders>
              <w:bottom w:val="single" w:sz="8" w:color="auto"/>
              <w:right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420" w:type="dxa"/>
            <w:vAlign w:val="bottom"/>
            <w:tcBorders>
              <w:bottom w:val="single" w:sz="8" w:color="auto"/>
              <w:right w:val="single" w:sz="8" w:color="auto"/>
            </w:tcBorders>
          </w:tcPr>
          <w:p>
            <w:pPr>
              <w:spacing w:after="0"/>
              <w:rPr>
                <w:sz w:val="4"/>
                <w:szCs w:val="4"/>
                <w:color w:val="auto"/>
              </w:rPr>
            </w:pPr>
          </w:p>
        </w:tc>
        <w:tc>
          <w:tcPr>
            <w:tcW w:w="1940" w:type="dxa"/>
            <w:vAlign w:val="bottom"/>
            <w:tcBorders>
              <w:bottom w:val="single" w:sz="8" w:color="auto"/>
            </w:tcBorders>
          </w:tcPr>
          <w:p>
            <w:pPr>
              <w:spacing w:after="0"/>
              <w:rPr>
                <w:sz w:val="4"/>
                <w:szCs w:val="4"/>
                <w:color w:val="auto"/>
              </w:rPr>
            </w:pPr>
          </w:p>
        </w:tc>
        <w:tc>
          <w:tcPr>
            <w:tcW w:w="240" w:type="dxa"/>
            <w:vAlign w:val="bottom"/>
            <w:tcBorders>
              <w:bottom w:val="single" w:sz="8" w:color="auto"/>
              <w:right w:val="single" w:sz="8" w:color="auto"/>
            </w:tcBorders>
          </w:tcPr>
          <w:p>
            <w:pPr>
              <w:spacing w:after="0"/>
              <w:rPr>
                <w:sz w:val="4"/>
                <w:szCs w:val="4"/>
                <w:color w:val="auto"/>
              </w:rPr>
            </w:pPr>
          </w:p>
        </w:tc>
      </w:tr>
      <w:tr>
        <w:trPr>
          <w:trHeight w:val="268"/>
        </w:trPr>
        <w:tc>
          <w:tcPr>
            <w:tcW w:w="980" w:type="dxa"/>
            <w:vAlign w:val="bottom"/>
            <w:tcBorders>
              <w:left w:val="single" w:sz="8" w:color="auto"/>
            </w:tcBorders>
          </w:tcPr>
          <w:p>
            <w:pPr>
              <w:ind w:left="40"/>
              <w:spacing w:after="0"/>
              <w:rPr>
                <w:sz w:val="20"/>
                <w:szCs w:val="20"/>
                <w:color w:val="auto"/>
              </w:rPr>
            </w:pPr>
            <w:r>
              <w:rPr>
                <w:rFonts w:ascii="Arial" w:cs="Arial" w:eastAsia="Arial" w:hAnsi="Arial"/>
                <w:sz w:val="20"/>
                <w:szCs w:val="20"/>
                <w:color w:val="auto"/>
              </w:rPr>
              <w:t>[***]</w:t>
            </w:r>
          </w:p>
        </w:tc>
        <w:tc>
          <w:tcPr>
            <w:tcW w:w="420" w:type="dxa"/>
            <w:vAlign w:val="bottom"/>
            <w:tcBorders>
              <w:right w:val="single" w:sz="8" w:color="auto"/>
            </w:tcBorders>
          </w:tcPr>
          <w:p>
            <w:pPr>
              <w:spacing w:after="0"/>
              <w:rPr>
                <w:sz w:val="23"/>
                <w:szCs w:val="23"/>
                <w:color w:val="auto"/>
              </w:rPr>
            </w:pPr>
          </w:p>
        </w:tc>
        <w:tc>
          <w:tcPr>
            <w:tcW w:w="126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w:t>
            </w:r>
          </w:p>
        </w:tc>
        <w:tc>
          <w:tcPr>
            <w:tcW w:w="720" w:type="dxa"/>
            <w:vAlign w:val="bottom"/>
          </w:tcPr>
          <w:p>
            <w:pPr>
              <w:ind w:left="20"/>
              <w:spacing w:after="0"/>
              <w:rPr>
                <w:sz w:val="20"/>
                <w:szCs w:val="20"/>
                <w:color w:val="auto"/>
              </w:rPr>
            </w:pPr>
            <w:r>
              <w:rPr>
                <w:rFonts w:ascii="Arial" w:cs="Arial" w:eastAsia="Arial" w:hAnsi="Arial"/>
                <w:sz w:val="20"/>
                <w:szCs w:val="20"/>
                <w:color w:val="auto"/>
              </w:rPr>
              <w:t>[***]</w:t>
            </w:r>
          </w:p>
        </w:tc>
        <w:tc>
          <w:tcPr>
            <w:tcW w:w="3400" w:type="dxa"/>
            <w:vAlign w:val="bottom"/>
          </w:tcPr>
          <w:p>
            <w:pPr>
              <w:spacing w:after="0"/>
              <w:rPr>
                <w:sz w:val="23"/>
                <w:szCs w:val="23"/>
                <w:color w:val="auto"/>
              </w:rPr>
            </w:pPr>
          </w:p>
        </w:tc>
        <w:tc>
          <w:tcPr>
            <w:tcW w:w="40" w:type="dxa"/>
            <w:vAlign w:val="bottom"/>
            <w:tcBorders>
              <w:right w:val="single" w:sz="8" w:color="auto"/>
            </w:tcBorders>
          </w:tcPr>
          <w:p>
            <w:pPr>
              <w:spacing w:after="0"/>
              <w:rPr>
                <w:sz w:val="23"/>
                <w:szCs w:val="23"/>
                <w:color w:val="auto"/>
              </w:rPr>
            </w:pPr>
          </w:p>
        </w:tc>
        <w:tc>
          <w:tcPr>
            <w:tcW w:w="840" w:type="dxa"/>
            <w:vAlign w:val="bottom"/>
          </w:tcPr>
          <w:p>
            <w:pPr>
              <w:jc w:val="right"/>
              <w:ind w:right="301"/>
              <w:spacing w:after="0"/>
              <w:rPr>
                <w:sz w:val="20"/>
                <w:szCs w:val="20"/>
                <w:color w:val="auto"/>
              </w:rPr>
            </w:pPr>
            <w:r>
              <w:rPr>
                <w:rFonts w:ascii="Arial" w:cs="Arial" w:eastAsia="Arial" w:hAnsi="Arial"/>
                <w:sz w:val="20"/>
                <w:szCs w:val="20"/>
                <w:color w:val="auto"/>
              </w:rPr>
              <w:t>[***]</w:t>
            </w:r>
          </w:p>
        </w:tc>
        <w:tc>
          <w:tcPr>
            <w:tcW w:w="1420" w:type="dxa"/>
            <w:vAlign w:val="bottom"/>
            <w:tcBorders>
              <w:right w:val="single" w:sz="8" w:color="auto"/>
            </w:tcBorders>
          </w:tcPr>
          <w:p>
            <w:pPr>
              <w:spacing w:after="0"/>
              <w:rPr>
                <w:sz w:val="23"/>
                <w:szCs w:val="23"/>
                <w:color w:val="auto"/>
              </w:rPr>
            </w:pPr>
          </w:p>
        </w:tc>
        <w:tc>
          <w:tcPr>
            <w:tcW w:w="1940" w:type="dxa"/>
            <w:vAlign w:val="bottom"/>
          </w:tcPr>
          <w:p>
            <w:pPr>
              <w:jc w:val="right"/>
              <w:ind w:right="1401"/>
              <w:spacing w:after="0"/>
              <w:rPr>
                <w:sz w:val="20"/>
                <w:szCs w:val="20"/>
                <w:color w:val="auto"/>
              </w:rPr>
            </w:pPr>
            <w:r>
              <w:rPr>
                <w:rFonts w:ascii="Arial" w:cs="Arial" w:eastAsia="Arial" w:hAnsi="Arial"/>
                <w:sz w:val="20"/>
                <w:szCs w:val="20"/>
                <w:color w:val="auto"/>
              </w:rPr>
              <w:t>[***]</w:t>
            </w:r>
          </w:p>
        </w:tc>
        <w:tc>
          <w:tcPr>
            <w:tcW w:w="240" w:type="dxa"/>
            <w:vAlign w:val="bottom"/>
            <w:tcBorders>
              <w:right w:val="single" w:sz="8" w:color="auto"/>
            </w:tcBorders>
          </w:tcPr>
          <w:p>
            <w:pPr>
              <w:spacing w:after="0"/>
              <w:rPr>
                <w:sz w:val="23"/>
                <w:szCs w:val="23"/>
                <w:color w:val="auto"/>
              </w:rPr>
            </w:pPr>
          </w:p>
        </w:tc>
      </w:tr>
      <w:tr>
        <w:trPr>
          <w:trHeight w:val="50"/>
        </w:trPr>
        <w:tc>
          <w:tcPr>
            <w:tcW w:w="980" w:type="dxa"/>
            <w:vAlign w:val="bottom"/>
            <w:tcBorders>
              <w:left w:val="single" w:sz="8" w:color="auto"/>
              <w:bottom w:val="single" w:sz="8" w:color="auto"/>
            </w:tcBorders>
          </w:tcPr>
          <w:p>
            <w:pPr>
              <w:spacing w:after="0"/>
              <w:rPr>
                <w:sz w:val="4"/>
                <w:szCs w:val="4"/>
                <w:color w:val="auto"/>
              </w:rPr>
            </w:pPr>
          </w:p>
        </w:tc>
        <w:tc>
          <w:tcPr>
            <w:tcW w:w="420" w:type="dxa"/>
            <w:vAlign w:val="bottom"/>
            <w:tcBorders>
              <w:bottom w:val="single" w:sz="8" w:color="auto"/>
              <w:right w:val="single" w:sz="8" w:color="auto"/>
            </w:tcBorders>
          </w:tcPr>
          <w:p>
            <w:pPr>
              <w:spacing w:after="0"/>
              <w:rPr>
                <w:sz w:val="4"/>
                <w:szCs w:val="4"/>
                <w:color w:val="auto"/>
              </w:rPr>
            </w:pPr>
          </w:p>
        </w:tc>
        <w:tc>
          <w:tcPr>
            <w:tcW w:w="1260" w:type="dxa"/>
            <w:vAlign w:val="bottom"/>
            <w:tcBorders>
              <w:bottom w:val="single" w:sz="8" w:color="auto"/>
              <w:right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3400" w:type="dxa"/>
            <w:vAlign w:val="bottom"/>
            <w:tcBorders>
              <w:bottom w:val="single" w:sz="8" w:color="auto"/>
            </w:tcBorders>
          </w:tcPr>
          <w:p>
            <w:pPr>
              <w:spacing w:after="0"/>
              <w:rPr>
                <w:sz w:val="4"/>
                <w:szCs w:val="4"/>
                <w:color w:val="auto"/>
              </w:rPr>
            </w:pPr>
          </w:p>
        </w:tc>
        <w:tc>
          <w:tcPr>
            <w:tcW w:w="40" w:type="dxa"/>
            <w:vAlign w:val="bottom"/>
            <w:tcBorders>
              <w:bottom w:val="single" w:sz="8" w:color="auto"/>
              <w:right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420" w:type="dxa"/>
            <w:vAlign w:val="bottom"/>
            <w:tcBorders>
              <w:bottom w:val="single" w:sz="8" w:color="auto"/>
              <w:right w:val="single" w:sz="8" w:color="auto"/>
            </w:tcBorders>
          </w:tcPr>
          <w:p>
            <w:pPr>
              <w:spacing w:after="0"/>
              <w:rPr>
                <w:sz w:val="4"/>
                <w:szCs w:val="4"/>
                <w:color w:val="auto"/>
              </w:rPr>
            </w:pPr>
          </w:p>
        </w:tc>
        <w:tc>
          <w:tcPr>
            <w:tcW w:w="1940" w:type="dxa"/>
            <w:vAlign w:val="bottom"/>
            <w:tcBorders>
              <w:bottom w:val="single" w:sz="8" w:color="auto"/>
            </w:tcBorders>
          </w:tcPr>
          <w:p>
            <w:pPr>
              <w:spacing w:after="0"/>
              <w:rPr>
                <w:sz w:val="4"/>
                <w:szCs w:val="4"/>
                <w:color w:val="auto"/>
              </w:rPr>
            </w:pPr>
          </w:p>
        </w:tc>
        <w:tc>
          <w:tcPr>
            <w:tcW w:w="240" w:type="dxa"/>
            <w:vAlign w:val="bottom"/>
            <w:tcBorders>
              <w:bottom w:val="single" w:sz="8" w:color="auto"/>
              <w:right w:val="single" w:sz="8" w:color="auto"/>
            </w:tcBorders>
          </w:tcPr>
          <w:p>
            <w:pPr>
              <w:spacing w:after="0"/>
              <w:rPr>
                <w:sz w:val="4"/>
                <w:szCs w:val="4"/>
                <w:color w:val="auto"/>
              </w:rPr>
            </w:pPr>
          </w:p>
        </w:tc>
      </w:tr>
      <w:tr>
        <w:trPr>
          <w:trHeight w:val="268"/>
        </w:trPr>
        <w:tc>
          <w:tcPr>
            <w:tcW w:w="980" w:type="dxa"/>
            <w:vAlign w:val="bottom"/>
            <w:tcBorders>
              <w:left w:val="single" w:sz="8" w:color="auto"/>
            </w:tcBorders>
          </w:tcPr>
          <w:p>
            <w:pPr>
              <w:ind w:left="40"/>
              <w:spacing w:after="0"/>
              <w:rPr>
                <w:sz w:val="20"/>
                <w:szCs w:val="20"/>
                <w:color w:val="auto"/>
              </w:rPr>
            </w:pPr>
            <w:r>
              <w:rPr>
                <w:rFonts w:ascii="Arial" w:cs="Arial" w:eastAsia="Arial" w:hAnsi="Arial"/>
                <w:sz w:val="20"/>
                <w:szCs w:val="20"/>
                <w:color w:val="auto"/>
              </w:rPr>
              <w:t>[***]</w:t>
            </w:r>
          </w:p>
        </w:tc>
        <w:tc>
          <w:tcPr>
            <w:tcW w:w="420" w:type="dxa"/>
            <w:vAlign w:val="bottom"/>
            <w:tcBorders>
              <w:right w:val="single" w:sz="8" w:color="auto"/>
            </w:tcBorders>
          </w:tcPr>
          <w:p>
            <w:pPr>
              <w:spacing w:after="0"/>
              <w:rPr>
                <w:sz w:val="23"/>
                <w:szCs w:val="23"/>
                <w:color w:val="auto"/>
              </w:rPr>
            </w:pPr>
          </w:p>
        </w:tc>
        <w:tc>
          <w:tcPr>
            <w:tcW w:w="126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w:t>
            </w:r>
          </w:p>
        </w:tc>
        <w:tc>
          <w:tcPr>
            <w:tcW w:w="720" w:type="dxa"/>
            <w:vAlign w:val="bottom"/>
          </w:tcPr>
          <w:p>
            <w:pPr>
              <w:ind w:left="20"/>
              <w:spacing w:after="0"/>
              <w:rPr>
                <w:sz w:val="20"/>
                <w:szCs w:val="20"/>
                <w:color w:val="auto"/>
              </w:rPr>
            </w:pPr>
            <w:r>
              <w:rPr>
                <w:rFonts w:ascii="Arial" w:cs="Arial" w:eastAsia="Arial" w:hAnsi="Arial"/>
                <w:sz w:val="20"/>
                <w:szCs w:val="20"/>
                <w:color w:val="auto"/>
              </w:rPr>
              <w:t>[***]</w:t>
            </w:r>
          </w:p>
        </w:tc>
        <w:tc>
          <w:tcPr>
            <w:tcW w:w="3400" w:type="dxa"/>
            <w:vAlign w:val="bottom"/>
          </w:tcPr>
          <w:p>
            <w:pPr>
              <w:spacing w:after="0"/>
              <w:rPr>
                <w:sz w:val="23"/>
                <w:szCs w:val="23"/>
                <w:color w:val="auto"/>
              </w:rPr>
            </w:pPr>
          </w:p>
        </w:tc>
        <w:tc>
          <w:tcPr>
            <w:tcW w:w="40" w:type="dxa"/>
            <w:vAlign w:val="bottom"/>
            <w:tcBorders>
              <w:right w:val="single" w:sz="8" w:color="auto"/>
            </w:tcBorders>
          </w:tcPr>
          <w:p>
            <w:pPr>
              <w:spacing w:after="0"/>
              <w:rPr>
                <w:sz w:val="23"/>
                <w:szCs w:val="23"/>
                <w:color w:val="auto"/>
              </w:rPr>
            </w:pPr>
          </w:p>
        </w:tc>
        <w:tc>
          <w:tcPr>
            <w:tcW w:w="840" w:type="dxa"/>
            <w:vAlign w:val="bottom"/>
          </w:tcPr>
          <w:p>
            <w:pPr>
              <w:jc w:val="right"/>
              <w:ind w:right="301"/>
              <w:spacing w:after="0"/>
              <w:rPr>
                <w:sz w:val="20"/>
                <w:szCs w:val="20"/>
                <w:color w:val="auto"/>
              </w:rPr>
            </w:pPr>
            <w:r>
              <w:rPr>
                <w:rFonts w:ascii="Arial" w:cs="Arial" w:eastAsia="Arial" w:hAnsi="Arial"/>
                <w:sz w:val="20"/>
                <w:szCs w:val="20"/>
                <w:color w:val="auto"/>
              </w:rPr>
              <w:t>[***]</w:t>
            </w:r>
          </w:p>
        </w:tc>
        <w:tc>
          <w:tcPr>
            <w:tcW w:w="1420" w:type="dxa"/>
            <w:vAlign w:val="bottom"/>
            <w:tcBorders>
              <w:right w:val="single" w:sz="8" w:color="auto"/>
            </w:tcBorders>
          </w:tcPr>
          <w:p>
            <w:pPr>
              <w:spacing w:after="0"/>
              <w:rPr>
                <w:sz w:val="23"/>
                <w:szCs w:val="23"/>
                <w:color w:val="auto"/>
              </w:rPr>
            </w:pPr>
          </w:p>
        </w:tc>
        <w:tc>
          <w:tcPr>
            <w:tcW w:w="1940" w:type="dxa"/>
            <w:vAlign w:val="bottom"/>
          </w:tcPr>
          <w:p>
            <w:pPr>
              <w:jc w:val="right"/>
              <w:ind w:right="1401"/>
              <w:spacing w:after="0"/>
              <w:rPr>
                <w:sz w:val="20"/>
                <w:szCs w:val="20"/>
                <w:color w:val="auto"/>
              </w:rPr>
            </w:pPr>
            <w:r>
              <w:rPr>
                <w:rFonts w:ascii="Arial" w:cs="Arial" w:eastAsia="Arial" w:hAnsi="Arial"/>
                <w:sz w:val="20"/>
                <w:szCs w:val="20"/>
                <w:color w:val="auto"/>
              </w:rPr>
              <w:t>[***]</w:t>
            </w:r>
          </w:p>
        </w:tc>
        <w:tc>
          <w:tcPr>
            <w:tcW w:w="240" w:type="dxa"/>
            <w:vAlign w:val="bottom"/>
            <w:tcBorders>
              <w:right w:val="single" w:sz="8" w:color="auto"/>
            </w:tcBorders>
          </w:tcPr>
          <w:p>
            <w:pPr>
              <w:spacing w:after="0"/>
              <w:rPr>
                <w:sz w:val="23"/>
                <w:szCs w:val="23"/>
                <w:color w:val="auto"/>
              </w:rPr>
            </w:pPr>
          </w:p>
        </w:tc>
      </w:tr>
      <w:tr>
        <w:trPr>
          <w:trHeight w:val="50"/>
        </w:trPr>
        <w:tc>
          <w:tcPr>
            <w:tcW w:w="980" w:type="dxa"/>
            <w:vAlign w:val="bottom"/>
            <w:tcBorders>
              <w:left w:val="single" w:sz="8" w:color="auto"/>
              <w:bottom w:val="single" w:sz="8" w:color="auto"/>
            </w:tcBorders>
          </w:tcPr>
          <w:p>
            <w:pPr>
              <w:spacing w:after="0"/>
              <w:rPr>
                <w:sz w:val="4"/>
                <w:szCs w:val="4"/>
                <w:color w:val="auto"/>
              </w:rPr>
            </w:pPr>
          </w:p>
        </w:tc>
        <w:tc>
          <w:tcPr>
            <w:tcW w:w="420" w:type="dxa"/>
            <w:vAlign w:val="bottom"/>
            <w:tcBorders>
              <w:bottom w:val="single" w:sz="8" w:color="auto"/>
              <w:right w:val="single" w:sz="8" w:color="auto"/>
            </w:tcBorders>
          </w:tcPr>
          <w:p>
            <w:pPr>
              <w:spacing w:after="0"/>
              <w:rPr>
                <w:sz w:val="4"/>
                <w:szCs w:val="4"/>
                <w:color w:val="auto"/>
              </w:rPr>
            </w:pPr>
          </w:p>
        </w:tc>
        <w:tc>
          <w:tcPr>
            <w:tcW w:w="1260" w:type="dxa"/>
            <w:vAlign w:val="bottom"/>
            <w:tcBorders>
              <w:bottom w:val="single" w:sz="8" w:color="auto"/>
              <w:right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3400" w:type="dxa"/>
            <w:vAlign w:val="bottom"/>
            <w:tcBorders>
              <w:bottom w:val="single" w:sz="8" w:color="auto"/>
            </w:tcBorders>
          </w:tcPr>
          <w:p>
            <w:pPr>
              <w:spacing w:after="0"/>
              <w:rPr>
                <w:sz w:val="4"/>
                <w:szCs w:val="4"/>
                <w:color w:val="auto"/>
              </w:rPr>
            </w:pPr>
          </w:p>
        </w:tc>
        <w:tc>
          <w:tcPr>
            <w:tcW w:w="40" w:type="dxa"/>
            <w:vAlign w:val="bottom"/>
            <w:tcBorders>
              <w:bottom w:val="single" w:sz="8" w:color="auto"/>
              <w:right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420" w:type="dxa"/>
            <w:vAlign w:val="bottom"/>
            <w:tcBorders>
              <w:bottom w:val="single" w:sz="8" w:color="auto"/>
              <w:right w:val="single" w:sz="8" w:color="auto"/>
            </w:tcBorders>
          </w:tcPr>
          <w:p>
            <w:pPr>
              <w:spacing w:after="0"/>
              <w:rPr>
                <w:sz w:val="4"/>
                <w:szCs w:val="4"/>
                <w:color w:val="auto"/>
              </w:rPr>
            </w:pPr>
          </w:p>
        </w:tc>
        <w:tc>
          <w:tcPr>
            <w:tcW w:w="1940" w:type="dxa"/>
            <w:vAlign w:val="bottom"/>
            <w:tcBorders>
              <w:bottom w:val="single" w:sz="8" w:color="auto"/>
            </w:tcBorders>
          </w:tcPr>
          <w:p>
            <w:pPr>
              <w:spacing w:after="0"/>
              <w:rPr>
                <w:sz w:val="4"/>
                <w:szCs w:val="4"/>
                <w:color w:val="auto"/>
              </w:rPr>
            </w:pPr>
          </w:p>
        </w:tc>
        <w:tc>
          <w:tcPr>
            <w:tcW w:w="240" w:type="dxa"/>
            <w:vAlign w:val="bottom"/>
            <w:tcBorders>
              <w:bottom w:val="single" w:sz="8" w:color="auto"/>
              <w:right w:val="single" w:sz="8" w:color="auto"/>
            </w:tcBorders>
          </w:tcPr>
          <w:p>
            <w:pPr>
              <w:spacing w:after="0"/>
              <w:rPr>
                <w:sz w:val="4"/>
                <w:szCs w:val="4"/>
                <w:color w:val="auto"/>
              </w:rPr>
            </w:pPr>
          </w:p>
        </w:tc>
      </w:tr>
      <w:tr>
        <w:trPr>
          <w:trHeight w:val="268"/>
        </w:trPr>
        <w:tc>
          <w:tcPr>
            <w:tcW w:w="980" w:type="dxa"/>
            <w:vAlign w:val="bottom"/>
            <w:tcBorders>
              <w:left w:val="single" w:sz="8" w:color="auto"/>
            </w:tcBorders>
          </w:tcPr>
          <w:p>
            <w:pPr>
              <w:ind w:left="40"/>
              <w:spacing w:after="0"/>
              <w:rPr>
                <w:sz w:val="20"/>
                <w:szCs w:val="20"/>
                <w:color w:val="auto"/>
              </w:rPr>
            </w:pPr>
            <w:r>
              <w:rPr>
                <w:rFonts w:ascii="Arial" w:cs="Arial" w:eastAsia="Arial" w:hAnsi="Arial"/>
                <w:sz w:val="20"/>
                <w:szCs w:val="20"/>
                <w:color w:val="auto"/>
              </w:rPr>
              <w:t>[***]</w:t>
            </w:r>
          </w:p>
        </w:tc>
        <w:tc>
          <w:tcPr>
            <w:tcW w:w="420" w:type="dxa"/>
            <w:vAlign w:val="bottom"/>
            <w:tcBorders>
              <w:right w:val="single" w:sz="8" w:color="auto"/>
            </w:tcBorders>
          </w:tcPr>
          <w:p>
            <w:pPr>
              <w:spacing w:after="0"/>
              <w:rPr>
                <w:sz w:val="23"/>
                <w:szCs w:val="23"/>
                <w:color w:val="auto"/>
              </w:rPr>
            </w:pPr>
          </w:p>
        </w:tc>
        <w:tc>
          <w:tcPr>
            <w:tcW w:w="126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w:t>
            </w:r>
          </w:p>
        </w:tc>
        <w:tc>
          <w:tcPr>
            <w:tcW w:w="720" w:type="dxa"/>
            <w:vAlign w:val="bottom"/>
          </w:tcPr>
          <w:p>
            <w:pPr>
              <w:ind w:left="20"/>
              <w:spacing w:after="0"/>
              <w:rPr>
                <w:sz w:val="20"/>
                <w:szCs w:val="20"/>
                <w:color w:val="auto"/>
              </w:rPr>
            </w:pPr>
            <w:r>
              <w:rPr>
                <w:rFonts w:ascii="Arial" w:cs="Arial" w:eastAsia="Arial" w:hAnsi="Arial"/>
                <w:sz w:val="20"/>
                <w:szCs w:val="20"/>
                <w:color w:val="auto"/>
              </w:rPr>
              <w:t>[***]</w:t>
            </w:r>
          </w:p>
        </w:tc>
        <w:tc>
          <w:tcPr>
            <w:tcW w:w="3400" w:type="dxa"/>
            <w:vAlign w:val="bottom"/>
          </w:tcPr>
          <w:p>
            <w:pPr>
              <w:spacing w:after="0"/>
              <w:rPr>
                <w:sz w:val="23"/>
                <w:szCs w:val="23"/>
                <w:color w:val="auto"/>
              </w:rPr>
            </w:pPr>
          </w:p>
        </w:tc>
        <w:tc>
          <w:tcPr>
            <w:tcW w:w="40" w:type="dxa"/>
            <w:vAlign w:val="bottom"/>
            <w:tcBorders>
              <w:right w:val="single" w:sz="8" w:color="auto"/>
            </w:tcBorders>
          </w:tcPr>
          <w:p>
            <w:pPr>
              <w:spacing w:after="0"/>
              <w:rPr>
                <w:sz w:val="23"/>
                <w:szCs w:val="23"/>
                <w:color w:val="auto"/>
              </w:rPr>
            </w:pPr>
          </w:p>
        </w:tc>
        <w:tc>
          <w:tcPr>
            <w:tcW w:w="840" w:type="dxa"/>
            <w:vAlign w:val="bottom"/>
          </w:tcPr>
          <w:p>
            <w:pPr>
              <w:jc w:val="right"/>
              <w:ind w:right="301"/>
              <w:spacing w:after="0"/>
              <w:rPr>
                <w:sz w:val="20"/>
                <w:szCs w:val="20"/>
                <w:color w:val="auto"/>
              </w:rPr>
            </w:pPr>
            <w:r>
              <w:rPr>
                <w:rFonts w:ascii="Arial" w:cs="Arial" w:eastAsia="Arial" w:hAnsi="Arial"/>
                <w:sz w:val="20"/>
                <w:szCs w:val="20"/>
                <w:color w:val="auto"/>
              </w:rPr>
              <w:t>[***]</w:t>
            </w:r>
          </w:p>
        </w:tc>
        <w:tc>
          <w:tcPr>
            <w:tcW w:w="1420" w:type="dxa"/>
            <w:vAlign w:val="bottom"/>
            <w:tcBorders>
              <w:right w:val="single" w:sz="8" w:color="auto"/>
            </w:tcBorders>
          </w:tcPr>
          <w:p>
            <w:pPr>
              <w:spacing w:after="0"/>
              <w:rPr>
                <w:sz w:val="23"/>
                <w:szCs w:val="23"/>
                <w:color w:val="auto"/>
              </w:rPr>
            </w:pPr>
          </w:p>
        </w:tc>
        <w:tc>
          <w:tcPr>
            <w:tcW w:w="1940" w:type="dxa"/>
            <w:vAlign w:val="bottom"/>
          </w:tcPr>
          <w:p>
            <w:pPr>
              <w:jc w:val="right"/>
              <w:ind w:right="1401"/>
              <w:spacing w:after="0"/>
              <w:rPr>
                <w:sz w:val="20"/>
                <w:szCs w:val="20"/>
                <w:color w:val="auto"/>
              </w:rPr>
            </w:pPr>
            <w:r>
              <w:rPr>
                <w:rFonts w:ascii="Arial" w:cs="Arial" w:eastAsia="Arial" w:hAnsi="Arial"/>
                <w:sz w:val="20"/>
                <w:szCs w:val="20"/>
                <w:color w:val="auto"/>
              </w:rPr>
              <w:t>[***]</w:t>
            </w:r>
          </w:p>
        </w:tc>
        <w:tc>
          <w:tcPr>
            <w:tcW w:w="240" w:type="dxa"/>
            <w:vAlign w:val="bottom"/>
            <w:tcBorders>
              <w:right w:val="single" w:sz="8" w:color="auto"/>
            </w:tcBorders>
          </w:tcPr>
          <w:p>
            <w:pPr>
              <w:spacing w:after="0"/>
              <w:rPr>
                <w:sz w:val="23"/>
                <w:szCs w:val="23"/>
                <w:color w:val="auto"/>
              </w:rPr>
            </w:pPr>
          </w:p>
        </w:tc>
      </w:tr>
      <w:tr>
        <w:trPr>
          <w:trHeight w:val="50"/>
        </w:trPr>
        <w:tc>
          <w:tcPr>
            <w:tcW w:w="980" w:type="dxa"/>
            <w:vAlign w:val="bottom"/>
            <w:tcBorders>
              <w:left w:val="single" w:sz="8" w:color="auto"/>
              <w:bottom w:val="single" w:sz="8" w:color="auto"/>
            </w:tcBorders>
          </w:tcPr>
          <w:p>
            <w:pPr>
              <w:spacing w:after="0"/>
              <w:rPr>
                <w:sz w:val="4"/>
                <w:szCs w:val="4"/>
                <w:color w:val="auto"/>
              </w:rPr>
            </w:pPr>
          </w:p>
        </w:tc>
        <w:tc>
          <w:tcPr>
            <w:tcW w:w="420" w:type="dxa"/>
            <w:vAlign w:val="bottom"/>
            <w:tcBorders>
              <w:bottom w:val="single" w:sz="8" w:color="auto"/>
              <w:right w:val="single" w:sz="8" w:color="auto"/>
            </w:tcBorders>
          </w:tcPr>
          <w:p>
            <w:pPr>
              <w:spacing w:after="0"/>
              <w:rPr>
                <w:sz w:val="4"/>
                <w:szCs w:val="4"/>
                <w:color w:val="auto"/>
              </w:rPr>
            </w:pPr>
          </w:p>
        </w:tc>
        <w:tc>
          <w:tcPr>
            <w:tcW w:w="1260" w:type="dxa"/>
            <w:vAlign w:val="bottom"/>
            <w:tcBorders>
              <w:bottom w:val="single" w:sz="8" w:color="auto"/>
              <w:right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3400" w:type="dxa"/>
            <w:vAlign w:val="bottom"/>
            <w:tcBorders>
              <w:bottom w:val="single" w:sz="8" w:color="auto"/>
            </w:tcBorders>
          </w:tcPr>
          <w:p>
            <w:pPr>
              <w:spacing w:after="0"/>
              <w:rPr>
                <w:sz w:val="4"/>
                <w:szCs w:val="4"/>
                <w:color w:val="auto"/>
              </w:rPr>
            </w:pPr>
          </w:p>
        </w:tc>
        <w:tc>
          <w:tcPr>
            <w:tcW w:w="40" w:type="dxa"/>
            <w:vAlign w:val="bottom"/>
            <w:tcBorders>
              <w:bottom w:val="single" w:sz="8" w:color="auto"/>
              <w:right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420" w:type="dxa"/>
            <w:vAlign w:val="bottom"/>
            <w:tcBorders>
              <w:bottom w:val="single" w:sz="8" w:color="auto"/>
              <w:right w:val="single" w:sz="8" w:color="auto"/>
            </w:tcBorders>
          </w:tcPr>
          <w:p>
            <w:pPr>
              <w:spacing w:after="0"/>
              <w:rPr>
                <w:sz w:val="4"/>
                <w:szCs w:val="4"/>
                <w:color w:val="auto"/>
              </w:rPr>
            </w:pPr>
          </w:p>
        </w:tc>
        <w:tc>
          <w:tcPr>
            <w:tcW w:w="1940" w:type="dxa"/>
            <w:vAlign w:val="bottom"/>
            <w:tcBorders>
              <w:bottom w:val="single" w:sz="8" w:color="auto"/>
            </w:tcBorders>
          </w:tcPr>
          <w:p>
            <w:pPr>
              <w:spacing w:after="0"/>
              <w:rPr>
                <w:sz w:val="4"/>
                <w:szCs w:val="4"/>
                <w:color w:val="auto"/>
              </w:rPr>
            </w:pPr>
          </w:p>
        </w:tc>
        <w:tc>
          <w:tcPr>
            <w:tcW w:w="240" w:type="dxa"/>
            <w:vAlign w:val="bottom"/>
            <w:tcBorders>
              <w:bottom w:val="single" w:sz="8" w:color="auto"/>
              <w:right w:val="single" w:sz="8" w:color="auto"/>
            </w:tcBorders>
          </w:tcPr>
          <w:p>
            <w:pPr>
              <w:spacing w:after="0"/>
              <w:rPr>
                <w:sz w:val="4"/>
                <w:szCs w:val="4"/>
                <w:color w:val="auto"/>
              </w:rPr>
            </w:pPr>
          </w:p>
        </w:tc>
      </w:tr>
      <w:tr>
        <w:trPr>
          <w:trHeight w:val="268"/>
        </w:trPr>
        <w:tc>
          <w:tcPr>
            <w:tcW w:w="980" w:type="dxa"/>
            <w:vAlign w:val="bottom"/>
            <w:tcBorders>
              <w:left w:val="single" w:sz="8" w:color="auto"/>
            </w:tcBorders>
          </w:tcPr>
          <w:p>
            <w:pPr>
              <w:ind w:left="40"/>
              <w:spacing w:after="0"/>
              <w:rPr>
                <w:sz w:val="20"/>
                <w:szCs w:val="20"/>
                <w:color w:val="auto"/>
              </w:rPr>
            </w:pPr>
            <w:r>
              <w:rPr>
                <w:rFonts w:ascii="Arial" w:cs="Arial" w:eastAsia="Arial" w:hAnsi="Arial"/>
                <w:sz w:val="20"/>
                <w:szCs w:val="20"/>
                <w:color w:val="auto"/>
              </w:rPr>
              <w:t>[***]</w:t>
            </w:r>
          </w:p>
        </w:tc>
        <w:tc>
          <w:tcPr>
            <w:tcW w:w="420" w:type="dxa"/>
            <w:vAlign w:val="bottom"/>
            <w:tcBorders>
              <w:right w:val="single" w:sz="8" w:color="auto"/>
            </w:tcBorders>
          </w:tcPr>
          <w:p>
            <w:pPr>
              <w:spacing w:after="0"/>
              <w:rPr>
                <w:sz w:val="23"/>
                <w:szCs w:val="23"/>
                <w:color w:val="auto"/>
              </w:rPr>
            </w:pPr>
          </w:p>
        </w:tc>
        <w:tc>
          <w:tcPr>
            <w:tcW w:w="126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w:t>
            </w:r>
          </w:p>
        </w:tc>
        <w:tc>
          <w:tcPr>
            <w:tcW w:w="720" w:type="dxa"/>
            <w:vAlign w:val="bottom"/>
          </w:tcPr>
          <w:p>
            <w:pPr>
              <w:ind w:left="20"/>
              <w:spacing w:after="0"/>
              <w:rPr>
                <w:sz w:val="20"/>
                <w:szCs w:val="20"/>
                <w:color w:val="auto"/>
              </w:rPr>
            </w:pPr>
            <w:r>
              <w:rPr>
                <w:rFonts w:ascii="Arial" w:cs="Arial" w:eastAsia="Arial" w:hAnsi="Arial"/>
                <w:sz w:val="20"/>
                <w:szCs w:val="20"/>
                <w:color w:val="auto"/>
              </w:rPr>
              <w:t>[***]</w:t>
            </w:r>
          </w:p>
        </w:tc>
        <w:tc>
          <w:tcPr>
            <w:tcW w:w="3400" w:type="dxa"/>
            <w:vAlign w:val="bottom"/>
          </w:tcPr>
          <w:p>
            <w:pPr>
              <w:spacing w:after="0"/>
              <w:rPr>
                <w:sz w:val="23"/>
                <w:szCs w:val="23"/>
                <w:color w:val="auto"/>
              </w:rPr>
            </w:pPr>
          </w:p>
        </w:tc>
        <w:tc>
          <w:tcPr>
            <w:tcW w:w="40" w:type="dxa"/>
            <w:vAlign w:val="bottom"/>
            <w:tcBorders>
              <w:right w:val="single" w:sz="8" w:color="auto"/>
            </w:tcBorders>
          </w:tcPr>
          <w:p>
            <w:pPr>
              <w:spacing w:after="0"/>
              <w:rPr>
                <w:sz w:val="23"/>
                <w:szCs w:val="23"/>
                <w:color w:val="auto"/>
              </w:rPr>
            </w:pPr>
          </w:p>
        </w:tc>
        <w:tc>
          <w:tcPr>
            <w:tcW w:w="840" w:type="dxa"/>
            <w:vAlign w:val="bottom"/>
          </w:tcPr>
          <w:p>
            <w:pPr>
              <w:jc w:val="right"/>
              <w:ind w:right="301"/>
              <w:spacing w:after="0"/>
              <w:rPr>
                <w:sz w:val="20"/>
                <w:szCs w:val="20"/>
                <w:color w:val="auto"/>
              </w:rPr>
            </w:pPr>
            <w:r>
              <w:rPr>
                <w:rFonts w:ascii="Arial" w:cs="Arial" w:eastAsia="Arial" w:hAnsi="Arial"/>
                <w:sz w:val="20"/>
                <w:szCs w:val="20"/>
                <w:color w:val="auto"/>
              </w:rPr>
              <w:t>[***]</w:t>
            </w:r>
          </w:p>
        </w:tc>
        <w:tc>
          <w:tcPr>
            <w:tcW w:w="1420" w:type="dxa"/>
            <w:vAlign w:val="bottom"/>
            <w:tcBorders>
              <w:right w:val="single" w:sz="8" w:color="auto"/>
            </w:tcBorders>
          </w:tcPr>
          <w:p>
            <w:pPr>
              <w:spacing w:after="0"/>
              <w:rPr>
                <w:sz w:val="23"/>
                <w:szCs w:val="23"/>
                <w:color w:val="auto"/>
              </w:rPr>
            </w:pPr>
          </w:p>
        </w:tc>
        <w:tc>
          <w:tcPr>
            <w:tcW w:w="1940" w:type="dxa"/>
            <w:vAlign w:val="bottom"/>
          </w:tcPr>
          <w:p>
            <w:pPr>
              <w:jc w:val="right"/>
              <w:ind w:right="1401"/>
              <w:spacing w:after="0"/>
              <w:rPr>
                <w:sz w:val="20"/>
                <w:szCs w:val="20"/>
                <w:color w:val="auto"/>
              </w:rPr>
            </w:pPr>
            <w:r>
              <w:rPr>
                <w:rFonts w:ascii="Arial" w:cs="Arial" w:eastAsia="Arial" w:hAnsi="Arial"/>
                <w:sz w:val="20"/>
                <w:szCs w:val="20"/>
                <w:color w:val="auto"/>
              </w:rPr>
              <w:t>[***]</w:t>
            </w:r>
          </w:p>
        </w:tc>
        <w:tc>
          <w:tcPr>
            <w:tcW w:w="240" w:type="dxa"/>
            <w:vAlign w:val="bottom"/>
            <w:tcBorders>
              <w:right w:val="single" w:sz="8" w:color="auto"/>
            </w:tcBorders>
          </w:tcPr>
          <w:p>
            <w:pPr>
              <w:spacing w:after="0"/>
              <w:rPr>
                <w:sz w:val="23"/>
                <w:szCs w:val="23"/>
                <w:color w:val="auto"/>
              </w:rPr>
            </w:pPr>
          </w:p>
        </w:tc>
      </w:tr>
      <w:tr>
        <w:trPr>
          <w:trHeight w:val="50"/>
        </w:trPr>
        <w:tc>
          <w:tcPr>
            <w:tcW w:w="980" w:type="dxa"/>
            <w:vAlign w:val="bottom"/>
            <w:tcBorders>
              <w:left w:val="single" w:sz="8" w:color="auto"/>
              <w:bottom w:val="single" w:sz="8" w:color="auto"/>
            </w:tcBorders>
          </w:tcPr>
          <w:p>
            <w:pPr>
              <w:spacing w:after="0"/>
              <w:rPr>
                <w:sz w:val="4"/>
                <w:szCs w:val="4"/>
                <w:color w:val="auto"/>
              </w:rPr>
            </w:pPr>
          </w:p>
        </w:tc>
        <w:tc>
          <w:tcPr>
            <w:tcW w:w="420" w:type="dxa"/>
            <w:vAlign w:val="bottom"/>
            <w:tcBorders>
              <w:bottom w:val="single" w:sz="8" w:color="auto"/>
              <w:right w:val="single" w:sz="8" w:color="auto"/>
            </w:tcBorders>
          </w:tcPr>
          <w:p>
            <w:pPr>
              <w:spacing w:after="0"/>
              <w:rPr>
                <w:sz w:val="4"/>
                <w:szCs w:val="4"/>
                <w:color w:val="auto"/>
              </w:rPr>
            </w:pPr>
          </w:p>
        </w:tc>
        <w:tc>
          <w:tcPr>
            <w:tcW w:w="1260" w:type="dxa"/>
            <w:vAlign w:val="bottom"/>
            <w:tcBorders>
              <w:bottom w:val="single" w:sz="8" w:color="auto"/>
              <w:right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3400" w:type="dxa"/>
            <w:vAlign w:val="bottom"/>
            <w:tcBorders>
              <w:bottom w:val="single" w:sz="8" w:color="auto"/>
            </w:tcBorders>
          </w:tcPr>
          <w:p>
            <w:pPr>
              <w:spacing w:after="0"/>
              <w:rPr>
                <w:sz w:val="4"/>
                <w:szCs w:val="4"/>
                <w:color w:val="auto"/>
              </w:rPr>
            </w:pPr>
          </w:p>
        </w:tc>
        <w:tc>
          <w:tcPr>
            <w:tcW w:w="40" w:type="dxa"/>
            <w:vAlign w:val="bottom"/>
            <w:tcBorders>
              <w:bottom w:val="single" w:sz="8" w:color="auto"/>
              <w:right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420" w:type="dxa"/>
            <w:vAlign w:val="bottom"/>
            <w:tcBorders>
              <w:bottom w:val="single" w:sz="8" w:color="auto"/>
              <w:right w:val="single" w:sz="8" w:color="auto"/>
            </w:tcBorders>
          </w:tcPr>
          <w:p>
            <w:pPr>
              <w:spacing w:after="0"/>
              <w:rPr>
                <w:sz w:val="4"/>
                <w:szCs w:val="4"/>
                <w:color w:val="auto"/>
              </w:rPr>
            </w:pPr>
          </w:p>
        </w:tc>
        <w:tc>
          <w:tcPr>
            <w:tcW w:w="1940" w:type="dxa"/>
            <w:vAlign w:val="bottom"/>
            <w:tcBorders>
              <w:bottom w:val="single" w:sz="8" w:color="auto"/>
            </w:tcBorders>
          </w:tcPr>
          <w:p>
            <w:pPr>
              <w:spacing w:after="0"/>
              <w:rPr>
                <w:sz w:val="4"/>
                <w:szCs w:val="4"/>
                <w:color w:val="auto"/>
              </w:rPr>
            </w:pPr>
          </w:p>
        </w:tc>
        <w:tc>
          <w:tcPr>
            <w:tcW w:w="240" w:type="dxa"/>
            <w:vAlign w:val="bottom"/>
            <w:tcBorders>
              <w:bottom w:val="single" w:sz="8" w:color="auto"/>
              <w:right w:val="single" w:sz="8" w:color="auto"/>
            </w:tcBorders>
          </w:tcPr>
          <w:p>
            <w:pPr>
              <w:spacing w:after="0"/>
              <w:rPr>
                <w:sz w:val="4"/>
                <w:szCs w:val="4"/>
                <w:color w:val="auto"/>
              </w:rPr>
            </w:pPr>
          </w:p>
        </w:tc>
      </w:tr>
      <w:tr>
        <w:trPr>
          <w:trHeight w:val="267"/>
        </w:trPr>
        <w:tc>
          <w:tcPr>
            <w:tcW w:w="980" w:type="dxa"/>
            <w:vAlign w:val="bottom"/>
            <w:tcBorders>
              <w:left w:val="single" w:sz="8" w:color="auto"/>
            </w:tcBorders>
          </w:tcPr>
          <w:p>
            <w:pPr>
              <w:ind w:left="40"/>
              <w:spacing w:after="0"/>
              <w:rPr>
                <w:sz w:val="20"/>
                <w:szCs w:val="20"/>
                <w:color w:val="auto"/>
              </w:rPr>
            </w:pPr>
            <w:r>
              <w:rPr>
                <w:rFonts w:ascii="Arial" w:cs="Arial" w:eastAsia="Arial" w:hAnsi="Arial"/>
                <w:sz w:val="20"/>
                <w:szCs w:val="20"/>
                <w:color w:val="auto"/>
              </w:rPr>
              <w:t>[***]</w:t>
            </w:r>
          </w:p>
        </w:tc>
        <w:tc>
          <w:tcPr>
            <w:tcW w:w="420" w:type="dxa"/>
            <w:vAlign w:val="bottom"/>
            <w:tcBorders>
              <w:right w:val="single" w:sz="8" w:color="auto"/>
            </w:tcBorders>
          </w:tcPr>
          <w:p>
            <w:pPr>
              <w:spacing w:after="0"/>
              <w:rPr>
                <w:sz w:val="23"/>
                <w:szCs w:val="23"/>
                <w:color w:val="auto"/>
              </w:rPr>
            </w:pPr>
          </w:p>
        </w:tc>
        <w:tc>
          <w:tcPr>
            <w:tcW w:w="126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w:t>
            </w:r>
          </w:p>
        </w:tc>
        <w:tc>
          <w:tcPr>
            <w:tcW w:w="720" w:type="dxa"/>
            <w:vAlign w:val="bottom"/>
          </w:tcPr>
          <w:p>
            <w:pPr>
              <w:ind w:left="20"/>
              <w:spacing w:after="0"/>
              <w:rPr>
                <w:sz w:val="20"/>
                <w:szCs w:val="20"/>
                <w:color w:val="auto"/>
              </w:rPr>
            </w:pPr>
            <w:r>
              <w:rPr>
                <w:rFonts w:ascii="Arial" w:cs="Arial" w:eastAsia="Arial" w:hAnsi="Arial"/>
                <w:sz w:val="20"/>
                <w:szCs w:val="20"/>
                <w:color w:val="auto"/>
              </w:rPr>
              <w:t>[***]</w:t>
            </w:r>
          </w:p>
        </w:tc>
        <w:tc>
          <w:tcPr>
            <w:tcW w:w="3400" w:type="dxa"/>
            <w:vAlign w:val="bottom"/>
          </w:tcPr>
          <w:p>
            <w:pPr>
              <w:spacing w:after="0"/>
              <w:rPr>
                <w:sz w:val="23"/>
                <w:szCs w:val="23"/>
                <w:color w:val="auto"/>
              </w:rPr>
            </w:pPr>
          </w:p>
        </w:tc>
        <w:tc>
          <w:tcPr>
            <w:tcW w:w="40" w:type="dxa"/>
            <w:vAlign w:val="bottom"/>
            <w:tcBorders>
              <w:right w:val="single" w:sz="8" w:color="auto"/>
            </w:tcBorders>
          </w:tcPr>
          <w:p>
            <w:pPr>
              <w:spacing w:after="0"/>
              <w:rPr>
                <w:sz w:val="23"/>
                <w:szCs w:val="23"/>
                <w:color w:val="auto"/>
              </w:rPr>
            </w:pPr>
          </w:p>
        </w:tc>
        <w:tc>
          <w:tcPr>
            <w:tcW w:w="840" w:type="dxa"/>
            <w:vAlign w:val="bottom"/>
          </w:tcPr>
          <w:p>
            <w:pPr>
              <w:jc w:val="right"/>
              <w:ind w:right="301"/>
              <w:spacing w:after="0"/>
              <w:rPr>
                <w:sz w:val="20"/>
                <w:szCs w:val="20"/>
                <w:color w:val="auto"/>
              </w:rPr>
            </w:pPr>
            <w:r>
              <w:rPr>
                <w:rFonts w:ascii="Arial" w:cs="Arial" w:eastAsia="Arial" w:hAnsi="Arial"/>
                <w:sz w:val="20"/>
                <w:szCs w:val="20"/>
                <w:color w:val="auto"/>
              </w:rPr>
              <w:t>[***]</w:t>
            </w:r>
          </w:p>
        </w:tc>
        <w:tc>
          <w:tcPr>
            <w:tcW w:w="1420" w:type="dxa"/>
            <w:vAlign w:val="bottom"/>
            <w:tcBorders>
              <w:right w:val="single" w:sz="8" w:color="auto"/>
            </w:tcBorders>
          </w:tcPr>
          <w:p>
            <w:pPr>
              <w:spacing w:after="0"/>
              <w:rPr>
                <w:sz w:val="23"/>
                <w:szCs w:val="23"/>
                <w:color w:val="auto"/>
              </w:rPr>
            </w:pPr>
          </w:p>
        </w:tc>
        <w:tc>
          <w:tcPr>
            <w:tcW w:w="1940" w:type="dxa"/>
            <w:vAlign w:val="bottom"/>
          </w:tcPr>
          <w:p>
            <w:pPr>
              <w:jc w:val="right"/>
              <w:ind w:right="1401"/>
              <w:spacing w:after="0"/>
              <w:rPr>
                <w:sz w:val="20"/>
                <w:szCs w:val="20"/>
                <w:color w:val="auto"/>
              </w:rPr>
            </w:pPr>
            <w:r>
              <w:rPr>
                <w:rFonts w:ascii="Arial" w:cs="Arial" w:eastAsia="Arial" w:hAnsi="Arial"/>
                <w:sz w:val="20"/>
                <w:szCs w:val="20"/>
                <w:color w:val="auto"/>
              </w:rPr>
              <w:t>[***]</w:t>
            </w:r>
          </w:p>
        </w:tc>
        <w:tc>
          <w:tcPr>
            <w:tcW w:w="240" w:type="dxa"/>
            <w:vAlign w:val="bottom"/>
            <w:tcBorders>
              <w:right w:val="single" w:sz="8" w:color="auto"/>
            </w:tcBorders>
          </w:tcPr>
          <w:p>
            <w:pPr>
              <w:spacing w:after="0"/>
              <w:rPr>
                <w:sz w:val="23"/>
                <w:szCs w:val="23"/>
                <w:color w:val="auto"/>
              </w:rPr>
            </w:pPr>
          </w:p>
        </w:tc>
      </w:tr>
      <w:tr>
        <w:trPr>
          <w:trHeight w:val="50"/>
        </w:trPr>
        <w:tc>
          <w:tcPr>
            <w:tcW w:w="980" w:type="dxa"/>
            <w:vAlign w:val="bottom"/>
            <w:tcBorders>
              <w:left w:val="single" w:sz="8" w:color="auto"/>
              <w:bottom w:val="single" w:sz="8" w:color="auto"/>
            </w:tcBorders>
          </w:tcPr>
          <w:p>
            <w:pPr>
              <w:spacing w:after="0"/>
              <w:rPr>
                <w:sz w:val="4"/>
                <w:szCs w:val="4"/>
                <w:color w:val="auto"/>
              </w:rPr>
            </w:pPr>
          </w:p>
        </w:tc>
        <w:tc>
          <w:tcPr>
            <w:tcW w:w="420" w:type="dxa"/>
            <w:vAlign w:val="bottom"/>
            <w:tcBorders>
              <w:bottom w:val="single" w:sz="8" w:color="auto"/>
              <w:right w:val="single" w:sz="8" w:color="auto"/>
            </w:tcBorders>
          </w:tcPr>
          <w:p>
            <w:pPr>
              <w:spacing w:after="0"/>
              <w:rPr>
                <w:sz w:val="4"/>
                <w:szCs w:val="4"/>
                <w:color w:val="auto"/>
              </w:rPr>
            </w:pPr>
          </w:p>
        </w:tc>
        <w:tc>
          <w:tcPr>
            <w:tcW w:w="1260" w:type="dxa"/>
            <w:vAlign w:val="bottom"/>
            <w:tcBorders>
              <w:bottom w:val="single" w:sz="8" w:color="auto"/>
              <w:right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3400" w:type="dxa"/>
            <w:vAlign w:val="bottom"/>
            <w:tcBorders>
              <w:bottom w:val="single" w:sz="8" w:color="auto"/>
            </w:tcBorders>
          </w:tcPr>
          <w:p>
            <w:pPr>
              <w:spacing w:after="0"/>
              <w:rPr>
                <w:sz w:val="4"/>
                <w:szCs w:val="4"/>
                <w:color w:val="auto"/>
              </w:rPr>
            </w:pPr>
          </w:p>
        </w:tc>
        <w:tc>
          <w:tcPr>
            <w:tcW w:w="40" w:type="dxa"/>
            <w:vAlign w:val="bottom"/>
            <w:tcBorders>
              <w:bottom w:val="single" w:sz="8" w:color="auto"/>
              <w:right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420" w:type="dxa"/>
            <w:vAlign w:val="bottom"/>
            <w:tcBorders>
              <w:bottom w:val="single" w:sz="8" w:color="auto"/>
              <w:right w:val="single" w:sz="8" w:color="auto"/>
            </w:tcBorders>
          </w:tcPr>
          <w:p>
            <w:pPr>
              <w:spacing w:after="0"/>
              <w:rPr>
                <w:sz w:val="4"/>
                <w:szCs w:val="4"/>
                <w:color w:val="auto"/>
              </w:rPr>
            </w:pPr>
          </w:p>
        </w:tc>
        <w:tc>
          <w:tcPr>
            <w:tcW w:w="1940" w:type="dxa"/>
            <w:vAlign w:val="bottom"/>
            <w:tcBorders>
              <w:bottom w:val="single" w:sz="8" w:color="auto"/>
            </w:tcBorders>
          </w:tcPr>
          <w:p>
            <w:pPr>
              <w:spacing w:after="0"/>
              <w:rPr>
                <w:sz w:val="4"/>
                <w:szCs w:val="4"/>
                <w:color w:val="auto"/>
              </w:rPr>
            </w:pPr>
          </w:p>
        </w:tc>
        <w:tc>
          <w:tcPr>
            <w:tcW w:w="240" w:type="dxa"/>
            <w:vAlign w:val="bottom"/>
            <w:tcBorders>
              <w:bottom w:val="single" w:sz="8" w:color="auto"/>
              <w:right w:val="single" w:sz="8" w:color="auto"/>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1208405</wp:posOffset>
            </wp:positionV>
            <wp:extent cx="713232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tabs>
          <w:tab w:leader="none" w:pos="4980" w:val="left"/>
        </w:tabs>
        <w:rPr>
          <w:sz w:val="20"/>
          <w:szCs w:val="20"/>
          <w:color w:val="auto"/>
        </w:rPr>
      </w:pPr>
      <w:r>
        <w:rPr>
          <w:rFonts w:ascii="Arial" w:cs="Arial" w:eastAsia="Arial" w:hAnsi="Arial"/>
          <w:sz w:val="20"/>
          <w:szCs w:val="20"/>
          <w:color w:val="auto"/>
        </w:rPr>
        <w:t>Production Pricing Agreement (Standard), ver. January 2021</w:t>
      </w:r>
      <w:r>
        <w:rPr>
          <w:sz w:val="20"/>
          <w:szCs w:val="20"/>
          <w:color w:val="auto"/>
        </w:rPr>
        <w:tab/>
      </w:r>
      <w:r>
        <w:rPr>
          <w:rFonts w:ascii="Arial" w:cs="Arial" w:eastAsia="Arial" w:hAnsi="Arial"/>
          <w:sz w:val="16"/>
          <w:szCs w:val="16"/>
          <w:color w:val="auto"/>
        </w:rPr>
        <w:t xml:space="preserve">Page </w:t>
      </w:r>
      <w:r>
        <w:rPr>
          <w:rFonts w:ascii="Arial" w:cs="Arial" w:eastAsia="Arial" w:hAnsi="Arial"/>
          <w:sz w:val="16"/>
          <w:szCs w:val="16"/>
          <w:b w:val="1"/>
          <w:bCs w:val="1"/>
          <w:color w:val="auto"/>
        </w:rPr>
        <w:t>7</w:t>
      </w:r>
      <w:r>
        <w:rPr>
          <w:rFonts w:ascii="Arial" w:cs="Arial" w:eastAsia="Arial" w:hAnsi="Arial"/>
          <w:sz w:val="16"/>
          <w:szCs w:val="16"/>
          <w:color w:val="auto"/>
        </w:rPr>
        <w:t xml:space="preserve"> of </w:t>
      </w:r>
      <w:r>
        <w:rPr>
          <w:rFonts w:ascii="Arial" w:cs="Arial" w:eastAsia="Arial" w:hAnsi="Arial"/>
          <w:sz w:val="16"/>
          <w:szCs w:val="16"/>
          <w:b w:val="1"/>
          <w:bCs w:val="1"/>
          <w:color w:val="auto"/>
        </w:rPr>
        <w:t>8</w:t>
      </w:r>
    </w:p>
    <w:p>
      <w:pPr>
        <w:sectPr>
          <w:pgSz w:w="11900" w:h="16838" w:orient="portrait"/>
          <w:cols w:equalWidth="0" w:num="1">
            <w:col w:w="11260"/>
          </w:cols>
          <w:pgMar w:left="320" w:top="1399" w:right="319" w:bottom="1440" w:gutter="0" w:footer="0" w:header="0"/>
        </w:sectPr>
      </w:pPr>
    </w:p>
    <w:bookmarkStart w:id="174" w:name="page175"/>
    <w:bookmarkEnd w:id="174"/>
    <w:p>
      <w:pPr>
        <w:spacing w:after="0"/>
        <w:rPr>
          <w:sz w:val="20"/>
          <w:szCs w:val="20"/>
          <w:color w:val="auto"/>
        </w:rPr>
      </w:pPr>
      <w:r>
        <w:rPr>
          <w:rFonts w:ascii="Arial" w:cs="Arial" w:eastAsia="Arial" w:hAnsi="Arial"/>
          <w:sz w:val="20"/>
          <w:szCs w:val="20"/>
          <w:b w:val="1"/>
          <w:bCs w:val="1"/>
          <w:u w:val="single" w:color="auto"/>
          <w:color w:val="auto"/>
        </w:rPr>
        <w:t>Exhibit F: BOM Cost</w:t>
      </w:r>
    </w:p>
    <w:p>
      <w:pPr>
        <w:spacing w:after="0" w:line="259" w:lineRule="exact"/>
        <w:rPr>
          <w:sz w:val="20"/>
          <w:szCs w:val="20"/>
          <w:color w:val="auto"/>
        </w:rPr>
      </w:pPr>
    </w:p>
    <w:tbl>
      <w:tblPr>
        <w:tblLayout w:type="fixed"/>
        <w:tblInd w:w="10" w:type="dxa"/>
        <w:tblCellMar>
          <w:top w:w="0" w:type="dxa"/>
          <w:left w:w="0" w:type="dxa"/>
          <w:bottom w:w="0" w:type="dxa"/>
          <w:right w:w="0" w:type="dxa"/>
        </w:tblCellMar>
      </w:tblPr>
      <w:tr>
        <w:trPr>
          <w:trHeight w:val="288"/>
        </w:trPr>
        <w:tc>
          <w:tcPr>
            <w:tcW w:w="220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5"/>
              </w:rPr>
              <w:t>Material</w:t>
            </w:r>
          </w:p>
        </w:tc>
        <w:tc>
          <w:tcPr>
            <w:tcW w:w="15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7"/>
              </w:rPr>
              <w:t>Unit</w:t>
            </w:r>
          </w:p>
        </w:tc>
        <w:tc>
          <w:tcPr>
            <w:tcW w:w="30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0"/>
              </w:rPr>
              <w:t>Raw materials</w:t>
            </w:r>
          </w:p>
        </w:tc>
        <w:tc>
          <w:tcPr>
            <w:tcW w:w="2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8"/>
              </w:rPr>
              <w:t>Base line unit price</w:t>
            </w:r>
          </w:p>
        </w:tc>
        <w:tc>
          <w:tcPr>
            <w:tcW w:w="22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6"/>
              </w:rPr>
              <w:t>Base Usage/Cell</w:t>
            </w:r>
          </w:p>
        </w:tc>
      </w:tr>
      <w:tr>
        <w:trPr>
          <w:trHeight w:val="50"/>
        </w:trPr>
        <w:tc>
          <w:tcPr>
            <w:tcW w:w="2200" w:type="dxa"/>
            <w:vAlign w:val="bottom"/>
            <w:tcBorders>
              <w:left w:val="single" w:sz="8" w:color="auto"/>
              <w:bottom w:val="single" w:sz="8" w:color="auto"/>
              <w:right w:val="single" w:sz="8" w:color="auto"/>
            </w:tcBorders>
          </w:tcPr>
          <w:p>
            <w:pPr>
              <w:spacing w:after="0"/>
              <w:rPr>
                <w:sz w:val="4"/>
                <w:szCs w:val="4"/>
                <w:color w:val="auto"/>
              </w:rPr>
            </w:pPr>
          </w:p>
        </w:tc>
        <w:tc>
          <w:tcPr>
            <w:tcW w:w="1520" w:type="dxa"/>
            <w:vAlign w:val="bottom"/>
            <w:tcBorders>
              <w:bottom w:val="single" w:sz="8" w:color="auto"/>
              <w:right w:val="single" w:sz="8" w:color="auto"/>
            </w:tcBorders>
          </w:tcPr>
          <w:p>
            <w:pPr>
              <w:spacing w:after="0"/>
              <w:rPr>
                <w:sz w:val="4"/>
                <w:szCs w:val="4"/>
                <w:color w:val="auto"/>
              </w:rPr>
            </w:pPr>
          </w:p>
        </w:tc>
        <w:tc>
          <w:tcPr>
            <w:tcW w:w="3000" w:type="dxa"/>
            <w:vAlign w:val="bottom"/>
            <w:tcBorders>
              <w:bottom w:val="single" w:sz="8" w:color="auto"/>
              <w:right w:val="single" w:sz="8" w:color="auto"/>
            </w:tcBorders>
          </w:tcPr>
          <w:p>
            <w:pPr>
              <w:spacing w:after="0"/>
              <w:rPr>
                <w:sz w:val="4"/>
                <w:szCs w:val="4"/>
                <w:color w:val="auto"/>
              </w:rPr>
            </w:pPr>
          </w:p>
        </w:tc>
        <w:tc>
          <w:tcPr>
            <w:tcW w:w="2280" w:type="dxa"/>
            <w:vAlign w:val="bottom"/>
            <w:tcBorders>
              <w:bottom w:val="single" w:sz="8" w:color="auto"/>
              <w:right w:val="single" w:sz="8" w:color="auto"/>
            </w:tcBorders>
          </w:tcPr>
          <w:p>
            <w:pPr>
              <w:spacing w:after="0"/>
              <w:rPr>
                <w:sz w:val="4"/>
                <w:szCs w:val="4"/>
                <w:color w:val="auto"/>
              </w:rPr>
            </w:pPr>
          </w:p>
        </w:tc>
        <w:tc>
          <w:tcPr>
            <w:tcW w:w="2260" w:type="dxa"/>
            <w:vAlign w:val="bottom"/>
            <w:tcBorders>
              <w:bottom w:val="single" w:sz="8" w:color="auto"/>
              <w:right w:val="single" w:sz="8" w:color="auto"/>
            </w:tcBorders>
          </w:tcPr>
          <w:p>
            <w:pPr>
              <w:spacing w:after="0"/>
              <w:rPr>
                <w:sz w:val="4"/>
                <w:szCs w:val="4"/>
                <w:color w:val="auto"/>
              </w:rPr>
            </w:pPr>
          </w:p>
        </w:tc>
      </w:tr>
      <w:tr>
        <w:trPr>
          <w:trHeight w:val="268"/>
        </w:trPr>
        <w:tc>
          <w:tcPr>
            <w:tcW w:w="22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15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30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22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w:t>
            </w:r>
          </w:p>
        </w:tc>
      </w:tr>
      <w:tr>
        <w:trPr>
          <w:trHeight w:val="50"/>
        </w:trPr>
        <w:tc>
          <w:tcPr>
            <w:tcW w:w="2200" w:type="dxa"/>
            <w:vAlign w:val="bottom"/>
            <w:tcBorders>
              <w:left w:val="single" w:sz="8" w:color="auto"/>
              <w:right w:val="single" w:sz="8" w:color="auto"/>
            </w:tcBorders>
          </w:tcPr>
          <w:p>
            <w:pPr>
              <w:spacing w:after="0"/>
              <w:rPr>
                <w:sz w:val="4"/>
                <w:szCs w:val="4"/>
                <w:color w:val="auto"/>
              </w:rPr>
            </w:pPr>
          </w:p>
        </w:tc>
        <w:tc>
          <w:tcPr>
            <w:tcW w:w="1520" w:type="dxa"/>
            <w:vAlign w:val="bottom"/>
            <w:tcBorders>
              <w:right w:val="single" w:sz="8" w:color="auto"/>
            </w:tcBorders>
          </w:tcPr>
          <w:p>
            <w:pPr>
              <w:spacing w:after="0"/>
              <w:rPr>
                <w:sz w:val="4"/>
                <w:szCs w:val="4"/>
                <w:color w:val="auto"/>
              </w:rPr>
            </w:pPr>
          </w:p>
        </w:tc>
        <w:tc>
          <w:tcPr>
            <w:tcW w:w="3000" w:type="dxa"/>
            <w:vAlign w:val="bottom"/>
            <w:tcBorders>
              <w:bottom w:val="single" w:sz="8" w:color="auto"/>
              <w:right w:val="single" w:sz="8" w:color="auto"/>
            </w:tcBorders>
          </w:tcPr>
          <w:p>
            <w:pPr>
              <w:spacing w:after="0"/>
              <w:rPr>
                <w:sz w:val="4"/>
                <w:szCs w:val="4"/>
                <w:color w:val="auto"/>
              </w:rPr>
            </w:pPr>
          </w:p>
        </w:tc>
        <w:tc>
          <w:tcPr>
            <w:tcW w:w="2280" w:type="dxa"/>
            <w:vAlign w:val="bottom"/>
            <w:tcBorders>
              <w:bottom w:val="single" w:sz="8" w:color="auto"/>
              <w:right w:val="single" w:sz="8" w:color="auto"/>
            </w:tcBorders>
          </w:tcPr>
          <w:p>
            <w:pPr>
              <w:spacing w:after="0"/>
              <w:rPr>
                <w:sz w:val="4"/>
                <w:szCs w:val="4"/>
                <w:color w:val="auto"/>
              </w:rPr>
            </w:pPr>
          </w:p>
        </w:tc>
        <w:tc>
          <w:tcPr>
            <w:tcW w:w="2260" w:type="dxa"/>
            <w:vAlign w:val="bottom"/>
            <w:tcBorders>
              <w:bottom w:val="single" w:sz="8" w:color="auto"/>
              <w:right w:val="single" w:sz="8" w:color="auto"/>
            </w:tcBorders>
          </w:tcPr>
          <w:p>
            <w:pPr>
              <w:spacing w:after="0"/>
              <w:rPr>
                <w:sz w:val="4"/>
                <w:szCs w:val="4"/>
                <w:color w:val="auto"/>
              </w:rPr>
            </w:pPr>
          </w:p>
        </w:tc>
      </w:tr>
      <w:tr>
        <w:trPr>
          <w:trHeight w:val="268"/>
        </w:trPr>
        <w:tc>
          <w:tcPr>
            <w:tcW w:w="2200" w:type="dxa"/>
            <w:vAlign w:val="bottom"/>
            <w:tcBorders>
              <w:left w:val="single" w:sz="8" w:color="auto"/>
              <w:right w:val="single" w:sz="8" w:color="auto"/>
            </w:tcBorders>
          </w:tcPr>
          <w:p>
            <w:pPr>
              <w:spacing w:after="0"/>
              <w:rPr>
                <w:sz w:val="23"/>
                <w:szCs w:val="23"/>
                <w:color w:val="auto"/>
              </w:rPr>
            </w:pPr>
          </w:p>
        </w:tc>
        <w:tc>
          <w:tcPr>
            <w:tcW w:w="1520" w:type="dxa"/>
            <w:vAlign w:val="bottom"/>
            <w:tcBorders>
              <w:right w:val="single" w:sz="8" w:color="auto"/>
            </w:tcBorders>
          </w:tcPr>
          <w:p>
            <w:pPr>
              <w:spacing w:after="0"/>
              <w:rPr>
                <w:sz w:val="23"/>
                <w:szCs w:val="23"/>
                <w:color w:val="auto"/>
              </w:rPr>
            </w:pPr>
          </w:p>
        </w:tc>
        <w:tc>
          <w:tcPr>
            <w:tcW w:w="30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22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w:t>
            </w:r>
          </w:p>
        </w:tc>
      </w:tr>
      <w:tr>
        <w:trPr>
          <w:trHeight w:val="50"/>
        </w:trPr>
        <w:tc>
          <w:tcPr>
            <w:tcW w:w="2200" w:type="dxa"/>
            <w:vAlign w:val="bottom"/>
            <w:tcBorders>
              <w:left w:val="single" w:sz="8" w:color="auto"/>
              <w:right w:val="single" w:sz="8" w:color="auto"/>
            </w:tcBorders>
          </w:tcPr>
          <w:p>
            <w:pPr>
              <w:spacing w:after="0"/>
              <w:rPr>
                <w:sz w:val="4"/>
                <w:szCs w:val="4"/>
                <w:color w:val="auto"/>
              </w:rPr>
            </w:pPr>
          </w:p>
        </w:tc>
        <w:tc>
          <w:tcPr>
            <w:tcW w:w="1520" w:type="dxa"/>
            <w:vAlign w:val="bottom"/>
            <w:tcBorders>
              <w:right w:val="single" w:sz="8" w:color="auto"/>
            </w:tcBorders>
          </w:tcPr>
          <w:p>
            <w:pPr>
              <w:spacing w:after="0"/>
              <w:rPr>
                <w:sz w:val="4"/>
                <w:szCs w:val="4"/>
                <w:color w:val="auto"/>
              </w:rPr>
            </w:pPr>
          </w:p>
        </w:tc>
        <w:tc>
          <w:tcPr>
            <w:tcW w:w="3000" w:type="dxa"/>
            <w:vAlign w:val="bottom"/>
            <w:tcBorders>
              <w:bottom w:val="single" w:sz="8" w:color="auto"/>
              <w:right w:val="single" w:sz="8" w:color="auto"/>
            </w:tcBorders>
          </w:tcPr>
          <w:p>
            <w:pPr>
              <w:spacing w:after="0"/>
              <w:rPr>
                <w:sz w:val="4"/>
                <w:szCs w:val="4"/>
                <w:color w:val="auto"/>
              </w:rPr>
            </w:pPr>
          </w:p>
        </w:tc>
        <w:tc>
          <w:tcPr>
            <w:tcW w:w="2280" w:type="dxa"/>
            <w:vAlign w:val="bottom"/>
            <w:tcBorders>
              <w:bottom w:val="single" w:sz="8" w:color="auto"/>
              <w:right w:val="single" w:sz="8" w:color="auto"/>
            </w:tcBorders>
          </w:tcPr>
          <w:p>
            <w:pPr>
              <w:spacing w:after="0"/>
              <w:rPr>
                <w:sz w:val="4"/>
                <w:szCs w:val="4"/>
                <w:color w:val="auto"/>
              </w:rPr>
            </w:pPr>
          </w:p>
        </w:tc>
        <w:tc>
          <w:tcPr>
            <w:tcW w:w="2260" w:type="dxa"/>
            <w:vAlign w:val="bottom"/>
            <w:tcBorders>
              <w:bottom w:val="single" w:sz="8" w:color="auto"/>
              <w:right w:val="single" w:sz="8" w:color="auto"/>
            </w:tcBorders>
          </w:tcPr>
          <w:p>
            <w:pPr>
              <w:spacing w:after="0"/>
              <w:rPr>
                <w:sz w:val="4"/>
                <w:szCs w:val="4"/>
                <w:color w:val="auto"/>
              </w:rPr>
            </w:pPr>
          </w:p>
        </w:tc>
      </w:tr>
      <w:tr>
        <w:trPr>
          <w:trHeight w:val="268"/>
        </w:trPr>
        <w:tc>
          <w:tcPr>
            <w:tcW w:w="2200" w:type="dxa"/>
            <w:vAlign w:val="bottom"/>
            <w:tcBorders>
              <w:left w:val="single" w:sz="8" w:color="auto"/>
              <w:right w:val="single" w:sz="8" w:color="auto"/>
            </w:tcBorders>
          </w:tcPr>
          <w:p>
            <w:pPr>
              <w:spacing w:after="0"/>
              <w:rPr>
                <w:sz w:val="23"/>
                <w:szCs w:val="23"/>
                <w:color w:val="auto"/>
              </w:rPr>
            </w:pPr>
          </w:p>
        </w:tc>
        <w:tc>
          <w:tcPr>
            <w:tcW w:w="1520" w:type="dxa"/>
            <w:vAlign w:val="bottom"/>
            <w:tcBorders>
              <w:right w:val="single" w:sz="8" w:color="auto"/>
            </w:tcBorders>
          </w:tcPr>
          <w:p>
            <w:pPr>
              <w:spacing w:after="0"/>
              <w:rPr>
                <w:sz w:val="23"/>
                <w:szCs w:val="23"/>
                <w:color w:val="auto"/>
              </w:rPr>
            </w:pPr>
          </w:p>
        </w:tc>
        <w:tc>
          <w:tcPr>
            <w:tcW w:w="30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22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w:t>
            </w:r>
          </w:p>
        </w:tc>
      </w:tr>
      <w:tr>
        <w:trPr>
          <w:trHeight w:val="50"/>
        </w:trPr>
        <w:tc>
          <w:tcPr>
            <w:tcW w:w="2200" w:type="dxa"/>
            <w:vAlign w:val="bottom"/>
            <w:tcBorders>
              <w:left w:val="single" w:sz="8" w:color="auto"/>
              <w:bottom w:val="single" w:sz="8" w:color="auto"/>
              <w:right w:val="single" w:sz="8" w:color="auto"/>
            </w:tcBorders>
          </w:tcPr>
          <w:p>
            <w:pPr>
              <w:spacing w:after="0"/>
              <w:rPr>
                <w:sz w:val="4"/>
                <w:szCs w:val="4"/>
                <w:color w:val="auto"/>
              </w:rPr>
            </w:pPr>
          </w:p>
        </w:tc>
        <w:tc>
          <w:tcPr>
            <w:tcW w:w="1520" w:type="dxa"/>
            <w:vAlign w:val="bottom"/>
            <w:tcBorders>
              <w:bottom w:val="single" w:sz="8" w:color="auto"/>
              <w:right w:val="single" w:sz="8" w:color="auto"/>
            </w:tcBorders>
          </w:tcPr>
          <w:p>
            <w:pPr>
              <w:spacing w:after="0"/>
              <w:rPr>
                <w:sz w:val="4"/>
                <w:szCs w:val="4"/>
                <w:color w:val="auto"/>
              </w:rPr>
            </w:pPr>
          </w:p>
        </w:tc>
        <w:tc>
          <w:tcPr>
            <w:tcW w:w="3000" w:type="dxa"/>
            <w:vAlign w:val="bottom"/>
            <w:tcBorders>
              <w:bottom w:val="single" w:sz="8" w:color="auto"/>
              <w:right w:val="single" w:sz="8" w:color="auto"/>
            </w:tcBorders>
          </w:tcPr>
          <w:p>
            <w:pPr>
              <w:spacing w:after="0"/>
              <w:rPr>
                <w:sz w:val="4"/>
                <w:szCs w:val="4"/>
                <w:color w:val="auto"/>
              </w:rPr>
            </w:pPr>
          </w:p>
        </w:tc>
        <w:tc>
          <w:tcPr>
            <w:tcW w:w="2280" w:type="dxa"/>
            <w:vAlign w:val="bottom"/>
            <w:tcBorders>
              <w:bottom w:val="single" w:sz="8" w:color="auto"/>
              <w:right w:val="single" w:sz="8" w:color="auto"/>
            </w:tcBorders>
          </w:tcPr>
          <w:p>
            <w:pPr>
              <w:spacing w:after="0"/>
              <w:rPr>
                <w:sz w:val="4"/>
                <w:szCs w:val="4"/>
                <w:color w:val="auto"/>
              </w:rPr>
            </w:pPr>
          </w:p>
        </w:tc>
        <w:tc>
          <w:tcPr>
            <w:tcW w:w="2260" w:type="dxa"/>
            <w:vAlign w:val="bottom"/>
            <w:tcBorders>
              <w:bottom w:val="single" w:sz="8" w:color="auto"/>
              <w:right w:val="single" w:sz="8" w:color="auto"/>
            </w:tcBorders>
          </w:tcPr>
          <w:p>
            <w:pPr>
              <w:spacing w:after="0"/>
              <w:rPr>
                <w:sz w:val="4"/>
                <w:szCs w:val="4"/>
                <w:color w:val="auto"/>
              </w:rPr>
            </w:pPr>
          </w:p>
        </w:tc>
      </w:tr>
      <w:tr>
        <w:trPr>
          <w:trHeight w:val="268"/>
        </w:trPr>
        <w:tc>
          <w:tcPr>
            <w:tcW w:w="22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15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30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22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w:t>
            </w:r>
          </w:p>
        </w:tc>
      </w:tr>
      <w:tr>
        <w:trPr>
          <w:trHeight w:val="50"/>
        </w:trPr>
        <w:tc>
          <w:tcPr>
            <w:tcW w:w="2200" w:type="dxa"/>
            <w:vAlign w:val="bottom"/>
            <w:tcBorders>
              <w:left w:val="single" w:sz="8" w:color="auto"/>
              <w:bottom w:val="single" w:sz="8" w:color="auto"/>
              <w:right w:val="single" w:sz="8" w:color="auto"/>
            </w:tcBorders>
          </w:tcPr>
          <w:p>
            <w:pPr>
              <w:spacing w:after="0"/>
              <w:rPr>
                <w:sz w:val="4"/>
                <w:szCs w:val="4"/>
                <w:color w:val="auto"/>
              </w:rPr>
            </w:pPr>
          </w:p>
        </w:tc>
        <w:tc>
          <w:tcPr>
            <w:tcW w:w="1520" w:type="dxa"/>
            <w:vAlign w:val="bottom"/>
            <w:tcBorders>
              <w:bottom w:val="single" w:sz="8" w:color="auto"/>
              <w:right w:val="single" w:sz="8" w:color="auto"/>
            </w:tcBorders>
          </w:tcPr>
          <w:p>
            <w:pPr>
              <w:spacing w:after="0"/>
              <w:rPr>
                <w:sz w:val="4"/>
                <w:szCs w:val="4"/>
                <w:color w:val="auto"/>
              </w:rPr>
            </w:pPr>
          </w:p>
        </w:tc>
        <w:tc>
          <w:tcPr>
            <w:tcW w:w="3000" w:type="dxa"/>
            <w:vAlign w:val="bottom"/>
            <w:tcBorders>
              <w:bottom w:val="single" w:sz="8" w:color="auto"/>
              <w:right w:val="single" w:sz="8" w:color="auto"/>
            </w:tcBorders>
          </w:tcPr>
          <w:p>
            <w:pPr>
              <w:spacing w:after="0"/>
              <w:rPr>
                <w:sz w:val="4"/>
                <w:szCs w:val="4"/>
                <w:color w:val="auto"/>
              </w:rPr>
            </w:pPr>
          </w:p>
        </w:tc>
        <w:tc>
          <w:tcPr>
            <w:tcW w:w="2280" w:type="dxa"/>
            <w:vAlign w:val="bottom"/>
            <w:tcBorders>
              <w:bottom w:val="single" w:sz="8" w:color="auto"/>
              <w:right w:val="single" w:sz="8" w:color="auto"/>
            </w:tcBorders>
          </w:tcPr>
          <w:p>
            <w:pPr>
              <w:spacing w:after="0"/>
              <w:rPr>
                <w:sz w:val="4"/>
                <w:szCs w:val="4"/>
                <w:color w:val="auto"/>
              </w:rPr>
            </w:pPr>
          </w:p>
        </w:tc>
        <w:tc>
          <w:tcPr>
            <w:tcW w:w="2260" w:type="dxa"/>
            <w:vAlign w:val="bottom"/>
            <w:tcBorders>
              <w:bottom w:val="single" w:sz="8" w:color="auto"/>
              <w:right w:val="single" w:sz="8" w:color="auto"/>
            </w:tcBorders>
          </w:tcPr>
          <w:p>
            <w:pPr>
              <w:spacing w:after="0"/>
              <w:rPr>
                <w:sz w:val="4"/>
                <w:szCs w:val="4"/>
                <w:color w:val="auto"/>
              </w:rPr>
            </w:pPr>
          </w:p>
        </w:tc>
      </w:tr>
      <w:tr>
        <w:trPr>
          <w:trHeight w:val="268"/>
        </w:trPr>
        <w:tc>
          <w:tcPr>
            <w:tcW w:w="22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15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30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22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w:t>
            </w:r>
          </w:p>
        </w:tc>
      </w:tr>
      <w:tr>
        <w:trPr>
          <w:trHeight w:val="50"/>
        </w:trPr>
        <w:tc>
          <w:tcPr>
            <w:tcW w:w="2200" w:type="dxa"/>
            <w:vAlign w:val="bottom"/>
            <w:tcBorders>
              <w:left w:val="single" w:sz="8" w:color="auto"/>
              <w:right w:val="single" w:sz="8" w:color="auto"/>
            </w:tcBorders>
          </w:tcPr>
          <w:p>
            <w:pPr>
              <w:spacing w:after="0"/>
              <w:rPr>
                <w:sz w:val="4"/>
                <w:szCs w:val="4"/>
                <w:color w:val="auto"/>
              </w:rPr>
            </w:pPr>
          </w:p>
        </w:tc>
        <w:tc>
          <w:tcPr>
            <w:tcW w:w="1520" w:type="dxa"/>
            <w:vAlign w:val="bottom"/>
            <w:tcBorders>
              <w:bottom w:val="single" w:sz="8" w:color="auto"/>
              <w:right w:val="single" w:sz="8" w:color="auto"/>
            </w:tcBorders>
          </w:tcPr>
          <w:p>
            <w:pPr>
              <w:spacing w:after="0"/>
              <w:rPr>
                <w:sz w:val="4"/>
                <w:szCs w:val="4"/>
                <w:color w:val="auto"/>
              </w:rPr>
            </w:pPr>
          </w:p>
        </w:tc>
        <w:tc>
          <w:tcPr>
            <w:tcW w:w="3000" w:type="dxa"/>
            <w:vAlign w:val="bottom"/>
            <w:tcBorders>
              <w:bottom w:val="single" w:sz="8" w:color="auto"/>
              <w:right w:val="single" w:sz="8" w:color="auto"/>
            </w:tcBorders>
          </w:tcPr>
          <w:p>
            <w:pPr>
              <w:spacing w:after="0"/>
              <w:rPr>
                <w:sz w:val="4"/>
                <w:szCs w:val="4"/>
                <w:color w:val="auto"/>
              </w:rPr>
            </w:pPr>
          </w:p>
        </w:tc>
        <w:tc>
          <w:tcPr>
            <w:tcW w:w="2280" w:type="dxa"/>
            <w:vAlign w:val="bottom"/>
            <w:tcBorders>
              <w:bottom w:val="single" w:sz="8" w:color="auto"/>
              <w:right w:val="single" w:sz="8" w:color="auto"/>
            </w:tcBorders>
          </w:tcPr>
          <w:p>
            <w:pPr>
              <w:spacing w:after="0"/>
              <w:rPr>
                <w:sz w:val="4"/>
                <w:szCs w:val="4"/>
                <w:color w:val="auto"/>
              </w:rPr>
            </w:pPr>
          </w:p>
        </w:tc>
        <w:tc>
          <w:tcPr>
            <w:tcW w:w="2260" w:type="dxa"/>
            <w:vAlign w:val="bottom"/>
            <w:tcBorders>
              <w:bottom w:val="single" w:sz="8" w:color="auto"/>
              <w:right w:val="single" w:sz="8" w:color="auto"/>
            </w:tcBorders>
          </w:tcPr>
          <w:p>
            <w:pPr>
              <w:spacing w:after="0"/>
              <w:rPr>
                <w:sz w:val="4"/>
                <w:szCs w:val="4"/>
                <w:color w:val="auto"/>
              </w:rPr>
            </w:pPr>
          </w:p>
        </w:tc>
      </w:tr>
      <w:tr>
        <w:trPr>
          <w:trHeight w:val="268"/>
        </w:trPr>
        <w:tc>
          <w:tcPr>
            <w:tcW w:w="2200" w:type="dxa"/>
            <w:vAlign w:val="bottom"/>
            <w:tcBorders>
              <w:left w:val="single" w:sz="8" w:color="auto"/>
              <w:right w:val="single" w:sz="8" w:color="auto"/>
            </w:tcBorders>
          </w:tcPr>
          <w:p>
            <w:pPr>
              <w:spacing w:after="0"/>
              <w:rPr>
                <w:sz w:val="23"/>
                <w:szCs w:val="23"/>
                <w:color w:val="auto"/>
              </w:rPr>
            </w:pPr>
          </w:p>
        </w:tc>
        <w:tc>
          <w:tcPr>
            <w:tcW w:w="15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30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22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w:t>
            </w:r>
          </w:p>
        </w:tc>
      </w:tr>
      <w:tr>
        <w:trPr>
          <w:trHeight w:val="50"/>
        </w:trPr>
        <w:tc>
          <w:tcPr>
            <w:tcW w:w="2200" w:type="dxa"/>
            <w:vAlign w:val="bottom"/>
            <w:tcBorders>
              <w:left w:val="single" w:sz="8" w:color="auto"/>
              <w:bottom w:val="single" w:sz="8" w:color="auto"/>
              <w:right w:val="single" w:sz="8" w:color="auto"/>
            </w:tcBorders>
          </w:tcPr>
          <w:p>
            <w:pPr>
              <w:spacing w:after="0"/>
              <w:rPr>
                <w:sz w:val="4"/>
                <w:szCs w:val="4"/>
                <w:color w:val="auto"/>
              </w:rPr>
            </w:pPr>
          </w:p>
        </w:tc>
        <w:tc>
          <w:tcPr>
            <w:tcW w:w="1520" w:type="dxa"/>
            <w:vAlign w:val="bottom"/>
            <w:tcBorders>
              <w:bottom w:val="single" w:sz="8" w:color="auto"/>
              <w:right w:val="single" w:sz="8" w:color="auto"/>
            </w:tcBorders>
          </w:tcPr>
          <w:p>
            <w:pPr>
              <w:spacing w:after="0"/>
              <w:rPr>
                <w:sz w:val="4"/>
                <w:szCs w:val="4"/>
                <w:color w:val="auto"/>
              </w:rPr>
            </w:pPr>
          </w:p>
        </w:tc>
        <w:tc>
          <w:tcPr>
            <w:tcW w:w="3000" w:type="dxa"/>
            <w:vAlign w:val="bottom"/>
            <w:tcBorders>
              <w:bottom w:val="single" w:sz="8" w:color="auto"/>
              <w:right w:val="single" w:sz="8" w:color="auto"/>
            </w:tcBorders>
          </w:tcPr>
          <w:p>
            <w:pPr>
              <w:spacing w:after="0"/>
              <w:rPr>
                <w:sz w:val="4"/>
                <w:szCs w:val="4"/>
                <w:color w:val="auto"/>
              </w:rPr>
            </w:pPr>
          </w:p>
        </w:tc>
        <w:tc>
          <w:tcPr>
            <w:tcW w:w="2280" w:type="dxa"/>
            <w:vAlign w:val="bottom"/>
            <w:tcBorders>
              <w:bottom w:val="single" w:sz="8" w:color="auto"/>
              <w:right w:val="single" w:sz="8" w:color="auto"/>
            </w:tcBorders>
          </w:tcPr>
          <w:p>
            <w:pPr>
              <w:spacing w:after="0"/>
              <w:rPr>
                <w:sz w:val="4"/>
                <w:szCs w:val="4"/>
                <w:color w:val="auto"/>
              </w:rPr>
            </w:pPr>
          </w:p>
        </w:tc>
        <w:tc>
          <w:tcPr>
            <w:tcW w:w="2260" w:type="dxa"/>
            <w:vAlign w:val="bottom"/>
            <w:tcBorders>
              <w:bottom w:val="single" w:sz="8" w:color="auto"/>
              <w:right w:val="single" w:sz="8" w:color="auto"/>
            </w:tcBorders>
          </w:tcPr>
          <w:p>
            <w:pPr>
              <w:spacing w:after="0"/>
              <w:rPr>
                <w:sz w:val="4"/>
                <w:szCs w:val="4"/>
                <w:color w:val="auto"/>
              </w:rPr>
            </w:pPr>
          </w:p>
        </w:tc>
      </w:tr>
      <w:tr>
        <w:trPr>
          <w:trHeight w:val="268"/>
        </w:trPr>
        <w:tc>
          <w:tcPr>
            <w:tcW w:w="22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15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30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22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w:t>
            </w:r>
          </w:p>
        </w:tc>
      </w:tr>
      <w:tr>
        <w:trPr>
          <w:trHeight w:val="50"/>
        </w:trPr>
        <w:tc>
          <w:tcPr>
            <w:tcW w:w="2200" w:type="dxa"/>
            <w:vAlign w:val="bottom"/>
            <w:tcBorders>
              <w:left w:val="single" w:sz="8" w:color="auto"/>
              <w:bottom w:val="single" w:sz="8" w:color="auto"/>
              <w:right w:val="single" w:sz="8" w:color="auto"/>
            </w:tcBorders>
          </w:tcPr>
          <w:p>
            <w:pPr>
              <w:spacing w:after="0"/>
              <w:rPr>
                <w:sz w:val="4"/>
                <w:szCs w:val="4"/>
                <w:color w:val="auto"/>
              </w:rPr>
            </w:pPr>
          </w:p>
        </w:tc>
        <w:tc>
          <w:tcPr>
            <w:tcW w:w="1520" w:type="dxa"/>
            <w:vAlign w:val="bottom"/>
            <w:tcBorders>
              <w:bottom w:val="single" w:sz="8" w:color="auto"/>
              <w:right w:val="single" w:sz="8" w:color="auto"/>
            </w:tcBorders>
          </w:tcPr>
          <w:p>
            <w:pPr>
              <w:spacing w:after="0"/>
              <w:rPr>
                <w:sz w:val="4"/>
                <w:szCs w:val="4"/>
                <w:color w:val="auto"/>
              </w:rPr>
            </w:pPr>
          </w:p>
        </w:tc>
        <w:tc>
          <w:tcPr>
            <w:tcW w:w="3000" w:type="dxa"/>
            <w:vAlign w:val="bottom"/>
            <w:tcBorders>
              <w:bottom w:val="single" w:sz="8" w:color="auto"/>
              <w:right w:val="single" w:sz="8" w:color="auto"/>
            </w:tcBorders>
          </w:tcPr>
          <w:p>
            <w:pPr>
              <w:spacing w:after="0"/>
              <w:rPr>
                <w:sz w:val="4"/>
                <w:szCs w:val="4"/>
                <w:color w:val="auto"/>
              </w:rPr>
            </w:pPr>
          </w:p>
        </w:tc>
        <w:tc>
          <w:tcPr>
            <w:tcW w:w="2280" w:type="dxa"/>
            <w:vAlign w:val="bottom"/>
            <w:tcBorders>
              <w:bottom w:val="single" w:sz="8" w:color="auto"/>
              <w:right w:val="single" w:sz="8" w:color="auto"/>
            </w:tcBorders>
          </w:tcPr>
          <w:p>
            <w:pPr>
              <w:spacing w:after="0"/>
              <w:rPr>
                <w:sz w:val="4"/>
                <w:szCs w:val="4"/>
                <w:color w:val="auto"/>
              </w:rPr>
            </w:pPr>
          </w:p>
        </w:tc>
        <w:tc>
          <w:tcPr>
            <w:tcW w:w="2260" w:type="dxa"/>
            <w:vAlign w:val="bottom"/>
            <w:tcBorders>
              <w:bottom w:val="single" w:sz="8" w:color="auto"/>
              <w:right w:val="single" w:sz="8" w:color="auto"/>
            </w:tcBorders>
          </w:tcPr>
          <w:p>
            <w:pPr>
              <w:spacing w:after="0"/>
              <w:rPr>
                <w:sz w:val="4"/>
                <w:szCs w:val="4"/>
                <w:color w:val="auto"/>
              </w:rPr>
            </w:pPr>
          </w:p>
        </w:tc>
      </w:tr>
    </w:tbl>
    <w:p>
      <w:pPr>
        <w:spacing w:after="0" w:line="28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Exhibit G: Inflation Reduction Act (IRA)</w:t>
      </w:r>
    </w:p>
    <w:p>
      <w:pPr>
        <w:spacing w:after="0" w:line="234" w:lineRule="auto"/>
        <w:rPr>
          <w:sz w:val="20"/>
          <w:szCs w:val="20"/>
          <w:color w:val="auto"/>
        </w:rPr>
      </w:pPr>
      <w:r>
        <w:rPr>
          <w:rFonts w:ascii="Arial" w:cs="Arial" w:eastAsia="Arial" w:hAnsi="Arial"/>
          <w:sz w:val="18"/>
          <w:szCs w:val="18"/>
          <w:color w:val="auto"/>
        </w:rPr>
        <w:t>PECNA will use its best efforts to qualify for and pursue available tax credits and elective payments under IRC Section 6417 or Section 6418</w:t>
      </w:r>
    </w:p>
    <w:p>
      <w:pPr>
        <w:spacing w:after="0" w:line="1" w:lineRule="exact"/>
        <w:rPr>
          <w:sz w:val="20"/>
          <w:szCs w:val="20"/>
          <w:color w:val="auto"/>
        </w:rPr>
      </w:pPr>
    </w:p>
    <w:p>
      <w:pPr>
        <w:jc w:val="both"/>
        <w:ind w:right="40"/>
        <w:spacing w:after="0" w:line="220" w:lineRule="auto"/>
        <w:rPr>
          <w:sz w:val="20"/>
          <w:szCs w:val="20"/>
          <w:color w:val="auto"/>
        </w:rPr>
      </w:pPr>
      <w:r>
        <w:rPr>
          <w:rFonts w:ascii="Arial" w:cs="Arial" w:eastAsia="Arial" w:hAnsi="Arial"/>
          <w:sz w:val="20"/>
          <w:szCs w:val="20"/>
          <w:color w:val="auto"/>
        </w:rPr>
        <w:t>with respect to Section 45X Advanced Manufacturing Production Tax Credit (“Production Tax Credit”) for Goods sold to Lucid. In the event PECNA qualifies for and makes such an election, the Production Tax Credit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521335</wp:posOffset>
            </wp:positionV>
            <wp:extent cx="713232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tabs>
          <w:tab w:leader="none" w:pos="4980" w:val="left"/>
        </w:tabs>
        <w:rPr>
          <w:sz w:val="20"/>
          <w:szCs w:val="20"/>
          <w:color w:val="auto"/>
        </w:rPr>
      </w:pPr>
      <w:r>
        <w:rPr>
          <w:rFonts w:ascii="Arial" w:cs="Arial" w:eastAsia="Arial" w:hAnsi="Arial"/>
          <w:sz w:val="20"/>
          <w:szCs w:val="20"/>
          <w:color w:val="auto"/>
        </w:rPr>
        <w:t>Production Pricing Agreement (Standard), ver. January 2021</w:t>
      </w:r>
      <w:r>
        <w:rPr>
          <w:sz w:val="20"/>
          <w:szCs w:val="20"/>
          <w:color w:val="auto"/>
        </w:rPr>
        <w:tab/>
      </w:r>
      <w:r>
        <w:rPr>
          <w:rFonts w:ascii="Arial" w:cs="Arial" w:eastAsia="Arial" w:hAnsi="Arial"/>
          <w:sz w:val="16"/>
          <w:szCs w:val="16"/>
          <w:color w:val="auto"/>
        </w:rPr>
        <w:t xml:space="preserve">Page </w:t>
      </w:r>
      <w:r>
        <w:rPr>
          <w:rFonts w:ascii="Arial" w:cs="Arial" w:eastAsia="Arial" w:hAnsi="Arial"/>
          <w:sz w:val="16"/>
          <w:szCs w:val="16"/>
          <w:b w:val="1"/>
          <w:bCs w:val="1"/>
          <w:color w:val="auto"/>
        </w:rPr>
        <w:t>8</w:t>
      </w:r>
      <w:r>
        <w:rPr>
          <w:rFonts w:ascii="Arial" w:cs="Arial" w:eastAsia="Arial" w:hAnsi="Arial"/>
          <w:sz w:val="16"/>
          <w:szCs w:val="16"/>
          <w:color w:val="auto"/>
        </w:rPr>
        <w:t xml:space="preserve"> of </w:t>
      </w:r>
      <w:r>
        <w:rPr>
          <w:rFonts w:ascii="Arial" w:cs="Arial" w:eastAsia="Arial" w:hAnsi="Arial"/>
          <w:sz w:val="16"/>
          <w:szCs w:val="16"/>
          <w:b w:val="1"/>
          <w:bCs w:val="1"/>
          <w:color w:val="auto"/>
        </w:rPr>
        <w:t>8</w:t>
      </w:r>
    </w:p>
    <w:p>
      <w:pPr>
        <w:sectPr>
          <w:pgSz w:w="11900" w:h="16838" w:orient="portrait"/>
          <w:cols w:equalWidth="0" w:num="1">
            <w:col w:w="11260"/>
          </w:cols>
          <w:pgMar w:left="320" w:top="1399" w:right="319" w:bottom="1440" w:gutter="0" w:footer="0" w:header="0"/>
        </w:sectPr>
      </w:pPr>
    </w:p>
    <w:bookmarkStart w:id="175" w:name="page176"/>
    <w:bookmarkEnd w:id="175"/>
    <w:p>
      <w:pPr>
        <w:ind w:left="10120"/>
        <w:spacing w:after="0"/>
        <w:rPr>
          <w:sz w:val="20"/>
          <w:szCs w:val="20"/>
          <w:color w:val="auto"/>
        </w:rPr>
      </w:pPr>
      <w:r>
        <w:rPr>
          <w:rFonts w:ascii="Arial" w:cs="Arial" w:eastAsia="Arial" w:hAnsi="Arial"/>
          <w:sz w:val="18"/>
          <w:szCs w:val="18"/>
          <w:b w:val="1"/>
          <w:bCs w:val="1"/>
          <w:color w:val="auto"/>
        </w:rPr>
        <w:t>Exhibit 10.37</w:t>
      </w:r>
    </w:p>
    <w:p>
      <w:pPr>
        <w:spacing w:after="0" w:line="185" w:lineRule="exact"/>
        <w:rPr>
          <w:sz w:val="20"/>
          <w:szCs w:val="20"/>
          <w:color w:val="auto"/>
        </w:rPr>
      </w:pPr>
    </w:p>
    <w:p>
      <w:pPr>
        <w:ind w:right="20"/>
        <w:spacing w:after="0" w:line="248" w:lineRule="auto"/>
        <w:rPr>
          <w:sz w:val="20"/>
          <w:szCs w:val="20"/>
          <w:color w:val="auto"/>
        </w:rPr>
      </w:pPr>
      <w:r>
        <w:rPr>
          <w:rFonts w:ascii="Arial" w:cs="Arial" w:eastAsia="Arial" w:hAnsi="Arial"/>
          <w:sz w:val="20"/>
          <w:szCs w:val="20"/>
          <w:color w:val="auto"/>
        </w:rPr>
        <w:t>This AFFILIATE PARTICIPATION AGREEMENT (</w:t>
      </w:r>
      <w:r>
        <w:rPr>
          <w:rFonts w:ascii="Arial" w:cs="Arial" w:eastAsia="Arial" w:hAnsi="Arial"/>
          <w:sz w:val="20"/>
          <w:szCs w:val="20"/>
          <w:b w:val="1"/>
          <w:bCs w:val="1"/>
          <w:color w:val="auto"/>
        </w:rPr>
        <w:t>“Participation Agreement”</w:t>
      </w:r>
      <w:r>
        <w:rPr>
          <w:rFonts w:ascii="Arial" w:cs="Arial" w:eastAsia="Arial" w:hAnsi="Arial"/>
          <w:sz w:val="20"/>
          <w:szCs w:val="20"/>
          <w:color w:val="auto"/>
        </w:rPr>
        <w:t>) is entered into as of December 1</w:t>
      </w:r>
      <w:r>
        <w:rPr>
          <w:rFonts w:ascii="Arial" w:cs="Arial" w:eastAsia="Arial" w:hAnsi="Arial"/>
          <w:sz w:val="25"/>
          <w:szCs w:val="25"/>
          <w:color w:val="auto"/>
          <w:vertAlign w:val="superscript"/>
        </w:rPr>
        <w:t>st</w:t>
      </w:r>
      <w:r>
        <w:rPr>
          <w:rFonts w:ascii="Arial" w:cs="Arial" w:eastAsia="Arial" w:hAnsi="Arial"/>
          <w:sz w:val="20"/>
          <w:szCs w:val="20"/>
          <w:color w:val="auto"/>
        </w:rPr>
        <w:t xml:space="preserve">, 2022 (the </w:t>
      </w:r>
      <w:r>
        <w:rPr>
          <w:rFonts w:ascii="Arial" w:cs="Arial" w:eastAsia="Arial" w:hAnsi="Arial"/>
          <w:sz w:val="20"/>
          <w:szCs w:val="20"/>
          <w:b w:val="1"/>
          <w:bCs w:val="1"/>
          <w:color w:val="auto"/>
        </w:rPr>
        <w:t>“PA</w:t>
      </w:r>
      <w:r>
        <w:rPr>
          <w:rFonts w:ascii="Arial" w:cs="Arial" w:eastAsia="Arial" w:hAnsi="Arial"/>
          <w:sz w:val="20"/>
          <w:szCs w:val="20"/>
          <w:color w:val="auto"/>
        </w:rPr>
        <w:t xml:space="preserve"> </w:t>
      </w:r>
      <w:r>
        <w:rPr>
          <w:rFonts w:ascii="Arial" w:cs="Arial" w:eastAsia="Arial" w:hAnsi="Arial"/>
          <w:sz w:val="20"/>
          <w:szCs w:val="20"/>
          <w:b w:val="1"/>
          <w:bCs w:val="1"/>
          <w:color w:val="auto"/>
        </w:rPr>
        <w:t>Effective Date”</w:t>
      </w:r>
      <w:r>
        <w:rPr>
          <w:rFonts w:ascii="Arial" w:cs="Arial" w:eastAsia="Arial" w:hAnsi="Arial"/>
          <w:sz w:val="20"/>
          <w:szCs w:val="20"/>
          <w:color w:val="auto"/>
        </w:rPr>
        <w:t>) by and between Panasonic Corporation of North America doing business as Panasonic Industrial Devices Sales Company</w:t>
      </w:r>
      <w:r>
        <w:rPr>
          <w:rFonts w:ascii="Arial" w:cs="Arial" w:eastAsia="Arial" w:hAnsi="Arial"/>
          <w:sz w:val="20"/>
          <w:szCs w:val="20"/>
          <w:b w:val="1"/>
          <w:bCs w:val="1"/>
          <w:color w:val="auto"/>
        </w:rPr>
        <w:t xml:space="preserve"> </w:t>
      </w:r>
      <w:r>
        <w:rPr>
          <w:rFonts w:ascii="Arial" w:cs="Arial" w:eastAsia="Arial" w:hAnsi="Arial"/>
          <w:sz w:val="20"/>
          <w:szCs w:val="20"/>
          <w:color w:val="auto"/>
        </w:rPr>
        <w:t>of America, a Delaware corporation with offices at 2 Riverfront Plaza, Newark, NJ 07102 (</w:t>
      </w:r>
      <w:r>
        <w:rPr>
          <w:rFonts w:ascii="Arial" w:cs="Arial" w:eastAsia="Arial" w:hAnsi="Arial"/>
          <w:sz w:val="20"/>
          <w:szCs w:val="20"/>
          <w:b w:val="1"/>
          <w:bCs w:val="1"/>
          <w:color w:val="auto"/>
        </w:rPr>
        <w:t>“Affiliate”</w:t>
      </w:r>
      <w:r>
        <w:rPr>
          <w:rFonts w:ascii="Arial" w:cs="Arial" w:eastAsia="Arial" w:hAnsi="Arial"/>
          <w:sz w:val="20"/>
          <w:szCs w:val="20"/>
          <w:color w:val="auto"/>
        </w:rPr>
        <w:t>), and LUCID USA, Inc., a corporation duly organized and existing under the laws of the State of Delaware, USA, having its principal place of business at 7373 Gateway Blvd Newark, CA 94560 USA (“</w:t>
      </w:r>
      <w:r>
        <w:rPr>
          <w:rFonts w:ascii="Arial" w:cs="Arial" w:eastAsia="Arial" w:hAnsi="Arial"/>
          <w:sz w:val="20"/>
          <w:szCs w:val="20"/>
          <w:b w:val="1"/>
          <w:bCs w:val="1"/>
          <w:color w:val="auto"/>
        </w:rPr>
        <w:t>LUCID</w:t>
      </w:r>
      <w:r>
        <w:rPr>
          <w:rFonts w:ascii="Arial" w:cs="Arial" w:eastAsia="Arial" w:hAnsi="Arial"/>
          <w:sz w:val="20"/>
          <w:szCs w:val="20"/>
          <w:color w:val="auto"/>
        </w:rPr>
        <w:t>”).</w:t>
      </w:r>
    </w:p>
    <w:p>
      <w:pPr>
        <w:spacing w:after="0" w:line="129" w:lineRule="exact"/>
        <w:rPr>
          <w:sz w:val="20"/>
          <w:szCs w:val="20"/>
          <w:color w:val="auto"/>
        </w:rPr>
      </w:pPr>
    </w:p>
    <w:p>
      <w:pPr>
        <w:ind w:right="460"/>
        <w:spacing w:after="0" w:line="295" w:lineRule="auto"/>
        <w:rPr>
          <w:sz w:val="20"/>
          <w:szCs w:val="20"/>
          <w:color w:val="auto"/>
        </w:rPr>
      </w:pPr>
      <w:r>
        <w:rPr>
          <w:rFonts w:ascii="Arial" w:cs="Arial" w:eastAsia="Arial" w:hAnsi="Arial"/>
          <w:sz w:val="20"/>
          <w:szCs w:val="20"/>
          <w:color w:val="auto"/>
        </w:rPr>
        <w:t>WHEREAS, Panasonic Energy Co., Ltd. (</w:t>
      </w:r>
      <w:r>
        <w:rPr>
          <w:rFonts w:ascii="Arial" w:cs="Arial" w:eastAsia="Arial" w:hAnsi="Arial"/>
          <w:sz w:val="20"/>
          <w:szCs w:val="20"/>
          <w:b w:val="1"/>
          <w:bCs w:val="1"/>
          <w:color w:val="auto"/>
        </w:rPr>
        <w:t>“Supplier”</w:t>
      </w:r>
      <w:r>
        <w:rPr>
          <w:rFonts w:ascii="Arial" w:cs="Arial" w:eastAsia="Arial" w:hAnsi="Arial"/>
          <w:sz w:val="20"/>
          <w:szCs w:val="20"/>
          <w:color w:val="auto"/>
        </w:rPr>
        <w:t>) and LUCID have entered into a General Terms and Conditions for Prototype and Production Parts and Services dated December 1, 2022 (the “</w:t>
      </w:r>
      <w:r>
        <w:rPr>
          <w:rFonts w:ascii="Arial" w:cs="Arial" w:eastAsia="Arial" w:hAnsi="Arial"/>
          <w:sz w:val="20"/>
          <w:szCs w:val="20"/>
          <w:b w:val="1"/>
          <w:bCs w:val="1"/>
          <w:color w:val="auto"/>
        </w:rPr>
        <w:t>GTC</w:t>
      </w:r>
      <w:r>
        <w:rPr>
          <w:rFonts w:ascii="Arial" w:cs="Arial" w:eastAsia="Arial" w:hAnsi="Arial"/>
          <w:sz w:val="20"/>
          <w:szCs w:val="20"/>
          <w:color w:val="auto"/>
        </w:rPr>
        <w:t>”);</w:t>
      </w:r>
    </w:p>
    <w:p>
      <w:pPr>
        <w:spacing w:after="0" w:line="89" w:lineRule="exact"/>
        <w:rPr>
          <w:sz w:val="20"/>
          <w:szCs w:val="20"/>
          <w:color w:val="auto"/>
        </w:rPr>
      </w:pPr>
    </w:p>
    <w:p>
      <w:pPr>
        <w:ind w:right="40"/>
        <w:spacing w:after="0" w:line="274" w:lineRule="auto"/>
        <w:rPr>
          <w:sz w:val="20"/>
          <w:szCs w:val="20"/>
          <w:color w:val="auto"/>
        </w:rPr>
      </w:pPr>
      <w:r>
        <w:rPr>
          <w:rFonts w:ascii="Arial" w:cs="Arial" w:eastAsia="Arial" w:hAnsi="Arial"/>
          <w:sz w:val="20"/>
          <w:szCs w:val="20"/>
          <w:color w:val="auto"/>
        </w:rPr>
        <w:t>WHEREAS, upon execution and delivery of this Participation Agreement, Affiliate will have certain rights (including the right to sell Goods, Development Goods and/or Services ordered by LUCID) and obligations under the GTC; and</w:t>
      </w:r>
    </w:p>
    <w:p>
      <w:pPr>
        <w:spacing w:after="0" w:line="109" w:lineRule="exact"/>
        <w:rPr>
          <w:sz w:val="20"/>
          <w:szCs w:val="20"/>
          <w:color w:val="auto"/>
        </w:rPr>
      </w:pPr>
    </w:p>
    <w:p>
      <w:pPr>
        <w:spacing w:after="0"/>
        <w:rPr>
          <w:sz w:val="20"/>
          <w:szCs w:val="20"/>
          <w:color w:val="auto"/>
        </w:rPr>
      </w:pPr>
      <w:r>
        <w:rPr>
          <w:rFonts w:ascii="Arial" w:cs="Arial" w:eastAsia="Arial" w:hAnsi="Arial"/>
          <w:sz w:val="20"/>
          <w:szCs w:val="20"/>
          <w:color w:val="auto"/>
        </w:rPr>
        <w:t>WHEREAS, Affiliate desires to have such rights and obligations.</w:t>
      </w:r>
    </w:p>
    <w:p>
      <w:pPr>
        <w:spacing w:after="0" w:line="162" w:lineRule="exact"/>
        <w:rPr>
          <w:sz w:val="20"/>
          <w:szCs w:val="20"/>
          <w:color w:val="auto"/>
        </w:rPr>
      </w:pPr>
    </w:p>
    <w:p>
      <w:pPr>
        <w:spacing w:after="0"/>
        <w:rPr>
          <w:sz w:val="20"/>
          <w:szCs w:val="20"/>
          <w:color w:val="auto"/>
        </w:rPr>
      </w:pPr>
      <w:r>
        <w:rPr>
          <w:rFonts w:ascii="Arial" w:cs="Arial" w:eastAsia="Arial" w:hAnsi="Arial"/>
          <w:sz w:val="19"/>
          <w:szCs w:val="19"/>
          <w:color w:val="auto"/>
        </w:rPr>
        <w:t>NOW, THEREFORE, for good and valuable consideration, the receipt and sufficiency of which is hereby acknowledged, Affiliate and</w:t>
      </w:r>
    </w:p>
    <w:p>
      <w:pPr>
        <w:spacing w:after="0" w:line="32" w:lineRule="exact"/>
        <w:rPr>
          <w:sz w:val="20"/>
          <w:szCs w:val="20"/>
          <w:color w:val="auto"/>
        </w:rPr>
      </w:pPr>
    </w:p>
    <w:p>
      <w:pPr>
        <w:spacing w:after="0"/>
        <w:rPr>
          <w:sz w:val="20"/>
          <w:szCs w:val="20"/>
          <w:color w:val="auto"/>
        </w:rPr>
      </w:pPr>
      <w:r>
        <w:rPr>
          <w:rFonts w:ascii="Arial" w:cs="Arial" w:eastAsia="Arial" w:hAnsi="Arial"/>
          <w:sz w:val="20"/>
          <w:szCs w:val="20"/>
          <w:color w:val="auto"/>
        </w:rPr>
        <w:t>LUCID agree as follows:</w:t>
      </w:r>
    </w:p>
    <w:p>
      <w:pPr>
        <w:spacing w:after="0" w:line="154" w:lineRule="exact"/>
        <w:rPr>
          <w:sz w:val="20"/>
          <w:szCs w:val="20"/>
          <w:color w:val="auto"/>
        </w:rPr>
      </w:pPr>
    </w:p>
    <w:p>
      <w:pPr>
        <w:ind w:left="360" w:hanging="352"/>
        <w:spacing w:after="0"/>
        <w:tabs>
          <w:tab w:leader="none" w:pos="360" w:val="left"/>
        </w:tabs>
        <w:numPr>
          <w:ilvl w:val="0"/>
          <w:numId w:val="105"/>
        </w:numPr>
        <w:rPr>
          <w:rFonts w:ascii="Arial" w:cs="Arial" w:eastAsia="Arial" w:hAnsi="Arial"/>
          <w:sz w:val="20"/>
          <w:szCs w:val="20"/>
          <w:b w:val="1"/>
          <w:bCs w:val="1"/>
          <w:color w:val="auto"/>
        </w:rPr>
      </w:pPr>
      <w:r>
        <w:rPr>
          <w:rFonts w:ascii="Arial" w:cs="Arial" w:eastAsia="Arial" w:hAnsi="Arial"/>
          <w:sz w:val="20"/>
          <w:szCs w:val="20"/>
          <w:color w:val="auto"/>
        </w:rPr>
        <w:t>Capitalized terms used in this Participation Agreement but not defined shall have the meanings given in the GTC.</w:t>
      </w:r>
    </w:p>
    <w:p>
      <w:pPr>
        <w:spacing w:after="0" w:line="161" w:lineRule="exact"/>
        <w:rPr>
          <w:rFonts w:ascii="Arial" w:cs="Arial" w:eastAsia="Arial" w:hAnsi="Arial"/>
          <w:sz w:val="20"/>
          <w:szCs w:val="20"/>
          <w:b w:val="1"/>
          <w:bCs w:val="1"/>
          <w:color w:val="auto"/>
        </w:rPr>
      </w:pPr>
    </w:p>
    <w:p>
      <w:pPr>
        <w:ind w:right="800" w:firstLine="8"/>
        <w:spacing w:after="0" w:line="271" w:lineRule="auto"/>
        <w:tabs>
          <w:tab w:leader="none" w:pos="346" w:val="left"/>
        </w:tabs>
        <w:numPr>
          <w:ilvl w:val="0"/>
          <w:numId w:val="105"/>
        </w:numPr>
        <w:rPr>
          <w:rFonts w:ascii="Arial" w:cs="Arial" w:eastAsia="Arial" w:hAnsi="Arial"/>
          <w:sz w:val="20"/>
          <w:szCs w:val="20"/>
          <w:b w:val="1"/>
          <w:bCs w:val="1"/>
          <w:color w:val="auto"/>
        </w:rPr>
      </w:pPr>
      <w:r>
        <w:rPr>
          <w:rFonts w:ascii="Arial" w:cs="Arial" w:eastAsia="Arial" w:hAnsi="Arial"/>
          <w:sz w:val="20"/>
          <w:szCs w:val="20"/>
          <w:color w:val="auto"/>
        </w:rPr>
        <w:t>Under the terms and conditions of the GTC and this Participation Agreement, LUCID and Affiliate may enter into Spot Orders, Production Orders, Releases, production pricing agreements and other agreements pursuant to which Affiliate shall deliver Goods, Development Goods and/or Services to LUCID.</w:t>
      </w:r>
    </w:p>
    <w:p>
      <w:pPr>
        <w:spacing w:after="0" w:line="111" w:lineRule="exact"/>
        <w:rPr>
          <w:rFonts w:ascii="Arial" w:cs="Arial" w:eastAsia="Arial" w:hAnsi="Arial"/>
          <w:sz w:val="20"/>
          <w:szCs w:val="20"/>
          <w:b w:val="1"/>
          <w:bCs w:val="1"/>
          <w:color w:val="auto"/>
        </w:rPr>
      </w:pPr>
    </w:p>
    <w:p>
      <w:pPr>
        <w:ind w:right="780" w:firstLine="8"/>
        <w:spacing w:after="0" w:line="332" w:lineRule="auto"/>
        <w:tabs>
          <w:tab w:leader="none" w:pos="346" w:val="left"/>
        </w:tabs>
        <w:numPr>
          <w:ilvl w:val="0"/>
          <w:numId w:val="105"/>
        </w:numPr>
        <w:rPr>
          <w:rFonts w:ascii="Arial" w:cs="Arial" w:eastAsia="Arial" w:hAnsi="Arial"/>
          <w:sz w:val="18"/>
          <w:szCs w:val="18"/>
          <w:b w:val="1"/>
          <w:bCs w:val="1"/>
          <w:color w:val="auto"/>
        </w:rPr>
      </w:pPr>
      <w:r>
        <w:rPr>
          <w:rFonts w:ascii="Arial" w:cs="Arial" w:eastAsia="Arial" w:hAnsi="Arial"/>
          <w:sz w:val="18"/>
          <w:szCs w:val="18"/>
          <w:color w:val="auto"/>
        </w:rPr>
        <w:t>LUCID will make all payments that are properly due and payable of purchase prices, fees and expenses under the GTC and this Participation Agreement in connection with the purchase of Goods, Development Goods and/or Services performed by Affiliate.</w:t>
      </w:r>
    </w:p>
    <w:p>
      <w:pPr>
        <w:spacing w:after="0" w:line="61" w:lineRule="exact"/>
        <w:rPr>
          <w:rFonts w:ascii="Arial" w:cs="Arial" w:eastAsia="Arial" w:hAnsi="Arial"/>
          <w:sz w:val="18"/>
          <w:szCs w:val="18"/>
          <w:b w:val="1"/>
          <w:bCs w:val="1"/>
          <w:color w:val="auto"/>
        </w:rPr>
      </w:pPr>
    </w:p>
    <w:p>
      <w:pPr>
        <w:ind w:right="60" w:firstLine="8"/>
        <w:spacing w:after="0" w:line="295" w:lineRule="auto"/>
        <w:tabs>
          <w:tab w:leader="none" w:pos="343" w:val="left"/>
        </w:tabs>
        <w:numPr>
          <w:ilvl w:val="0"/>
          <w:numId w:val="105"/>
        </w:numPr>
        <w:rPr>
          <w:rFonts w:ascii="Arial" w:cs="Arial" w:eastAsia="Arial" w:hAnsi="Arial"/>
          <w:sz w:val="18"/>
          <w:szCs w:val="18"/>
          <w:b w:val="1"/>
          <w:bCs w:val="1"/>
          <w:color w:val="auto"/>
        </w:rPr>
      </w:pPr>
      <w:r>
        <w:rPr>
          <w:rFonts w:ascii="Arial" w:cs="Arial" w:eastAsia="Arial" w:hAnsi="Arial"/>
          <w:sz w:val="18"/>
          <w:szCs w:val="18"/>
          <w:color w:val="auto"/>
        </w:rPr>
        <w:t>The term of this Participation Agreement shall commence on the PA Effective Date and continue until the expiration or termination of the GTC, unless earlier terminated as provided below. The termination rights set forth in the GTC shall apply equally to each party’s rights of termination with respect to this Participation Agreement and any Spot Orders accepted by Affiliate, Production Orders, Releases, production pricing agreements and other agreements entered into pursuant to the GTC. Affiliate shall have all of the rights and obligations of Supplier under the GTC and will be bound by all of the terms and conditions of the GTC as though it was Supplier thereunder, as such terms and conditions may be modified or amended from time to time by Supplier and LUCID. Notwithstanding the foregoing, (i) Affiliate shall not have any right to amend, assign or terminate the GTC and (ii) termination of this Participation Agreement shall not affect the GTC.</w:t>
      </w:r>
    </w:p>
    <w:p>
      <w:pPr>
        <w:spacing w:after="0" w:line="95" w:lineRule="exact"/>
        <w:rPr>
          <w:rFonts w:ascii="Arial" w:cs="Arial" w:eastAsia="Arial" w:hAnsi="Arial"/>
          <w:sz w:val="18"/>
          <w:szCs w:val="18"/>
          <w:b w:val="1"/>
          <w:bCs w:val="1"/>
          <w:color w:val="auto"/>
        </w:rPr>
      </w:pPr>
    </w:p>
    <w:p>
      <w:pPr>
        <w:ind w:left="360" w:hanging="352"/>
        <w:spacing w:after="0"/>
        <w:tabs>
          <w:tab w:leader="none" w:pos="360" w:val="left"/>
        </w:tabs>
        <w:numPr>
          <w:ilvl w:val="0"/>
          <w:numId w:val="105"/>
        </w:numPr>
        <w:rPr>
          <w:rFonts w:ascii="Arial" w:cs="Arial" w:eastAsia="Arial" w:hAnsi="Arial"/>
          <w:sz w:val="16"/>
          <w:szCs w:val="16"/>
          <w:b w:val="1"/>
          <w:bCs w:val="1"/>
          <w:color w:val="auto"/>
        </w:rPr>
      </w:pPr>
      <w:r>
        <w:rPr>
          <w:rFonts w:ascii="Arial" w:cs="Arial" w:eastAsia="Arial" w:hAnsi="Arial"/>
          <w:sz w:val="16"/>
          <w:szCs w:val="16"/>
          <w:color w:val="auto"/>
        </w:rPr>
        <w:t>Affiliate’s address for notice purposes is stated in the applicable production pricing agreement, or such new address(es) as may from time</w:t>
      </w:r>
    </w:p>
    <w:p>
      <w:pPr>
        <w:spacing w:after="0" w:line="66" w:lineRule="exact"/>
        <w:rPr>
          <w:sz w:val="20"/>
          <w:szCs w:val="20"/>
          <w:color w:val="auto"/>
        </w:rPr>
      </w:pPr>
    </w:p>
    <w:p>
      <w:pPr>
        <w:spacing w:after="0"/>
        <w:tabs>
          <w:tab w:leader="none" w:pos="4900" w:val="left"/>
          <w:tab w:leader="none" w:pos="5440" w:val="left"/>
          <w:tab w:leader="none" w:pos="6120" w:val="left"/>
          <w:tab w:leader="none" w:pos="6660" w:val="left"/>
        </w:tabs>
        <w:rPr>
          <w:sz w:val="20"/>
          <w:szCs w:val="20"/>
          <w:color w:val="auto"/>
        </w:rPr>
      </w:pPr>
      <w:r>
        <w:rPr>
          <w:rFonts w:ascii="Arial" w:cs="Arial" w:eastAsia="Arial" w:hAnsi="Arial"/>
          <w:sz w:val="20"/>
          <w:szCs w:val="20"/>
          <w:color w:val="auto"/>
        </w:rPr>
        <w:t>to time be provided by Affiliate to LUCID with copies to</w:t>
      </w:r>
      <w:r>
        <w:rPr>
          <w:sz w:val="20"/>
          <w:szCs w:val="20"/>
          <w:color w:val="auto"/>
        </w:rPr>
        <w:tab/>
      </w:r>
      <w:r>
        <w:rPr>
          <w:rFonts w:ascii="Arial" w:cs="Arial" w:eastAsia="Arial" w:hAnsi="Arial"/>
          <w:sz w:val="20"/>
          <w:szCs w:val="20"/>
          <w:color w:val="auto"/>
        </w:rPr>
        <w:t>at</w:t>
      </w:r>
      <w:r>
        <w:rPr>
          <w:sz w:val="20"/>
          <w:szCs w:val="20"/>
          <w:color w:val="auto"/>
        </w:rPr>
        <w:tab/>
      </w:r>
      <w:r>
        <w:rPr>
          <w:rFonts w:ascii="Arial" w:cs="Arial" w:eastAsia="Arial" w:hAnsi="Arial"/>
          <w:sz w:val="20"/>
          <w:szCs w:val="20"/>
          <w:color w:val="auto"/>
        </w:rPr>
        <w:t>and</w:t>
      </w:r>
      <w:r>
        <w:rPr>
          <w:sz w:val="20"/>
          <w:szCs w:val="20"/>
          <w:color w:val="auto"/>
        </w:rPr>
        <w:tab/>
      </w:r>
      <w:r>
        <w:rPr>
          <w:rFonts w:ascii="Arial" w:cs="Arial" w:eastAsia="Arial" w:hAnsi="Arial"/>
          <w:sz w:val="20"/>
          <w:szCs w:val="20"/>
          <w:color w:val="auto"/>
        </w:rPr>
        <w:t>at</w:t>
      </w:r>
      <w:r>
        <w:rPr>
          <w:sz w:val="20"/>
          <w:szCs w:val="20"/>
          <w:color w:val="auto"/>
        </w:rPr>
        <w:tab/>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1240"/>
          </w:cols>
          <w:pgMar w:left="320" w:top="1426" w:right="339" w:bottom="1440" w:gutter="0" w:footer="0" w:header="0"/>
        </w:sectPr>
      </w:pPr>
    </w:p>
    <w:bookmarkStart w:id="176" w:name="page177"/>
    <w:bookmarkEnd w:id="176"/>
    <w:p>
      <w:pPr>
        <w:spacing w:after="0" w:line="274" w:lineRule="auto"/>
        <w:rPr>
          <w:sz w:val="20"/>
          <w:szCs w:val="20"/>
          <w:color w:val="auto"/>
        </w:rPr>
      </w:pPr>
      <w:r>
        <w:rPr>
          <w:rFonts w:ascii="Arial" w:cs="Arial" w:eastAsia="Arial" w:hAnsi="Arial"/>
          <w:sz w:val="20"/>
          <w:szCs w:val="20"/>
          <w:color w:val="auto"/>
        </w:rPr>
        <w:t>IN WITNESS WHEREOF, the parties hereto have caused this Agreement to be executed by their respective authorized representatives as of the date first written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586105</wp:posOffset>
            </wp:positionV>
            <wp:extent cx="7046595" cy="203136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55">
                      <a:extLst>
                        <a:ext uri="{28A0092B-C50C-407E-A947-70E740481C1C}"/>
                      </a:extLst>
                    </a:blip>
                    <a:srcRect/>
                    <a:stretch>
                      <a:fillRect/>
                    </a:stretch>
                  </pic:blipFill>
                  <pic:spPr bwMode="auto">
                    <a:xfrm>
                      <a:off x="0" y="0"/>
                      <a:ext cx="7046595" cy="2031365"/>
                    </a:xfrm>
                    <a:prstGeom prst="rect">
                      <a:avLst/>
                    </a:prstGeom>
                    <a:noFill/>
                  </pic:spPr>
                </pic:pic>
              </a:graphicData>
            </a:graphic>
          </wp:anchor>
        </w:drawing>
      </w:r>
    </w:p>
    <w:p>
      <w:pPr>
        <w:sectPr>
          <w:pgSz w:w="11900" w:h="16838" w:orient="portrait"/>
          <w:cols w:equalWidth="0" w:num="1">
            <w:col w:w="11100"/>
          </w:cols>
          <w:pgMar w:left="320" w:top="1432" w:right="4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40" w:right="40"/>
        <w:spacing w:after="0" w:line="408" w:lineRule="auto"/>
        <w:rPr>
          <w:sz w:val="20"/>
          <w:szCs w:val="20"/>
          <w:color w:val="auto"/>
        </w:rPr>
      </w:pPr>
      <w:r>
        <w:rPr>
          <w:rFonts w:ascii="Arial" w:cs="Arial" w:eastAsia="Arial" w:hAnsi="Arial"/>
          <w:sz w:val="16"/>
          <w:szCs w:val="16"/>
          <w:b w:val="1"/>
          <w:bCs w:val="1"/>
          <w:color w:val="auto"/>
        </w:rPr>
        <w:t>Panasonic Corporation of North America doing business as Panasonic Industrial Devices Sales Company of America</w:t>
      </w:r>
    </w:p>
    <w:p>
      <w:pPr>
        <w:spacing w:after="0" w:line="1" w:lineRule="exact"/>
        <w:rPr>
          <w:sz w:val="20"/>
          <w:szCs w:val="20"/>
          <w:color w:val="auto"/>
        </w:rPr>
      </w:pPr>
    </w:p>
    <w:tbl>
      <w:tblPr>
        <w:tblLayout w:type="fixed"/>
        <w:tblInd w:w="80" w:type="dxa"/>
        <w:tblCellMar>
          <w:top w:w="0" w:type="dxa"/>
          <w:left w:w="0" w:type="dxa"/>
          <w:bottom w:w="0" w:type="dxa"/>
          <w:right w:w="0" w:type="dxa"/>
        </w:tblCellMar>
      </w:tblPr>
      <w:tr>
        <w:trPr>
          <w:trHeight w:val="291"/>
        </w:trPr>
        <w:tc>
          <w:tcPr>
            <w:tcW w:w="1020" w:type="dxa"/>
            <w:vAlign w:val="bottom"/>
          </w:tcPr>
          <w:p>
            <w:pPr>
              <w:spacing w:after="0"/>
              <w:rPr>
                <w:sz w:val="20"/>
                <w:szCs w:val="20"/>
                <w:color w:val="auto"/>
              </w:rPr>
            </w:pPr>
            <w:r>
              <w:rPr>
                <w:rFonts w:ascii="Arial" w:cs="Arial" w:eastAsia="Arial" w:hAnsi="Arial"/>
                <w:sz w:val="20"/>
                <w:szCs w:val="20"/>
                <w:color w:val="auto"/>
              </w:rPr>
              <w:t>By:</w:t>
            </w:r>
          </w:p>
        </w:tc>
        <w:tc>
          <w:tcPr>
            <w:tcW w:w="3880" w:type="dxa"/>
            <w:vAlign w:val="bottom"/>
          </w:tcPr>
          <w:p>
            <w:pPr>
              <w:ind w:left="60"/>
              <w:spacing w:after="0"/>
              <w:rPr>
                <w:sz w:val="20"/>
                <w:szCs w:val="20"/>
                <w:color w:val="auto"/>
              </w:rPr>
            </w:pPr>
            <w:r>
              <w:rPr>
                <w:rFonts w:ascii="Arial" w:cs="Arial" w:eastAsia="Arial" w:hAnsi="Arial"/>
                <w:sz w:val="20"/>
                <w:szCs w:val="20"/>
                <w:color w:val="auto"/>
              </w:rPr>
              <w:t>/s/ Minoru Kondo</w:t>
            </w:r>
          </w:p>
        </w:tc>
        <w:tc>
          <w:tcPr>
            <w:tcW w:w="0" w:type="dxa"/>
            <w:vAlign w:val="bottom"/>
          </w:tcPr>
          <w:p>
            <w:pPr>
              <w:spacing w:after="0"/>
              <w:rPr>
                <w:sz w:val="1"/>
                <w:szCs w:val="1"/>
                <w:color w:val="auto"/>
              </w:rPr>
            </w:pPr>
          </w:p>
        </w:tc>
      </w:tr>
      <w:tr>
        <w:trPr>
          <w:trHeight w:val="131"/>
        </w:trPr>
        <w:tc>
          <w:tcPr>
            <w:tcW w:w="1020" w:type="dxa"/>
            <w:vAlign w:val="bottom"/>
            <w:vMerge w:val="restart"/>
          </w:tcPr>
          <w:p>
            <w:pPr>
              <w:spacing w:after="0"/>
              <w:rPr>
                <w:sz w:val="20"/>
                <w:szCs w:val="20"/>
                <w:color w:val="auto"/>
              </w:rPr>
            </w:pPr>
            <w:r>
              <w:rPr>
                <w:rFonts w:ascii="Arial" w:cs="Arial" w:eastAsia="Arial" w:hAnsi="Arial"/>
                <w:sz w:val="20"/>
                <w:szCs w:val="20"/>
                <w:color w:val="auto"/>
              </w:rPr>
              <w:t>Printed:</w:t>
            </w:r>
          </w:p>
        </w:tc>
        <w:tc>
          <w:tcPr>
            <w:tcW w:w="38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68"/>
        </w:trPr>
        <w:tc>
          <w:tcPr>
            <w:tcW w:w="1020" w:type="dxa"/>
            <w:vAlign w:val="bottom"/>
            <w:vMerge w:val="continue"/>
          </w:tcPr>
          <w:p>
            <w:pPr>
              <w:spacing w:after="0"/>
              <w:rPr>
                <w:sz w:val="23"/>
                <w:szCs w:val="23"/>
                <w:color w:val="auto"/>
              </w:rPr>
            </w:pPr>
          </w:p>
        </w:tc>
        <w:tc>
          <w:tcPr>
            <w:tcW w:w="3880" w:type="dxa"/>
            <w:vAlign w:val="bottom"/>
          </w:tcPr>
          <w:p>
            <w:pPr>
              <w:ind w:left="120"/>
              <w:spacing w:after="0"/>
              <w:rPr>
                <w:sz w:val="20"/>
                <w:szCs w:val="20"/>
                <w:color w:val="auto"/>
              </w:rPr>
            </w:pPr>
            <w:r>
              <w:rPr>
                <w:rFonts w:ascii="Arial" w:cs="Arial" w:eastAsia="Arial" w:hAnsi="Arial"/>
                <w:sz w:val="20"/>
                <w:szCs w:val="20"/>
                <w:color w:val="auto"/>
              </w:rPr>
              <w:t>Minoru Kondo</w:t>
            </w:r>
          </w:p>
        </w:tc>
        <w:tc>
          <w:tcPr>
            <w:tcW w:w="0" w:type="dxa"/>
            <w:vAlign w:val="bottom"/>
          </w:tcPr>
          <w:p>
            <w:pPr>
              <w:spacing w:after="0"/>
              <w:rPr>
                <w:sz w:val="1"/>
                <w:szCs w:val="1"/>
                <w:color w:val="auto"/>
              </w:rPr>
            </w:pPr>
          </w:p>
        </w:tc>
      </w:tr>
      <w:tr>
        <w:trPr>
          <w:trHeight w:val="172"/>
        </w:trPr>
        <w:tc>
          <w:tcPr>
            <w:tcW w:w="1020" w:type="dxa"/>
            <w:vAlign w:val="bottom"/>
            <w:vMerge w:val="restart"/>
          </w:tcPr>
          <w:p>
            <w:pPr>
              <w:spacing w:after="0"/>
              <w:rPr>
                <w:sz w:val="20"/>
                <w:szCs w:val="20"/>
                <w:color w:val="auto"/>
              </w:rPr>
            </w:pPr>
            <w:r>
              <w:rPr>
                <w:rFonts w:ascii="Arial" w:cs="Arial" w:eastAsia="Arial" w:hAnsi="Arial"/>
                <w:sz w:val="20"/>
                <w:szCs w:val="20"/>
                <w:color w:val="auto"/>
              </w:rPr>
              <w:t>Title:</w:t>
            </w:r>
          </w:p>
        </w:tc>
        <w:tc>
          <w:tcPr>
            <w:tcW w:w="38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68"/>
        </w:trPr>
        <w:tc>
          <w:tcPr>
            <w:tcW w:w="1020" w:type="dxa"/>
            <w:vAlign w:val="bottom"/>
            <w:vMerge w:val="continue"/>
          </w:tcPr>
          <w:p>
            <w:pPr>
              <w:spacing w:after="0"/>
              <w:rPr>
                <w:sz w:val="23"/>
                <w:szCs w:val="23"/>
                <w:color w:val="auto"/>
              </w:rPr>
            </w:pPr>
          </w:p>
        </w:tc>
        <w:tc>
          <w:tcPr>
            <w:tcW w:w="3880" w:type="dxa"/>
            <w:vAlign w:val="bottom"/>
          </w:tcPr>
          <w:p>
            <w:pPr>
              <w:ind w:left="60"/>
              <w:spacing w:after="0"/>
              <w:rPr>
                <w:sz w:val="20"/>
                <w:szCs w:val="20"/>
                <w:color w:val="auto"/>
              </w:rPr>
            </w:pPr>
            <w:r>
              <w:rPr>
                <w:rFonts w:ascii="Arial" w:cs="Arial" w:eastAsia="Arial" w:hAnsi="Arial"/>
                <w:sz w:val="20"/>
                <w:szCs w:val="20"/>
                <w:color w:val="auto"/>
              </w:rPr>
              <w:t>Vice President, PIDSA-ED</w:t>
            </w:r>
          </w:p>
        </w:tc>
        <w:tc>
          <w:tcPr>
            <w:tcW w:w="0" w:type="dxa"/>
            <w:vAlign w:val="bottom"/>
          </w:tcPr>
          <w:p>
            <w:pPr>
              <w:spacing w:after="0"/>
              <w:rPr>
                <w:sz w:val="1"/>
                <w:szCs w:val="1"/>
                <w:color w:val="auto"/>
              </w:rPr>
            </w:pPr>
          </w:p>
        </w:tc>
      </w:tr>
      <w:tr>
        <w:trPr>
          <w:trHeight w:val="172"/>
        </w:trPr>
        <w:tc>
          <w:tcPr>
            <w:tcW w:w="1020" w:type="dxa"/>
            <w:vAlign w:val="bottom"/>
            <w:vMerge w:val="restart"/>
          </w:tcPr>
          <w:p>
            <w:pPr>
              <w:spacing w:after="0"/>
              <w:rPr>
                <w:sz w:val="20"/>
                <w:szCs w:val="20"/>
                <w:color w:val="auto"/>
              </w:rPr>
            </w:pPr>
            <w:r>
              <w:rPr>
                <w:rFonts w:ascii="Arial" w:cs="Arial" w:eastAsia="Arial" w:hAnsi="Arial"/>
                <w:sz w:val="20"/>
                <w:szCs w:val="20"/>
                <w:color w:val="auto"/>
              </w:rPr>
              <w:t>Date:</w:t>
            </w:r>
          </w:p>
        </w:tc>
        <w:tc>
          <w:tcPr>
            <w:tcW w:w="38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68"/>
        </w:trPr>
        <w:tc>
          <w:tcPr>
            <w:tcW w:w="1020" w:type="dxa"/>
            <w:vAlign w:val="bottom"/>
            <w:vMerge w:val="continue"/>
          </w:tcPr>
          <w:p>
            <w:pPr>
              <w:spacing w:after="0"/>
              <w:rPr>
                <w:sz w:val="23"/>
                <w:szCs w:val="23"/>
                <w:color w:val="auto"/>
              </w:rPr>
            </w:pPr>
          </w:p>
        </w:tc>
        <w:tc>
          <w:tcPr>
            <w:tcW w:w="3880" w:type="dxa"/>
            <w:vAlign w:val="bottom"/>
          </w:tcPr>
          <w:p>
            <w:pPr>
              <w:ind w:left="60"/>
              <w:spacing w:after="0"/>
              <w:rPr>
                <w:sz w:val="20"/>
                <w:szCs w:val="20"/>
                <w:color w:val="auto"/>
              </w:rPr>
            </w:pPr>
            <w:r>
              <w:rPr>
                <w:rFonts w:ascii="Arial" w:cs="Arial" w:eastAsia="Arial" w:hAnsi="Arial"/>
                <w:sz w:val="20"/>
                <w:szCs w:val="20"/>
                <w:color w:val="auto"/>
              </w:rPr>
              <w:t>2022/12/9</w:t>
            </w:r>
          </w:p>
        </w:tc>
        <w:tc>
          <w:tcPr>
            <w:tcW w:w="0" w:type="dxa"/>
            <w:vAlign w:val="bottom"/>
          </w:tcPr>
          <w:p>
            <w:pPr>
              <w:spacing w:after="0"/>
              <w:rPr>
                <w:sz w:val="1"/>
                <w:szCs w:val="1"/>
                <w:color w:val="auto"/>
              </w:rPr>
            </w:pPr>
          </w:p>
        </w:tc>
      </w:tr>
      <w:tr>
        <w:trPr>
          <w:trHeight w:val="171"/>
        </w:trPr>
        <w:tc>
          <w:tcPr>
            <w:tcW w:w="1020" w:type="dxa"/>
            <w:vAlign w:val="bottom"/>
          </w:tcPr>
          <w:p>
            <w:pPr>
              <w:spacing w:after="0"/>
              <w:rPr>
                <w:sz w:val="14"/>
                <w:szCs w:val="14"/>
                <w:color w:val="auto"/>
              </w:rPr>
            </w:pPr>
          </w:p>
        </w:tc>
        <w:tc>
          <w:tcPr>
            <w:tcW w:w="38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Lucid USA, Inc.</w:t>
      </w:r>
    </w:p>
    <w:p>
      <w:pPr>
        <w:spacing w:after="0" w:line="397" w:lineRule="exact"/>
        <w:rPr>
          <w:sz w:val="20"/>
          <w:szCs w:val="20"/>
          <w:color w:val="auto"/>
        </w:rPr>
      </w:pPr>
    </w:p>
    <w:tbl>
      <w:tblPr>
        <w:tblLayout w:type="fixed"/>
        <w:tblInd w:w="40" w:type="dxa"/>
        <w:tblCellMar>
          <w:top w:w="0" w:type="dxa"/>
          <w:left w:w="0" w:type="dxa"/>
          <w:bottom w:w="0" w:type="dxa"/>
          <w:right w:w="0" w:type="dxa"/>
        </w:tblCellMar>
      </w:tblPr>
      <w:tr>
        <w:trPr>
          <w:trHeight w:val="291"/>
        </w:trPr>
        <w:tc>
          <w:tcPr>
            <w:tcW w:w="1020" w:type="dxa"/>
            <w:vAlign w:val="bottom"/>
          </w:tcPr>
          <w:p>
            <w:pPr>
              <w:spacing w:after="0"/>
              <w:rPr>
                <w:sz w:val="20"/>
                <w:szCs w:val="20"/>
                <w:color w:val="auto"/>
              </w:rPr>
            </w:pPr>
            <w:r>
              <w:rPr>
                <w:rFonts w:ascii="Arial" w:cs="Arial" w:eastAsia="Arial" w:hAnsi="Arial"/>
                <w:sz w:val="20"/>
                <w:szCs w:val="20"/>
                <w:color w:val="auto"/>
              </w:rPr>
              <w:t>By:</w:t>
            </w:r>
          </w:p>
        </w:tc>
        <w:tc>
          <w:tcPr>
            <w:tcW w:w="3880" w:type="dxa"/>
            <w:vAlign w:val="bottom"/>
          </w:tcPr>
          <w:p>
            <w:pPr>
              <w:ind w:left="80"/>
              <w:spacing w:after="0"/>
              <w:rPr>
                <w:sz w:val="20"/>
                <w:szCs w:val="20"/>
                <w:color w:val="auto"/>
              </w:rPr>
            </w:pPr>
            <w:r>
              <w:rPr>
                <w:rFonts w:ascii="Arial" w:cs="Arial" w:eastAsia="Arial" w:hAnsi="Arial"/>
                <w:sz w:val="20"/>
                <w:szCs w:val="20"/>
                <w:color w:val="auto"/>
              </w:rPr>
              <w:t>/s/ Sherry House</w:t>
            </w:r>
          </w:p>
        </w:tc>
        <w:tc>
          <w:tcPr>
            <w:tcW w:w="0" w:type="dxa"/>
            <w:vAlign w:val="bottom"/>
          </w:tcPr>
          <w:p>
            <w:pPr>
              <w:spacing w:after="0"/>
              <w:rPr>
                <w:sz w:val="1"/>
                <w:szCs w:val="1"/>
                <w:color w:val="auto"/>
              </w:rPr>
            </w:pPr>
          </w:p>
        </w:tc>
      </w:tr>
      <w:tr>
        <w:trPr>
          <w:trHeight w:val="131"/>
        </w:trPr>
        <w:tc>
          <w:tcPr>
            <w:tcW w:w="1020" w:type="dxa"/>
            <w:vAlign w:val="bottom"/>
            <w:vMerge w:val="restart"/>
          </w:tcPr>
          <w:p>
            <w:pPr>
              <w:spacing w:after="0"/>
              <w:rPr>
                <w:sz w:val="20"/>
                <w:szCs w:val="20"/>
                <w:color w:val="auto"/>
              </w:rPr>
            </w:pPr>
            <w:r>
              <w:rPr>
                <w:rFonts w:ascii="Arial" w:cs="Arial" w:eastAsia="Arial" w:hAnsi="Arial"/>
                <w:sz w:val="20"/>
                <w:szCs w:val="20"/>
                <w:color w:val="auto"/>
              </w:rPr>
              <w:t>Printed:</w:t>
            </w:r>
          </w:p>
        </w:tc>
        <w:tc>
          <w:tcPr>
            <w:tcW w:w="38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68"/>
        </w:trPr>
        <w:tc>
          <w:tcPr>
            <w:tcW w:w="1020" w:type="dxa"/>
            <w:vAlign w:val="bottom"/>
            <w:vMerge w:val="continue"/>
          </w:tcPr>
          <w:p>
            <w:pPr>
              <w:spacing w:after="0"/>
              <w:rPr>
                <w:sz w:val="23"/>
                <w:szCs w:val="23"/>
                <w:color w:val="auto"/>
              </w:rPr>
            </w:pPr>
          </w:p>
        </w:tc>
        <w:tc>
          <w:tcPr>
            <w:tcW w:w="3880" w:type="dxa"/>
            <w:vAlign w:val="bottom"/>
          </w:tcPr>
          <w:p>
            <w:pPr>
              <w:ind w:left="80"/>
              <w:spacing w:after="0"/>
              <w:rPr>
                <w:sz w:val="20"/>
                <w:szCs w:val="20"/>
                <w:color w:val="auto"/>
              </w:rPr>
            </w:pPr>
            <w:r>
              <w:rPr>
                <w:rFonts w:ascii="Arial" w:cs="Arial" w:eastAsia="Arial" w:hAnsi="Arial"/>
                <w:sz w:val="20"/>
                <w:szCs w:val="20"/>
                <w:color w:val="auto"/>
              </w:rPr>
              <w:t>Sherry House</w:t>
            </w:r>
          </w:p>
        </w:tc>
        <w:tc>
          <w:tcPr>
            <w:tcW w:w="0" w:type="dxa"/>
            <w:vAlign w:val="bottom"/>
          </w:tcPr>
          <w:p>
            <w:pPr>
              <w:spacing w:after="0"/>
              <w:rPr>
                <w:sz w:val="1"/>
                <w:szCs w:val="1"/>
                <w:color w:val="auto"/>
              </w:rPr>
            </w:pPr>
          </w:p>
        </w:tc>
      </w:tr>
      <w:tr>
        <w:trPr>
          <w:trHeight w:val="172"/>
        </w:trPr>
        <w:tc>
          <w:tcPr>
            <w:tcW w:w="1020" w:type="dxa"/>
            <w:vAlign w:val="bottom"/>
            <w:vMerge w:val="restart"/>
          </w:tcPr>
          <w:p>
            <w:pPr>
              <w:spacing w:after="0"/>
              <w:rPr>
                <w:sz w:val="20"/>
                <w:szCs w:val="20"/>
                <w:color w:val="auto"/>
              </w:rPr>
            </w:pPr>
            <w:r>
              <w:rPr>
                <w:rFonts w:ascii="Arial" w:cs="Arial" w:eastAsia="Arial" w:hAnsi="Arial"/>
                <w:sz w:val="20"/>
                <w:szCs w:val="20"/>
                <w:color w:val="auto"/>
              </w:rPr>
              <w:t>Title:</w:t>
            </w:r>
          </w:p>
        </w:tc>
        <w:tc>
          <w:tcPr>
            <w:tcW w:w="38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68"/>
        </w:trPr>
        <w:tc>
          <w:tcPr>
            <w:tcW w:w="1020" w:type="dxa"/>
            <w:vAlign w:val="bottom"/>
            <w:vMerge w:val="continue"/>
          </w:tcPr>
          <w:p>
            <w:pPr>
              <w:spacing w:after="0"/>
              <w:rPr>
                <w:sz w:val="23"/>
                <w:szCs w:val="23"/>
                <w:color w:val="auto"/>
              </w:rPr>
            </w:pPr>
          </w:p>
        </w:tc>
        <w:tc>
          <w:tcPr>
            <w:tcW w:w="3880" w:type="dxa"/>
            <w:vAlign w:val="bottom"/>
          </w:tcPr>
          <w:p>
            <w:pPr>
              <w:ind w:left="80"/>
              <w:spacing w:after="0"/>
              <w:rPr>
                <w:sz w:val="20"/>
                <w:szCs w:val="20"/>
                <w:color w:val="auto"/>
              </w:rPr>
            </w:pPr>
            <w:r>
              <w:rPr>
                <w:rFonts w:ascii="Arial" w:cs="Arial" w:eastAsia="Arial" w:hAnsi="Arial"/>
                <w:sz w:val="20"/>
                <w:szCs w:val="20"/>
                <w:color w:val="auto"/>
              </w:rPr>
              <w:t>Chief Financial Officer</w:t>
            </w:r>
          </w:p>
        </w:tc>
        <w:tc>
          <w:tcPr>
            <w:tcW w:w="0" w:type="dxa"/>
            <w:vAlign w:val="bottom"/>
          </w:tcPr>
          <w:p>
            <w:pPr>
              <w:spacing w:after="0"/>
              <w:rPr>
                <w:sz w:val="1"/>
                <w:szCs w:val="1"/>
                <w:color w:val="auto"/>
              </w:rPr>
            </w:pPr>
          </w:p>
        </w:tc>
      </w:tr>
      <w:tr>
        <w:trPr>
          <w:trHeight w:val="172"/>
        </w:trPr>
        <w:tc>
          <w:tcPr>
            <w:tcW w:w="1020" w:type="dxa"/>
            <w:vAlign w:val="bottom"/>
            <w:vMerge w:val="restart"/>
          </w:tcPr>
          <w:p>
            <w:pPr>
              <w:spacing w:after="0"/>
              <w:rPr>
                <w:sz w:val="20"/>
                <w:szCs w:val="20"/>
                <w:color w:val="auto"/>
              </w:rPr>
            </w:pPr>
            <w:r>
              <w:rPr>
                <w:rFonts w:ascii="Arial" w:cs="Arial" w:eastAsia="Arial" w:hAnsi="Arial"/>
                <w:sz w:val="20"/>
                <w:szCs w:val="20"/>
                <w:color w:val="auto"/>
              </w:rPr>
              <w:t>Date:</w:t>
            </w:r>
          </w:p>
        </w:tc>
        <w:tc>
          <w:tcPr>
            <w:tcW w:w="38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68"/>
        </w:trPr>
        <w:tc>
          <w:tcPr>
            <w:tcW w:w="1020" w:type="dxa"/>
            <w:vAlign w:val="bottom"/>
            <w:vMerge w:val="continue"/>
          </w:tcPr>
          <w:p>
            <w:pPr>
              <w:spacing w:after="0"/>
              <w:rPr>
                <w:sz w:val="23"/>
                <w:szCs w:val="23"/>
                <w:color w:val="auto"/>
              </w:rPr>
            </w:pPr>
          </w:p>
        </w:tc>
        <w:tc>
          <w:tcPr>
            <w:tcW w:w="3880" w:type="dxa"/>
            <w:vAlign w:val="bottom"/>
          </w:tcPr>
          <w:p>
            <w:pPr>
              <w:ind w:left="80"/>
              <w:spacing w:after="0"/>
              <w:rPr>
                <w:sz w:val="20"/>
                <w:szCs w:val="20"/>
                <w:color w:val="auto"/>
              </w:rPr>
            </w:pPr>
            <w:r>
              <w:rPr>
                <w:rFonts w:ascii="Arial" w:cs="Arial" w:eastAsia="Arial" w:hAnsi="Arial"/>
                <w:sz w:val="20"/>
                <w:szCs w:val="20"/>
                <w:color w:val="auto"/>
              </w:rPr>
              <w:t>12/12/2022</w:t>
            </w:r>
          </w:p>
        </w:tc>
        <w:tc>
          <w:tcPr>
            <w:tcW w:w="0" w:type="dxa"/>
            <w:vAlign w:val="bottom"/>
          </w:tcPr>
          <w:p>
            <w:pPr>
              <w:spacing w:after="0"/>
              <w:rPr>
                <w:sz w:val="1"/>
                <w:szCs w:val="1"/>
                <w:color w:val="auto"/>
              </w:rPr>
            </w:pPr>
          </w:p>
        </w:tc>
      </w:tr>
      <w:tr>
        <w:trPr>
          <w:trHeight w:val="171"/>
        </w:trPr>
        <w:tc>
          <w:tcPr>
            <w:tcW w:w="1020" w:type="dxa"/>
            <w:vAlign w:val="bottom"/>
          </w:tcPr>
          <w:p>
            <w:pPr>
              <w:spacing w:after="0"/>
              <w:rPr>
                <w:sz w:val="14"/>
                <w:szCs w:val="14"/>
                <w:color w:val="auto"/>
              </w:rPr>
            </w:pPr>
          </w:p>
        </w:tc>
        <w:tc>
          <w:tcPr>
            <w:tcW w:w="38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5080" w:space="720"/>
            <w:col w:w="5300"/>
          </w:cols>
          <w:pgMar w:left="320" w:top="1432" w:right="479" w:bottom="1440" w:gutter="0" w:footer="0" w:header="0"/>
          <w:type w:val="continuous"/>
        </w:sectPr>
      </w:pPr>
    </w:p>
    <w:p>
      <w:pPr>
        <w:spacing w:after="0" w:line="67" w:lineRule="exact"/>
        <w:rPr>
          <w:sz w:val="20"/>
          <w:szCs w:val="20"/>
          <w:color w:val="auto"/>
        </w:rPr>
      </w:pPr>
    </w:p>
    <w:tbl>
      <w:tblPr>
        <w:tblLayout w:type="fixed"/>
        <w:tblInd w:w="40" w:type="dxa"/>
        <w:tblCellMar>
          <w:top w:w="0" w:type="dxa"/>
          <w:left w:w="0" w:type="dxa"/>
          <w:bottom w:w="0" w:type="dxa"/>
          <w:right w:w="0" w:type="dxa"/>
        </w:tblCellMar>
      </w:tblPr>
      <w:tr>
        <w:trPr>
          <w:trHeight w:val="250"/>
        </w:trPr>
        <w:tc>
          <w:tcPr>
            <w:tcW w:w="4780" w:type="dxa"/>
            <w:vAlign w:val="bottom"/>
          </w:tcPr>
          <w:p>
            <w:pPr>
              <w:spacing w:after="0"/>
              <w:rPr>
                <w:sz w:val="20"/>
                <w:szCs w:val="20"/>
                <w:color w:val="auto"/>
              </w:rPr>
            </w:pPr>
            <w:r>
              <w:rPr>
                <w:rFonts w:ascii="Arial" w:cs="Arial" w:eastAsia="Arial" w:hAnsi="Arial"/>
                <w:sz w:val="20"/>
                <w:szCs w:val="20"/>
                <w:color w:val="auto"/>
              </w:rPr>
              <w:t>Address: 2 Riverfront Plaza, Newark, NJ 07102</w:t>
            </w:r>
          </w:p>
        </w:tc>
        <w:tc>
          <w:tcPr>
            <w:tcW w:w="5440" w:type="dxa"/>
            <w:vAlign w:val="bottom"/>
            <w:vMerge w:val="restart"/>
          </w:tcPr>
          <w:p>
            <w:pPr>
              <w:ind w:left="980"/>
              <w:spacing w:after="0"/>
              <w:rPr>
                <w:sz w:val="20"/>
                <w:szCs w:val="20"/>
                <w:color w:val="auto"/>
              </w:rPr>
            </w:pPr>
            <w:r>
              <w:rPr>
                <w:rFonts w:ascii="Arial" w:cs="Arial" w:eastAsia="Arial" w:hAnsi="Arial"/>
                <w:sz w:val="20"/>
                <w:szCs w:val="20"/>
                <w:color w:val="auto"/>
                <w:w w:val="90"/>
              </w:rPr>
              <w:t>Address: 7373 Gateway Blvd. Newark, CA 94560, USA</w:t>
            </w:r>
          </w:p>
        </w:tc>
        <w:tc>
          <w:tcPr>
            <w:tcW w:w="0" w:type="dxa"/>
            <w:vAlign w:val="bottom"/>
          </w:tcPr>
          <w:p>
            <w:pPr>
              <w:spacing w:after="0"/>
              <w:rPr>
                <w:sz w:val="1"/>
                <w:szCs w:val="1"/>
                <w:color w:val="auto"/>
              </w:rPr>
            </w:pPr>
          </w:p>
        </w:tc>
      </w:tr>
      <w:tr>
        <w:trPr>
          <w:trHeight w:val="81"/>
        </w:trPr>
        <w:tc>
          <w:tcPr>
            <w:tcW w:w="4780" w:type="dxa"/>
            <w:vAlign w:val="bottom"/>
          </w:tcPr>
          <w:p>
            <w:pPr>
              <w:spacing w:after="0"/>
              <w:rPr>
                <w:sz w:val="7"/>
                <w:szCs w:val="7"/>
                <w:color w:val="auto"/>
              </w:rPr>
            </w:pPr>
          </w:p>
        </w:tc>
        <w:tc>
          <w:tcPr>
            <w:tcW w:w="5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39"/>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100"/>
          </w:cols>
          <w:pgMar w:left="320" w:top="1432" w:right="479" w:bottom="1440" w:gutter="0" w:footer="0" w:header="0"/>
          <w:type w:val="continuous"/>
        </w:sectPr>
      </w:pPr>
    </w:p>
    <w:bookmarkStart w:id="177" w:name="page178"/>
    <w:bookmarkEnd w:id="177"/>
    <w:p>
      <w:pPr>
        <w:ind w:left="10120"/>
        <w:spacing w:after="0"/>
        <w:rPr>
          <w:sz w:val="20"/>
          <w:szCs w:val="20"/>
          <w:color w:val="auto"/>
        </w:rPr>
      </w:pPr>
      <w:r>
        <w:rPr>
          <w:rFonts w:ascii="Arial" w:cs="Arial" w:eastAsia="Arial" w:hAnsi="Arial"/>
          <w:sz w:val="18"/>
          <w:szCs w:val="18"/>
          <w:b w:val="1"/>
          <w:bCs w:val="1"/>
          <w:color w:val="auto"/>
        </w:rPr>
        <w:t>Exhibit 10.38</w:t>
      </w:r>
    </w:p>
    <w:p>
      <w:pPr>
        <w:spacing w:after="0" w:line="185" w:lineRule="exact"/>
        <w:rPr>
          <w:sz w:val="20"/>
          <w:szCs w:val="20"/>
          <w:color w:val="auto"/>
        </w:rPr>
      </w:pPr>
    </w:p>
    <w:p>
      <w:pPr>
        <w:spacing w:after="0" w:line="262" w:lineRule="auto"/>
        <w:rPr>
          <w:sz w:val="20"/>
          <w:szCs w:val="20"/>
          <w:color w:val="auto"/>
        </w:rPr>
      </w:pPr>
      <w:r>
        <w:rPr>
          <w:rFonts w:ascii="Arial" w:cs="Arial" w:eastAsia="Arial" w:hAnsi="Arial"/>
          <w:sz w:val="19"/>
          <w:szCs w:val="19"/>
          <w:color w:val="auto"/>
        </w:rPr>
        <w:t>This AFFILIATE PARTICIPATION AGREEMENT (</w:t>
      </w:r>
      <w:r>
        <w:rPr>
          <w:rFonts w:ascii="Arial" w:cs="Arial" w:eastAsia="Arial" w:hAnsi="Arial"/>
          <w:sz w:val="19"/>
          <w:szCs w:val="19"/>
          <w:b w:val="1"/>
          <w:bCs w:val="1"/>
          <w:color w:val="auto"/>
        </w:rPr>
        <w:t>“Participation Agreement”</w:t>
      </w:r>
      <w:r>
        <w:rPr>
          <w:rFonts w:ascii="Arial" w:cs="Arial" w:eastAsia="Arial" w:hAnsi="Arial"/>
          <w:sz w:val="19"/>
          <w:szCs w:val="19"/>
          <w:color w:val="auto"/>
        </w:rPr>
        <w:t>) is entered into as of December 1</w:t>
      </w:r>
      <w:r>
        <w:rPr>
          <w:rFonts w:ascii="Arial" w:cs="Arial" w:eastAsia="Arial" w:hAnsi="Arial"/>
          <w:sz w:val="24"/>
          <w:szCs w:val="24"/>
          <w:color w:val="auto"/>
          <w:vertAlign w:val="superscript"/>
        </w:rPr>
        <w:t>st</w:t>
      </w:r>
      <w:r>
        <w:rPr>
          <w:rFonts w:ascii="Arial" w:cs="Arial" w:eastAsia="Arial" w:hAnsi="Arial"/>
          <w:sz w:val="19"/>
          <w:szCs w:val="19"/>
          <w:color w:val="auto"/>
        </w:rPr>
        <w:t xml:space="preserve">, 2022 (the </w:t>
      </w:r>
      <w:r>
        <w:rPr>
          <w:rFonts w:ascii="Arial" w:cs="Arial" w:eastAsia="Arial" w:hAnsi="Arial"/>
          <w:sz w:val="19"/>
          <w:szCs w:val="19"/>
          <w:b w:val="1"/>
          <w:bCs w:val="1"/>
          <w:color w:val="auto"/>
        </w:rPr>
        <w:t>“PA</w:t>
      </w:r>
      <w:r>
        <w:rPr>
          <w:rFonts w:ascii="Arial" w:cs="Arial" w:eastAsia="Arial" w:hAnsi="Arial"/>
          <w:sz w:val="19"/>
          <w:szCs w:val="19"/>
          <w:color w:val="auto"/>
        </w:rPr>
        <w:t xml:space="preserve"> </w:t>
      </w:r>
      <w:r>
        <w:rPr>
          <w:rFonts w:ascii="Arial" w:cs="Arial" w:eastAsia="Arial" w:hAnsi="Arial"/>
          <w:sz w:val="19"/>
          <w:szCs w:val="19"/>
          <w:b w:val="1"/>
          <w:bCs w:val="1"/>
          <w:color w:val="auto"/>
        </w:rPr>
        <w:t>Effective Date”</w:t>
      </w:r>
      <w:r>
        <w:rPr>
          <w:rFonts w:ascii="Arial" w:cs="Arial" w:eastAsia="Arial" w:hAnsi="Arial"/>
          <w:sz w:val="19"/>
          <w:szCs w:val="19"/>
          <w:color w:val="auto"/>
        </w:rPr>
        <w:t>) by and between Panasonic Energy Corporation of North America, a Delaware corporation with offices at 1 Electric Avenue,</w:t>
      </w:r>
      <w:r>
        <w:rPr>
          <w:rFonts w:ascii="Arial" w:cs="Arial" w:eastAsia="Arial" w:hAnsi="Arial"/>
          <w:sz w:val="19"/>
          <w:szCs w:val="19"/>
          <w:b w:val="1"/>
          <w:bCs w:val="1"/>
          <w:color w:val="auto"/>
        </w:rPr>
        <w:t xml:space="preserve"> </w:t>
      </w:r>
      <w:r>
        <w:rPr>
          <w:rFonts w:ascii="Arial" w:cs="Arial" w:eastAsia="Arial" w:hAnsi="Arial"/>
          <w:sz w:val="19"/>
          <w:szCs w:val="19"/>
          <w:color w:val="auto"/>
        </w:rPr>
        <w:t>Sparks, NV, 89437 (</w:t>
      </w:r>
      <w:r>
        <w:rPr>
          <w:rFonts w:ascii="Arial" w:cs="Arial" w:eastAsia="Arial" w:hAnsi="Arial"/>
          <w:sz w:val="19"/>
          <w:szCs w:val="19"/>
          <w:b w:val="1"/>
          <w:bCs w:val="1"/>
          <w:color w:val="auto"/>
        </w:rPr>
        <w:t>“Affiliate”</w:t>
      </w:r>
      <w:r>
        <w:rPr>
          <w:rFonts w:ascii="Arial" w:cs="Arial" w:eastAsia="Arial" w:hAnsi="Arial"/>
          <w:sz w:val="19"/>
          <w:szCs w:val="19"/>
          <w:color w:val="auto"/>
        </w:rPr>
        <w:t>), and LUCID USA, Inc., a corporation duly organized and existing under the laws of the State of Delaware, USA, having its principal place of business at 7373 Gateway Blvd Newark, CA 94560 USA (“</w:t>
      </w:r>
      <w:r>
        <w:rPr>
          <w:rFonts w:ascii="Arial" w:cs="Arial" w:eastAsia="Arial" w:hAnsi="Arial"/>
          <w:sz w:val="19"/>
          <w:szCs w:val="19"/>
          <w:b w:val="1"/>
          <w:bCs w:val="1"/>
          <w:color w:val="auto"/>
        </w:rPr>
        <w:t>LUCID</w:t>
      </w:r>
      <w:r>
        <w:rPr>
          <w:rFonts w:ascii="Arial" w:cs="Arial" w:eastAsia="Arial" w:hAnsi="Arial"/>
          <w:sz w:val="19"/>
          <w:szCs w:val="19"/>
          <w:color w:val="auto"/>
        </w:rPr>
        <w:t>”).</w:t>
      </w:r>
    </w:p>
    <w:p>
      <w:pPr>
        <w:spacing w:after="0" w:line="117" w:lineRule="exact"/>
        <w:rPr>
          <w:sz w:val="20"/>
          <w:szCs w:val="20"/>
          <w:color w:val="auto"/>
        </w:rPr>
      </w:pPr>
    </w:p>
    <w:p>
      <w:pPr>
        <w:ind w:right="460"/>
        <w:spacing w:after="0" w:line="281" w:lineRule="auto"/>
        <w:rPr>
          <w:sz w:val="20"/>
          <w:szCs w:val="20"/>
          <w:color w:val="auto"/>
        </w:rPr>
      </w:pPr>
      <w:r>
        <w:rPr>
          <w:rFonts w:ascii="Arial" w:cs="Arial" w:eastAsia="Arial" w:hAnsi="Arial"/>
          <w:sz w:val="20"/>
          <w:szCs w:val="20"/>
          <w:color w:val="auto"/>
        </w:rPr>
        <w:t>WHEREAS, Panasonic Energy Co., Ltd. (</w:t>
      </w:r>
      <w:r>
        <w:rPr>
          <w:rFonts w:ascii="Arial" w:cs="Arial" w:eastAsia="Arial" w:hAnsi="Arial"/>
          <w:sz w:val="20"/>
          <w:szCs w:val="20"/>
          <w:b w:val="1"/>
          <w:bCs w:val="1"/>
          <w:color w:val="auto"/>
        </w:rPr>
        <w:t>“Supplier”</w:t>
      </w:r>
      <w:r>
        <w:rPr>
          <w:rFonts w:ascii="Arial" w:cs="Arial" w:eastAsia="Arial" w:hAnsi="Arial"/>
          <w:sz w:val="20"/>
          <w:szCs w:val="20"/>
          <w:color w:val="auto"/>
        </w:rPr>
        <w:t>) and LUCID have entered into a General Terms and Conditions for Prototype and Production Parts and Services dated December 1, 2022 (the “</w:t>
      </w:r>
      <w:r>
        <w:rPr>
          <w:rFonts w:ascii="Arial" w:cs="Arial" w:eastAsia="Arial" w:hAnsi="Arial"/>
          <w:sz w:val="20"/>
          <w:szCs w:val="20"/>
          <w:b w:val="1"/>
          <w:bCs w:val="1"/>
          <w:color w:val="auto"/>
        </w:rPr>
        <w:t>GTC</w:t>
      </w:r>
      <w:r>
        <w:rPr>
          <w:rFonts w:ascii="Arial" w:cs="Arial" w:eastAsia="Arial" w:hAnsi="Arial"/>
          <w:sz w:val="20"/>
          <w:szCs w:val="20"/>
          <w:color w:val="auto"/>
        </w:rPr>
        <w:t>”);</w:t>
      </w:r>
    </w:p>
    <w:p>
      <w:pPr>
        <w:spacing w:after="0" w:line="102" w:lineRule="exact"/>
        <w:rPr>
          <w:sz w:val="20"/>
          <w:szCs w:val="20"/>
          <w:color w:val="auto"/>
        </w:rPr>
      </w:pPr>
    </w:p>
    <w:p>
      <w:pPr>
        <w:ind w:right="40"/>
        <w:spacing w:after="0" w:line="288" w:lineRule="auto"/>
        <w:rPr>
          <w:sz w:val="20"/>
          <w:szCs w:val="20"/>
          <w:color w:val="auto"/>
        </w:rPr>
      </w:pPr>
      <w:r>
        <w:rPr>
          <w:rFonts w:ascii="Arial" w:cs="Arial" w:eastAsia="Arial" w:hAnsi="Arial"/>
          <w:sz w:val="20"/>
          <w:szCs w:val="20"/>
          <w:color w:val="auto"/>
        </w:rPr>
        <w:t>WHEREAS, upon execution and delivery of this Participation Agreement, Affiliate will have certain rights (including the right to sell Goods, Development Goods and/or Services ordered by LUCID) and obligations under the GTC; and</w:t>
      </w:r>
    </w:p>
    <w:p>
      <w:pPr>
        <w:spacing w:after="0" w:line="96" w:lineRule="exact"/>
        <w:rPr>
          <w:sz w:val="20"/>
          <w:szCs w:val="20"/>
          <w:color w:val="auto"/>
        </w:rPr>
      </w:pPr>
    </w:p>
    <w:p>
      <w:pPr>
        <w:spacing w:after="0"/>
        <w:rPr>
          <w:sz w:val="20"/>
          <w:szCs w:val="20"/>
          <w:color w:val="auto"/>
        </w:rPr>
      </w:pPr>
      <w:r>
        <w:rPr>
          <w:rFonts w:ascii="Arial" w:cs="Arial" w:eastAsia="Arial" w:hAnsi="Arial"/>
          <w:sz w:val="20"/>
          <w:szCs w:val="20"/>
          <w:color w:val="auto"/>
        </w:rPr>
        <w:t>WHEREAS, Affiliate desires to have such rights and obligations.</w:t>
      </w:r>
    </w:p>
    <w:p>
      <w:pPr>
        <w:spacing w:after="0" w:line="162" w:lineRule="exact"/>
        <w:rPr>
          <w:sz w:val="20"/>
          <w:szCs w:val="20"/>
          <w:color w:val="auto"/>
        </w:rPr>
      </w:pPr>
    </w:p>
    <w:p>
      <w:pPr>
        <w:spacing w:after="0"/>
        <w:rPr>
          <w:sz w:val="20"/>
          <w:szCs w:val="20"/>
          <w:color w:val="auto"/>
        </w:rPr>
      </w:pPr>
      <w:r>
        <w:rPr>
          <w:rFonts w:ascii="Arial" w:cs="Arial" w:eastAsia="Arial" w:hAnsi="Arial"/>
          <w:sz w:val="19"/>
          <w:szCs w:val="19"/>
          <w:color w:val="auto"/>
        </w:rPr>
        <w:t>NOW, THEREFORE, for good and valuable consideration, the receipt and sufficiency of which is hereby acknowledged, Affiliate and</w:t>
      </w:r>
    </w:p>
    <w:p>
      <w:pPr>
        <w:spacing w:after="0" w:line="32" w:lineRule="exact"/>
        <w:rPr>
          <w:sz w:val="20"/>
          <w:szCs w:val="20"/>
          <w:color w:val="auto"/>
        </w:rPr>
      </w:pPr>
    </w:p>
    <w:p>
      <w:pPr>
        <w:spacing w:after="0"/>
        <w:rPr>
          <w:sz w:val="20"/>
          <w:szCs w:val="20"/>
          <w:color w:val="auto"/>
        </w:rPr>
      </w:pPr>
      <w:r>
        <w:rPr>
          <w:rFonts w:ascii="Arial" w:cs="Arial" w:eastAsia="Arial" w:hAnsi="Arial"/>
          <w:sz w:val="20"/>
          <w:szCs w:val="20"/>
          <w:color w:val="auto"/>
        </w:rPr>
        <w:t>LUCID agree as follows:</w:t>
      </w:r>
    </w:p>
    <w:p>
      <w:pPr>
        <w:spacing w:after="0" w:line="154" w:lineRule="exact"/>
        <w:rPr>
          <w:sz w:val="20"/>
          <w:szCs w:val="20"/>
          <w:color w:val="auto"/>
        </w:rPr>
      </w:pPr>
    </w:p>
    <w:p>
      <w:pPr>
        <w:ind w:left="360" w:hanging="352"/>
        <w:spacing w:after="0"/>
        <w:tabs>
          <w:tab w:leader="none" w:pos="360" w:val="left"/>
        </w:tabs>
        <w:numPr>
          <w:ilvl w:val="0"/>
          <w:numId w:val="106"/>
        </w:numPr>
        <w:rPr>
          <w:rFonts w:ascii="Arial" w:cs="Arial" w:eastAsia="Arial" w:hAnsi="Arial"/>
          <w:sz w:val="20"/>
          <w:szCs w:val="20"/>
          <w:b w:val="1"/>
          <w:bCs w:val="1"/>
          <w:color w:val="auto"/>
        </w:rPr>
      </w:pPr>
      <w:r>
        <w:rPr>
          <w:rFonts w:ascii="Arial" w:cs="Arial" w:eastAsia="Arial" w:hAnsi="Arial"/>
          <w:sz w:val="20"/>
          <w:szCs w:val="20"/>
          <w:color w:val="auto"/>
        </w:rPr>
        <w:t>Capitalized terms used in this Participation Agreement but not defined shall have the meanings given in the GTC.</w:t>
      </w:r>
    </w:p>
    <w:p>
      <w:pPr>
        <w:spacing w:after="0" w:line="161" w:lineRule="exact"/>
        <w:rPr>
          <w:rFonts w:ascii="Arial" w:cs="Arial" w:eastAsia="Arial" w:hAnsi="Arial"/>
          <w:sz w:val="20"/>
          <w:szCs w:val="20"/>
          <w:b w:val="1"/>
          <w:bCs w:val="1"/>
          <w:color w:val="auto"/>
        </w:rPr>
      </w:pPr>
    </w:p>
    <w:p>
      <w:pPr>
        <w:ind w:right="800" w:firstLine="8"/>
        <w:spacing w:after="0" w:line="271" w:lineRule="auto"/>
        <w:tabs>
          <w:tab w:leader="none" w:pos="346" w:val="left"/>
        </w:tabs>
        <w:numPr>
          <w:ilvl w:val="0"/>
          <w:numId w:val="106"/>
        </w:numPr>
        <w:rPr>
          <w:rFonts w:ascii="Arial" w:cs="Arial" w:eastAsia="Arial" w:hAnsi="Arial"/>
          <w:sz w:val="20"/>
          <w:szCs w:val="20"/>
          <w:b w:val="1"/>
          <w:bCs w:val="1"/>
          <w:color w:val="auto"/>
        </w:rPr>
      </w:pPr>
      <w:r>
        <w:rPr>
          <w:rFonts w:ascii="Arial" w:cs="Arial" w:eastAsia="Arial" w:hAnsi="Arial"/>
          <w:sz w:val="20"/>
          <w:szCs w:val="20"/>
          <w:color w:val="auto"/>
        </w:rPr>
        <w:t>Under the terms and conditions of the GTC and this Participation Agreement, LUCID and Affiliate may enter into Spot Orders, Production Orders, Releases, production pricing agreements and other agreements pursuant to which Affiliate shall deliver Goods, Development Goods and/or Services to LUCID.</w:t>
      </w:r>
    </w:p>
    <w:p>
      <w:pPr>
        <w:spacing w:after="0" w:line="111" w:lineRule="exact"/>
        <w:rPr>
          <w:rFonts w:ascii="Arial" w:cs="Arial" w:eastAsia="Arial" w:hAnsi="Arial"/>
          <w:sz w:val="20"/>
          <w:szCs w:val="20"/>
          <w:b w:val="1"/>
          <w:bCs w:val="1"/>
          <w:color w:val="auto"/>
        </w:rPr>
      </w:pPr>
    </w:p>
    <w:p>
      <w:pPr>
        <w:ind w:right="780" w:firstLine="8"/>
        <w:spacing w:after="0" w:line="332" w:lineRule="auto"/>
        <w:tabs>
          <w:tab w:leader="none" w:pos="346" w:val="left"/>
        </w:tabs>
        <w:numPr>
          <w:ilvl w:val="0"/>
          <w:numId w:val="106"/>
        </w:numPr>
        <w:rPr>
          <w:rFonts w:ascii="Arial" w:cs="Arial" w:eastAsia="Arial" w:hAnsi="Arial"/>
          <w:sz w:val="18"/>
          <w:szCs w:val="18"/>
          <w:b w:val="1"/>
          <w:bCs w:val="1"/>
          <w:color w:val="auto"/>
        </w:rPr>
      </w:pPr>
      <w:r>
        <w:rPr>
          <w:rFonts w:ascii="Arial" w:cs="Arial" w:eastAsia="Arial" w:hAnsi="Arial"/>
          <w:sz w:val="18"/>
          <w:szCs w:val="18"/>
          <w:color w:val="auto"/>
        </w:rPr>
        <w:t>LUCID will make all payments that are properly due and payable of purchase prices, fees and expenses under the GTC and this Participation Agreement in connection with the purchase of Goods, Development Goods and/or Services performed by Affiliate.</w:t>
      </w:r>
    </w:p>
    <w:p>
      <w:pPr>
        <w:spacing w:after="0" w:line="61" w:lineRule="exact"/>
        <w:rPr>
          <w:rFonts w:ascii="Arial" w:cs="Arial" w:eastAsia="Arial" w:hAnsi="Arial"/>
          <w:sz w:val="18"/>
          <w:szCs w:val="18"/>
          <w:b w:val="1"/>
          <w:bCs w:val="1"/>
          <w:color w:val="auto"/>
        </w:rPr>
      </w:pPr>
    </w:p>
    <w:p>
      <w:pPr>
        <w:ind w:right="60" w:firstLine="8"/>
        <w:spacing w:after="0" w:line="295" w:lineRule="auto"/>
        <w:tabs>
          <w:tab w:leader="none" w:pos="343" w:val="left"/>
        </w:tabs>
        <w:numPr>
          <w:ilvl w:val="0"/>
          <w:numId w:val="106"/>
        </w:numPr>
        <w:rPr>
          <w:rFonts w:ascii="Arial" w:cs="Arial" w:eastAsia="Arial" w:hAnsi="Arial"/>
          <w:sz w:val="18"/>
          <w:szCs w:val="18"/>
          <w:b w:val="1"/>
          <w:bCs w:val="1"/>
          <w:color w:val="auto"/>
        </w:rPr>
      </w:pPr>
      <w:r>
        <w:rPr>
          <w:rFonts w:ascii="Arial" w:cs="Arial" w:eastAsia="Arial" w:hAnsi="Arial"/>
          <w:sz w:val="18"/>
          <w:szCs w:val="18"/>
          <w:color w:val="auto"/>
        </w:rPr>
        <w:t>The term of this Participation Agreement shall commence on the PA Effective Date and continue until the expiration or termination of the GTC, unless earlier terminated as provided below. The termination rights set forth in the GTC shall apply equally to each party’s rights of termination with respect to this Participation Agreement and any Spot Orders accepted by Supplier, Production Orders, Releases, production pricing agreements and other agreements entered into pursuant to the GTC. Affiliate shall have all of the rights and obligations of Supplier under the GTC and will be bound by all of the terms and conditions of the GTC as though it was Supplier thereunder, as such terms and conditions may be modified or amended from time to time by Supplier and LUCID. Notwithstanding the foregoing, (i) Affiliate shall not have any right to amend, assign or terminate the GTC and (ii) termination of this Participation Agreement shall not affect the GTC.</w:t>
      </w:r>
    </w:p>
    <w:p>
      <w:pPr>
        <w:spacing w:after="0" w:line="95" w:lineRule="exact"/>
        <w:rPr>
          <w:rFonts w:ascii="Arial" w:cs="Arial" w:eastAsia="Arial" w:hAnsi="Arial"/>
          <w:sz w:val="18"/>
          <w:szCs w:val="18"/>
          <w:b w:val="1"/>
          <w:bCs w:val="1"/>
          <w:color w:val="auto"/>
        </w:rPr>
      </w:pPr>
    </w:p>
    <w:p>
      <w:pPr>
        <w:ind w:left="360" w:hanging="352"/>
        <w:spacing w:after="0"/>
        <w:tabs>
          <w:tab w:leader="none" w:pos="360" w:val="left"/>
        </w:tabs>
        <w:numPr>
          <w:ilvl w:val="0"/>
          <w:numId w:val="106"/>
        </w:numPr>
        <w:rPr>
          <w:rFonts w:ascii="Arial" w:cs="Arial" w:eastAsia="Arial" w:hAnsi="Arial"/>
          <w:sz w:val="16"/>
          <w:szCs w:val="16"/>
          <w:b w:val="1"/>
          <w:bCs w:val="1"/>
          <w:color w:val="auto"/>
        </w:rPr>
      </w:pPr>
      <w:r>
        <w:rPr>
          <w:rFonts w:ascii="Arial" w:cs="Arial" w:eastAsia="Arial" w:hAnsi="Arial"/>
          <w:sz w:val="16"/>
          <w:szCs w:val="16"/>
          <w:color w:val="auto"/>
        </w:rPr>
        <w:t>Affiliate’s address for notice purposes is stated in the applicable production pricing agreement, or such new address(es) as may from time</w:t>
      </w:r>
    </w:p>
    <w:p>
      <w:pPr>
        <w:spacing w:after="0" w:line="66" w:lineRule="exact"/>
        <w:rPr>
          <w:sz w:val="20"/>
          <w:szCs w:val="20"/>
          <w:color w:val="auto"/>
        </w:rPr>
      </w:pPr>
    </w:p>
    <w:p>
      <w:pPr>
        <w:spacing w:after="0"/>
        <w:tabs>
          <w:tab w:leader="none" w:pos="4900" w:val="left"/>
          <w:tab w:leader="none" w:pos="5440" w:val="left"/>
          <w:tab w:leader="none" w:pos="6120" w:val="left"/>
          <w:tab w:leader="none" w:pos="6660" w:val="left"/>
        </w:tabs>
        <w:rPr>
          <w:sz w:val="20"/>
          <w:szCs w:val="20"/>
          <w:color w:val="auto"/>
        </w:rPr>
      </w:pPr>
      <w:r>
        <w:rPr>
          <w:rFonts w:ascii="Arial" w:cs="Arial" w:eastAsia="Arial" w:hAnsi="Arial"/>
          <w:sz w:val="20"/>
          <w:szCs w:val="20"/>
          <w:color w:val="auto"/>
        </w:rPr>
        <w:t>to time be provided by Affiliate to LUCID with copies to</w:t>
      </w:r>
      <w:r>
        <w:rPr>
          <w:sz w:val="20"/>
          <w:szCs w:val="20"/>
          <w:color w:val="auto"/>
        </w:rPr>
        <w:tab/>
      </w:r>
      <w:r>
        <w:rPr>
          <w:rFonts w:ascii="Arial" w:cs="Arial" w:eastAsia="Arial" w:hAnsi="Arial"/>
          <w:sz w:val="20"/>
          <w:szCs w:val="20"/>
          <w:color w:val="auto"/>
        </w:rPr>
        <w:t>at</w:t>
      </w:r>
      <w:r>
        <w:rPr>
          <w:sz w:val="20"/>
          <w:szCs w:val="20"/>
          <w:color w:val="auto"/>
        </w:rPr>
        <w:tab/>
      </w:r>
      <w:r>
        <w:rPr>
          <w:rFonts w:ascii="Arial" w:cs="Arial" w:eastAsia="Arial" w:hAnsi="Arial"/>
          <w:sz w:val="20"/>
          <w:szCs w:val="20"/>
          <w:color w:val="auto"/>
        </w:rPr>
        <w:t>and</w:t>
      </w:r>
      <w:r>
        <w:rPr>
          <w:sz w:val="20"/>
          <w:szCs w:val="20"/>
          <w:color w:val="auto"/>
        </w:rPr>
        <w:tab/>
      </w:r>
      <w:r>
        <w:rPr>
          <w:rFonts w:ascii="Arial" w:cs="Arial" w:eastAsia="Arial" w:hAnsi="Arial"/>
          <w:sz w:val="20"/>
          <w:szCs w:val="20"/>
          <w:color w:val="auto"/>
        </w:rPr>
        <w:t>at</w:t>
      </w:r>
      <w:r>
        <w:rPr>
          <w:sz w:val="20"/>
          <w:szCs w:val="20"/>
          <w:color w:val="auto"/>
        </w:rPr>
        <w:tab/>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1240"/>
          </w:cols>
          <w:pgMar w:left="320" w:top="1426" w:right="339" w:bottom="1440" w:gutter="0" w:footer="0" w:header="0"/>
        </w:sectPr>
      </w:pPr>
    </w:p>
    <w:bookmarkStart w:id="178" w:name="page179"/>
    <w:bookmarkEnd w:id="178"/>
    <w:p>
      <w:pPr>
        <w:spacing w:after="0" w:line="384" w:lineRule="exact"/>
        <w:rPr>
          <w:sz w:val="20"/>
          <w:szCs w:val="20"/>
          <w:color w:val="auto"/>
        </w:rPr>
      </w:pPr>
    </w:p>
    <w:p>
      <w:pPr>
        <w:spacing w:after="0" w:line="274" w:lineRule="auto"/>
        <w:rPr>
          <w:sz w:val="20"/>
          <w:szCs w:val="20"/>
          <w:color w:val="auto"/>
        </w:rPr>
      </w:pPr>
      <w:r>
        <w:rPr>
          <w:rFonts w:ascii="Arial" w:cs="Arial" w:eastAsia="Arial" w:hAnsi="Arial"/>
          <w:sz w:val="20"/>
          <w:szCs w:val="20"/>
          <w:color w:val="auto"/>
        </w:rPr>
        <w:t>IN WITNESS WHEREOF, the parties hereto have caused this Agreement to be executed by their respective authorized representatives as of the date first written above.</w:t>
      </w:r>
    </w:p>
    <w:p>
      <w:pPr>
        <w:spacing w:after="0" w:line="200" w:lineRule="exact"/>
        <w:rPr>
          <w:sz w:val="20"/>
          <w:szCs w:val="20"/>
          <w:color w:val="auto"/>
        </w:rPr>
      </w:pPr>
    </w:p>
    <w:p>
      <w:pPr>
        <w:spacing w:after="0" w:line="311" w:lineRule="exact"/>
        <w:rPr>
          <w:sz w:val="20"/>
          <w:szCs w:val="20"/>
          <w:color w:val="auto"/>
        </w:rPr>
      </w:pPr>
    </w:p>
    <w:tbl>
      <w:tblPr>
        <w:tblLayout w:type="fixed"/>
        <w:tblInd w:w="10" w:type="dxa"/>
        <w:tblCellMar>
          <w:top w:w="0" w:type="dxa"/>
          <w:left w:w="0" w:type="dxa"/>
          <w:bottom w:w="0" w:type="dxa"/>
          <w:right w:w="0" w:type="dxa"/>
        </w:tblCellMar>
      </w:tblPr>
      <w:tr>
        <w:trPr>
          <w:trHeight w:val="288"/>
        </w:trPr>
        <w:tc>
          <w:tcPr>
            <w:tcW w:w="5340" w:type="dxa"/>
            <w:vAlign w:val="bottom"/>
            <w:tcBorders>
              <w:top w:val="single" w:sz="8" w:color="auto"/>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b w:val="1"/>
                <w:bCs w:val="1"/>
                <w:color w:val="auto"/>
              </w:rPr>
              <w:t>Panasonic Energy Corporation of North America</w:t>
            </w:r>
          </w:p>
        </w:tc>
        <w:tc>
          <w:tcPr>
            <w:tcW w:w="440" w:type="dxa"/>
            <w:vAlign w:val="bottom"/>
            <w:tcBorders>
              <w:right w:val="single" w:sz="8" w:color="auto"/>
            </w:tcBorders>
          </w:tcPr>
          <w:p>
            <w:pPr>
              <w:spacing w:after="0"/>
              <w:rPr>
                <w:sz w:val="24"/>
                <w:szCs w:val="24"/>
                <w:color w:val="auto"/>
              </w:rPr>
            </w:pPr>
          </w:p>
        </w:tc>
        <w:tc>
          <w:tcPr>
            <w:tcW w:w="5340" w:type="dxa"/>
            <w:vAlign w:val="bottom"/>
            <w:tcBorders>
              <w:top w:val="single" w:sz="8" w:color="auto"/>
              <w:right w:val="single" w:sz="8" w:color="auto"/>
            </w:tcBorders>
            <w:gridSpan w:val="3"/>
          </w:tcPr>
          <w:p>
            <w:pPr>
              <w:ind w:left="20"/>
              <w:spacing w:after="0"/>
              <w:rPr>
                <w:sz w:val="20"/>
                <w:szCs w:val="20"/>
                <w:color w:val="auto"/>
              </w:rPr>
            </w:pPr>
            <w:r>
              <w:rPr>
                <w:rFonts w:ascii="Arial" w:cs="Arial" w:eastAsia="Arial" w:hAnsi="Arial"/>
                <w:sz w:val="20"/>
                <w:szCs w:val="20"/>
                <w:b w:val="1"/>
                <w:bCs w:val="1"/>
                <w:color w:val="auto"/>
              </w:rPr>
              <w:t>Lucid USA, Inc.</w:t>
            </w:r>
          </w:p>
        </w:tc>
        <w:tc>
          <w:tcPr>
            <w:tcW w:w="0" w:type="dxa"/>
            <w:vAlign w:val="bottom"/>
          </w:tcPr>
          <w:p>
            <w:pPr>
              <w:spacing w:after="0"/>
              <w:rPr>
                <w:sz w:val="1"/>
                <w:szCs w:val="1"/>
                <w:color w:val="auto"/>
              </w:rPr>
            </w:pPr>
          </w:p>
        </w:tc>
      </w:tr>
      <w:tr>
        <w:trPr>
          <w:trHeight w:val="405"/>
        </w:trPr>
        <w:tc>
          <w:tcPr>
            <w:tcW w:w="1100" w:type="dxa"/>
            <w:vAlign w:val="bottom"/>
            <w:tcBorders>
              <w:left w:val="single" w:sz="8" w:color="auto"/>
            </w:tcBorders>
          </w:tcPr>
          <w:p>
            <w:pPr>
              <w:ind w:left="80"/>
              <w:spacing w:after="0"/>
              <w:rPr>
                <w:sz w:val="20"/>
                <w:szCs w:val="20"/>
                <w:color w:val="auto"/>
              </w:rPr>
            </w:pPr>
            <w:r>
              <w:rPr>
                <w:rFonts w:ascii="Arial" w:cs="Arial" w:eastAsia="Arial" w:hAnsi="Arial"/>
                <w:sz w:val="20"/>
                <w:szCs w:val="20"/>
                <w:color w:val="auto"/>
              </w:rPr>
              <w:t>By:</w:t>
            </w:r>
          </w:p>
        </w:tc>
        <w:tc>
          <w:tcPr>
            <w:tcW w:w="4240" w:type="dxa"/>
            <w:vAlign w:val="bottom"/>
            <w:tcBorders>
              <w:right w:val="single" w:sz="8" w:color="auto"/>
            </w:tcBorders>
            <w:gridSpan w:val="2"/>
          </w:tcPr>
          <w:p>
            <w:pPr>
              <w:ind w:left="60"/>
              <w:spacing w:after="0"/>
              <w:rPr>
                <w:sz w:val="20"/>
                <w:szCs w:val="20"/>
                <w:color w:val="auto"/>
              </w:rPr>
            </w:pPr>
            <w:r>
              <w:rPr>
                <w:rFonts w:ascii="Arial" w:cs="Arial" w:eastAsia="Arial" w:hAnsi="Arial"/>
                <w:sz w:val="20"/>
                <w:szCs w:val="20"/>
                <w:color w:val="auto"/>
              </w:rPr>
              <w:t>/s/ Yasuaki Takamoto</w:t>
            </w:r>
          </w:p>
        </w:tc>
        <w:tc>
          <w:tcPr>
            <w:tcW w:w="440" w:type="dxa"/>
            <w:vAlign w:val="bottom"/>
            <w:tcBorders>
              <w:right w:val="single" w:sz="8" w:color="auto"/>
            </w:tcBorders>
          </w:tcPr>
          <w:p>
            <w:pPr>
              <w:spacing w:after="0"/>
              <w:rPr>
                <w:sz w:val="24"/>
                <w:szCs w:val="24"/>
                <w:color w:val="auto"/>
              </w:rPr>
            </w:pPr>
          </w:p>
        </w:tc>
        <w:tc>
          <w:tcPr>
            <w:tcW w:w="1080" w:type="dxa"/>
            <w:vAlign w:val="bottom"/>
          </w:tcPr>
          <w:p>
            <w:pPr>
              <w:ind w:left="60"/>
              <w:spacing w:after="0"/>
              <w:rPr>
                <w:sz w:val="20"/>
                <w:szCs w:val="20"/>
                <w:color w:val="auto"/>
              </w:rPr>
            </w:pPr>
            <w:r>
              <w:rPr>
                <w:rFonts w:ascii="Arial" w:cs="Arial" w:eastAsia="Arial" w:hAnsi="Arial"/>
                <w:sz w:val="20"/>
                <w:szCs w:val="20"/>
                <w:color w:val="auto"/>
              </w:rPr>
              <w:t>By:</w:t>
            </w:r>
          </w:p>
        </w:tc>
        <w:tc>
          <w:tcPr>
            <w:tcW w:w="4260" w:type="dxa"/>
            <w:vAlign w:val="bottom"/>
            <w:tcBorders>
              <w:right w:val="single" w:sz="8" w:color="auto"/>
            </w:tcBorders>
            <w:gridSpan w:val="2"/>
          </w:tcPr>
          <w:p>
            <w:pPr>
              <w:ind w:left="80"/>
              <w:spacing w:after="0"/>
              <w:rPr>
                <w:sz w:val="20"/>
                <w:szCs w:val="20"/>
                <w:color w:val="auto"/>
              </w:rPr>
            </w:pPr>
            <w:r>
              <w:rPr>
                <w:rFonts w:ascii="Arial" w:cs="Arial" w:eastAsia="Arial" w:hAnsi="Arial"/>
                <w:sz w:val="20"/>
                <w:szCs w:val="20"/>
                <w:color w:val="auto"/>
              </w:rPr>
              <w:t>/s/ Sherry House</w:t>
            </w:r>
          </w:p>
        </w:tc>
        <w:tc>
          <w:tcPr>
            <w:tcW w:w="0" w:type="dxa"/>
            <w:vAlign w:val="bottom"/>
          </w:tcPr>
          <w:p>
            <w:pPr>
              <w:spacing w:after="0"/>
              <w:rPr>
                <w:sz w:val="1"/>
                <w:szCs w:val="1"/>
                <w:color w:val="auto"/>
              </w:rPr>
            </w:pPr>
          </w:p>
        </w:tc>
      </w:tr>
      <w:tr>
        <w:trPr>
          <w:trHeight w:val="131"/>
        </w:trPr>
        <w:tc>
          <w:tcPr>
            <w:tcW w:w="1100" w:type="dxa"/>
            <w:vAlign w:val="bottom"/>
            <w:tcBorders>
              <w:left w:val="single" w:sz="8" w:color="auto"/>
            </w:tcBorders>
            <w:vMerge w:val="restart"/>
          </w:tcPr>
          <w:p>
            <w:pPr>
              <w:ind w:left="80"/>
              <w:spacing w:after="0"/>
              <w:rPr>
                <w:sz w:val="20"/>
                <w:szCs w:val="20"/>
                <w:color w:val="auto"/>
              </w:rPr>
            </w:pPr>
            <w:r>
              <w:rPr>
                <w:rFonts w:ascii="Arial" w:cs="Arial" w:eastAsia="Arial" w:hAnsi="Arial"/>
                <w:sz w:val="20"/>
                <w:szCs w:val="20"/>
                <w:color w:val="auto"/>
              </w:rPr>
              <w:t>Printed:</w:t>
            </w:r>
          </w:p>
        </w:tc>
        <w:tc>
          <w:tcPr>
            <w:tcW w:w="3880" w:type="dxa"/>
            <w:vAlign w:val="bottom"/>
            <w:tcBorders>
              <w:bottom w:val="single" w:sz="8" w:color="auto"/>
            </w:tcBorders>
          </w:tcPr>
          <w:p>
            <w:pPr>
              <w:spacing w:after="0"/>
              <w:rPr>
                <w:sz w:val="11"/>
                <w:szCs w:val="11"/>
                <w:color w:val="auto"/>
              </w:rPr>
            </w:pPr>
          </w:p>
        </w:tc>
        <w:tc>
          <w:tcPr>
            <w:tcW w:w="360" w:type="dxa"/>
            <w:vAlign w:val="bottom"/>
            <w:tcBorders>
              <w:right w:val="single" w:sz="8" w:color="auto"/>
            </w:tcBorders>
          </w:tcPr>
          <w:p>
            <w:pPr>
              <w:spacing w:after="0"/>
              <w:rPr>
                <w:sz w:val="11"/>
                <w:szCs w:val="11"/>
                <w:color w:val="auto"/>
              </w:rPr>
            </w:pPr>
          </w:p>
        </w:tc>
        <w:tc>
          <w:tcPr>
            <w:tcW w:w="440" w:type="dxa"/>
            <w:vAlign w:val="bottom"/>
            <w:tcBorders>
              <w:right w:val="single" w:sz="8" w:color="auto"/>
            </w:tcBorders>
          </w:tcPr>
          <w:p>
            <w:pPr>
              <w:spacing w:after="0"/>
              <w:rPr>
                <w:sz w:val="11"/>
                <w:szCs w:val="11"/>
                <w:color w:val="auto"/>
              </w:rPr>
            </w:pPr>
          </w:p>
        </w:tc>
        <w:tc>
          <w:tcPr>
            <w:tcW w:w="1080" w:type="dxa"/>
            <w:vAlign w:val="bottom"/>
            <w:vMerge w:val="restart"/>
          </w:tcPr>
          <w:p>
            <w:pPr>
              <w:ind w:left="60"/>
              <w:spacing w:after="0"/>
              <w:rPr>
                <w:sz w:val="20"/>
                <w:szCs w:val="20"/>
                <w:color w:val="auto"/>
              </w:rPr>
            </w:pPr>
            <w:r>
              <w:rPr>
                <w:rFonts w:ascii="Arial" w:cs="Arial" w:eastAsia="Arial" w:hAnsi="Arial"/>
                <w:sz w:val="20"/>
                <w:szCs w:val="20"/>
                <w:color w:val="auto"/>
              </w:rPr>
              <w:t>Printed:</w:t>
            </w:r>
          </w:p>
        </w:tc>
        <w:tc>
          <w:tcPr>
            <w:tcW w:w="3880" w:type="dxa"/>
            <w:vAlign w:val="bottom"/>
            <w:tcBorders>
              <w:bottom w:val="single" w:sz="8" w:color="auto"/>
            </w:tcBorders>
          </w:tcPr>
          <w:p>
            <w:pPr>
              <w:spacing w:after="0"/>
              <w:rPr>
                <w:sz w:val="11"/>
                <w:szCs w:val="11"/>
                <w:color w:val="auto"/>
              </w:rPr>
            </w:pPr>
          </w:p>
        </w:tc>
        <w:tc>
          <w:tcPr>
            <w:tcW w:w="3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68"/>
        </w:trPr>
        <w:tc>
          <w:tcPr>
            <w:tcW w:w="1100" w:type="dxa"/>
            <w:vAlign w:val="bottom"/>
            <w:tcBorders>
              <w:left w:val="single" w:sz="8" w:color="auto"/>
            </w:tcBorders>
            <w:vMerge w:val="continue"/>
          </w:tcPr>
          <w:p>
            <w:pPr>
              <w:spacing w:after="0"/>
              <w:rPr>
                <w:sz w:val="23"/>
                <w:szCs w:val="23"/>
                <w:color w:val="auto"/>
              </w:rPr>
            </w:pPr>
          </w:p>
        </w:tc>
        <w:tc>
          <w:tcPr>
            <w:tcW w:w="4240" w:type="dxa"/>
            <w:vAlign w:val="bottom"/>
            <w:tcBorders>
              <w:right w:val="single" w:sz="8" w:color="auto"/>
            </w:tcBorders>
            <w:gridSpan w:val="2"/>
          </w:tcPr>
          <w:p>
            <w:pPr>
              <w:ind w:left="60"/>
              <w:spacing w:after="0"/>
              <w:rPr>
                <w:sz w:val="20"/>
                <w:szCs w:val="20"/>
                <w:color w:val="auto"/>
              </w:rPr>
            </w:pPr>
            <w:r>
              <w:rPr>
                <w:rFonts w:ascii="Arial" w:cs="Arial" w:eastAsia="Arial" w:hAnsi="Arial"/>
                <w:sz w:val="20"/>
                <w:szCs w:val="20"/>
                <w:color w:val="auto"/>
              </w:rPr>
              <w:t>Yasuaki Takamoto</w:t>
            </w:r>
          </w:p>
        </w:tc>
        <w:tc>
          <w:tcPr>
            <w:tcW w:w="440" w:type="dxa"/>
            <w:vAlign w:val="bottom"/>
            <w:tcBorders>
              <w:right w:val="single" w:sz="8" w:color="auto"/>
            </w:tcBorders>
          </w:tcPr>
          <w:p>
            <w:pPr>
              <w:spacing w:after="0"/>
              <w:rPr>
                <w:sz w:val="23"/>
                <w:szCs w:val="23"/>
                <w:color w:val="auto"/>
              </w:rPr>
            </w:pPr>
          </w:p>
        </w:tc>
        <w:tc>
          <w:tcPr>
            <w:tcW w:w="1080" w:type="dxa"/>
            <w:vAlign w:val="bottom"/>
            <w:vMerge w:val="continue"/>
          </w:tcPr>
          <w:p>
            <w:pPr>
              <w:spacing w:after="0"/>
              <w:rPr>
                <w:sz w:val="23"/>
                <w:szCs w:val="23"/>
                <w:color w:val="auto"/>
              </w:rPr>
            </w:pPr>
          </w:p>
        </w:tc>
        <w:tc>
          <w:tcPr>
            <w:tcW w:w="4260" w:type="dxa"/>
            <w:vAlign w:val="bottom"/>
            <w:tcBorders>
              <w:right w:val="single" w:sz="8" w:color="auto"/>
            </w:tcBorders>
            <w:gridSpan w:val="2"/>
          </w:tcPr>
          <w:p>
            <w:pPr>
              <w:ind w:left="80"/>
              <w:spacing w:after="0"/>
              <w:rPr>
                <w:sz w:val="20"/>
                <w:szCs w:val="20"/>
                <w:color w:val="auto"/>
              </w:rPr>
            </w:pPr>
            <w:r>
              <w:rPr>
                <w:rFonts w:ascii="Arial" w:cs="Arial" w:eastAsia="Arial" w:hAnsi="Arial"/>
                <w:sz w:val="20"/>
                <w:szCs w:val="20"/>
                <w:color w:val="auto"/>
              </w:rPr>
              <w:t>Sherry House</w:t>
            </w:r>
          </w:p>
        </w:tc>
        <w:tc>
          <w:tcPr>
            <w:tcW w:w="0" w:type="dxa"/>
            <w:vAlign w:val="bottom"/>
          </w:tcPr>
          <w:p>
            <w:pPr>
              <w:spacing w:after="0"/>
              <w:rPr>
                <w:sz w:val="1"/>
                <w:szCs w:val="1"/>
                <w:color w:val="auto"/>
              </w:rPr>
            </w:pPr>
          </w:p>
        </w:tc>
      </w:tr>
      <w:tr>
        <w:trPr>
          <w:trHeight w:val="171"/>
        </w:trPr>
        <w:tc>
          <w:tcPr>
            <w:tcW w:w="1100" w:type="dxa"/>
            <w:vAlign w:val="bottom"/>
            <w:tcBorders>
              <w:left w:val="single" w:sz="8" w:color="auto"/>
            </w:tcBorders>
            <w:vMerge w:val="restart"/>
          </w:tcPr>
          <w:p>
            <w:pPr>
              <w:ind w:left="80"/>
              <w:spacing w:after="0"/>
              <w:rPr>
                <w:sz w:val="20"/>
                <w:szCs w:val="20"/>
                <w:color w:val="auto"/>
              </w:rPr>
            </w:pPr>
            <w:r>
              <w:rPr>
                <w:rFonts w:ascii="Arial" w:cs="Arial" w:eastAsia="Arial" w:hAnsi="Arial"/>
                <w:sz w:val="20"/>
                <w:szCs w:val="20"/>
                <w:color w:val="auto"/>
              </w:rPr>
              <w:t>Title:</w:t>
            </w:r>
          </w:p>
        </w:tc>
        <w:tc>
          <w:tcPr>
            <w:tcW w:w="3880" w:type="dxa"/>
            <w:vAlign w:val="bottom"/>
            <w:tcBorders>
              <w:bottom w:val="single" w:sz="8" w:color="auto"/>
            </w:tcBorders>
          </w:tcPr>
          <w:p>
            <w:pPr>
              <w:spacing w:after="0"/>
              <w:rPr>
                <w:sz w:val="14"/>
                <w:szCs w:val="14"/>
                <w:color w:val="auto"/>
              </w:rPr>
            </w:pPr>
          </w:p>
        </w:tc>
        <w:tc>
          <w:tcPr>
            <w:tcW w:w="360" w:type="dxa"/>
            <w:vAlign w:val="bottom"/>
            <w:tcBorders>
              <w:right w:val="single" w:sz="8" w:color="auto"/>
            </w:tcBorders>
          </w:tcPr>
          <w:p>
            <w:pPr>
              <w:spacing w:after="0"/>
              <w:rPr>
                <w:sz w:val="14"/>
                <w:szCs w:val="14"/>
                <w:color w:val="auto"/>
              </w:rPr>
            </w:pPr>
          </w:p>
        </w:tc>
        <w:tc>
          <w:tcPr>
            <w:tcW w:w="440" w:type="dxa"/>
            <w:vAlign w:val="bottom"/>
            <w:tcBorders>
              <w:right w:val="single" w:sz="8" w:color="auto"/>
            </w:tcBorders>
          </w:tcPr>
          <w:p>
            <w:pPr>
              <w:spacing w:after="0"/>
              <w:rPr>
                <w:sz w:val="14"/>
                <w:szCs w:val="14"/>
                <w:color w:val="auto"/>
              </w:rPr>
            </w:pPr>
          </w:p>
        </w:tc>
        <w:tc>
          <w:tcPr>
            <w:tcW w:w="1080" w:type="dxa"/>
            <w:vAlign w:val="bottom"/>
            <w:vMerge w:val="restart"/>
          </w:tcPr>
          <w:p>
            <w:pPr>
              <w:ind w:left="60"/>
              <w:spacing w:after="0"/>
              <w:rPr>
                <w:sz w:val="20"/>
                <w:szCs w:val="20"/>
                <w:color w:val="auto"/>
              </w:rPr>
            </w:pPr>
            <w:r>
              <w:rPr>
                <w:rFonts w:ascii="Arial" w:cs="Arial" w:eastAsia="Arial" w:hAnsi="Arial"/>
                <w:sz w:val="20"/>
                <w:szCs w:val="20"/>
                <w:color w:val="auto"/>
              </w:rPr>
              <w:t>Title:</w:t>
            </w:r>
          </w:p>
        </w:tc>
        <w:tc>
          <w:tcPr>
            <w:tcW w:w="3880" w:type="dxa"/>
            <w:vAlign w:val="bottom"/>
            <w:tcBorders>
              <w:bottom w:val="single" w:sz="8" w:color="auto"/>
            </w:tcBorders>
          </w:tcPr>
          <w:p>
            <w:pPr>
              <w:spacing w:after="0"/>
              <w:rPr>
                <w:sz w:val="14"/>
                <w:szCs w:val="14"/>
                <w:color w:val="auto"/>
              </w:rPr>
            </w:pPr>
          </w:p>
        </w:tc>
        <w:tc>
          <w:tcPr>
            <w:tcW w:w="3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68"/>
        </w:trPr>
        <w:tc>
          <w:tcPr>
            <w:tcW w:w="1100" w:type="dxa"/>
            <w:vAlign w:val="bottom"/>
            <w:tcBorders>
              <w:left w:val="single" w:sz="8" w:color="auto"/>
            </w:tcBorders>
            <w:vMerge w:val="continue"/>
          </w:tcPr>
          <w:p>
            <w:pPr>
              <w:spacing w:after="0"/>
              <w:rPr>
                <w:sz w:val="23"/>
                <w:szCs w:val="23"/>
                <w:color w:val="auto"/>
              </w:rPr>
            </w:pPr>
          </w:p>
        </w:tc>
        <w:tc>
          <w:tcPr>
            <w:tcW w:w="4240" w:type="dxa"/>
            <w:vAlign w:val="bottom"/>
            <w:tcBorders>
              <w:right w:val="single" w:sz="8" w:color="auto"/>
            </w:tcBorders>
            <w:gridSpan w:val="2"/>
          </w:tcPr>
          <w:p>
            <w:pPr>
              <w:ind w:left="60"/>
              <w:spacing w:after="0"/>
              <w:rPr>
                <w:sz w:val="20"/>
                <w:szCs w:val="20"/>
                <w:color w:val="auto"/>
              </w:rPr>
            </w:pPr>
            <w:r>
              <w:rPr>
                <w:rFonts w:ascii="Arial" w:cs="Arial" w:eastAsia="Arial" w:hAnsi="Arial"/>
                <w:sz w:val="20"/>
                <w:szCs w:val="20"/>
                <w:color w:val="auto"/>
              </w:rPr>
              <w:t>President</w:t>
            </w:r>
          </w:p>
        </w:tc>
        <w:tc>
          <w:tcPr>
            <w:tcW w:w="440" w:type="dxa"/>
            <w:vAlign w:val="bottom"/>
            <w:tcBorders>
              <w:right w:val="single" w:sz="8" w:color="auto"/>
            </w:tcBorders>
          </w:tcPr>
          <w:p>
            <w:pPr>
              <w:spacing w:after="0"/>
              <w:rPr>
                <w:sz w:val="23"/>
                <w:szCs w:val="23"/>
                <w:color w:val="auto"/>
              </w:rPr>
            </w:pPr>
          </w:p>
        </w:tc>
        <w:tc>
          <w:tcPr>
            <w:tcW w:w="1080" w:type="dxa"/>
            <w:vAlign w:val="bottom"/>
            <w:vMerge w:val="continue"/>
          </w:tcPr>
          <w:p>
            <w:pPr>
              <w:spacing w:after="0"/>
              <w:rPr>
                <w:sz w:val="23"/>
                <w:szCs w:val="23"/>
                <w:color w:val="auto"/>
              </w:rPr>
            </w:pPr>
          </w:p>
        </w:tc>
        <w:tc>
          <w:tcPr>
            <w:tcW w:w="4260" w:type="dxa"/>
            <w:vAlign w:val="bottom"/>
            <w:tcBorders>
              <w:right w:val="single" w:sz="8" w:color="auto"/>
            </w:tcBorders>
            <w:gridSpan w:val="2"/>
          </w:tcPr>
          <w:p>
            <w:pPr>
              <w:ind w:left="80"/>
              <w:spacing w:after="0"/>
              <w:rPr>
                <w:sz w:val="20"/>
                <w:szCs w:val="20"/>
                <w:color w:val="auto"/>
              </w:rPr>
            </w:pPr>
            <w:r>
              <w:rPr>
                <w:rFonts w:ascii="Arial" w:cs="Arial" w:eastAsia="Arial" w:hAnsi="Arial"/>
                <w:sz w:val="20"/>
                <w:szCs w:val="20"/>
                <w:color w:val="auto"/>
              </w:rPr>
              <w:t>Chief Financial Officer</w:t>
            </w:r>
          </w:p>
        </w:tc>
        <w:tc>
          <w:tcPr>
            <w:tcW w:w="0" w:type="dxa"/>
            <w:vAlign w:val="bottom"/>
          </w:tcPr>
          <w:p>
            <w:pPr>
              <w:spacing w:after="0"/>
              <w:rPr>
                <w:sz w:val="1"/>
                <w:szCs w:val="1"/>
                <w:color w:val="auto"/>
              </w:rPr>
            </w:pPr>
          </w:p>
        </w:tc>
      </w:tr>
      <w:tr>
        <w:trPr>
          <w:trHeight w:val="172"/>
        </w:trPr>
        <w:tc>
          <w:tcPr>
            <w:tcW w:w="1100" w:type="dxa"/>
            <w:vAlign w:val="bottom"/>
            <w:tcBorders>
              <w:left w:val="single" w:sz="8" w:color="auto"/>
            </w:tcBorders>
            <w:vMerge w:val="restart"/>
          </w:tcPr>
          <w:p>
            <w:pPr>
              <w:ind w:left="80"/>
              <w:spacing w:after="0"/>
              <w:rPr>
                <w:sz w:val="20"/>
                <w:szCs w:val="20"/>
                <w:color w:val="auto"/>
              </w:rPr>
            </w:pPr>
            <w:r>
              <w:rPr>
                <w:rFonts w:ascii="Arial" w:cs="Arial" w:eastAsia="Arial" w:hAnsi="Arial"/>
                <w:sz w:val="20"/>
                <w:szCs w:val="20"/>
                <w:color w:val="auto"/>
              </w:rPr>
              <w:t>Date:</w:t>
            </w:r>
          </w:p>
        </w:tc>
        <w:tc>
          <w:tcPr>
            <w:tcW w:w="3880" w:type="dxa"/>
            <w:vAlign w:val="bottom"/>
            <w:tcBorders>
              <w:bottom w:val="single" w:sz="8" w:color="auto"/>
            </w:tcBorders>
          </w:tcPr>
          <w:p>
            <w:pPr>
              <w:spacing w:after="0"/>
              <w:rPr>
                <w:sz w:val="14"/>
                <w:szCs w:val="14"/>
                <w:color w:val="auto"/>
              </w:rPr>
            </w:pPr>
          </w:p>
        </w:tc>
        <w:tc>
          <w:tcPr>
            <w:tcW w:w="360" w:type="dxa"/>
            <w:vAlign w:val="bottom"/>
            <w:tcBorders>
              <w:right w:val="single" w:sz="8" w:color="auto"/>
            </w:tcBorders>
          </w:tcPr>
          <w:p>
            <w:pPr>
              <w:spacing w:after="0"/>
              <w:rPr>
                <w:sz w:val="14"/>
                <w:szCs w:val="14"/>
                <w:color w:val="auto"/>
              </w:rPr>
            </w:pPr>
          </w:p>
        </w:tc>
        <w:tc>
          <w:tcPr>
            <w:tcW w:w="440" w:type="dxa"/>
            <w:vAlign w:val="bottom"/>
            <w:tcBorders>
              <w:right w:val="single" w:sz="8" w:color="auto"/>
            </w:tcBorders>
          </w:tcPr>
          <w:p>
            <w:pPr>
              <w:spacing w:after="0"/>
              <w:rPr>
                <w:sz w:val="14"/>
                <w:szCs w:val="14"/>
                <w:color w:val="auto"/>
              </w:rPr>
            </w:pPr>
          </w:p>
        </w:tc>
        <w:tc>
          <w:tcPr>
            <w:tcW w:w="1080" w:type="dxa"/>
            <w:vAlign w:val="bottom"/>
            <w:vMerge w:val="restart"/>
          </w:tcPr>
          <w:p>
            <w:pPr>
              <w:ind w:left="60"/>
              <w:spacing w:after="0"/>
              <w:rPr>
                <w:sz w:val="20"/>
                <w:szCs w:val="20"/>
                <w:color w:val="auto"/>
              </w:rPr>
            </w:pPr>
            <w:r>
              <w:rPr>
                <w:rFonts w:ascii="Arial" w:cs="Arial" w:eastAsia="Arial" w:hAnsi="Arial"/>
                <w:sz w:val="20"/>
                <w:szCs w:val="20"/>
                <w:color w:val="auto"/>
              </w:rPr>
              <w:t>Date:</w:t>
            </w:r>
          </w:p>
        </w:tc>
        <w:tc>
          <w:tcPr>
            <w:tcW w:w="3880" w:type="dxa"/>
            <w:vAlign w:val="bottom"/>
            <w:tcBorders>
              <w:bottom w:val="single" w:sz="8" w:color="auto"/>
            </w:tcBorders>
          </w:tcPr>
          <w:p>
            <w:pPr>
              <w:spacing w:after="0"/>
              <w:rPr>
                <w:sz w:val="14"/>
                <w:szCs w:val="14"/>
                <w:color w:val="auto"/>
              </w:rPr>
            </w:pPr>
          </w:p>
        </w:tc>
        <w:tc>
          <w:tcPr>
            <w:tcW w:w="3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68"/>
        </w:trPr>
        <w:tc>
          <w:tcPr>
            <w:tcW w:w="1100" w:type="dxa"/>
            <w:vAlign w:val="bottom"/>
            <w:tcBorders>
              <w:left w:val="single" w:sz="8" w:color="auto"/>
            </w:tcBorders>
            <w:vMerge w:val="continue"/>
          </w:tcPr>
          <w:p>
            <w:pPr>
              <w:spacing w:after="0"/>
              <w:rPr>
                <w:sz w:val="23"/>
                <w:szCs w:val="23"/>
                <w:color w:val="auto"/>
              </w:rPr>
            </w:pPr>
          </w:p>
        </w:tc>
        <w:tc>
          <w:tcPr>
            <w:tcW w:w="4240" w:type="dxa"/>
            <w:vAlign w:val="bottom"/>
            <w:tcBorders>
              <w:right w:val="single" w:sz="8" w:color="auto"/>
            </w:tcBorders>
            <w:gridSpan w:val="2"/>
          </w:tcPr>
          <w:p>
            <w:pPr>
              <w:ind w:left="60"/>
              <w:spacing w:after="0"/>
              <w:rPr>
                <w:sz w:val="20"/>
                <w:szCs w:val="20"/>
                <w:color w:val="auto"/>
              </w:rPr>
            </w:pPr>
            <w:r>
              <w:rPr>
                <w:rFonts w:ascii="Arial" w:cs="Arial" w:eastAsia="Arial" w:hAnsi="Arial"/>
                <w:sz w:val="20"/>
                <w:szCs w:val="20"/>
                <w:color w:val="auto"/>
              </w:rPr>
              <w:t>Dec 7, 2022</w:t>
            </w:r>
          </w:p>
        </w:tc>
        <w:tc>
          <w:tcPr>
            <w:tcW w:w="440" w:type="dxa"/>
            <w:vAlign w:val="bottom"/>
            <w:tcBorders>
              <w:right w:val="single" w:sz="8" w:color="auto"/>
            </w:tcBorders>
          </w:tcPr>
          <w:p>
            <w:pPr>
              <w:spacing w:after="0"/>
              <w:rPr>
                <w:sz w:val="23"/>
                <w:szCs w:val="23"/>
                <w:color w:val="auto"/>
              </w:rPr>
            </w:pPr>
          </w:p>
        </w:tc>
        <w:tc>
          <w:tcPr>
            <w:tcW w:w="1080" w:type="dxa"/>
            <w:vAlign w:val="bottom"/>
            <w:vMerge w:val="continue"/>
          </w:tcPr>
          <w:p>
            <w:pPr>
              <w:spacing w:after="0"/>
              <w:rPr>
                <w:sz w:val="23"/>
                <w:szCs w:val="23"/>
                <w:color w:val="auto"/>
              </w:rPr>
            </w:pPr>
          </w:p>
        </w:tc>
        <w:tc>
          <w:tcPr>
            <w:tcW w:w="3880" w:type="dxa"/>
            <w:vAlign w:val="bottom"/>
          </w:tcPr>
          <w:p>
            <w:pPr>
              <w:ind w:left="80"/>
              <w:spacing w:after="0"/>
              <w:rPr>
                <w:sz w:val="20"/>
                <w:szCs w:val="20"/>
                <w:color w:val="auto"/>
              </w:rPr>
            </w:pPr>
            <w:r>
              <w:rPr>
                <w:rFonts w:ascii="Arial" w:cs="Arial" w:eastAsia="Arial" w:hAnsi="Arial"/>
                <w:sz w:val="20"/>
                <w:szCs w:val="20"/>
                <w:color w:val="auto"/>
              </w:rPr>
              <w:t>12/12/2022</w:t>
            </w:r>
          </w:p>
        </w:tc>
        <w:tc>
          <w:tcPr>
            <w:tcW w:w="3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72"/>
        </w:trPr>
        <w:tc>
          <w:tcPr>
            <w:tcW w:w="1100" w:type="dxa"/>
            <w:vAlign w:val="bottom"/>
            <w:tcBorders>
              <w:left w:val="single" w:sz="8" w:color="auto"/>
            </w:tcBorders>
          </w:tcPr>
          <w:p>
            <w:pPr>
              <w:spacing w:after="0"/>
              <w:rPr>
                <w:sz w:val="14"/>
                <w:szCs w:val="14"/>
                <w:color w:val="auto"/>
              </w:rPr>
            </w:pPr>
          </w:p>
        </w:tc>
        <w:tc>
          <w:tcPr>
            <w:tcW w:w="3880" w:type="dxa"/>
            <w:vAlign w:val="bottom"/>
            <w:tcBorders>
              <w:bottom w:val="single" w:sz="8" w:color="auto"/>
            </w:tcBorders>
          </w:tcPr>
          <w:p>
            <w:pPr>
              <w:spacing w:after="0"/>
              <w:rPr>
                <w:sz w:val="14"/>
                <w:szCs w:val="14"/>
                <w:color w:val="auto"/>
              </w:rPr>
            </w:pPr>
          </w:p>
        </w:tc>
        <w:tc>
          <w:tcPr>
            <w:tcW w:w="360" w:type="dxa"/>
            <w:vAlign w:val="bottom"/>
            <w:tcBorders>
              <w:right w:val="single" w:sz="8" w:color="auto"/>
            </w:tcBorders>
          </w:tcPr>
          <w:p>
            <w:pPr>
              <w:spacing w:after="0"/>
              <w:rPr>
                <w:sz w:val="14"/>
                <w:szCs w:val="14"/>
                <w:color w:val="auto"/>
              </w:rPr>
            </w:pPr>
          </w:p>
        </w:tc>
        <w:tc>
          <w:tcPr>
            <w:tcW w:w="440" w:type="dxa"/>
            <w:vAlign w:val="bottom"/>
            <w:tcBorders>
              <w:right w:val="single" w:sz="8" w:color="auto"/>
            </w:tcBorders>
          </w:tcPr>
          <w:p>
            <w:pPr>
              <w:spacing w:after="0"/>
              <w:rPr>
                <w:sz w:val="14"/>
                <w:szCs w:val="14"/>
                <w:color w:val="auto"/>
              </w:rPr>
            </w:pPr>
          </w:p>
        </w:tc>
        <w:tc>
          <w:tcPr>
            <w:tcW w:w="1080" w:type="dxa"/>
            <w:vAlign w:val="bottom"/>
          </w:tcPr>
          <w:p>
            <w:pPr>
              <w:spacing w:after="0"/>
              <w:rPr>
                <w:sz w:val="14"/>
                <w:szCs w:val="14"/>
                <w:color w:val="auto"/>
              </w:rPr>
            </w:pPr>
          </w:p>
        </w:tc>
        <w:tc>
          <w:tcPr>
            <w:tcW w:w="3880" w:type="dxa"/>
            <w:vAlign w:val="bottom"/>
            <w:tcBorders>
              <w:bottom w:val="single" w:sz="8" w:color="auto"/>
            </w:tcBorders>
          </w:tcPr>
          <w:p>
            <w:pPr>
              <w:spacing w:after="0"/>
              <w:rPr>
                <w:sz w:val="14"/>
                <w:szCs w:val="14"/>
                <w:color w:val="auto"/>
              </w:rPr>
            </w:pPr>
          </w:p>
        </w:tc>
        <w:tc>
          <w:tcPr>
            <w:tcW w:w="3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11"/>
        </w:trPr>
        <w:tc>
          <w:tcPr>
            <w:tcW w:w="534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Address: 1 Electric Avenue, Sparks, NV, 89437</w:t>
            </w:r>
          </w:p>
        </w:tc>
        <w:tc>
          <w:tcPr>
            <w:tcW w:w="440" w:type="dxa"/>
            <w:vAlign w:val="bottom"/>
            <w:tcBorders>
              <w:right w:val="single" w:sz="8" w:color="auto"/>
            </w:tcBorders>
          </w:tcPr>
          <w:p>
            <w:pPr>
              <w:spacing w:after="0"/>
              <w:rPr>
                <w:sz w:val="24"/>
                <w:szCs w:val="24"/>
                <w:color w:val="auto"/>
              </w:rPr>
            </w:pPr>
          </w:p>
        </w:tc>
        <w:tc>
          <w:tcPr>
            <w:tcW w:w="5340" w:type="dxa"/>
            <w:vAlign w:val="bottom"/>
            <w:tcBorders>
              <w:right w:val="single" w:sz="8" w:color="auto"/>
            </w:tcBorders>
            <w:gridSpan w:val="3"/>
            <w:vMerge w:val="restart"/>
          </w:tcPr>
          <w:p>
            <w:pPr>
              <w:ind w:left="20"/>
              <w:spacing w:after="0"/>
              <w:rPr>
                <w:sz w:val="20"/>
                <w:szCs w:val="20"/>
                <w:color w:val="auto"/>
              </w:rPr>
            </w:pPr>
            <w:r>
              <w:rPr>
                <w:rFonts w:ascii="Arial" w:cs="Arial" w:eastAsia="Arial" w:hAnsi="Arial"/>
                <w:sz w:val="20"/>
                <w:szCs w:val="20"/>
                <w:color w:val="auto"/>
              </w:rPr>
              <w:t>Address: 7373 Gateway Blvd. Newark, CA 94560, USA</w:t>
            </w:r>
          </w:p>
        </w:tc>
        <w:tc>
          <w:tcPr>
            <w:tcW w:w="0" w:type="dxa"/>
            <w:vAlign w:val="bottom"/>
          </w:tcPr>
          <w:p>
            <w:pPr>
              <w:spacing w:after="0"/>
              <w:rPr>
                <w:sz w:val="1"/>
                <w:szCs w:val="1"/>
                <w:color w:val="auto"/>
              </w:rPr>
            </w:pPr>
          </w:p>
        </w:tc>
      </w:tr>
      <w:tr>
        <w:trPr>
          <w:trHeight w:val="81"/>
        </w:trPr>
        <w:tc>
          <w:tcPr>
            <w:tcW w:w="1100" w:type="dxa"/>
            <w:vAlign w:val="bottom"/>
            <w:tcBorders>
              <w:left w:val="single" w:sz="8" w:color="auto"/>
            </w:tcBorders>
          </w:tcPr>
          <w:p>
            <w:pPr>
              <w:spacing w:after="0"/>
              <w:rPr>
                <w:sz w:val="7"/>
                <w:szCs w:val="7"/>
                <w:color w:val="auto"/>
              </w:rPr>
            </w:pPr>
          </w:p>
        </w:tc>
        <w:tc>
          <w:tcPr>
            <w:tcW w:w="3880" w:type="dxa"/>
            <w:vAlign w:val="bottom"/>
          </w:tcPr>
          <w:p>
            <w:pPr>
              <w:spacing w:after="0"/>
              <w:rPr>
                <w:sz w:val="7"/>
                <w:szCs w:val="7"/>
                <w:color w:val="auto"/>
              </w:rPr>
            </w:pPr>
          </w:p>
        </w:tc>
        <w:tc>
          <w:tcPr>
            <w:tcW w:w="360" w:type="dxa"/>
            <w:vAlign w:val="bottom"/>
            <w:tcBorders>
              <w:right w:val="single" w:sz="8" w:color="auto"/>
            </w:tcBorders>
          </w:tcPr>
          <w:p>
            <w:pPr>
              <w:spacing w:after="0"/>
              <w:rPr>
                <w:sz w:val="7"/>
                <w:szCs w:val="7"/>
                <w:color w:val="auto"/>
              </w:rPr>
            </w:pPr>
          </w:p>
        </w:tc>
        <w:tc>
          <w:tcPr>
            <w:tcW w:w="440" w:type="dxa"/>
            <w:vAlign w:val="bottom"/>
            <w:tcBorders>
              <w:right w:val="single" w:sz="8" w:color="auto"/>
            </w:tcBorders>
          </w:tcPr>
          <w:p>
            <w:pPr>
              <w:spacing w:after="0"/>
              <w:rPr>
                <w:sz w:val="7"/>
                <w:szCs w:val="7"/>
                <w:color w:val="auto"/>
              </w:rPr>
            </w:pPr>
          </w:p>
        </w:tc>
        <w:tc>
          <w:tcPr>
            <w:tcW w:w="5340" w:type="dxa"/>
            <w:vAlign w:val="bottom"/>
            <w:tcBorders>
              <w:right w:val="single" w:sz="8" w:color="auto"/>
            </w:tcBorders>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7"/>
        </w:trPr>
        <w:tc>
          <w:tcPr>
            <w:tcW w:w="1100" w:type="dxa"/>
            <w:vAlign w:val="bottom"/>
            <w:tcBorders>
              <w:left w:val="single" w:sz="8" w:color="auto"/>
              <w:bottom w:val="single" w:sz="8" w:color="auto"/>
            </w:tcBorders>
          </w:tcPr>
          <w:p>
            <w:pPr>
              <w:spacing w:after="0"/>
              <w:rPr>
                <w:sz w:val="10"/>
                <w:szCs w:val="10"/>
                <w:color w:val="auto"/>
              </w:rPr>
            </w:pPr>
          </w:p>
        </w:tc>
        <w:tc>
          <w:tcPr>
            <w:tcW w:w="3880" w:type="dxa"/>
            <w:vAlign w:val="bottom"/>
            <w:tcBorders>
              <w:bottom w:val="single" w:sz="8" w:color="auto"/>
            </w:tcBorders>
          </w:tcPr>
          <w:p>
            <w:pPr>
              <w:spacing w:after="0"/>
              <w:rPr>
                <w:sz w:val="10"/>
                <w:szCs w:val="10"/>
                <w:color w:val="auto"/>
              </w:rPr>
            </w:pPr>
          </w:p>
        </w:tc>
        <w:tc>
          <w:tcPr>
            <w:tcW w:w="360" w:type="dxa"/>
            <w:vAlign w:val="bottom"/>
            <w:tcBorders>
              <w:bottom w:val="single" w:sz="8" w:color="auto"/>
              <w:right w:val="single" w:sz="8" w:color="auto"/>
            </w:tcBorders>
          </w:tcPr>
          <w:p>
            <w:pPr>
              <w:spacing w:after="0"/>
              <w:rPr>
                <w:sz w:val="10"/>
                <w:szCs w:val="10"/>
                <w:color w:val="auto"/>
              </w:rPr>
            </w:pPr>
          </w:p>
        </w:tc>
        <w:tc>
          <w:tcPr>
            <w:tcW w:w="440" w:type="dxa"/>
            <w:vAlign w:val="bottom"/>
            <w:tcBorders>
              <w:right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3880" w:type="dxa"/>
            <w:vAlign w:val="bottom"/>
            <w:tcBorders>
              <w:bottom w:val="single" w:sz="8" w:color="auto"/>
            </w:tcBorders>
          </w:tcPr>
          <w:p>
            <w:pPr>
              <w:spacing w:after="0"/>
              <w:rPr>
                <w:sz w:val="10"/>
                <w:szCs w:val="10"/>
                <w:color w:val="auto"/>
              </w:rPr>
            </w:pPr>
          </w:p>
        </w:tc>
        <w:tc>
          <w:tcPr>
            <w:tcW w:w="38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39"/>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100"/>
          </w:cols>
          <w:pgMar w:left="320" w:top="1440" w:right="479" w:bottom="1440" w:gutter="0" w:footer="0" w:header="0"/>
        </w:sectPr>
      </w:pPr>
    </w:p>
    <w:bookmarkStart w:id="179" w:name="page180"/>
    <w:bookmarkEnd w:id="179"/>
    <w:p>
      <w:pPr>
        <w:jc w:val="right"/>
        <w:spacing w:after="0"/>
        <w:rPr>
          <w:sz w:val="20"/>
          <w:szCs w:val="20"/>
          <w:color w:val="auto"/>
        </w:rPr>
      </w:pPr>
      <w:r>
        <w:rPr>
          <w:rFonts w:ascii="Arial" w:cs="Arial" w:eastAsia="Arial" w:hAnsi="Arial"/>
          <w:sz w:val="18"/>
          <w:szCs w:val="18"/>
          <w:b w:val="1"/>
          <w:bCs w:val="1"/>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860" w:type="dxa"/>
            <w:vAlign w:val="bottom"/>
          </w:tcPr>
          <w:p>
            <w:pPr>
              <w:spacing w:after="0"/>
              <w:rPr>
                <w:sz w:val="19"/>
                <w:szCs w:val="19"/>
                <w:color w:val="auto"/>
              </w:rPr>
            </w:pPr>
          </w:p>
        </w:tc>
        <w:tc>
          <w:tcPr>
            <w:tcW w:w="8380" w:type="dxa"/>
            <w:vAlign w:val="bottom"/>
            <w:gridSpan w:val="3"/>
          </w:tcPr>
          <w:p>
            <w:pPr>
              <w:jc w:val="center"/>
              <w:ind w:right="2750"/>
              <w:spacing w:after="0"/>
              <w:rPr>
                <w:sz w:val="20"/>
                <w:szCs w:val="20"/>
                <w:color w:val="auto"/>
              </w:rPr>
            </w:pPr>
            <w:r>
              <w:rPr>
                <w:rFonts w:ascii="Arial" w:cs="Arial" w:eastAsia="Arial" w:hAnsi="Arial"/>
                <w:sz w:val="18"/>
                <w:szCs w:val="18"/>
                <w:b w:val="1"/>
                <w:bCs w:val="1"/>
                <w:color w:val="auto"/>
              </w:rPr>
              <w:t>LIST OF SIGNIFICANT SUBSIDIARIES</w:t>
            </w:r>
          </w:p>
        </w:tc>
      </w:tr>
      <w:tr>
        <w:trPr>
          <w:trHeight w:val="234"/>
        </w:trPr>
        <w:tc>
          <w:tcPr>
            <w:tcW w:w="2860" w:type="dxa"/>
            <w:vAlign w:val="bottom"/>
          </w:tcPr>
          <w:p>
            <w:pPr>
              <w:spacing w:after="0"/>
              <w:rPr>
                <w:sz w:val="20"/>
                <w:szCs w:val="20"/>
                <w:color w:val="auto"/>
              </w:rPr>
            </w:pPr>
          </w:p>
        </w:tc>
        <w:tc>
          <w:tcPr>
            <w:tcW w:w="8380" w:type="dxa"/>
            <w:vAlign w:val="bottom"/>
            <w:gridSpan w:val="3"/>
          </w:tcPr>
          <w:p>
            <w:pPr>
              <w:jc w:val="center"/>
              <w:ind w:right="2770"/>
              <w:spacing w:after="0"/>
              <w:rPr>
                <w:sz w:val="20"/>
                <w:szCs w:val="20"/>
                <w:color w:val="auto"/>
              </w:rPr>
            </w:pPr>
            <w:r>
              <w:rPr>
                <w:rFonts w:ascii="Arial" w:cs="Arial" w:eastAsia="Arial" w:hAnsi="Arial"/>
                <w:sz w:val="18"/>
                <w:szCs w:val="18"/>
                <w:b w:val="1"/>
                <w:bCs w:val="1"/>
                <w:color w:val="auto"/>
                <w:w w:val="95"/>
              </w:rPr>
              <w:t>AS OF DECEMBER 31, 2022</w:t>
            </w:r>
          </w:p>
        </w:tc>
      </w:tr>
      <w:tr>
        <w:trPr>
          <w:trHeight w:val="459"/>
        </w:trPr>
        <w:tc>
          <w:tcPr>
            <w:tcW w:w="286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Name</w:t>
            </w:r>
          </w:p>
        </w:tc>
        <w:tc>
          <w:tcPr>
            <w:tcW w:w="4900" w:type="dxa"/>
            <w:vAlign w:val="bottom"/>
            <w:tcBorders>
              <w:bottom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31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Jurisdiction</w:t>
            </w:r>
          </w:p>
        </w:tc>
      </w:tr>
      <w:tr>
        <w:trPr>
          <w:trHeight w:val="222"/>
        </w:trPr>
        <w:tc>
          <w:tcPr>
            <w:tcW w:w="2860" w:type="dxa"/>
            <w:vAlign w:val="bottom"/>
          </w:tcPr>
          <w:p>
            <w:pPr>
              <w:ind w:left="80"/>
              <w:spacing w:after="0"/>
              <w:rPr>
                <w:sz w:val="20"/>
                <w:szCs w:val="20"/>
                <w:color w:val="auto"/>
              </w:rPr>
            </w:pPr>
            <w:r>
              <w:rPr>
                <w:rFonts w:ascii="Arial" w:cs="Arial" w:eastAsia="Arial" w:hAnsi="Arial"/>
                <w:sz w:val="18"/>
                <w:szCs w:val="18"/>
                <w:color w:val="auto"/>
              </w:rPr>
              <w:t>Atieva, Inc.</w:t>
            </w:r>
          </w:p>
        </w:tc>
        <w:tc>
          <w:tcPr>
            <w:tcW w:w="4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180" w:type="dxa"/>
            <w:vAlign w:val="bottom"/>
          </w:tcPr>
          <w:p>
            <w:pPr>
              <w:jc w:val="center"/>
              <w:spacing w:after="0"/>
              <w:rPr>
                <w:sz w:val="20"/>
                <w:szCs w:val="20"/>
                <w:color w:val="auto"/>
              </w:rPr>
            </w:pPr>
            <w:r>
              <w:rPr>
                <w:rFonts w:ascii="Arial" w:cs="Arial" w:eastAsia="Arial" w:hAnsi="Arial"/>
                <w:sz w:val="18"/>
                <w:szCs w:val="18"/>
                <w:color w:val="auto"/>
                <w:w w:val="92"/>
              </w:rPr>
              <w:t>Delaware</w:t>
            </w:r>
          </w:p>
        </w:tc>
      </w:tr>
      <w:tr>
        <w:trPr>
          <w:trHeight w:val="229"/>
        </w:trPr>
        <w:tc>
          <w:tcPr>
            <w:tcW w:w="2860" w:type="dxa"/>
            <w:vAlign w:val="bottom"/>
          </w:tcPr>
          <w:p>
            <w:pPr>
              <w:ind w:left="80"/>
              <w:spacing w:after="0"/>
              <w:rPr>
                <w:sz w:val="20"/>
                <w:szCs w:val="20"/>
                <w:color w:val="auto"/>
              </w:rPr>
            </w:pPr>
            <w:r>
              <w:rPr>
                <w:rFonts w:ascii="Arial" w:cs="Arial" w:eastAsia="Arial" w:hAnsi="Arial"/>
                <w:sz w:val="18"/>
                <w:szCs w:val="18"/>
                <w:color w:val="auto"/>
              </w:rPr>
              <w:t>Lucid USA, Inc.</w:t>
            </w:r>
          </w:p>
        </w:tc>
        <w:tc>
          <w:tcPr>
            <w:tcW w:w="4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180" w:type="dxa"/>
            <w:vAlign w:val="bottom"/>
          </w:tcPr>
          <w:p>
            <w:pPr>
              <w:jc w:val="center"/>
              <w:spacing w:after="0"/>
              <w:rPr>
                <w:sz w:val="20"/>
                <w:szCs w:val="20"/>
                <w:color w:val="auto"/>
              </w:rPr>
            </w:pPr>
            <w:r>
              <w:rPr>
                <w:rFonts w:ascii="Arial" w:cs="Arial" w:eastAsia="Arial" w:hAnsi="Arial"/>
                <w:sz w:val="18"/>
                <w:szCs w:val="18"/>
                <w:color w:val="auto"/>
                <w:w w:val="92"/>
              </w:rPr>
              <w:t>Delaware</w:t>
            </w:r>
          </w:p>
        </w:tc>
      </w:tr>
      <w:tr>
        <w:trPr>
          <w:trHeight w:val="230"/>
        </w:trPr>
        <w:tc>
          <w:tcPr>
            <w:tcW w:w="2860" w:type="dxa"/>
            <w:vAlign w:val="bottom"/>
          </w:tcPr>
          <w:p>
            <w:pPr>
              <w:ind w:left="80"/>
              <w:spacing w:after="0"/>
              <w:rPr>
                <w:sz w:val="20"/>
                <w:szCs w:val="20"/>
                <w:color w:val="auto"/>
              </w:rPr>
            </w:pPr>
            <w:r>
              <w:rPr>
                <w:rFonts w:ascii="Arial" w:cs="Arial" w:eastAsia="Arial" w:hAnsi="Arial"/>
                <w:sz w:val="18"/>
                <w:szCs w:val="18"/>
                <w:color w:val="auto"/>
              </w:rPr>
              <w:t>Lucid Group USA, Inc</w:t>
            </w:r>
          </w:p>
        </w:tc>
        <w:tc>
          <w:tcPr>
            <w:tcW w:w="4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180" w:type="dxa"/>
            <w:vAlign w:val="bottom"/>
          </w:tcPr>
          <w:p>
            <w:pPr>
              <w:jc w:val="center"/>
              <w:spacing w:after="0"/>
              <w:rPr>
                <w:sz w:val="20"/>
                <w:szCs w:val="20"/>
                <w:color w:val="auto"/>
              </w:rPr>
            </w:pPr>
            <w:r>
              <w:rPr>
                <w:rFonts w:ascii="Arial" w:cs="Arial" w:eastAsia="Arial" w:hAnsi="Arial"/>
                <w:sz w:val="18"/>
                <w:szCs w:val="18"/>
                <w:color w:val="auto"/>
                <w:w w:val="92"/>
              </w:rPr>
              <w:t>Delaware</w:t>
            </w:r>
          </w:p>
        </w:tc>
      </w:tr>
    </w:tbl>
    <w:p>
      <w:pPr>
        <w:sectPr>
          <w:pgSz w:w="11900" w:h="16838" w:orient="portrait"/>
          <w:cols w:equalWidth="0" w:num="1">
            <w:col w:w="11240"/>
          </w:cols>
          <w:pgMar w:left="320" w:top="783" w:right="339" w:bottom="1440" w:gutter="0" w:footer="0" w:header="0"/>
        </w:sectPr>
      </w:pPr>
    </w:p>
    <w:bookmarkStart w:id="180" w:name="page181"/>
    <w:bookmarkEnd w:id="180"/>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99" w:lineRule="exact"/>
        <w:rPr>
          <w:sz w:val="20"/>
          <w:szCs w:val="20"/>
          <w:color w:val="auto"/>
        </w:rPr>
      </w:pPr>
    </w:p>
    <w:p>
      <w:pPr>
        <w:ind w:right="120"/>
        <w:spacing w:after="0" w:line="290" w:lineRule="auto"/>
        <w:rPr>
          <w:sz w:val="20"/>
          <w:szCs w:val="20"/>
          <w:color w:val="auto"/>
        </w:rPr>
      </w:pPr>
      <w:r>
        <w:rPr>
          <w:rFonts w:ascii="Arial" w:cs="Arial" w:eastAsia="Arial" w:hAnsi="Arial"/>
          <w:sz w:val="18"/>
          <w:szCs w:val="18"/>
          <w:color w:val="auto"/>
        </w:rPr>
        <w:t>We have issued our reports dated February 28, 2023, with respect to the consolidated financial statements and internal control over financial reporting included in the Annual Report of Lucid Group, Inc. on Form 10-K for the year ended December 31, 2022. We consent to the incorporation by reference of said reports in the Registration Statements of Lucid Group, Inc. on Form S-3 (File No. 333-267147) and on Forms S-8 (File No. 333-259794 and File No. 333-265734).</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California</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February 28, 2023</w:t>
      </w:r>
    </w:p>
    <w:p>
      <w:pPr>
        <w:sectPr>
          <w:pgSz w:w="11900" w:h="16838" w:orient="portrait"/>
          <w:cols w:equalWidth="0" w:num="1">
            <w:col w:w="11240"/>
          </w:cols>
          <w:pgMar w:left="320" w:top="783" w:right="339" w:bottom="1440" w:gutter="0" w:footer="0" w:header="0"/>
        </w:sectPr>
      </w:pPr>
    </w:p>
    <w:bookmarkStart w:id="181" w:name="page182"/>
    <w:bookmarkEnd w:id="181"/>
    <w:p>
      <w:pPr>
        <w:jc w:val="right"/>
        <w:spacing w:after="0"/>
        <w:rPr>
          <w:sz w:val="20"/>
          <w:szCs w:val="20"/>
          <w:color w:val="auto"/>
        </w:rPr>
      </w:pPr>
      <w:r>
        <w:rPr>
          <w:rFonts w:ascii="Arial" w:cs="Arial" w:eastAsia="Arial" w:hAnsi="Arial"/>
          <w:sz w:val="18"/>
          <w:szCs w:val="18"/>
          <w:b w:val="1"/>
          <w:bCs w:val="1"/>
          <w:color w:val="auto"/>
        </w:rPr>
        <w:t>EXHIBIT 31.1</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 Peter Rawlinson, certify that:</w:t>
      </w:r>
    </w:p>
    <w:p>
      <w:pPr>
        <w:spacing w:after="0" w:line="117" w:lineRule="exact"/>
        <w:rPr>
          <w:sz w:val="20"/>
          <w:szCs w:val="20"/>
          <w:color w:val="auto"/>
        </w:rPr>
      </w:pPr>
    </w:p>
    <w:p>
      <w:pPr>
        <w:ind w:left="660" w:hanging="328"/>
        <w:spacing w:after="0"/>
        <w:tabs>
          <w:tab w:leader="none" w:pos="6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Lucid Group, Inc.;</w:t>
      </w:r>
    </w:p>
    <w:p>
      <w:pPr>
        <w:spacing w:after="0" w:line="117"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jc w:val="both"/>
        <w:ind w:left="1300" w:hanging="320"/>
        <w:spacing w:after="0" w:line="263" w:lineRule="auto"/>
        <w:tabs>
          <w:tab w:leader="none" w:pos="1290" w:val="left"/>
        </w:tabs>
        <w:numPr>
          <w:ilvl w:val="1"/>
          <w:numId w:val="10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jc w:val="both"/>
        <w:ind w:left="1300" w:hanging="320"/>
        <w:spacing w:after="0" w:line="263" w:lineRule="auto"/>
        <w:tabs>
          <w:tab w:leader="none" w:pos="1300" w:val="left"/>
        </w:tabs>
        <w:numPr>
          <w:ilvl w:val="1"/>
          <w:numId w:val="10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1300" w:hanging="320"/>
        <w:spacing w:after="0" w:line="342" w:lineRule="auto"/>
        <w:tabs>
          <w:tab w:leader="none" w:pos="1290" w:val="left"/>
        </w:tabs>
        <w:numPr>
          <w:ilvl w:val="1"/>
          <w:numId w:val="10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1300" w:hanging="320"/>
        <w:spacing w:after="0" w:line="263" w:lineRule="auto"/>
        <w:tabs>
          <w:tab w:leader="none" w:pos="1300" w:val="left"/>
        </w:tabs>
        <w:numPr>
          <w:ilvl w:val="1"/>
          <w:numId w:val="10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300" w:hanging="320"/>
        <w:spacing w:after="0" w:line="308" w:lineRule="auto"/>
        <w:tabs>
          <w:tab w:leader="none" w:pos="1290" w:val="left"/>
        </w:tabs>
        <w:numPr>
          <w:ilvl w:val="1"/>
          <w:numId w:val="10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1300" w:right="140" w:hanging="320"/>
        <w:spacing w:after="0" w:line="277" w:lineRule="auto"/>
        <w:tabs>
          <w:tab w:leader="none" w:pos="1300" w:val="left"/>
        </w:tabs>
        <w:numPr>
          <w:ilvl w:val="1"/>
          <w:numId w:val="10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5920" w:type="dxa"/>
            <w:vAlign w:val="bottom"/>
          </w:tcPr>
          <w:p>
            <w:pPr>
              <w:spacing w:after="0"/>
              <w:rPr>
                <w:sz w:val="20"/>
                <w:szCs w:val="20"/>
                <w:color w:val="auto"/>
              </w:rPr>
            </w:pPr>
            <w:r>
              <w:rPr>
                <w:rFonts w:ascii="Arial" w:cs="Arial" w:eastAsia="Arial" w:hAnsi="Arial"/>
                <w:sz w:val="18"/>
                <w:szCs w:val="18"/>
                <w:color w:val="auto"/>
              </w:rPr>
              <w:t>Date: February 28, 2023</w:t>
            </w:r>
          </w:p>
        </w:tc>
        <w:tc>
          <w:tcPr>
            <w:tcW w:w="5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Peter Rawlinson</w:t>
            </w:r>
          </w:p>
        </w:tc>
      </w:tr>
      <w:tr>
        <w:trPr>
          <w:trHeight w:val="222"/>
        </w:trPr>
        <w:tc>
          <w:tcPr>
            <w:tcW w:w="5920" w:type="dxa"/>
            <w:vAlign w:val="bottom"/>
          </w:tcPr>
          <w:p>
            <w:pPr>
              <w:spacing w:after="0"/>
              <w:rPr>
                <w:sz w:val="19"/>
                <w:szCs w:val="19"/>
                <w:color w:val="auto"/>
              </w:rPr>
            </w:pPr>
          </w:p>
        </w:tc>
        <w:tc>
          <w:tcPr>
            <w:tcW w:w="5260" w:type="dxa"/>
            <w:vAlign w:val="bottom"/>
          </w:tcPr>
          <w:p>
            <w:pPr>
              <w:ind w:left="60"/>
              <w:spacing w:after="0"/>
              <w:rPr>
                <w:sz w:val="20"/>
                <w:szCs w:val="20"/>
                <w:color w:val="auto"/>
              </w:rPr>
            </w:pPr>
            <w:r>
              <w:rPr>
                <w:rFonts w:ascii="Arial" w:cs="Arial" w:eastAsia="Arial" w:hAnsi="Arial"/>
                <w:sz w:val="18"/>
                <w:szCs w:val="18"/>
                <w:color w:val="auto"/>
              </w:rPr>
              <w:t>Peter Rawlinson</w:t>
            </w:r>
          </w:p>
        </w:tc>
      </w:tr>
      <w:tr>
        <w:trPr>
          <w:trHeight w:val="230"/>
        </w:trPr>
        <w:tc>
          <w:tcPr>
            <w:tcW w:w="5920" w:type="dxa"/>
            <w:vAlign w:val="bottom"/>
          </w:tcPr>
          <w:p>
            <w:pPr>
              <w:spacing w:after="0"/>
              <w:rPr>
                <w:sz w:val="19"/>
                <w:szCs w:val="19"/>
                <w:color w:val="auto"/>
              </w:rPr>
            </w:pPr>
          </w:p>
        </w:tc>
        <w:tc>
          <w:tcPr>
            <w:tcW w:w="5260" w:type="dxa"/>
            <w:vAlign w:val="bottom"/>
          </w:tcPr>
          <w:p>
            <w:pPr>
              <w:ind w:left="60"/>
              <w:spacing w:after="0"/>
              <w:rPr>
                <w:sz w:val="20"/>
                <w:szCs w:val="20"/>
                <w:color w:val="auto"/>
              </w:rPr>
            </w:pPr>
            <w:r>
              <w:rPr>
                <w:rFonts w:ascii="Arial" w:cs="Arial" w:eastAsia="Arial" w:hAnsi="Arial"/>
                <w:sz w:val="18"/>
                <w:szCs w:val="18"/>
                <w:color w:val="auto"/>
              </w:rPr>
              <w:t>Chief Executive Officer</w:t>
            </w:r>
          </w:p>
        </w:tc>
      </w:tr>
      <w:tr>
        <w:trPr>
          <w:trHeight w:val="230"/>
        </w:trPr>
        <w:tc>
          <w:tcPr>
            <w:tcW w:w="5920" w:type="dxa"/>
            <w:vAlign w:val="bottom"/>
          </w:tcPr>
          <w:p>
            <w:pPr>
              <w:spacing w:after="0"/>
              <w:rPr>
                <w:sz w:val="20"/>
                <w:szCs w:val="20"/>
                <w:color w:val="auto"/>
              </w:rPr>
            </w:pPr>
          </w:p>
        </w:tc>
        <w:tc>
          <w:tcPr>
            <w:tcW w:w="5260" w:type="dxa"/>
            <w:vAlign w:val="bottom"/>
          </w:tcPr>
          <w:p>
            <w:pPr>
              <w:ind w:left="60"/>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240"/>
          </w:cols>
          <w:pgMar w:left="320" w:top="1039" w:right="339" w:bottom="1440" w:gutter="0" w:footer="0" w:header="0"/>
        </w:sectPr>
      </w:pPr>
    </w:p>
    <w:bookmarkStart w:id="182" w:name="page183"/>
    <w:bookmarkEnd w:id="182"/>
    <w:p>
      <w:pPr>
        <w:jc w:val="right"/>
        <w:spacing w:after="0"/>
        <w:rPr>
          <w:sz w:val="20"/>
          <w:szCs w:val="20"/>
          <w:color w:val="auto"/>
        </w:rPr>
      </w:pPr>
      <w:r>
        <w:rPr>
          <w:rFonts w:ascii="Arial" w:cs="Arial" w:eastAsia="Arial" w:hAnsi="Arial"/>
          <w:sz w:val="18"/>
          <w:szCs w:val="18"/>
          <w:b w:val="1"/>
          <w:bCs w:val="1"/>
          <w:color w:val="auto"/>
        </w:rPr>
        <w:t>EXHIBIT 31.2</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 Sherry House, certify that:</w:t>
      </w:r>
    </w:p>
    <w:p>
      <w:pPr>
        <w:spacing w:after="0" w:line="117" w:lineRule="exact"/>
        <w:rPr>
          <w:sz w:val="20"/>
          <w:szCs w:val="20"/>
          <w:color w:val="auto"/>
        </w:rPr>
      </w:pPr>
    </w:p>
    <w:p>
      <w:pPr>
        <w:ind w:left="660" w:hanging="328"/>
        <w:spacing w:after="0"/>
        <w:tabs>
          <w:tab w:leader="none" w:pos="6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Lucid Group, Inc.;</w:t>
      </w:r>
    </w:p>
    <w:p>
      <w:pPr>
        <w:spacing w:after="0" w:line="117"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jc w:val="both"/>
        <w:ind w:left="1300" w:hanging="320"/>
        <w:spacing w:after="0" w:line="263" w:lineRule="auto"/>
        <w:tabs>
          <w:tab w:leader="none" w:pos="1290" w:val="left"/>
        </w:tabs>
        <w:numPr>
          <w:ilvl w:val="1"/>
          <w:numId w:val="10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jc w:val="both"/>
        <w:ind w:left="1300" w:hanging="320"/>
        <w:spacing w:after="0" w:line="263" w:lineRule="auto"/>
        <w:tabs>
          <w:tab w:leader="none" w:pos="1300" w:val="left"/>
        </w:tabs>
        <w:numPr>
          <w:ilvl w:val="1"/>
          <w:numId w:val="10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1300" w:hanging="320"/>
        <w:spacing w:after="0" w:line="342" w:lineRule="auto"/>
        <w:tabs>
          <w:tab w:leader="none" w:pos="1290" w:val="left"/>
        </w:tabs>
        <w:numPr>
          <w:ilvl w:val="1"/>
          <w:numId w:val="10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1300" w:hanging="320"/>
        <w:spacing w:after="0" w:line="263" w:lineRule="auto"/>
        <w:tabs>
          <w:tab w:leader="none" w:pos="1300" w:val="left"/>
        </w:tabs>
        <w:numPr>
          <w:ilvl w:val="1"/>
          <w:numId w:val="10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300" w:hanging="320"/>
        <w:spacing w:after="0" w:line="308" w:lineRule="auto"/>
        <w:tabs>
          <w:tab w:leader="none" w:pos="1290" w:val="left"/>
        </w:tabs>
        <w:numPr>
          <w:ilvl w:val="1"/>
          <w:numId w:val="10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1300" w:right="140" w:hanging="320"/>
        <w:spacing w:after="0" w:line="277" w:lineRule="auto"/>
        <w:tabs>
          <w:tab w:leader="none" w:pos="1300" w:val="left"/>
        </w:tabs>
        <w:numPr>
          <w:ilvl w:val="1"/>
          <w:numId w:val="10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5920" w:type="dxa"/>
            <w:vAlign w:val="bottom"/>
          </w:tcPr>
          <w:p>
            <w:pPr>
              <w:spacing w:after="0"/>
              <w:rPr>
                <w:sz w:val="20"/>
                <w:szCs w:val="20"/>
                <w:color w:val="auto"/>
              </w:rPr>
            </w:pPr>
            <w:r>
              <w:rPr>
                <w:rFonts w:ascii="Arial" w:cs="Arial" w:eastAsia="Arial" w:hAnsi="Arial"/>
                <w:sz w:val="18"/>
                <w:szCs w:val="18"/>
                <w:color w:val="auto"/>
              </w:rPr>
              <w:t>Date: February 28, 2023</w:t>
            </w:r>
          </w:p>
        </w:tc>
        <w:tc>
          <w:tcPr>
            <w:tcW w:w="5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Sherry House</w:t>
            </w:r>
          </w:p>
        </w:tc>
      </w:tr>
      <w:tr>
        <w:trPr>
          <w:trHeight w:val="222"/>
        </w:trPr>
        <w:tc>
          <w:tcPr>
            <w:tcW w:w="5920" w:type="dxa"/>
            <w:vAlign w:val="bottom"/>
          </w:tcPr>
          <w:p>
            <w:pPr>
              <w:spacing w:after="0"/>
              <w:rPr>
                <w:sz w:val="19"/>
                <w:szCs w:val="19"/>
                <w:color w:val="auto"/>
              </w:rPr>
            </w:pPr>
          </w:p>
        </w:tc>
        <w:tc>
          <w:tcPr>
            <w:tcW w:w="5260" w:type="dxa"/>
            <w:vAlign w:val="bottom"/>
          </w:tcPr>
          <w:p>
            <w:pPr>
              <w:ind w:left="20"/>
              <w:spacing w:after="0"/>
              <w:rPr>
                <w:sz w:val="20"/>
                <w:szCs w:val="20"/>
                <w:color w:val="auto"/>
              </w:rPr>
            </w:pPr>
            <w:r>
              <w:rPr>
                <w:rFonts w:ascii="Arial" w:cs="Arial" w:eastAsia="Arial" w:hAnsi="Arial"/>
                <w:sz w:val="18"/>
                <w:szCs w:val="18"/>
                <w:color w:val="auto"/>
              </w:rPr>
              <w:t>Sherry House</w:t>
            </w:r>
          </w:p>
        </w:tc>
      </w:tr>
      <w:tr>
        <w:trPr>
          <w:trHeight w:val="230"/>
        </w:trPr>
        <w:tc>
          <w:tcPr>
            <w:tcW w:w="5920" w:type="dxa"/>
            <w:vAlign w:val="bottom"/>
          </w:tcPr>
          <w:p>
            <w:pPr>
              <w:spacing w:after="0"/>
              <w:rPr>
                <w:sz w:val="19"/>
                <w:szCs w:val="19"/>
                <w:color w:val="auto"/>
              </w:rPr>
            </w:pPr>
          </w:p>
        </w:tc>
        <w:tc>
          <w:tcPr>
            <w:tcW w:w="5260" w:type="dxa"/>
            <w:vAlign w:val="bottom"/>
          </w:tcPr>
          <w:p>
            <w:pPr>
              <w:ind w:left="60"/>
              <w:spacing w:after="0"/>
              <w:rPr>
                <w:sz w:val="20"/>
                <w:szCs w:val="20"/>
                <w:color w:val="auto"/>
              </w:rPr>
            </w:pPr>
            <w:r>
              <w:rPr>
                <w:rFonts w:ascii="Arial" w:cs="Arial" w:eastAsia="Arial" w:hAnsi="Arial"/>
                <w:sz w:val="18"/>
                <w:szCs w:val="18"/>
                <w:color w:val="auto"/>
              </w:rPr>
              <w:t>Chief Financial Officer</w:t>
            </w:r>
          </w:p>
        </w:tc>
      </w:tr>
      <w:tr>
        <w:trPr>
          <w:trHeight w:val="230"/>
        </w:trPr>
        <w:tc>
          <w:tcPr>
            <w:tcW w:w="5920" w:type="dxa"/>
            <w:vAlign w:val="bottom"/>
          </w:tcPr>
          <w:p>
            <w:pPr>
              <w:spacing w:after="0"/>
              <w:rPr>
                <w:sz w:val="20"/>
                <w:szCs w:val="20"/>
                <w:color w:val="auto"/>
              </w:rPr>
            </w:pPr>
          </w:p>
        </w:tc>
        <w:tc>
          <w:tcPr>
            <w:tcW w:w="5260" w:type="dxa"/>
            <w:vAlign w:val="bottom"/>
          </w:tcPr>
          <w:p>
            <w:pPr>
              <w:ind w:left="60"/>
              <w:spacing w:after="0"/>
              <w:rPr>
                <w:sz w:val="20"/>
                <w:szCs w:val="20"/>
                <w:color w:val="auto"/>
              </w:rPr>
            </w:pPr>
            <w:r>
              <w:rPr>
                <w:rFonts w:ascii="Arial" w:cs="Arial" w:eastAsia="Arial" w:hAnsi="Arial"/>
                <w:sz w:val="18"/>
                <w:szCs w:val="18"/>
                <w:color w:val="auto"/>
              </w:rPr>
              <w:t>(Principal Financial Officer)</w:t>
            </w:r>
          </w:p>
        </w:tc>
      </w:tr>
    </w:tbl>
    <w:p>
      <w:pPr>
        <w:sectPr>
          <w:pgSz w:w="11900" w:h="16838" w:orient="portrait"/>
          <w:cols w:equalWidth="0" w:num="1">
            <w:col w:w="11240"/>
          </w:cols>
          <w:pgMar w:left="320" w:top="1039" w:right="339" w:bottom="1440" w:gutter="0" w:footer="0" w:header="0"/>
        </w:sectPr>
      </w:pPr>
    </w:p>
    <w:bookmarkStart w:id="183" w:name="page184"/>
    <w:bookmarkEnd w:id="183"/>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PURSUANT TO 18 U.S.C. SECTION 1350 AS ADOPTED PURSUANT TO SECTION 906 OF THE SARBANES-OXLEY ACT OF 2002 (FURNISHED HEREWITH)</w:t>
      </w:r>
    </w:p>
    <w:p>
      <w:pPr>
        <w:spacing w:after="0" w:line="180"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I, Peter Rawlinson, Chief Executive Officer of Lucid Group, Inc. (the “Company”), certify, as of the date hereof and solely for purposes of and pursuant to 18 U.S.C. Section 1350 as adopted pursuant to Section 906 of the Sarbanes-Oxley Act of 2002, that, to my knowledge:</w:t>
      </w:r>
    </w:p>
    <w:p>
      <w:pPr>
        <w:spacing w:after="0" w:line="62" w:lineRule="exact"/>
        <w:rPr>
          <w:sz w:val="20"/>
          <w:szCs w:val="20"/>
          <w:color w:val="auto"/>
        </w:rPr>
      </w:pPr>
    </w:p>
    <w:p>
      <w:pPr>
        <w:ind w:left="820" w:hanging="326"/>
        <w:spacing w:after="0" w:line="277" w:lineRule="auto"/>
        <w:tabs>
          <w:tab w:leader="none" w:pos="81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Annual Report on Form 10-K of the Company for the year ended December 31, 2022 (the “Report”) fully complies with the requirements of Section 13(a) or 15(d), as applicable, of the Securities Exchange Act of 1934; and</w:t>
      </w:r>
    </w:p>
    <w:p>
      <w:pPr>
        <w:spacing w:after="0" w:line="62" w:lineRule="exact"/>
        <w:rPr>
          <w:rFonts w:ascii="Arial" w:cs="Arial" w:eastAsia="Arial" w:hAnsi="Arial"/>
          <w:sz w:val="18"/>
          <w:szCs w:val="18"/>
          <w:color w:val="auto"/>
        </w:rPr>
      </w:pPr>
    </w:p>
    <w:p>
      <w:pPr>
        <w:ind w:left="820" w:hanging="326"/>
        <w:spacing w:after="0" w:line="277" w:lineRule="auto"/>
        <w:tabs>
          <w:tab w:leader="none" w:pos="82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at the dates and for the periods indicated.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5920" w:type="dxa"/>
            <w:vAlign w:val="bottom"/>
          </w:tcPr>
          <w:p>
            <w:pPr>
              <w:spacing w:after="0"/>
              <w:rPr>
                <w:sz w:val="20"/>
                <w:szCs w:val="20"/>
                <w:color w:val="auto"/>
              </w:rPr>
            </w:pPr>
            <w:r>
              <w:rPr>
                <w:rFonts w:ascii="Arial" w:cs="Arial" w:eastAsia="Arial" w:hAnsi="Arial"/>
                <w:sz w:val="18"/>
                <w:szCs w:val="18"/>
                <w:color w:val="auto"/>
              </w:rPr>
              <w:t>Date: February 28, 2023</w:t>
            </w:r>
          </w:p>
        </w:tc>
        <w:tc>
          <w:tcPr>
            <w:tcW w:w="5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Peter Rawlinson</w:t>
            </w:r>
          </w:p>
        </w:tc>
      </w:tr>
      <w:tr>
        <w:trPr>
          <w:trHeight w:val="222"/>
        </w:trPr>
        <w:tc>
          <w:tcPr>
            <w:tcW w:w="5920" w:type="dxa"/>
            <w:vAlign w:val="bottom"/>
          </w:tcPr>
          <w:p>
            <w:pPr>
              <w:spacing w:after="0"/>
              <w:rPr>
                <w:sz w:val="19"/>
                <w:szCs w:val="19"/>
                <w:color w:val="auto"/>
              </w:rPr>
            </w:pPr>
          </w:p>
        </w:tc>
        <w:tc>
          <w:tcPr>
            <w:tcW w:w="5260" w:type="dxa"/>
            <w:vAlign w:val="bottom"/>
          </w:tcPr>
          <w:p>
            <w:pPr>
              <w:ind w:left="60"/>
              <w:spacing w:after="0"/>
              <w:rPr>
                <w:sz w:val="20"/>
                <w:szCs w:val="20"/>
                <w:color w:val="auto"/>
              </w:rPr>
            </w:pPr>
            <w:r>
              <w:rPr>
                <w:rFonts w:ascii="Arial" w:cs="Arial" w:eastAsia="Arial" w:hAnsi="Arial"/>
                <w:sz w:val="18"/>
                <w:szCs w:val="18"/>
                <w:color w:val="auto"/>
              </w:rPr>
              <w:t>Peter Rawlinson</w:t>
            </w:r>
          </w:p>
        </w:tc>
      </w:tr>
      <w:tr>
        <w:trPr>
          <w:trHeight w:val="230"/>
        </w:trPr>
        <w:tc>
          <w:tcPr>
            <w:tcW w:w="5920" w:type="dxa"/>
            <w:vAlign w:val="bottom"/>
          </w:tcPr>
          <w:p>
            <w:pPr>
              <w:spacing w:after="0"/>
              <w:rPr>
                <w:sz w:val="19"/>
                <w:szCs w:val="19"/>
                <w:color w:val="auto"/>
              </w:rPr>
            </w:pPr>
          </w:p>
        </w:tc>
        <w:tc>
          <w:tcPr>
            <w:tcW w:w="5260" w:type="dxa"/>
            <w:vAlign w:val="bottom"/>
          </w:tcPr>
          <w:p>
            <w:pPr>
              <w:ind w:left="60"/>
              <w:spacing w:after="0"/>
              <w:rPr>
                <w:sz w:val="20"/>
                <w:szCs w:val="20"/>
                <w:color w:val="auto"/>
              </w:rPr>
            </w:pPr>
            <w:r>
              <w:rPr>
                <w:rFonts w:ascii="Arial" w:cs="Arial" w:eastAsia="Arial" w:hAnsi="Arial"/>
                <w:sz w:val="18"/>
                <w:szCs w:val="18"/>
                <w:color w:val="auto"/>
              </w:rPr>
              <w:t>Chief Executive Officer</w:t>
            </w:r>
          </w:p>
        </w:tc>
      </w:tr>
      <w:tr>
        <w:trPr>
          <w:trHeight w:val="230"/>
        </w:trPr>
        <w:tc>
          <w:tcPr>
            <w:tcW w:w="5920" w:type="dxa"/>
            <w:vAlign w:val="bottom"/>
          </w:tcPr>
          <w:p>
            <w:pPr>
              <w:spacing w:after="0"/>
              <w:rPr>
                <w:sz w:val="20"/>
                <w:szCs w:val="20"/>
                <w:color w:val="auto"/>
              </w:rPr>
            </w:pPr>
          </w:p>
        </w:tc>
        <w:tc>
          <w:tcPr>
            <w:tcW w:w="526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240"/>
          </w:cols>
          <w:pgMar w:left="320" w:top="1039" w:right="339" w:bottom="1440" w:gutter="0" w:footer="0" w:header="0"/>
        </w:sectPr>
      </w:pPr>
    </w:p>
    <w:bookmarkStart w:id="184" w:name="page185"/>
    <w:bookmarkEnd w:id="184"/>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PURSUANT TO 18 U.S.C. SECTION 1350 AS ADOPTED PURSUANT TO SECTION 906 OF THE SARBANES-OXLEY ACT OF 2002 (FURNISHED HEREWITH)</w:t>
      </w:r>
    </w:p>
    <w:p>
      <w:pPr>
        <w:spacing w:after="0" w:line="180"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I, Sherry House, Chief Financial Officer of Lucid Group, Inc. (the “Company”), certify, as of the date hereof and solely for purposes of and pursuant to 18 U.S.C. Section 1350 as adopted pursuant to Section 906 of the Sarbanes-Oxley Act of 2002, that, to my knowledge:</w:t>
      </w:r>
    </w:p>
    <w:p>
      <w:pPr>
        <w:spacing w:after="0" w:line="62" w:lineRule="exact"/>
        <w:rPr>
          <w:sz w:val="20"/>
          <w:szCs w:val="20"/>
          <w:color w:val="auto"/>
        </w:rPr>
      </w:pPr>
    </w:p>
    <w:p>
      <w:pPr>
        <w:ind w:left="820" w:hanging="326"/>
        <w:spacing w:after="0" w:line="277" w:lineRule="auto"/>
        <w:tabs>
          <w:tab w:leader="none" w:pos="81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Annual Report on Form 10-K of the Company for the year ended December 31, 2022 (the “Report”) fully complies with the requirements of Section 13(a) or 15(d), as applicable, of the Securities Exchange Act of 1934; and</w:t>
      </w:r>
    </w:p>
    <w:p>
      <w:pPr>
        <w:spacing w:after="0" w:line="62" w:lineRule="exact"/>
        <w:rPr>
          <w:rFonts w:ascii="Arial" w:cs="Arial" w:eastAsia="Arial" w:hAnsi="Arial"/>
          <w:sz w:val="18"/>
          <w:szCs w:val="18"/>
          <w:color w:val="auto"/>
        </w:rPr>
      </w:pPr>
    </w:p>
    <w:p>
      <w:pPr>
        <w:ind w:left="820" w:hanging="326"/>
        <w:spacing w:after="0" w:line="277" w:lineRule="auto"/>
        <w:tabs>
          <w:tab w:leader="none" w:pos="82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at the dates and for the periods indicated.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5920" w:type="dxa"/>
            <w:vAlign w:val="bottom"/>
          </w:tcPr>
          <w:p>
            <w:pPr>
              <w:spacing w:after="0"/>
              <w:rPr>
                <w:sz w:val="20"/>
                <w:szCs w:val="20"/>
                <w:color w:val="auto"/>
              </w:rPr>
            </w:pPr>
            <w:r>
              <w:rPr>
                <w:rFonts w:ascii="Arial" w:cs="Arial" w:eastAsia="Arial" w:hAnsi="Arial"/>
                <w:sz w:val="18"/>
                <w:szCs w:val="18"/>
                <w:color w:val="auto"/>
              </w:rPr>
              <w:t>Date: February 28, 2023</w:t>
            </w:r>
          </w:p>
        </w:tc>
        <w:tc>
          <w:tcPr>
            <w:tcW w:w="5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Sherry House</w:t>
            </w:r>
          </w:p>
        </w:tc>
      </w:tr>
      <w:tr>
        <w:trPr>
          <w:trHeight w:val="222"/>
        </w:trPr>
        <w:tc>
          <w:tcPr>
            <w:tcW w:w="5920" w:type="dxa"/>
            <w:vAlign w:val="bottom"/>
          </w:tcPr>
          <w:p>
            <w:pPr>
              <w:spacing w:after="0"/>
              <w:rPr>
                <w:sz w:val="19"/>
                <w:szCs w:val="19"/>
                <w:color w:val="auto"/>
              </w:rPr>
            </w:pPr>
          </w:p>
        </w:tc>
        <w:tc>
          <w:tcPr>
            <w:tcW w:w="5260" w:type="dxa"/>
            <w:vAlign w:val="bottom"/>
          </w:tcPr>
          <w:p>
            <w:pPr>
              <w:ind w:left="60"/>
              <w:spacing w:after="0"/>
              <w:rPr>
                <w:sz w:val="20"/>
                <w:szCs w:val="20"/>
                <w:color w:val="auto"/>
              </w:rPr>
            </w:pPr>
            <w:r>
              <w:rPr>
                <w:rFonts w:ascii="Arial" w:cs="Arial" w:eastAsia="Arial" w:hAnsi="Arial"/>
                <w:sz w:val="18"/>
                <w:szCs w:val="18"/>
                <w:color w:val="auto"/>
              </w:rPr>
              <w:t>Sherry House</w:t>
            </w:r>
          </w:p>
        </w:tc>
      </w:tr>
      <w:tr>
        <w:trPr>
          <w:trHeight w:val="229"/>
        </w:trPr>
        <w:tc>
          <w:tcPr>
            <w:tcW w:w="5920" w:type="dxa"/>
            <w:vAlign w:val="bottom"/>
          </w:tcPr>
          <w:p>
            <w:pPr>
              <w:spacing w:after="0"/>
              <w:rPr>
                <w:sz w:val="19"/>
                <w:szCs w:val="19"/>
                <w:color w:val="auto"/>
              </w:rPr>
            </w:pPr>
          </w:p>
        </w:tc>
        <w:tc>
          <w:tcPr>
            <w:tcW w:w="5260" w:type="dxa"/>
            <w:vAlign w:val="bottom"/>
          </w:tcPr>
          <w:p>
            <w:pPr>
              <w:ind w:left="60"/>
              <w:spacing w:after="0"/>
              <w:rPr>
                <w:sz w:val="20"/>
                <w:szCs w:val="20"/>
                <w:color w:val="auto"/>
              </w:rPr>
            </w:pPr>
            <w:r>
              <w:rPr>
                <w:rFonts w:ascii="Arial" w:cs="Arial" w:eastAsia="Arial" w:hAnsi="Arial"/>
                <w:sz w:val="18"/>
                <w:szCs w:val="18"/>
                <w:color w:val="auto"/>
              </w:rPr>
              <w:t>Chief Financial Officer</w:t>
            </w:r>
          </w:p>
        </w:tc>
      </w:tr>
      <w:tr>
        <w:trPr>
          <w:trHeight w:val="230"/>
        </w:trPr>
        <w:tc>
          <w:tcPr>
            <w:tcW w:w="5920" w:type="dxa"/>
            <w:vAlign w:val="bottom"/>
          </w:tcPr>
          <w:p>
            <w:pPr>
              <w:spacing w:after="0"/>
              <w:rPr>
                <w:sz w:val="20"/>
                <w:szCs w:val="20"/>
                <w:color w:val="auto"/>
              </w:rPr>
            </w:pPr>
          </w:p>
        </w:tc>
        <w:tc>
          <w:tcPr>
            <w:tcW w:w="5260" w:type="dxa"/>
            <w:vAlign w:val="bottom"/>
          </w:tcPr>
          <w:p>
            <w:pPr>
              <w:ind w:left="60"/>
              <w:spacing w:after="0"/>
              <w:rPr>
                <w:sz w:val="20"/>
                <w:szCs w:val="20"/>
                <w:color w:val="auto"/>
              </w:rPr>
            </w:pPr>
            <w:r>
              <w:rPr>
                <w:rFonts w:ascii="Arial" w:cs="Arial" w:eastAsia="Arial" w:hAnsi="Arial"/>
                <w:sz w:val="18"/>
                <w:szCs w:val="18"/>
                <w:color w:val="auto"/>
              </w:rPr>
              <w:t>(Principal Financial Officer)</w:t>
            </w:r>
          </w:p>
        </w:tc>
      </w:tr>
    </w:tbl>
    <w:p>
      <w:pPr>
        <w:spacing w:after="0" w:line="1" w:lineRule="exact"/>
        <w:rPr>
          <w:sz w:val="20"/>
          <w:szCs w:val="20"/>
          <w:color w:val="auto"/>
        </w:rPr>
      </w:pPr>
    </w:p>
    <w:sectPr>
      <w:pgSz w:w="11900" w:h="16838" w:orient="portrait"/>
      <w:cols w:equalWidth="0" w:num="1">
        <w:col w:w="11240"/>
      </w:cols>
      <w:pgMar w:left="320" w:top="93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9BB77C"/>
    <w:multiLevelType w:val="hybridMultilevel"/>
    <w:lvl w:ilvl="0">
      <w:lvlJc w:val="left"/>
      <w:lvlText w:val="x"/>
      <w:numFmt w:val="bullet"/>
      <w:start w:val="1"/>
    </w:lvl>
  </w:abstractNum>
  <w:abstractNum w:abstractNumId="1">
    <w:nsid w:val="275AC794"/>
    <w:multiLevelType w:val="hybridMultilevel"/>
    <w:lvl w:ilvl="0">
      <w:lvlJc w:val="left"/>
      <w:lvlText w:val="o"/>
      <w:numFmt w:val="bullet"/>
      <w:start w:val="1"/>
    </w:lvl>
  </w:abstractNum>
  <w:abstractNum w:abstractNumId="2">
    <w:nsid w:val="39386575"/>
    <w:multiLevelType w:val="hybridMultilevel"/>
    <w:lvl w:ilvl="0">
      <w:lvlJc w:val="left"/>
      <w:lvlText w:val="•"/>
      <w:numFmt w:val="bullet"/>
      <w:start w:val="1"/>
    </w:lvl>
  </w:abstractNum>
  <w:abstractNum w:abstractNumId="3">
    <w:nsid w:val="1CF10FD8"/>
    <w:multiLevelType w:val="hybridMultilevel"/>
    <w:lvl w:ilvl="0">
      <w:lvlJc w:val="left"/>
      <w:lvlText w:val="•"/>
      <w:numFmt w:val="bullet"/>
      <w:start w:val="1"/>
    </w:lvl>
  </w:abstractNum>
  <w:abstractNum w:abstractNumId="4">
    <w:nsid w:val="180115BE"/>
    <w:multiLevelType w:val="hybridMultilevel"/>
    <w:lvl w:ilvl="0">
      <w:lvlJc w:val="left"/>
      <w:lvlText w:val="•"/>
      <w:numFmt w:val="bullet"/>
      <w:start w:val="1"/>
    </w:lvl>
  </w:abstractNum>
  <w:abstractNum w:abstractNumId="5">
    <w:nsid w:val="235BA861"/>
    <w:multiLevelType w:val="hybridMultilevel"/>
    <w:lvl w:ilvl="0">
      <w:lvlJc w:val="left"/>
      <w:lvlText w:val="•"/>
      <w:numFmt w:val="bullet"/>
      <w:start w:val="1"/>
    </w:lvl>
  </w:abstractNum>
  <w:abstractNum w:abstractNumId="6">
    <w:nsid w:val="47398C89"/>
    <w:multiLevelType w:val="hybridMultilevel"/>
    <w:lvl w:ilvl="0">
      <w:lvlJc w:val="left"/>
      <w:lvlText w:val="•"/>
      <w:numFmt w:val="bullet"/>
      <w:start w:val="1"/>
    </w:lvl>
    <w:lvl w:ilvl="1">
      <w:lvlJc w:val="left"/>
      <w:lvlText w:val="(%2)"/>
      <w:numFmt w:val="lowerRoman"/>
      <w:start w:val="1"/>
    </w:lvl>
  </w:abstractNum>
  <w:abstractNum w:abstractNumId="7">
    <w:nsid w:val="354FE9F9"/>
    <w:multiLevelType w:val="hybridMultilevel"/>
    <w:lvl w:ilvl="0">
      <w:lvlJc w:val="left"/>
      <w:lvlText w:val="•"/>
      <w:numFmt w:val="bullet"/>
      <w:start w:val="1"/>
    </w:lvl>
    <w:lvl w:ilvl="1">
      <w:lvlJc w:val="left"/>
      <w:lvlText w:val="(%2)"/>
      <w:numFmt w:val="lowerRoman"/>
      <w:start w:val="6"/>
    </w:lvl>
  </w:abstractNum>
  <w:abstractNum w:abstractNumId="8">
    <w:nsid w:val="15B5AF5C"/>
    <w:multiLevelType w:val="hybridMultilevel"/>
    <w:lvl w:ilvl="0">
      <w:lvlJc w:val="left"/>
      <w:lvlText w:val="•"/>
      <w:numFmt w:val="bullet"/>
      <w:start w:val="1"/>
    </w:lvl>
  </w:abstractNum>
  <w:abstractNum w:abstractNumId="9">
    <w:nsid w:val="741226BB"/>
    <w:multiLevelType w:val="hybridMultilevel"/>
    <w:lvl w:ilvl="0">
      <w:lvlJc w:val="left"/>
      <w:lvlText w:val="•"/>
      <w:numFmt w:val="bullet"/>
      <w:start w:val="1"/>
    </w:lvl>
  </w:abstractNum>
  <w:abstractNum w:abstractNumId="10">
    <w:nsid w:val="D34B6A8"/>
    <w:multiLevelType w:val="hybridMultilevel"/>
    <w:lvl w:ilvl="0">
      <w:lvlJc w:val="left"/>
      <w:lvlText w:val="•"/>
      <w:numFmt w:val="bullet"/>
      <w:start w:val="1"/>
    </w:lvl>
  </w:abstractNum>
  <w:abstractNum w:abstractNumId="11">
    <w:nsid w:val="10233C99"/>
    <w:multiLevelType w:val="hybridMultilevel"/>
    <w:lvl w:ilvl="0">
      <w:lvlJc w:val="left"/>
      <w:lvlText w:val="•"/>
      <w:numFmt w:val="bullet"/>
      <w:start w:val="1"/>
    </w:lvl>
  </w:abstractNum>
  <w:abstractNum w:abstractNumId="12">
    <w:nsid w:val="3F6AB60F"/>
    <w:multiLevelType w:val="hybridMultilevel"/>
    <w:lvl w:ilvl="0">
      <w:lvlJc w:val="left"/>
      <w:lvlText w:val="•"/>
      <w:numFmt w:val="bullet"/>
      <w:start w:val="1"/>
    </w:lvl>
  </w:abstractNum>
  <w:abstractNum w:abstractNumId="13">
    <w:nsid w:val="61574095"/>
    <w:multiLevelType w:val="hybridMultilevel"/>
    <w:lvl w:ilvl="0">
      <w:lvlJc w:val="left"/>
      <w:lvlText w:val="•"/>
      <w:numFmt w:val="bullet"/>
      <w:start w:val="1"/>
    </w:lvl>
  </w:abstractNum>
  <w:abstractNum w:abstractNumId="14">
    <w:nsid w:val="7E0C57B1"/>
    <w:multiLevelType w:val="hybridMultilevel"/>
    <w:lvl w:ilvl="0">
      <w:lvlJc w:val="left"/>
      <w:lvlText w:val="%1."/>
      <w:numFmt w:val="decimal"/>
      <w:start w:val="1"/>
    </w:lvl>
  </w:abstractNum>
  <w:abstractNum w:abstractNumId="15">
    <w:nsid w:val="77AE35EB"/>
    <w:multiLevelType w:val="hybridMultilevel"/>
    <w:lvl w:ilvl="0">
      <w:lvlJc w:val="left"/>
      <w:lvlText w:val="•"/>
      <w:numFmt w:val="bullet"/>
      <w:start w:val="1"/>
    </w:lvl>
  </w:abstractNum>
  <w:abstractNum w:abstractNumId="16">
    <w:nsid w:val="579BE4F1"/>
    <w:multiLevelType w:val="hybridMultilevel"/>
    <w:lvl w:ilvl="0">
      <w:lvlJc w:val="left"/>
      <w:lvlText w:val="•"/>
      <w:numFmt w:val="bullet"/>
      <w:start w:val="1"/>
    </w:lvl>
  </w:abstractNum>
  <w:abstractNum w:abstractNumId="17">
    <w:nsid w:val="310C50B3"/>
    <w:multiLevelType w:val="hybridMultilevel"/>
    <w:lvl w:ilvl="0">
      <w:lvlJc w:val="left"/>
      <w:lvlText w:val="•"/>
      <w:numFmt w:val="bullet"/>
      <w:start w:val="1"/>
    </w:lvl>
  </w:abstractNum>
  <w:abstractNum w:abstractNumId="18">
    <w:nsid w:val="5FF87E05"/>
    <w:multiLevelType w:val="hybridMultilevel"/>
    <w:lvl w:ilvl="0">
      <w:lvlJc w:val="left"/>
      <w:lvlText w:val="•"/>
      <w:numFmt w:val="bullet"/>
      <w:start w:val="1"/>
    </w:lvl>
  </w:abstractNum>
  <w:abstractNum w:abstractNumId="19">
    <w:nsid w:val="2F305DEF"/>
    <w:multiLevelType w:val="hybridMultilevel"/>
    <w:lvl w:ilvl="0">
      <w:lvlJc w:val="left"/>
      <w:lvlText w:val="•"/>
      <w:numFmt w:val="bullet"/>
      <w:start w:val="1"/>
    </w:lvl>
  </w:abstractNum>
  <w:abstractNum w:abstractNumId="20">
    <w:nsid w:val="25A70BF7"/>
    <w:multiLevelType w:val="hybridMultilevel"/>
    <w:lvl w:ilvl="0">
      <w:lvlJc w:val="left"/>
      <w:lvlText w:val="•"/>
      <w:numFmt w:val="bullet"/>
      <w:start w:val="1"/>
    </w:lvl>
  </w:abstractNum>
  <w:abstractNum w:abstractNumId="21">
    <w:nsid w:val="1DBABF00"/>
    <w:multiLevelType w:val="hybridMultilevel"/>
    <w:lvl w:ilvl="0">
      <w:lvlJc w:val="left"/>
      <w:lvlText w:val="•"/>
      <w:numFmt w:val="bullet"/>
      <w:start w:val="1"/>
    </w:lvl>
  </w:abstractNum>
  <w:abstractNum w:abstractNumId="22">
    <w:nsid w:val="4AD084E9"/>
    <w:multiLevelType w:val="hybridMultilevel"/>
    <w:lvl w:ilvl="0">
      <w:lvlJc w:val="left"/>
      <w:lvlText w:val="•"/>
      <w:numFmt w:val="bullet"/>
      <w:start w:val="1"/>
    </w:lvl>
  </w:abstractNum>
  <w:abstractNum w:abstractNumId="23">
    <w:nsid w:val="1F48EAA1"/>
    <w:multiLevelType w:val="hybridMultilevel"/>
    <w:lvl w:ilvl="0">
      <w:lvlJc w:val="left"/>
      <w:lvlText w:val="•"/>
      <w:numFmt w:val="bullet"/>
      <w:start w:val="1"/>
    </w:lvl>
  </w:abstractNum>
  <w:abstractNum w:abstractNumId="24">
    <w:nsid w:val="1381823A"/>
    <w:multiLevelType w:val="hybridMultilevel"/>
    <w:lvl w:ilvl="0">
      <w:lvlJc w:val="left"/>
      <w:lvlText w:val="•"/>
      <w:numFmt w:val="bullet"/>
      <w:start w:val="1"/>
    </w:lvl>
  </w:abstractNum>
  <w:abstractNum w:abstractNumId="25">
    <w:nsid w:val="5DB70AE5"/>
    <w:multiLevelType w:val="hybridMultilevel"/>
    <w:lvl w:ilvl="0">
      <w:lvlJc w:val="left"/>
      <w:lvlText w:val="•"/>
      <w:numFmt w:val="bullet"/>
      <w:start w:val="1"/>
    </w:lvl>
  </w:abstractNum>
  <w:abstractNum w:abstractNumId="26">
    <w:nsid w:val="100F8FCA"/>
    <w:multiLevelType w:val="hybridMultilevel"/>
    <w:lvl w:ilvl="0">
      <w:lvlJc w:val="left"/>
      <w:lvlText w:val="•"/>
      <w:numFmt w:val="bullet"/>
      <w:start w:val="1"/>
    </w:lvl>
  </w:abstractNum>
  <w:abstractNum w:abstractNumId="27">
    <w:nsid w:val="6590700B"/>
    <w:multiLevelType w:val="hybridMultilevel"/>
    <w:lvl w:ilvl="0">
      <w:lvlJc w:val="left"/>
      <w:lvlText w:val="•"/>
      <w:numFmt w:val="bullet"/>
      <w:start w:val="1"/>
    </w:lvl>
  </w:abstractNum>
  <w:abstractNum w:abstractNumId="28">
    <w:nsid w:val="15014ACB"/>
    <w:multiLevelType w:val="hybridMultilevel"/>
    <w:lvl w:ilvl="0">
      <w:lvlJc w:val="left"/>
      <w:lvlText w:val="•"/>
      <w:numFmt w:val="bullet"/>
      <w:start w:val="1"/>
    </w:lvl>
  </w:abstractNum>
  <w:abstractNum w:abstractNumId="29">
    <w:nsid w:val="5F5E7FD0"/>
    <w:multiLevelType w:val="hybridMultilevel"/>
    <w:lvl w:ilvl="0">
      <w:lvlJc w:val="left"/>
      <w:lvlText w:val="•"/>
      <w:numFmt w:val="bullet"/>
      <w:start w:val="1"/>
    </w:lvl>
  </w:abstractNum>
  <w:abstractNum w:abstractNumId="30">
    <w:nsid w:val="98A3148"/>
    <w:multiLevelType w:val="hybridMultilevel"/>
    <w:lvl w:ilvl="0">
      <w:lvlJc w:val="left"/>
      <w:lvlText w:val="•"/>
      <w:numFmt w:val="bullet"/>
      <w:start w:val="1"/>
    </w:lvl>
  </w:abstractNum>
  <w:abstractNum w:abstractNumId="31">
    <w:nsid w:val="799D0247"/>
    <w:multiLevelType w:val="hybridMultilevel"/>
    <w:lvl w:ilvl="0">
      <w:lvlJc w:val="left"/>
      <w:lvlText w:val="•"/>
      <w:numFmt w:val="bullet"/>
      <w:start w:val="1"/>
    </w:lvl>
  </w:abstractNum>
  <w:abstractNum w:abstractNumId="32">
    <w:nsid w:val="6B94764"/>
    <w:multiLevelType w:val="hybridMultilevel"/>
    <w:lvl w:ilvl="0">
      <w:lvlJc w:val="left"/>
      <w:lvlText w:val="•"/>
      <w:numFmt w:val="bullet"/>
      <w:start w:val="1"/>
    </w:lvl>
  </w:abstractNum>
  <w:abstractNum w:abstractNumId="33">
    <w:nsid w:val="42C296BD"/>
    <w:multiLevelType w:val="hybridMultilevel"/>
    <w:lvl w:ilvl="0">
      <w:lvlJc w:val="left"/>
      <w:lvlText w:val="•"/>
      <w:numFmt w:val="bullet"/>
      <w:start w:val="1"/>
    </w:lvl>
  </w:abstractNum>
  <w:abstractNum w:abstractNumId="34">
    <w:nsid w:val="168E121F"/>
    <w:multiLevelType w:val="hybridMultilevel"/>
    <w:lvl w:ilvl="0">
      <w:lvlJc w:val="left"/>
      <w:lvlText w:val="•"/>
      <w:numFmt w:val="bullet"/>
      <w:start w:val="1"/>
    </w:lvl>
  </w:abstractNum>
  <w:abstractNum w:abstractNumId="35">
    <w:nsid w:val="1EBA5D23"/>
    <w:multiLevelType w:val="hybridMultilevel"/>
    <w:lvl w:ilvl="0">
      <w:lvlJc w:val="left"/>
      <w:lvlText w:val="•"/>
      <w:numFmt w:val="bullet"/>
      <w:start w:val="1"/>
    </w:lvl>
  </w:abstractNum>
  <w:abstractNum w:abstractNumId="36">
    <w:nsid w:val="661E3F1E"/>
    <w:multiLevelType w:val="hybridMultilevel"/>
    <w:lvl w:ilvl="0">
      <w:lvlJc w:val="left"/>
      <w:lvlText w:val="•"/>
      <w:numFmt w:val="bullet"/>
      <w:start w:val="1"/>
    </w:lvl>
  </w:abstractNum>
  <w:abstractNum w:abstractNumId="37">
    <w:nsid w:val="5DC79EA8"/>
    <w:multiLevelType w:val="hybridMultilevel"/>
    <w:lvl w:ilvl="0">
      <w:lvlJc w:val="left"/>
      <w:lvlText w:val="•"/>
      <w:numFmt w:val="bullet"/>
      <w:start w:val="1"/>
    </w:lvl>
  </w:abstractNum>
  <w:abstractNum w:abstractNumId="38">
    <w:nsid w:val="540A471C"/>
    <w:multiLevelType w:val="hybridMultilevel"/>
    <w:lvl w:ilvl="0">
      <w:lvlJc w:val="left"/>
      <w:lvlText w:val="•"/>
      <w:numFmt w:val="bullet"/>
      <w:start w:val="1"/>
    </w:lvl>
  </w:abstractNum>
  <w:abstractNum w:abstractNumId="39">
    <w:nsid w:val="7BD3EE7B"/>
    <w:multiLevelType w:val="hybridMultilevel"/>
    <w:lvl w:ilvl="0">
      <w:lvlJc w:val="left"/>
      <w:lvlText w:val="(%1)"/>
      <w:numFmt w:val="decimal"/>
      <w:start w:val="1"/>
    </w:lvl>
  </w:abstractNum>
  <w:abstractNum w:abstractNumId="40">
    <w:nsid w:val="51D9C564"/>
    <w:multiLevelType w:val="hybridMultilevel"/>
    <w:lvl w:ilvl="0">
      <w:lvlJc w:val="left"/>
      <w:lvlText w:val="\endash "/>
      <w:numFmt w:val="bullet"/>
      <w:start w:val="1"/>
    </w:lvl>
  </w:abstractNum>
  <w:abstractNum w:abstractNumId="41">
    <w:nsid w:val="613EFDC5"/>
    <w:multiLevelType w:val="hybridMultilevel"/>
    <w:lvl w:ilvl="0">
      <w:lvlJc w:val="left"/>
      <w:lvlText w:val="(%1)"/>
      <w:numFmt w:val="decimal"/>
      <w:start w:val="1"/>
    </w:lvl>
  </w:abstractNum>
  <w:abstractNum w:abstractNumId="42">
    <w:nsid w:val="BF72B14"/>
    <w:multiLevelType w:val="hybridMultilevel"/>
    <w:lvl w:ilvl="0">
      <w:lvlJc w:val="left"/>
      <w:lvlText w:val="•"/>
      <w:numFmt w:val="bullet"/>
      <w:start w:val="1"/>
    </w:lvl>
  </w:abstractNum>
  <w:abstractNum w:abstractNumId="43">
    <w:nsid w:val="11447B73"/>
    <w:multiLevelType w:val="hybridMultilevel"/>
    <w:lvl w:ilvl="0">
      <w:lvlJc w:val="left"/>
      <w:lvlText w:val="•"/>
      <w:numFmt w:val="bullet"/>
      <w:start w:val="1"/>
    </w:lvl>
  </w:abstractNum>
  <w:abstractNum w:abstractNumId="44">
    <w:nsid w:val="42963E5A"/>
    <w:multiLevelType w:val="hybridMultilevel"/>
    <w:lvl w:ilvl="0">
      <w:lvlJc w:val="left"/>
      <w:lvlText w:val="•"/>
      <w:numFmt w:val="bullet"/>
      <w:start w:val="1"/>
    </w:lvl>
  </w:abstractNum>
  <w:abstractNum w:abstractNumId="45">
    <w:nsid w:val="A0382C5"/>
    <w:multiLevelType w:val="hybridMultilevel"/>
    <w:lvl w:ilvl="0">
      <w:lvlJc w:val="left"/>
      <w:lvlText w:val="(%1)"/>
      <w:numFmt w:val="decimal"/>
      <w:start w:val="1"/>
    </w:lvl>
  </w:abstractNum>
  <w:abstractNum w:abstractNumId="46">
    <w:nsid w:val="8F2B15E"/>
    <w:multiLevelType w:val="hybridMultilevel"/>
    <w:lvl w:ilvl="0">
      <w:lvlJc w:val="left"/>
      <w:lvlText w:val="(%1)"/>
      <w:numFmt w:val="decimal"/>
      <w:start w:val="3"/>
    </w:lvl>
  </w:abstractNum>
  <w:abstractNum w:abstractNumId="47">
    <w:nsid w:val="1A32234B"/>
    <w:multiLevelType w:val="hybridMultilevel"/>
    <w:lvl w:ilvl="0">
      <w:lvlJc w:val="left"/>
      <w:lvlText w:val="(%1)"/>
      <w:numFmt w:val="decimal"/>
      <w:start w:val="1"/>
    </w:lvl>
  </w:abstractNum>
  <w:abstractNum w:abstractNumId="48">
    <w:nsid w:val="3B0FD379"/>
    <w:multiLevelType w:val="hybridMultilevel"/>
    <w:lvl w:ilvl="0">
      <w:lvlJc w:val="left"/>
      <w:lvlText w:val="(%1)"/>
      <w:numFmt w:val="decimal"/>
      <w:start w:val="1"/>
    </w:lvl>
  </w:abstractNum>
  <w:abstractNum w:abstractNumId="49">
    <w:nsid w:val="68EB2F63"/>
    <w:multiLevelType w:val="hybridMultilevel"/>
    <w:lvl w:ilvl="0">
      <w:lvlJc w:val="left"/>
      <w:lvlText w:val="(%1)"/>
      <w:numFmt w:val="decimal"/>
      <w:start w:val="1"/>
    </w:lvl>
  </w:abstractNum>
  <w:abstractNum w:abstractNumId="50">
    <w:nsid w:val="4962813B"/>
    <w:multiLevelType w:val="hybridMultilevel"/>
    <w:lvl w:ilvl="0">
      <w:lvlJc w:val="left"/>
      <w:lvlText w:val="(%1)"/>
      <w:numFmt w:val="decimal"/>
      <w:start w:val="1"/>
    </w:lvl>
  </w:abstractNum>
  <w:abstractNum w:abstractNumId="51">
    <w:nsid w:val="60B6DF70"/>
    <w:multiLevelType w:val="hybridMultilevel"/>
    <w:lvl w:ilvl="0">
      <w:lvlJc w:val="left"/>
      <w:lvlText w:val="•"/>
      <w:numFmt w:val="bullet"/>
      <w:start w:val="1"/>
    </w:lvl>
  </w:abstractNum>
  <w:abstractNum w:abstractNumId="52">
    <w:nsid w:val="6A5EE64"/>
    <w:multiLevelType w:val="hybridMultilevel"/>
    <w:lvl w:ilvl="0">
      <w:lvlJc w:val="left"/>
      <w:lvlText w:val="$"/>
      <w:numFmt w:val="bullet"/>
      <w:start w:val="1"/>
    </w:lvl>
  </w:abstractNum>
  <w:abstractNum w:abstractNumId="53">
    <w:nsid w:val="14330624"/>
    <w:multiLevelType w:val="hybridMultilevel"/>
    <w:lvl w:ilvl="0">
      <w:lvlJc w:val="left"/>
      <w:lvlText w:val="•"/>
      <w:numFmt w:val="bullet"/>
      <w:start w:val="1"/>
    </w:lvl>
  </w:abstractNum>
  <w:abstractNum w:abstractNumId="54">
    <w:nsid w:val="7FFFCA11"/>
    <w:multiLevelType w:val="hybridMultilevel"/>
    <w:lvl w:ilvl="0">
      <w:lvlJc w:val="left"/>
      <w:lvlText w:val="•"/>
      <w:numFmt w:val="bullet"/>
      <w:start w:val="1"/>
    </w:lvl>
  </w:abstractNum>
  <w:abstractNum w:abstractNumId="55">
    <w:nsid w:val="1A27709E"/>
    <w:multiLevelType w:val="hybridMultilevel"/>
    <w:lvl w:ilvl="0">
      <w:lvlJc w:val="left"/>
      <w:lvlText w:val="$"/>
      <w:numFmt w:val="bullet"/>
      <w:start w:val="1"/>
    </w:lvl>
  </w:abstractNum>
  <w:abstractNum w:abstractNumId="56">
    <w:nsid w:val="71EA1109"/>
    <w:multiLevelType w:val="hybridMultilevel"/>
    <w:lvl w:ilvl="0">
      <w:lvlJc w:val="left"/>
      <w:lvlText w:val="$"/>
      <w:numFmt w:val="bullet"/>
      <w:start w:val="1"/>
    </w:lvl>
  </w:abstractNum>
  <w:abstractNum w:abstractNumId="57">
    <w:nsid w:val="100F59DC"/>
    <w:multiLevelType w:val="hybridMultilevel"/>
    <w:lvl w:ilvl="0">
      <w:lvlJc w:val="left"/>
      <w:lvlText w:val="(%1)"/>
      <w:numFmt w:val="decimal"/>
      <w:start w:val="1"/>
    </w:lvl>
  </w:abstractNum>
  <w:abstractNum w:abstractNumId="58">
    <w:nsid w:val="7FB7E0AA"/>
    <w:multiLevelType w:val="hybridMultilevel"/>
    <w:lvl w:ilvl="0">
      <w:lvlJc w:val="left"/>
      <w:lvlText w:val="(%1)"/>
      <w:numFmt w:val="decimal"/>
      <w:start w:val="1"/>
    </w:lvl>
  </w:abstractNum>
  <w:abstractNum w:abstractNumId="59">
    <w:nsid w:val="6EB5BD4"/>
    <w:multiLevelType w:val="hybridMultilevel"/>
    <w:lvl w:ilvl="0">
      <w:lvlJc w:val="left"/>
      <w:lvlText w:val="^"/>
      <w:numFmt w:val="bullet"/>
      <w:start w:val="1"/>
    </w:lvl>
  </w:abstractNum>
  <w:abstractNum w:abstractNumId="60">
    <w:nsid w:val="6F6DD9AC"/>
    <w:multiLevelType w:val="hybridMultilevel"/>
    <w:lvl w:ilvl="0">
      <w:lvlJc w:val="left"/>
      <w:lvlText w:val="(%1)"/>
      <w:numFmt w:val="lowerRoman"/>
      <w:start w:val="2"/>
    </w:lvl>
  </w:abstractNum>
  <w:abstractNum w:abstractNumId="61">
    <w:nsid w:val="94211F2"/>
    <w:multiLevelType w:val="hybridMultilevel"/>
    <w:lvl w:ilvl="0">
      <w:lvlJc w:val="left"/>
      <w:lvlText w:val="(%1)"/>
      <w:numFmt w:val="lowerLetter"/>
      <w:start w:val="1"/>
    </w:lvl>
  </w:abstractNum>
  <w:abstractNum w:abstractNumId="62">
    <w:nsid w:val="885E1B"/>
    <w:multiLevelType w:val="hybridMultilevel"/>
    <w:lvl w:ilvl="0">
      <w:lvlJc w:val="left"/>
      <w:lvlText w:val="(%1)"/>
      <w:numFmt w:val="lowerLetter"/>
      <w:start w:val="3"/>
    </w:lvl>
  </w:abstractNum>
  <w:abstractNum w:abstractNumId="63">
    <w:nsid w:val="76272110"/>
    <w:multiLevelType w:val="hybridMultilevel"/>
    <w:lvl w:ilvl="0">
      <w:lvlJc w:val="left"/>
      <w:lvlText w:val="(%1)"/>
      <w:numFmt w:val="lowerLetter"/>
      <w:start w:val="1"/>
    </w:lvl>
  </w:abstractNum>
  <w:abstractNum w:abstractNumId="64">
    <w:nsid w:val="4C04A8AF"/>
    <w:multiLevelType w:val="hybridMultilevel"/>
    <w:lvl w:ilvl="0">
      <w:lvlJc w:val="left"/>
      <w:lvlText w:val="(%1)"/>
      <w:numFmt w:val="lowerLetter"/>
      <w:start w:val="1"/>
    </w:lvl>
  </w:abstractNum>
  <w:abstractNum w:abstractNumId="65">
    <w:nsid w:val="1716703B"/>
    <w:multiLevelType w:val="hybridMultilevel"/>
    <w:lvl w:ilvl="0">
      <w:lvlJc w:val="left"/>
      <w:lvlText w:val="(%1)"/>
      <w:numFmt w:val="lowerLetter"/>
      <w:start w:val="1"/>
    </w:lvl>
  </w:abstractNum>
  <w:abstractNum w:abstractNumId="66">
    <w:nsid w:val="14E17E33"/>
    <w:multiLevelType w:val="hybridMultilevel"/>
    <w:lvl w:ilvl="0">
      <w:lvlJc w:val="left"/>
      <w:lvlText w:val="(%1)"/>
      <w:numFmt w:val="lowerLetter"/>
      <w:start w:val="1"/>
    </w:lvl>
  </w:abstractNum>
  <w:abstractNum w:abstractNumId="67">
    <w:nsid w:val="3222E7CD"/>
    <w:multiLevelType w:val="hybridMultilevel"/>
    <w:lvl w:ilvl="0">
      <w:lvlJc w:val="left"/>
      <w:lvlText w:val="(%1)"/>
      <w:numFmt w:val="lowerLetter"/>
      <w:start w:val="1"/>
    </w:lvl>
  </w:abstractNum>
  <w:abstractNum w:abstractNumId="68">
    <w:nsid w:val="74DE0EE3"/>
    <w:multiLevelType w:val="hybridMultilevel"/>
    <w:lvl w:ilvl="0">
      <w:lvlJc w:val="left"/>
      <w:lvlText w:val="(%1)"/>
      <w:numFmt w:val="lowerLetter"/>
      <w:start w:val="1"/>
    </w:lvl>
  </w:abstractNum>
  <w:abstractNum w:abstractNumId="69">
    <w:nsid w:val="68EBC550"/>
    <w:multiLevelType w:val="hybridMultilevel"/>
    <w:lvl w:ilvl="0">
      <w:lvlJc w:val="left"/>
      <w:lvlText w:val="(%1)"/>
      <w:numFmt w:val="lowerLetter"/>
      <w:start w:val="1"/>
    </w:lvl>
  </w:abstractNum>
  <w:abstractNum w:abstractNumId="70">
    <w:nsid w:val="2DF6D648"/>
    <w:multiLevelType w:val="hybridMultilevel"/>
    <w:lvl w:ilvl="0">
      <w:lvlJc w:val="left"/>
      <w:lvlText w:val="%1"/>
      <w:numFmt w:val="lowerRoman"/>
      <w:start w:val="1"/>
    </w:lvl>
    <w:lvl w:ilvl="1">
      <w:lvlJc w:val="left"/>
      <w:lvlText w:val="(%2)"/>
      <w:numFmt w:val="lowerLetter"/>
      <w:start w:val="1"/>
    </w:lvl>
  </w:abstractNum>
  <w:abstractNum w:abstractNumId="71">
    <w:nsid w:val="46B7D447"/>
    <w:multiLevelType w:val="hybridMultilevel"/>
    <w:lvl w:ilvl="0">
      <w:lvlJc w:val="left"/>
      <w:lvlText w:val="(%1)"/>
      <w:numFmt w:val="lowerRoman"/>
      <w:start w:val="6"/>
    </w:lvl>
    <w:lvl w:ilvl="1">
      <w:lvlJc w:val="left"/>
      <w:lvlText w:val="%2"/>
      <w:numFmt w:val="lowerLetter"/>
      <w:start w:val="1"/>
    </w:lvl>
  </w:abstractNum>
  <w:abstractNum w:abstractNumId="72">
    <w:nsid w:val="4A2AC315"/>
    <w:multiLevelType w:val="hybridMultilevel"/>
    <w:lvl w:ilvl="0">
      <w:lvlJc w:val="left"/>
      <w:lvlText w:val="(%1)"/>
      <w:numFmt w:val="lowerLetter"/>
      <w:start w:val="6"/>
    </w:lvl>
  </w:abstractNum>
  <w:abstractNum w:abstractNumId="73">
    <w:nsid w:val="39EE015C"/>
    <w:multiLevelType w:val="hybridMultilevel"/>
    <w:lvl w:ilvl="0">
      <w:lvlJc w:val="left"/>
      <w:lvlText w:val="(%1)"/>
      <w:numFmt w:val="lowerLetter"/>
      <w:start w:val="1"/>
    </w:lvl>
  </w:abstractNum>
  <w:abstractNum w:abstractNumId="74">
    <w:nsid w:val="57FC4FBB"/>
    <w:multiLevelType w:val="hybridMultilevel"/>
    <w:lvl w:ilvl="0">
      <w:lvlJc w:val="left"/>
      <w:lvlText w:val="%1."/>
      <w:numFmt w:val="decimal"/>
      <w:start w:val="9"/>
    </w:lvl>
    <w:lvl w:ilvl="1">
      <w:lvlJc w:val="left"/>
      <w:lvlText w:val="(%2)"/>
      <w:numFmt w:val="lowerLetter"/>
      <w:start w:val="1"/>
    </w:lvl>
  </w:abstractNum>
  <w:abstractNum w:abstractNumId="75">
    <w:nsid w:val="CC1016F"/>
    <w:multiLevelType w:val="hybridMultilevel"/>
    <w:lvl w:ilvl="0">
      <w:lvlJc w:val="left"/>
      <w:lvlText w:val="[***]"/>
      <w:numFmt w:val="bullet"/>
      <w:start w:val="1"/>
    </w:lvl>
    <w:lvl w:ilvl="1">
      <w:lvlJc w:val="left"/>
      <w:lvlText w:val="(%2)"/>
      <w:numFmt w:val="lowerLetter"/>
      <w:start w:val="2"/>
    </w:lvl>
  </w:abstractNum>
  <w:abstractNum w:abstractNumId="76">
    <w:nsid w:val="43F18422"/>
    <w:multiLevelType w:val="hybridMultilevel"/>
    <w:lvl w:ilvl="0">
      <w:lvlJc w:val="left"/>
      <w:lvlText w:val="(%1)"/>
      <w:numFmt w:val="lowerLetter"/>
      <w:start w:val="3"/>
    </w:lvl>
  </w:abstractNum>
  <w:abstractNum w:abstractNumId="77">
    <w:nsid w:val="60EF0119"/>
    <w:multiLevelType w:val="hybridMultilevel"/>
    <w:lvl w:ilvl="0">
      <w:lvlJc w:val="left"/>
      <w:lvlText w:val="(%1)"/>
      <w:numFmt w:val="lowerLetter"/>
      <w:start w:val="1"/>
    </w:lvl>
    <w:lvl w:ilvl="1">
      <w:lvlJc w:val="left"/>
      <w:lvlText w:val="(%2)"/>
      <w:numFmt w:val="lowerRoman"/>
      <w:start w:val="1"/>
    </w:lvl>
  </w:abstractNum>
  <w:abstractNum w:abstractNumId="78">
    <w:nsid w:val="26F324BA"/>
    <w:multiLevelType w:val="hybridMultilevel"/>
    <w:lvl w:ilvl="0">
      <w:lvlJc w:val="left"/>
      <w:lvlText w:val="%1."/>
      <w:numFmt w:val="decimal"/>
      <w:start w:val="11"/>
    </w:lvl>
  </w:abstractNum>
  <w:abstractNum w:abstractNumId="79">
    <w:nsid w:val="7F01579B"/>
    <w:multiLevelType w:val="hybridMultilevel"/>
    <w:lvl w:ilvl="0">
      <w:lvlJc w:val="left"/>
      <w:lvlText w:val="(%1)"/>
      <w:numFmt w:val="lowerLetter"/>
      <w:start w:val="1"/>
    </w:lvl>
  </w:abstractNum>
  <w:abstractNum w:abstractNumId="80">
    <w:nsid w:val="49DA307D"/>
    <w:multiLevelType w:val="hybridMultilevel"/>
    <w:lvl w:ilvl="0">
      <w:lvlJc w:val="left"/>
      <w:lvlText w:val="(%1)"/>
      <w:numFmt w:val="lowerLetter"/>
      <w:start w:val="2"/>
    </w:lvl>
  </w:abstractNum>
  <w:abstractNum w:abstractNumId="81">
    <w:nsid w:val="7055A5F5"/>
    <w:multiLevelType w:val="hybridMultilevel"/>
    <w:lvl w:ilvl="0">
      <w:lvlJc w:val="left"/>
      <w:lvlText w:val="(%1)"/>
      <w:numFmt w:val="lowerLetter"/>
      <w:start w:val="1"/>
    </w:lvl>
  </w:abstractNum>
  <w:abstractNum w:abstractNumId="82">
    <w:nsid w:val="5FB8370B"/>
    <w:multiLevelType w:val="hybridMultilevel"/>
    <w:lvl w:ilvl="0">
      <w:lvlJc w:val="left"/>
      <w:lvlText w:val="(%1)"/>
      <w:numFmt w:val="lowerLetter"/>
      <w:start w:val="1"/>
    </w:lvl>
  </w:abstractNum>
  <w:abstractNum w:abstractNumId="83">
    <w:nsid w:val="50801EE1"/>
    <w:multiLevelType w:val="hybridMultilevel"/>
    <w:lvl w:ilvl="0">
      <w:lvlJc w:val="left"/>
      <w:lvlText w:val="%1."/>
      <w:numFmt w:val="decimal"/>
      <w:start w:val="12"/>
    </w:lvl>
    <w:lvl w:ilvl="1">
      <w:lvlJc w:val="left"/>
      <w:lvlText w:val="[***]"/>
      <w:numFmt w:val="bullet"/>
      <w:start w:val="1"/>
    </w:lvl>
  </w:abstractNum>
  <w:abstractNum w:abstractNumId="84">
    <w:nsid w:val="488AC1A"/>
    <w:multiLevelType w:val="hybridMultilevel"/>
    <w:lvl w:ilvl="0">
      <w:lvlJc w:val="left"/>
      <w:lvlText w:val="(%1)"/>
      <w:numFmt w:val="lowerLetter"/>
      <w:start w:val="1"/>
    </w:lvl>
  </w:abstractNum>
  <w:abstractNum w:abstractNumId="85">
    <w:nsid w:val="5FB8011C"/>
    <w:multiLevelType w:val="hybridMultilevel"/>
    <w:lvl w:ilvl="0">
      <w:lvlJc w:val="left"/>
      <w:lvlText w:val="(%1)"/>
      <w:numFmt w:val="lowerLetter"/>
      <w:start w:val="2"/>
    </w:lvl>
  </w:abstractNum>
  <w:abstractNum w:abstractNumId="86">
    <w:nsid w:val="6AA78F7F"/>
    <w:multiLevelType w:val="hybridMultilevel"/>
    <w:lvl w:ilvl="0">
      <w:lvlJc w:val="left"/>
      <w:lvlText w:val="%1"/>
      <w:numFmt w:val="decimal"/>
      <w:start w:val="1"/>
    </w:lvl>
    <w:lvl w:ilvl="1">
      <w:lvlJc w:val="left"/>
      <w:lvlText w:val="(%2)"/>
      <w:numFmt w:val="lowerLetter"/>
      <w:start w:val="1"/>
    </w:lvl>
  </w:abstractNum>
  <w:abstractNum w:abstractNumId="87">
    <w:nsid w:val="7672BD23"/>
    <w:multiLevelType w:val="hybridMultilevel"/>
    <w:lvl w:ilvl="0">
      <w:lvlJc w:val="left"/>
      <w:lvlText w:val="%1."/>
      <w:numFmt w:val="decimal"/>
      <w:start w:val="14"/>
    </w:lvl>
    <w:lvl w:ilvl="1">
      <w:lvlJc w:val="left"/>
      <w:lvlText w:val="%2"/>
      <w:numFmt w:val="lowerLetter"/>
      <w:start w:val="1"/>
    </w:lvl>
  </w:abstractNum>
  <w:abstractNum w:abstractNumId="88">
    <w:nsid w:val="6FC75AF8"/>
    <w:multiLevelType w:val="hybridMultilevel"/>
    <w:lvl w:ilvl="0">
      <w:lvlJc w:val="left"/>
      <w:lvlText w:val="(%1)"/>
      <w:numFmt w:val="lowerLetter"/>
      <w:start w:val="4"/>
    </w:lvl>
  </w:abstractNum>
  <w:abstractNum w:abstractNumId="89">
    <w:nsid w:val="6A5F7029"/>
    <w:multiLevelType w:val="hybridMultilevel"/>
    <w:lvl w:ilvl="0">
      <w:lvlJc w:val="left"/>
      <w:lvlText w:val="%1."/>
      <w:numFmt w:val="decimal"/>
      <w:start w:val="16"/>
    </w:lvl>
  </w:abstractNum>
  <w:abstractNum w:abstractNumId="90">
    <w:nsid w:val="7D5E18F8"/>
    <w:multiLevelType w:val="hybridMultilevel"/>
    <w:lvl w:ilvl="0">
      <w:lvlJc w:val="left"/>
      <w:lvlText w:val="16.%1."/>
      <w:numFmt w:val="decimal"/>
      <w:start w:val="1"/>
    </w:lvl>
  </w:abstractNum>
  <w:abstractNum w:abstractNumId="91">
    <w:nsid w:val="5F3534A4"/>
    <w:multiLevelType w:val="hybridMultilevel"/>
    <w:lvl w:ilvl="0">
      <w:lvlJc w:val="left"/>
      <w:lvlText w:val="%1."/>
      <w:numFmt w:val="decimal"/>
      <w:start w:val="17"/>
    </w:lvl>
  </w:abstractNum>
  <w:abstractNum w:abstractNumId="92">
    <w:nsid w:val="73A1821B"/>
    <w:multiLevelType w:val="hybridMultilevel"/>
    <w:lvl w:ilvl="0">
      <w:lvlJc w:val="left"/>
      <w:lvlText w:val="%1"/>
      <w:numFmt w:val="decimal"/>
      <w:start w:val="1"/>
    </w:lvl>
    <w:lvl w:ilvl="1">
      <w:lvlJc w:val="left"/>
      <w:lvlText w:val="(%2)"/>
      <w:numFmt w:val="lowerLetter"/>
      <w:start w:val="1"/>
    </w:lvl>
  </w:abstractNum>
  <w:abstractNum w:abstractNumId="93">
    <w:nsid w:val="7DE67713"/>
    <w:multiLevelType w:val="hybridMultilevel"/>
    <w:lvl w:ilvl="0">
      <w:lvlJc w:val="left"/>
      <w:lvlText w:val="%1."/>
      <w:numFmt w:val="decimal"/>
      <w:start w:val="18"/>
    </w:lvl>
    <w:lvl w:ilvl="1">
      <w:lvlJc w:val="left"/>
      <w:lvlText w:val="%2"/>
      <w:numFmt w:val="lowerLetter"/>
      <w:start w:val="1"/>
    </w:lvl>
  </w:abstractNum>
  <w:abstractNum w:abstractNumId="94">
    <w:nsid w:val="555C55B5"/>
    <w:multiLevelType w:val="hybridMultilevel"/>
    <w:lvl w:ilvl="0">
      <w:lvlJc w:val="left"/>
      <w:lvlText w:val="%1."/>
      <w:numFmt w:val="decimal"/>
      <w:start w:val="19"/>
    </w:lvl>
  </w:abstractNum>
  <w:abstractNum w:abstractNumId="95">
    <w:nsid w:val="3FA62ACA"/>
    <w:multiLevelType w:val="hybridMultilevel"/>
    <w:lvl w:ilvl="0">
      <w:lvlJc w:val="left"/>
      <w:lvlText w:val="[***]"/>
      <w:numFmt w:val="bullet"/>
      <w:start w:val="1"/>
    </w:lvl>
    <w:lvl w:ilvl="1">
      <w:lvlJc w:val="left"/>
      <w:lvlText w:val="(%2)"/>
      <w:numFmt w:val="lowerLetter"/>
      <w:start w:val="1"/>
    </w:lvl>
    <w:lvl w:ilvl="2">
      <w:lvlJc w:val="left"/>
      <w:lvlText w:val="%3"/>
      <w:numFmt w:val="lowerRoman"/>
      <w:start w:val="1"/>
    </w:lvl>
  </w:abstractNum>
  <w:abstractNum w:abstractNumId="96">
    <w:nsid w:val="14FCE74E"/>
    <w:multiLevelType w:val="hybridMultilevel"/>
    <w:lvl w:ilvl="0">
      <w:lvlJc w:val="left"/>
      <w:lvlText w:val="[***]"/>
      <w:numFmt w:val="bullet"/>
      <w:start w:val="1"/>
    </w:lvl>
    <w:lvl w:ilvl="1">
      <w:lvlJc w:val="left"/>
      <w:lvlText w:val="(%2)"/>
      <w:numFmt w:val="lowerLetter"/>
      <w:start w:val="3"/>
    </w:lvl>
    <w:lvl w:ilvl="2">
      <w:lvlJc w:val="left"/>
      <w:lvlText w:val="(%3)"/>
      <w:numFmt w:val="lowerRoman"/>
      <w:start w:val="1"/>
    </w:lvl>
  </w:abstractNum>
  <w:abstractNum w:abstractNumId="97">
    <w:nsid w:val="6A3DD3E8"/>
    <w:multiLevelType w:val="hybridMultilevel"/>
    <w:lvl w:ilvl="0">
      <w:lvlJc w:val="left"/>
      <w:lvlText w:val="%1."/>
      <w:numFmt w:val="decimal"/>
      <w:start w:val="22"/>
    </w:lvl>
  </w:abstractNum>
  <w:abstractNum w:abstractNumId="98">
    <w:nsid w:val="71C91298"/>
    <w:multiLevelType w:val="hybridMultilevel"/>
    <w:lvl w:ilvl="0">
      <w:lvlJc w:val="left"/>
      <w:lvlText w:val="%1."/>
      <w:numFmt w:val="decimal"/>
      <w:start w:val="1"/>
    </w:lvl>
  </w:abstractNum>
  <w:abstractNum w:abstractNumId="99">
    <w:nsid w:val="9DAF632"/>
    <w:multiLevelType w:val="hybridMultilevel"/>
    <w:lvl w:ilvl="0">
      <w:lvlJc w:val="left"/>
      <w:lvlText w:val="%1."/>
      <w:numFmt w:val="decimal"/>
      <w:start w:val="1"/>
    </w:lvl>
  </w:abstractNum>
  <w:abstractNum w:abstractNumId="100">
    <w:nsid w:val="53299938"/>
    <w:multiLevelType w:val="hybridMultilevel"/>
    <w:lvl w:ilvl="0">
      <w:lvlJc w:val="left"/>
      <w:lvlText w:val="%1."/>
      <w:numFmt w:val="decimal"/>
      <w:start w:val="2"/>
    </w:lvl>
    <w:lvl w:ilvl="1">
      <w:lvlJc w:val="left"/>
      <w:lvlText w:val="(%2)"/>
      <w:numFmt w:val="lowerLetter"/>
      <w:start w:val="2"/>
    </w:lvl>
  </w:abstractNum>
  <w:abstractNum w:abstractNumId="101">
    <w:nsid w:val="1FBFE8E0"/>
    <w:multiLevelType w:val="hybridMultilevel"/>
    <w:lvl w:ilvl="0">
      <w:lvlJc w:val="left"/>
      <w:lvlText w:val="%1."/>
      <w:numFmt w:val="lowerLetter"/>
      <w:start w:val="1"/>
    </w:lvl>
  </w:abstractNum>
  <w:abstractNum w:abstractNumId="102">
    <w:nsid w:val="5092CA79"/>
    <w:multiLevelType w:val="hybridMultilevel"/>
    <w:lvl w:ilvl="0">
      <w:lvlJc w:val="left"/>
      <w:lvlText w:val="%1."/>
      <w:numFmt w:val="decimal"/>
      <w:start w:val="1"/>
    </w:lvl>
  </w:abstractNum>
  <w:abstractNum w:abstractNumId="103">
    <w:nsid w:val="1D545C4D"/>
    <w:multiLevelType w:val="hybridMultilevel"/>
    <w:lvl w:ilvl="0">
      <w:lvlJc w:val="left"/>
      <w:lvlText w:val="%1."/>
      <w:numFmt w:val="decimal"/>
      <w:start w:val="3"/>
    </w:lvl>
    <w:lvl w:ilvl="1">
      <w:lvlJc w:val="left"/>
      <w:lvlText w:val="%2"/>
      <w:numFmt w:val="lowerLetter"/>
      <w:start w:val="1"/>
    </w:lvl>
  </w:abstractNum>
  <w:abstractNum w:abstractNumId="104">
    <w:nsid w:val="59ADEA3D"/>
    <w:multiLevelType w:val="hybridMultilevel"/>
    <w:lvl w:ilvl="0">
      <w:lvlJc w:val="left"/>
      <w:lvlText w:val="%1."/>
      <w:numFmt w:val="decimal"/>
      <w:start w:val="1"/>
    </w:lvl>
  </w:abstractNum>
  <w:abstractNum w:abstractNumId="105">
    <w:nsid w:val="288F1A34"/>
    <w:multiLevelType w:val="hybridMultilevel"/>
    <w:lvl w:ilvl="0">
      <w:lvlJc w:val="left"/>
      <w:lvlText w:val="%1."/>
      <w:numFmt w:val="decimal"/>
      <w:start w:val="1"/>
    </w:lvl>
  </w:abstractNum>
  <w:abstractNum w:abstractNumId="106">
    <w:nsid w:val="2A155DBC"/>
    <w:multiLevelType w:val="hybridMultilevel"/>
    <w:lvl w:ilvl="0">
      <w:lvlJc w:val="left"/>
      <w:lvlText w:val="%1."/>
      <w:numFmt w:val="decimal"/>
      <w:start w:val="1"/>
    </w:lvl>
    <w:lvl w:ilvl="1">
      <w:lvlJc w:val="left"/>
      <w:lvlText w:val="%2."/>
      <w:numFmt w:val="lowerLetter"/>
      <w:start w:val="1"/>
    </w:lvl>
  </w:abstractNum>
  <w:abstractNum w:abstractNumId="107">
    <w:nsid w:val="1D9F6E5F"/>
    <w:multiLevelType w:val="hybridMultilevel"/>
    <w:lvl w:ilvl="0">
      <w:lvlJc w:val="left"/>
      <w:lvlText w:val="%1."/>
      <w:numFmt w:val="decimal"/>
      <w:start w:val="1"/>
    </w:lvl>
    <w:lvl w:ilvl="1">
      <w:lvlJc w:val="left"/>
      <w:lvlText w:val="%2."/>
      <w:numFmt w:val="lowerLetter"/>
      <w:start w:val="1"/>
    </w:lvl>
  </w:abstractNum>
  <w:abstractNum w:abstractNumId="108">
    <w:nsid w:val="97E1B4E"/>
    <w:multiLevelType w:val="hybridMultilevel"/>
    <w:lvl w:ilvl="0">
      <w:lvlJc w:val="left"/>
      <w:lvlText w:val="%1."/>
      <w:numFmt w:val="lowerLetter"/>
      <w:start w:val="1"/>
    </w:lvl>
  </w:abstractNum>
  <w:abstractNum w:abstractNumId="109">
    <w:nsid w:val="51088277"/>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90" Type="http://schemas.openxmlformats.org/officeDocument/2006/relationships/image" Target="media/image164.png"/><Relationship Id="rId213" Type="http://schemas.openxmlformats.org/officeDocument/2006/relationships/image" Target="media/image165.png"/><Relationship Id="rId214" Type="http://schemas.openxmlformats.org/officeDocument/2006/relationships/image" Target="media/image166.png"/><Relationship Id="rId215" Type="http://schemas.openxmlformats.org/officeDocument/2006/relationships/image" Target="media/image167.png"/><Relationship Id="rId216" Type="http://schemas.openxmlformats.org/officeDocument/2006/relationships/image" Target="media/image168.png"/><Relationship Id="rId217" Type="http://schemas.openxmlformats.org/officeDocument/2006/relationships/image" Target="media/image169.png"/><Relationship Id="rId218" Type="http://schemas.openxmlformats.org/officeDocument/2006/relationships/image" Target="media/image170.png"/><Relationship Id="rId219" Type="http://schemas.openxmlformats.org/officeDocument/2006/relationships/image" Target="media/image171.png"/><Relationship Id="rId220" Type="http://schemas.openxmlformats.org/officeDocument/2006/relationships/image" Target="media/image172.png"/><Relationship Id="rId221" Type="http://schemas.openxmlformats.org/officeDocument/2006/relationships/image" Target="media/image173.png"/><Relationship Id="rId222" Type="http://schemas.openxmlformats.org/officeDocument/2006/relationships/image" Target="media/image174.png"/><Relationship Id="rId223" Type="http://schemas.openxmlformats.org/officeDocument/2006/relationships/image" Target="media/image175.png"/><Relationship Id="rId224" Type="http://schemas.openxmlformats.org/officeDocument/2006/relationships/image" Target="media/image176.png"/><Relationship Id="rId225" Type="http://schemas.openxmlformats.org/officeDocument/2006/relationships/image" Target="media/image177.png"/><Relationship Id="rId226" Type="http://schemas.openxmlformats.org/officeDocument/2006/relationships/image" Target="media/image178.png"/><Relationship Id="rId227" Type="http://schemas.openxmlformats.org/officeDocument/2006/relationships/image" Target="media/image179.png"/><Relationship Id="rId228" Type="http://schemas.openxmlformats.org/officeDocument/2006/relationships/image" Target="media/image180.png"/><Relationship Id="rId229" Type="http://schemas.openxmlformats.org/officeDocument/2006/relationships/image" Target="media/image181.png"/><Relationship Id="rId230" Type="http://schemas.openxmlformats.org/officeDocument/2006/relationships/image" Target="media/image182.png"/><Relationship Id="rId231" Type="http://schemas.openxmlformats.org/officeDocument/2006/relationships/image" Target="media/image183.png"/><Relationship Id="rId232" Type="http://schemas.openxmlformats.org/officeDocument/2006/relationships/image" Target="media/image184.png"/><Relationship Id="rId233" Type="http://schemas.openxmlformats.org/officeDocument/2006/relationships/image" Target="media/image185.png"/><Relationship Id="rId234" Type="http://schemas.openxmlformats.org/officeDocument/2006/relationships/image" Target="media/image186.png"/><Relationship Id="rId235" Type="http://schemas.openxmlformats.org/officeDocument/2006/relationships/image" Target="media/image187.png"/><Relationship Id="rId236" Type="http://schemas.openxmlformats.org/officeDocument/2006/relationships/image" Target="media/image188.png"/><Relationship Id="rId237" Type="http://schemas.openxmlformats.org/officeDocument/2006/relationships/image" Target="media/image189.png"/><Relationship Id="rId238" Type="http://schemas.openxmlformats.org/officeDocument/2006/relationships/image" Target="media/image190.png"/><Relationship Id="rId239" Type="http://schemas.openxmlformats.org/officeDocument/2006/relationships/image" Target="media/image191.png"/><Relationship Id="rId240" Type="http://schemas.openxmlformats.org/officeDocument/2006/relationships/image" Target="media/image192.png"/><Relationship Id="rId241" Type="http://schemas.openxmlformats.org/officeDocument/2006/relationships/image" Target="media/image193.png"/><Relationship Id="rId242" Type="http://schemas.openxmlformats.org/officeDocument/2006/relationships/image" Target="media/image194.png"/><Relationship Id="rId243" Type="http://schemas.openxmlformats.org/officeDocument/2006/relationships/image" Target="media/image195.png"/><Relationship Id="rId244" Type="http://schemas.openxmlformats.org/officeDocument/2006/relationships/image" Target="media/image196.png"/><Relationship Id="rId245" Type="http://schemas.openxmlformats.org/officeDocument/2006/relationships/image" Target="media/image197.png"/><Relationship Id="rId246" Type="http://schemas.openxmlformats.org/officeDocument/2006/relationships/image" Target="media/image198.png"/><Relationship Id="rId247" Type="http://schemas.openxmlformats.org/officeDocument/2006/relationships/image" Target="media/image199.png"/><Relationship Id="rId248" Type="http://schemas.openxmlformats.org/officeDocument/2006/relationships/image" Target="media/image200.png"/><Relationship Id="rId249" Type="http://schemas.openxmlformats.org/officeDocument/2006/relationships/image" Target="media/image201.png"/><Relationship Id="rId250" Type="http://schemas.openxmlformats.org/officeDocument/2006/relationships/image" Target="media/image202.png"/><Relationship Id="rId251" Type="http://schemas.openxmlformats.org/officeDocument/2006/relationships/image" Target="media/image203.png"/><Relationship Id="rId252" Type="http://schemas.openxmlformats.org/officeDocument/2006/relationships/image" Target="media/image204.png"/><Relationship Id="rId253" Type="http://schemas.openxmlformats.org/officeDocument/2006/relationships/image" Target="media/image205.png"/><Relationship Id="rId254" Type="http://schemas.openxmlformats.org/officeDocument/2006/relationships/image" Target="media/image206.png"/><Relationship Id="rId255" Type="http://schemas.openxmlformats.org/officeDocument/2006/relationships/image" Target="media/image207.png"/><Relationship Id="rId171" Type="http://schemas.openxmlformats.org/officeDocument/2006/relationships/hyperlink" Target="https://www.sec.gov/Archives/edgar/data/1811210/000110465921026357/tm217491d2_ex2-1.htm" TargetMode="External"/><Relationship Id="rId172" Type="http://schemas.openxmlformats.org/officeDocument/2006/relationships/hyperlink" Target="https://www.sec.gov/Archives/edgar/data/0001811210/000110465921095842/tm2120294d5_ex3-1.htm" TargetMode="External"/><Relationship Id="rId173" Type="http://schemas.openxmlformats.org/officeDocument/2006/relationships/hyperlink" Target="https://www.sec.gov/Archives/edgar/data/0001811210/000110465921095842/tm2120294d5_ex3-2.htm" TargetMode="External"/><Relationship Id="rId174" Type="http://schemas.openxmlformats.org/officeDocument/2006/relationships/hyperlink" Target="https://www.sec.gov/Archives/edgar/data/0001811210/000110465921095842/tm2120294d5_ex4-1.htm" TargetMode="External"/><Relationship Id="rId175" Type="http://schemas.openxmlformats.org/officeDocument/2006/relationships/hyperlink" Target="https://www.sec.gov/Archives/edgar/data/1811210/000110465920090379/tm2026266d1_ex4-1.htm" TargetMode="External"/><Relationship Id="rId176" Type="http://schemas.openxmlformats.org/officeDocument/2006/relationships/hyperlink" Target="https://www.sec.gov/Archives/edgar/data/0001811210/000110465921149586/tm2134520d8_ex4-1.htm" TargetMode="External"/><Relationship Id="rId177" Type="http://schemas.openxmlformats.org/officeDocument/2006/relationships/hyperlink" Target="https://www.sec.gov/Archives/edgar/data/1811210/000162828022004253/exhibit46descriptionofsecu.htm" TargetMode="External"/><Relationship Id="rId178" Type="http://schemas.openxmlformats.org/officeDocument/2006/relationships/hyperlink" Target="https://www.sec.gov/Archives/edgar/data/0001811210/000110465921067006/tm219359d5_ex10-22.htm" TargetMode="External"/><Relationship Id="rId179" Type="http://schemas.openxmlformats.org/officeDocument/2006/relationships/hyperlink" Target="https://www.sec.gov/Archives/edgar/data/0001811210/000110465921095842/tm2120294d5_ex10-25.htm" TargetMode="External"/><Relationship Id="rId180" Type="http://schemas.openxmlformats.org/officeDocument/2006/relationships/hyperlink" Target="https://www.sec.gov/Archives/edgar/data/0001811210/000110465921095842/tm2120294d5_ex10-26.htm" TargetMode="External"/><Relationship Id="rId181" Type="http://schemas.openxmlformats.org/officeDocument/2006/relationships/hyperlink" Target="https://www.sec.gov/Archives/edgar/data/0001811210/000110465921095842/tm2120294d5_ex10-27.htm" TargetMode="External"/><Relationship Id="rId182" Type="http://schemas.openxmlformats.org/officeDocument/2006/relationships/hyperlink" Target="https://www.sec.gov/Archives/edgar/data/1811210/000110465922070525/tm2218210d1_ex10-1.htm" TargetMode="External"/><Relationship Id="rId183" Type="http://schemas.openxmlformats.org/officeDocument/2006/relationships/hyperlink" Target="https://www.sec.gov/Archives/edgar/data/1811210/000110465921026357/tm217491d2_ex10-1.htm" TargetMode="External"/><Relationship Id="rId184" Type="http://schemas.openxmlformats.org/officeDocument/2006/relationships/hyperlink" Target="https://www.sec.gov/Archives/edgar/data/1811210/000110465922115976/tm2229867d2_ex10-2.htm" TargetMode="External"/><Relationship Id="rId185" Type="http://schemas.openxmlformats.org/officeDocument/2006/relationships/hyperlink" Target="https://www.sec.gov/Archives/edgar/data/1811210/000110465921026357/tm217491d2_ex10-2.htm" TargetMode="External"/><Relationship Id="rId186" Type="http://schemas.openxmlformats.org/officeDocument/2006/relationships/hyperlink" Target="https://www.sec.gov/Archives/edgar/data/1811210/000110465921026357/tm217491d2_ex10-3.htm" TargetMode="External"/><Relationship Id="rId187" Type="http://schemas.openxmlformats.org/officeDocument/2006/relationships/hyperlink" Target="https://www.sec.gov/Archives/edgar/data/1811210/000110465921026357/tm217491d2_ex10-4.htm" TargetMode="External"/><Relationship Id="rId188" Type="http://schemas.openxmlformats.org/officeDocument/2006/relationships/hyperlink" Target="https://www.sec.gov/Archives/edgar/data/1811210/000110465921039318/tm219359d2_ex10-6.htm" TargetMode="External"/><Relationship Id="rId189" Type="http://schemas.openxmlformats.org/officeDocument/2006/relationships/hyperlink" Target="https://www.sec.gov/Archives/edgar/data/1811210/000110465921039318/tm219359d2_ex10-7.htm" TargetMode="External"/><Relationship Id="rId191" Type="http://schemas.openxmlformats.org/officeDocument/2006/relationships/hyperlink" Target="https://www.sec.gov/Archives/edgar/data/1811210/000110465921039318/tm219359d2_ex10-8.htm" TargetMode="External"/><Relationship Id="rId192" Type="http://schemas.openxmlformats.org/officeDocument/2006/relationships/hyperlink" Target="https://www.sec.gov/Archives/edgar/data/1811210/000110465921039318/tm219359d2_ex10-9.htm" TargetMode="External"/><Relationship Id="rId193" Type="http://schemas.openxmlformats.org/officeDocument/2006/relationships/hyperlink" Target="https://www.sec.gov/Archives/edgar/data/1811210/000110465921039318/tm219359d2_ex10-10.htm" TargetMode="External"/><Relationship Id="rId194" Type="http://schemas.openxmlformats.org/officeDocument/2006/relationships/hyperlink" Target="https://www.sec.gov/Archives/edgar/data/1811210/000110465921039318/tm219359d2_ex10-11.htm" TargetMode="External"/><Relationship Id="rId195" Type="http://schemas.openxmlformats.org/officeDocument/2006/relationships/hyperlink" Target="https://www.sec.gov/Archives/edgar/data/1811210/000110465921039318/tm219359d2_ex10-12.htm" TargetMode="External"/><Relationship Id="rId196" Type="http://schemas.openxmlformats.org/officeDocument/2006/relationships/hyperlink" Target="https://www.sec.gov/Archives/edgar/data/1811210/000110465921039318/tm219359d2_ex10-13.htm" TargetMode="External"/><Relationship Id="rId197" Type="http://schemas.openxmlformats.org/officeDocument/2006/relationships/hyperlink" Target="https://www.sec.gov/Archives/edgar/data/1811210/000110465921039318/tm219359d2_ex10-14.htm" TargetMode="External"/><Relationship Id="rId198" Type="http://schemas.openxmlformats.org/officeDocument/2006/relationships/hyperlink" Target="https://www.sec.gov/Archives/edgar/data/1811210/000110465921039318/tm219359d2_ex10-15.htm" TargetMode="External"/><Relationship Id="rId199" Type="http://schemas.openxmlformats.org/officeDocument/2006/relationships/hyperlink" Target="https://www.sec.gov/Archives/edgar/data/1811210/000110465921039318/tm219359d2_ex10-16.htm" TargetMode="External"/><Relationship Id="rId200" Type="http://schemas.openxmlformats.org/officeDocument/2006/relationships/hyperlink" Target="https://www.sec.gov/Archives/edgar/data/1811210/000110465921039318/tm219359d2_ex10-19.htm" TargetMode="External"/><Relationship Id="rId201" Type="http://schemas.openxmlformats.org/officeDocument/2006/relationships/hyperlink" Target="https://www.sec.gov/Archives/edgar/data/1811210/000110465921067006/tm219359d5_ex10-23.htm" TargetMode="External"/><Relationship Id="rId202" Type="http://schemas.openxmlformats.org/officeDocument/2006/relationships/hyperlink" Target="https://www.sec.gov/Archives/edgar/data/1811210/000110465921067006/tm219359d5_ex10-24.htm" TargetMode="External"/><Relationship Id="rId203" Type="http://schemas.openxmlformats.org/officeDocument/2006/relationships/hyperlink" Target="https://www.sec.gov/Archives/edgar/data/1811210/000110465921067006/tm219359d5_ex10-25.htm" TargetMode="External"/><Relationship Id="rId204" Type="http://schemas.openxmlformats.org/officeDocument/2006/relationships/hyperlink" Target="https://www.sec.gov/Archives/edgar/data/1811210/000162828022004253/fy21-ex1027dhingra_gaganxo.htm" TargetMode="External"/><Relationship Id="rId205" Type="http://schemas.openxmlformats.org/officeDocument/2006/relationships/hyperlink" Target="https://www.sec.gov/Archives/edgar/data/1811210/000162828022012681/q12210q-ex101.htm" TargetMode="External"/><Relationship Id="rId206" Type="http://schemas.openxmlformats.org/officeDocument/2006/relationships/hyperlink" Target="https://www.sec.gov/Archives/edgar/data/1811210/000162828022012681/q12210q-ex102.htm" TargetMode="External"/><Relationship Id="rId207" Type="http://schemas.openxmlformats.org/officeDocument/2006/relationships/hyperlink" Target="https://www.sec.gov/Archives/edgar/data/1811210/000162828022012681/q12210q-ex103.htm" TargetMode="External"/><Relationship Id="rId208" Type="http://schemas.openxmlformats.org/officeDocument/2006/relationships/hyperlink" Target="https://www.sec.gov/Archives/edgar/data/1811210/000110465922071262/tm2218210d4_ex10-1.htm" TargetMode="External"/><Relationship Id="rId209" Type="http://schemas.openxmlformats.org/officeDocument/2006/relationships/hyperlink" Target="https://www.sec.gov/Archives/edgar/data/1811210/000162828022020609/q22210q-ex102.htm" TargetMode="External"/><Relationship Id="rId210" Type="http://schemas.openxmlformats.org/officeDocument/2006/relationships/hyperlink" Target="https://www.sec.gov/Archives/edgar/data/1811210/000162828022028925/q32210q-ex101.htm" TargetMode="External"/><Relationship Id="rId211" Type="http://schemas.openxmlformats.org/officeDocument/2006/relationships/hyperlink" Target="https://www.sec.gov/Archives/edgar/data/1811210/000110465922115976/tm2229867d2_ex10-1.htm" TargetMode="External"/><Relationship Id="rId212" Type="http://schemas.openxmlformats.org/officeDocument/2006/relationships/hyperlink" Target="https://www.sec.gov/Archives/edgar/data/0001811210/000110465921095842/tm2120294d5_ex1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2023-02-28T20:12:04Z</dcterms:created>
  <dcterms:modified xsi:type="dcterms:W3CDTF">2023-02-28T20:12:04Z</dcterms:modified>
</cp:coreProperties>
</file>