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4,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18"/>
                <w:szCs w:val="18"/>
                <w:color w:val="auto"/>
              </w:rPr>
            </w:pPr>
          </w:p>
        </w:tc>
      </w:tr>
      <w:tr>
        <w:trPr>
          <w:trHeight w:val="238"/>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5" w:lineRule="exact"/>
        <w:rPr>
          <w:sz w:val="20"/>
          <w:szCs w:val="20"/>
          <w:color w:val="auto"/>
        </w:rPr>
      </w:pPr>
    </w:p>
    <w:p>
      <w:pPr>
        <w:jc w:val="both"/>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On June 4, 2024, at the 2024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Company’s stockholders approved the Lucid Group, Inc. Amended and Restated 2021 Stock Incentive Plan (including the Lucid Group, Inc. 2021 Employee Stock Purchase Plan attached thereto)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Under the Plan as approved by the Company’s stockholders at the Annual Meeting, the number of shares of Class A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available for issuance has been increased by 119,000,000 shares effective as of the date of the Annual Meeting. A </w:t>
      </w:r>
      <w:hyperlink r:id="rId13">
        <w:r>
          <w:rPr>
            <w:rFonts w:ascii="Times New Roman" w:cs="Times New Roman" w:eastAsia="Times New Roman" w:hAnsi="Times New Roman"/>
            <w:sz w:val="18"/>
            <w:szCs w:val="18"/>
            <w:color w:val="auto"/>
          </w:rPr>
          <w:t xml:space="preserve">complete description of the terms of the Plan can be found in the Company’s </w:t>
        </w:r>
        <w:r>
          <w:rPr>
            <w:rFonts w:ascii="Times New Roman" w:cs="Times New Roman" w:eastAsia="Times New Roman" w:hAnsi="Times New Roman"/>
            <w:sz w:val="18"/>
            <w:szCs w:val="18"/>
            <w:u w:val="single" w:color="auto"/>
            <w:color w:val="0000EE"/>
          </w:rPr>
          <w:t>definitive proxy statement on Schedule 14A filed with the U.S. Securities and</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Exchange Commission on April 25,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b w:val="1"/>
            <w:bCs w:val="1"/>
            <w:i w:val="1"/>
            <w:iCs w:val="1"/>
            <w:color w:val="000000"/>
          </w:rPr>
          <w:t>Proxy Statement</w:t>
        </w:r>
        <w:r>
          <w:rPr>
            <w:rFonts w:ascii="Times New Roman" w:cs="Times New Roman" w:eastAsia="Times New Roman" w:hAnsi="Times New Roman"/>
            <w:sz w:val="18"/>
            <w:szCs w:val="18"/>
            <w:color w:val="000000"/>
          </w:rPr>
          <w:t>”), which description is incorporated by reference herein. The foregoing and the summary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the Proxy Statement are not complete summaries of the terms of the Plan and are qualified by reference to the full text of the Plan, which is attached herewith as Exhibit 10.1 to this Current Report on Form 8-K and incorporated by reference in this Item 5.02.</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held its Annual Meeting on June 4, 2024. Proxies for the Annual Meeting were solicited pursuant to Regulation 14A of the Securities Exchange Act of 1934, as amended. At the close of business on April 10, 2024, the record date for the Annual Meeting, there were 2,307,027,046 shares of Common Stock outstanding and entitled to vote and 100,000 shares of series A convertible preferred stock outstanding and entitled to vote, which are convertible, in the aggregate, into 279,052,626 shares of Common Stock.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Company’s stockholders voted on the following four proposals, each of which is described in more detail in the Proxy Statement. The number of votes cast with respect to each proposal was as indicated below.</w:t>
      </w:r>
    </w:p>
    <w:p>
      <w:pPr>
        <w:spacing w:after="0" w:line="158" w:lineRule="exact"/>
        <w:rPr>
          <w:sz w:val="20"/>
          <w:szCs w:val="20"/>
          <w:color w:val="auto"/>
        </w:rPr>
      </w:pPr>
    </w:p>
    <w:p>
      <w:pPr>
        <w:ind w:left="340" w:right="2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The following nine nominees were elected to serve as directors until the Company’s 2025 Annual Meeting of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their successors are duly elected and qualified, subject to earlier resignation or removal, based on the following results of voting: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Turqi Alnowaiser</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1,726,972,063</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24,921,035</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260,636,188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M. Lambert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1,747,186,775</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4,706,323</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260,636,188</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Liveris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1,732,003,875</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19,889,223</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260,636,188</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Sherif Marakby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1,746,687,302</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5,205,796</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260,636,188</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Nichelle Maynard-Elliott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1,743,060,699</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8,832,399</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260,636,188</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Chabi Nouri</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1,746,548,022</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5,345,076</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260,636,188</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Rawlinson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1,745,017,349</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6,875,749</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260,636,188</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 Winitzer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1,745,834,176</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6,058,922</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260,636,188</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Janet S. Wong</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1,746,392,255</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5,500,843</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260,636,188</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of the Selection of the Independent Registered Public Accounting Firm. </w:t>
      </w:r>
      <w:r>
        <w:rPr>
          <w:rFonts w:ascii="Times New Roman" w:cs="Times New Roman" w:eastAsia="Times New Roman" w:hAnsi="Times New Roman"/>
          <w:sz w:val="18"/>
          <w:szCs w:val="18"/>
          <w:color w:val="auto"/>
        </w:rPr>
        <w:t>The ratification of the selection of KPMG LLP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registered public accounting firm for the Company for the fiscal year ending December 31, 2024, was ratified based on the following results of voting: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1,998,118,338</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10,309,494</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4,101,454</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4" w:lineRule="exact"/>
        <w:rPr>
          <w:sz w:val="20"/>
          <w:szCs w:val="20"/>
          <w:color w:val="auto"/>
        </w:rPr>
      </w:pPr>
    </w:p>
    <w:p>
      <w:pPr>
        <w:ind w:left="340" w:right="2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on an Advisory Basis, of the Compensation of Our Named Executive Officers. </w:t>
      </w:r>
      <w:r>
        <w:rPr>
          <w:rFonts w:ascii="Times New Roman" w:cs="Times New Roman" w:eastAsia="Times New Roman" w:hAnsi="Times New Roman"/>
          <w:sz w:val="18"/>
          <w:szCs w:val="18"/>
          <w:color w:val="auto"/>
        </w:rPr>
        <w:t>The results of the advisory vote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2023 executive compensation as disclosed in the Proxy Statement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1,727,706,804</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22,573,197</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1,613,097</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260,636,188</w:t>
            </w:r>
          </w:p>
        </w:tc>
      </w:tr>
    </w:tbl>
    <w:p>
      <w:pPr>
        <w:spacing w:after="0" w:line="194" w:lineRule="exact"/>
        <w:rPr>
          <w:sz w:val="20"/>
          <w:szCs w:val="20"/>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the Amendment and Restatement of the Lucid Group, Inc. Second Amended and Restated 2021 Stock Incentive Plan.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restatement of the Lucid Group, Inc. Second Amended and Restated 2021 Stock Incentive Plan was approved, based on the following results of voting: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40" w:type="dxa"/>
            <w:vAlign w:val="bottom"/>
            <w:gridSpan w:val="6"/>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gridSpan w:val="3"/>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1,718,675,132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31,690,806</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1,527,160</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260,636,188</w:t>
            </w:r>
          </w:p>
        </w:tc>
        <w:tc>
          <w:tcPr>
            <w:tcW w:w="260" w:type="dxa"/>
            <w:vAlign w:val="bottom"/>
            <w:tcBorders>
              <w:top w:val="single" w:sz="8" w:color="auto"/>
            </w:tcBorders>
            <w:shd w:val="clear" w:color="auto" w:fill="CCEEFF"/>
          </w:tcPr>
          <w:p>
            <w:pPr>
              <w:spacing w:after="0"/>
              <w:rPr>
                <w:sz w:val="18"/>
                <w:szCs w:val="18"/>
                <w:color w:val="auto"/>
              </w:rPr>
            </w:pPr>
          </w:p>
        </w:tc>
      </w:tr>
      <w:tr>
        <w:trPr>
          <w:trHeight w:val="432"/>
        </w:trPr>
        <w:tc>
          <w:tcPr>
            <w:tcW w:w="37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8"/>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169"/>
        </w:trPr>
        <w:tc>
          <w:tcPr>
            <w:tcW w:w="880" w:type="dxa"/>
            <w:vAlign w:val="bottom"/>
            <w:gridSpan w:val="2"/>
          </w:tcPr>
          <w:p>
            <w:pPr>
              <w:spacing w:after="0" w:line="169"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00" w:type="dxa"/>
            <w:vAlign w:val="bottom"/>
            <w:gridSpan w:val="10"/>
          </w:tcPr>
          <w:p>
            <w:pPr>
              <w:spacing w:after="0" w:line="169"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Lucid Group, Inc. Amended and Restated 2021 Stock Incentive Plan (including the Lucid Group, Inc. 2021 Employee Stock Purchase</w:t>
              </w:r>
            </w:hyperlink>
          </w:p>
        </w:tc>
      </w:tr>
      <w:tr>
        <w:trPr>
          <w:trHeight w:val="196"/>
        </w:trPr>
        <w:tc>
          <w:tcPr>
            <w:tcW w:w="32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Plan, attached thereto)</w:t>
              </w:r>
            </w:hyperlink>
          </w:p>
        </w:tc>
        <w:tc>
          <w:tcPr>
            <w:tcW w:w="1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62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6, 2024</w:t>
      </w:r>
      <w:r>
        <w:rPr>
          <w:sz w:val="20"/>
          <w:szCs w:val="20"/>
          <w:color w:val="auto"/>
        </w:rPr>
        <w:tab/>
      </w:r>
      <w:r>
        <w:rPr>
          <w:rFonts w:ascii="Times New Roman" w:cs="Times New Roman" w:eastAsia="Times New Roman" w:hAnsi="Times New Roman"/>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Gagan Dhingra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s://www.sec.gov/ix?doc=/Archives/edgar/data/1811210/000110465924051463/tm2333393d2_def14a.htm" TargetMode="External"/><Relationship Id="rId14" Type="http://schemas.openxmlformats.org/officeDocument/2006/relationships/hyperlink" Target="http://www.sec.gov/Archives/edgar/data/1811210/000110465924068726/tm2416226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2024-06-06T15:26:21Z</dcterms:created>
  <dcterms:modified xsi:type="dcterms:W3CDTF">2024-06-06T15:26:21Z</dcterms:modified>
</cp:coreProperties>
</file>