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bookmarkStart w:id="0" w:name="dp158364_s8.htm"/>
      <w:bookmarkStart w:id="1" w:name="ksdp158364_s8"/>
      <w:bookmarkEnd w:id="0"/>
      <w:bookmarkEnd w:id="1"/>
      <w:r>
        <w:rPr/>
        <w:t> </w:t>
      </w:r>
    </w:p>
    <w:p>
      <w:pPr>
        <w:pStyle w:val="TextBody"/>
        <w:spacing w:before="0" w:after="0"/>
        <w:ind w:left="0" w:right="0" w:hanging="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As filed with the Securities and Exchange Commission on September 24, 2021</w:t>
      </w:r>
    </w:p>
    <w:p>
      <w:pPr>
        <w:pStyle w:val="TextBody"/>
        <w:spacing w:before="0" w:after="0"/>
        <w:ind w:left="222" w:right="222" w:hanging="0"/>
        <w:jc w:val="righ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Registration No. 333-[•]</w:t>
      </w:r>
    </w:p>
    <w:p>
      <w:pPr>
        <w:pStyle w:val="TextBody"/>
        <w:jc w:val="left"/>
        <w:rPr>
          <w:bdr w:val="single" w:sz="24" w:space="1" w:color="000000"/>
        </w:rPr>
      </w:pPr>
      <w:r>
        <w:rPr>
          <w:bdr w:val="single" w:sz="24" w:space="1" w:color="000000"/>
        </w:rPr>
        <w:t> </w:t>
      </w:r>
    </w:p>
    <w:p>
      <w:pPr>
        <w:pStyle w:val="TextBody"/>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UNITED STATES</w:t>
      </w:r>
    </w:p>
    <w:p>
      <w:pPr>
        <w:pStyle w:val="TextBody"/>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SECURITIES AND EXCHANGE COMMISSION</w:t>
      </w:r>
    </w:p>
    <w:p>
      <w:pPr>
        <w:pStyle w:val="TextBody"/>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spacing w:before="60" w:after="60"/>
        <w:jc w:val="center"/>
        <w:rPr>
          <w:bdr w:val="single" w:sz="8" w:space="1" w:color="000000"/>
        </w:rPr>
      </w:pPr>
      <w:r>
        <w:rPr>
          <w:bdr w:val="single" w:sz="8" w:space="1" w:color="000000"/>
        </w:rPr>
        <w:t> </w:t>
      </w:r>
    </w:p>
    <w:p>
      <w:pPr>
        <w:pStyle w:val="TextBody"/>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S-8</w:t>
      </w:r>
    </w:p>
    <w:p>
      <w:pPr>
        <w:pStyle w:val="TextBody"/>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REGISTRATION STATEMENT UNDER</w:t>
      </w:r>
    </w:p>
    <w:p>
      <w:pPr>
        <w:pStyle w:val="TextBody"/>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THE SECURITIES ACT OF 1933</w:t>
      </w:r>
    </w:p>
    <w:p>
      <w:pPr>
        <w:pStyle w:val="TextBody"/>
        <w:spacing w:before="60" w:after="60"/>
        <w:jc w:val="center"/>
        <w:rPr>
          <w:bdr w:val="single" w:sz="8" w:space="1" w:color="000000"/>
        </w:rPr>
      </w:pPr>
      <w:r>
        <w:rPr>
          <w:bdr w:val="single" w:sz="8" w:space="1" w:color="000000"/>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LUCID GROUP, INC.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tbl>
      <w:tblPr>
        <w:tblW w:w="6315" w:type="dxa"/>
        <w:jc w:val="left"/>
        <w:tblInd w:w="0" w:type="dxa"/>
        <w:tblCellMar>
          <w:top w:w="0" w:type="dxa"/>
          <w:left w:w="0" w:type="dxa"/>
          <w:bottom w:w="0" w:type="dxa"/>
          <w:right w:w="0" w:type="dxa"/>
        </w:tblCellMar>
      </w:tblPr>
      <w:tblGrid>
        <w:gridCol w:w="2495"/>
        <w:gridCol w:w="2285"/>
        <w:gridCol w:w="1535"/>
      </w:tblGrid>
      <w:tr>
        <w:trPr/>
        <w:tc>
          <w:tcPr>
            <w:tcW w:w="2495" w:type="dxa"/>
            <w:tcBorders/>
            <w:shd w:fill="auto" w:val="clear"/>
            <w:vAlign w:val="center"/>
          </w:tcPr>
          <w:p>
            <w:pPr>
              <w:pStyle w:val="TableContents"/>
              <w:spacing w:before="0" w:after="283"/>
              <w:jc w:val="center"/>
              <w:rPr>
                <w:b/>
                <w:sz w:val="20"/>
              </w:rPr>
            </w:pPr>
            <w:r>
              <w:rPr>
                <w:b/>
                <w:sz w:val="20"/>
              </w:rPr>
              <w:t>Delaware</w:t>
            </w:r>
          </w:p>
        </w:tc>
        <w:tc>
          <w:tcPr>
            <w:tcW w:w="2285" w:type="dxa"/>
            <w:tcBorders/>
            <w:shd w:fill="auto" w:val="clear"/>
            <w:vAlign w:val="center"/>
          </w:tcPr>
          <w:p>
            <w:pPr>
              <w:pStyle w:val="TableContents"/>
              <w:spacing w:before="0" w:after="283"/>
              <w:jc w:val="center"/>
              <w:rPr/>
            </w:pPr>
            <w:r>
              <w:rPr/>
              <w:t> </w:t>
            </w:r>
          </w:p>
        </w:tc>
        <w:tc>
          <w:tcPr>
            <w:tcW w:w="1535" w:type="dxa"/>
            <w:tcBorders/>
            <w:shd w:fill="auto" w:val="clear"/>
            <w:vAlign w:val="center"/>
          </w:tcPr>
          <w:p>
            <w:pPr>
              <w:pStyle w:val="TableContents"/>
              <w:spacing w:before="0" w:after="283"/>
              <w:jc w:val="center"/>
              <w:rPr>
                <w:b/>
                <w:sz w:val="20"/>
              </w:rPr>
            </w:pPr>
            <w:r>
              <w:rPr>
                <w:b/>
                <w:sz w:val="20"/>
              </w:rPr>
              <w:t>85-0891392</w:t>
            </w:r>
          </w:p>
        </w:tc>
      </w:tr>
      <w:tr>
        <w:trPr/>
        <w:tc>
          <w:tcPr>
            <w:tcW w:w="2495" w:type="dxa"/>
            <w:tcBorders/>
            <w:shd w:fill="auto" w:val="clear"/>
            <w:vAlign w:val="center"/>
          </w:tcPr>
          <w:p>
            <w:pPr>
              <w:pStyle w:val="TableContents"/>
              <w:spacing w:before="0" w:after="283"/>
              <w:jc w:val="center"/>
              <w:rPr>
                <w:sz w:val="20"/>
              </w:rPr>
            </w:pPr>
            <w:r>
              <w:rPr>
                <w:sz w:val="20"/>
              </w:rPr>
              <w:t xml:space="preserve">(State or other jurisdiction of </w:t>
              <w:br/>
              <w:t>incorporation or organization)</w:t>
            </w:r>
          </w:p>
        </w:tc>
        <w:tc>
          <w:tcPr>
            <w:tcW w:w="2285"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jc w:val="center"/>
              <w:rPr>
                <w:sz w:val="20"/>
              </w:rPr>
            </w:pPr>
            <w:r>
              <w:rPr>
                <w:sz w:val="20"/>
              </w:rPr>
              <w:t xml:space="preserve">(I.R.S. Employer </w:t>
              <w:br/>
              <w:t>Identification No.)</w:t>
            </w:r>
          </w:p>
        </w:tc>
      </w:tr>
      <w:tr>
        <w:trPr/>
        <w:tc>
          <w:tcPr>
            <w:tcW w:w="2495" w:type="dxa"/>
            <w:tcBorders/>
            <w:shd w:fill="auto" w:val="clear"/>
            <w:vAlign w:val="center"/>
          </w:tcPr>
          <w:p>
            <w:pPr>
              <w:pStyle w:val="TableContents"/>
              <w:spacing w:before="0" w:after="283"/>
              <w:rPr/>
            </w:pPr>
            <w:r>
              <w:rPr/>
              <w:t> </w:t>
            </w:r>
          </w:p>
        </w:tc>
        <w:tc>
          <w:tcPr>
            <w:tcW w:w="2285" w:type="dxa"/>
            <w:tcBorders/>
            <w:shd w:fill="auto" w:val="clear"/>
            <w:vAlign w:val="center"/>
          </w:tcPr>
          <w:p>
            <w:pPr>
              <w:pStyle w:val="TableContents"/>
              <w:shd w:fill="FFFFFF" w:val="clear"/>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7373 Gateway Blvd</w:t>
            </w:r>
          </w:p>
          <w:p>
            <w:pPr>
              <w:pStyle w:val="TableContents"/>
              <w:shd w:fill="FFFFFF" w:val="clear"/>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Newark, CA 94560</w:t>
            </w:r>
          </w:p>
          <w:p>
            <w:pPr>
              <w:pStyle w:val="TableContents"/>
              <w:shd w:fill="FFFFFF" w:val="clear"/>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(510) 648-3553</w:t>
            </w:r>
          </w:p>
        </w:tc>
        <w:tc>
          <w:tcPr>
            <w:tcW w:w="1535" w:type="dxa"/>
            <w:tcBorders/>
            <w:shd w:fill="auto" w:val="clear"/>
            <w:vAlign w:val="center"/>
          </w:tcPr>
          <w:p>
            <w:pPr>
              <w:pStyle w:val="TableContents"/>
              <w:spacing w:before="0" w:after="283"/>
              <w:rPr/>
            </w:pPr>
            <w:r>
              <w:rPr/>
              <w:t> </w:t>
            </w:r>
          </w:p>
        </w:tc>
      </w:tr>
      <w:tr>
        <w:trPr/>
        <w:tc>
          <w:tcPr>
            <w:tcW w:w="6315" w:type="dxa"/>
            <w:gridSpan w:val="3"/>
            <w:tcBorders/>
            <w:shd w:fill="auto" w:val="clear"/>
            <w:vAlign w:val="center"/>
          </w:tcPr>
          <w:p>
            <w:pPr>
              <w:pStyle w:val="TableContents"/>
              <w:spacing w:before="0" w:after="283"/>
              <w:jc w:val="center"/>
              <w:rPr>
                <w:sz w:val="20"/>
              </w:rPr>
            </w:pPr>
            <w:r>
              <w:rPr>
                <w:sz w:val="20"/>
              </w:rPr>
              <w:t>(Address of Principal Executive Offices, Including Zip Code)</w:t>
            </w:r>
          </w:p>
        </w:tc>
      </w:tr>
    </w:tbl>
    <w:p>
      <w:pPr>
        <w:pStyle w:val="TextBody"/>
        <w:spacing w:before="60" w:after="60"/>
        <w:jc w:val="center"/>
        <w:rPr>
          <w:bdr w:val="single" w:sz="8" w:space="1" w:color="000000"/>
        </w:rPr>
      </w:pPr>
      <w:r>
        <w:rPr>
          <w:bdr w:val="single" w:sz="8" w:space="1" w:color="000000"/>
        </w:rPr>
        <w:t> </w:t>
      </w:r>
    </w:p>
    <w:p>
      <w:pPr>
        <w:pStyle w:val="TextBody"/>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Atieva, Inc. 2009 Share Plan</w:t>
      </w:r>
    </w:p>
    <w:p>
      <w:pPr>
        <w:pStyle w:val="TextBody"/>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Atieva, Inc. 2014 Share Plan</w:t>
      </w:r>
    </w:p>
    <w:p>
      <w:pPr>
        <w:pStyle w:val="TextBody"/>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Atieva, Inc. 2021 Stock Incentive Plan</w:t>
      </w:r>
    </w:p>
    <w:p>
      <w:pPr>
        <w:pStyle w:val="TextBody"/>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Lucid Group, Inc. 2021 Stock Incentive Plan (including the Lucid Group, Inc. 2021 Employee Stock Purchase Plan attached thereto)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title of the plan)</w:t>
      </w:r>
    </w:p>
    <w:p>
      <w:pPr>
        <w:pStyle w:val="TextBody"/>
        <w:spacing w:before="0" w:after="0"/>
        <w:ind w:left="0" w:right="0" w:hanging="0"/>
        <w:jc w:val="center"/>
        <w:rPr>
          <w:caps w:val="false"/>
          <w:smallCaps w:val="false"/>
        </w:rPr>
      </w:pPr>
      <w:r>
        <w:rPr>
          <w:caps w:val="false"/>
          <w:smallCaps w:val="false"/>
        </w:rPr>
        <w:t> </w:t>
      </w:r>
    </w:p>
    <w:p>
      <w:pPr>
        <w:pStyle w:val="TextBody"/>
        <w:shd w:fill="FFFFFF" w:val="clear"/>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Peter Rawlinson</w:t>
      </w:r>
    </w:p>
    <w:p>
      <w:pPr>
        <w:pStyle w:val="TextBody"/>
        <w:shd w:fill="FFFFFF" w:val="clear"/>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p>
      <w:pPr>
        <w:pStyle w:val="TextBody"/>
        <w:shd w:fill="FFFFFF" w:val="clear"/>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7373 Gateway Blvd.</w:t>
      </w:r>
    </w:p>
    <w:p>
      <w:pPr>
        <w:pStyle w:val="TextBody"/>
        <w:shd w:fill="FFFFFF" w:val="clear"/>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Newark, CA 94560</w:t>
      </w:r>
    </w:p>
    <w:p>
      <w:pPr>
        <w:pStyle w:val="TextBody"/>
        <w:shd w:fill="FFFFFF" w:val="clear"/>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(510) 648-3553</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and telephone number, including area code, of agent for service)</w:t>
      </w:r>
    </w:p>
    <w:p>
      <w:pPr>
        <w:pStyle w:val="TextBody"/>
        <w:spacing w:before="60" w:after="60"/>
        <w:ind w:left="0" w:right="0" w:hanging="0"/>
        <w:jc w:val="center"/>
        <w:rPr>
          <w:bdr w:val="single" w:sz="8" w:space="1" w:color="000000"/>
        </w:rPr>
      </w:pPr>
      <w:r>
        <w:rPr>
          <w:bdr w:val="single" w:sz="8" w:space="1" w:color="000000"/>
        </w:rPr>
        <w:t> </w:t>
      </w:r>
    </w:p>
    <w:p>
      <w:pPr>
        <w:pStyle w:val="TextBody"/>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With a copy to:</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Emily Roberts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Davis Polk &amp; Wardwell LLP</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1600 El Camino Real</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Menlo Park, CA 94025</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(650) 752-2000</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Jonathan Butler</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Counsel and Secretary</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Lucid Group, Inc.</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7373 Gateway Blvd.</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Newark, CA 94560</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(510) 648-3553</w:t>
      </w:r>
    </w:p>
    <w:p>
      <w:pPr>
        <w:pStyle w:val="TextBody"/>
        <w:spacing w:before="0" w:after="0"/>
        <w:ind w:left="0" w:right="0" w:hanging="0"/>
        <w:jc w:val="center"/>
        <w:rPr>
          <w:caps w:val="false"/>
          <w:smallCaps w:val="false"/>
        </w:rPr>
      </w:pPr>
      <w:r>
        <w:rPr>
          <w:caps w:val="false"/>
          <w:smallCaps w:val="false"/>
        </w:rPr>
        <w:t> </w:t>
      </w:r>
    </w:p>
    <w:p>
      <w:pPr>
        <w:pStyle w:val="TextBody"/>
        <w:spacing w:before="0" w:after="0"/>
        <w:jc w:val="center"/>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pacing w:before="0" w:after="0"/>
        <w:ind w:left="0" w:right="0" w:hanging="0"/>
        <w:jc w:val="both"/>
        <w:rPr>
          <w:caps w:val="false"/>
          <w:smallCaps w:val="false"/>
        </w:rPr>
      </w:pPr>
      <w:r>
        <w:rPr>
          <w:caps w:val="false"/>
          <w:smallCaps w:val="false"/>
        </w:rPr>
        <w:t> </w:t>
      </w:r>
    </w:p>
    <w:tbl>
      <w:tblPr>
        <w:tblW w:w="8680" w:type="dxa"/>
        <w:jc w:val="left"/>
        <w:tblInd w:w="0" w:type="dxa"/>
        <w:tblCellMar>
          <w:top w:w="0" w:type="dxa"/>
          <w:left w:w="0" w:type="dxa"/>
          <w:bottom w:w="0" w:type="dxa"/>
          <w:right w:w="0" w:type="dxa"/>
        </w:tblCellMar>
      </w:tblPr>
      <w:tblGrid>
        <w:gridCol w:w="6065"/>
        <w:gridCol w:w="2615"/>
      </w:tblGrid>
      <w:tr>
        <w:trPr/>
        <w:tc>
          <w:tcPr>
            <w:tcW w:w="6065" w:type="dxa"/>
            <w:tcBorders/>
            <w:shd w:fill="auto" w:val="clear"/>
            <w:vAlign w:val="center"/>
          </w:tcPr>
          <w:p>
            <w:pPr>
              <w:pStyle w:val="TableContents"/>
              <w:spacing w:before="0" w:after="283"/>
              <w:rPr>
                <w:b/>
                <w:sz w:val="20"/>
              </w:rPr>
            </w:pPr>
            <w:r>
              <w:rPr>
                <w:b/>
                <w:sz w:val="20"/>
              </w:rPr>
              <w:t>Large accelerated filer ☐</w:t>
            </w:r>
          </w:p>
        </w:tc>
        <w:tc>
          <w:tcPr>
            <w:tcW w:w="2615" w:type="dxa"/>
            <w:tcBorders/>
            <w:shd w:fill="auto" w:val="clear"/>
            <w:vAlign w:val="center"/>
          </w:tcPr>
          <w:p>
            <w:pPr>
              <w:pStyle w:val="TableContents"/>
              <w:spacing w:before="0" w:after="283"/>
              <w:rPr>
                <w:b/>
                <w:sz w:val="20"/>
              </w:rPr>
            </w:pPr>
            <w:r>
              <w:rPr>
                <w:b/>
                <w:sz w:val="20"/>
              </w:rPr>
              <w:t>Accelerated filer ☐</w:t>
            </w:r>
          </w:p>
        </w:tc>
      </w:tr>
      <w:tr>
        <w:trPr/>
        <w:tc>
          <w:tcPr>
            <w:tcW w:w="6065" w:type="dxa"/>
            <w:tcBorders/>
            <w:shd w:fill="auto" w:val="clear"/>
            <w:vAlign w:val="center"/>
          </w:tcPr>
          <w:p>
            <w:pPr>
              <w:pStyle w:val="TableContents"/>
              <w:spacing w:before="0" w:after="283"/>
              <w:rPr/>
            </w:pPr>
            <w:r>
              <w:rPr/>
              <w:t> </w:t>
            </w:r>
          </w:p>
        </w:tc>
        <w:tc>
          <w:tcPr>
            <w:tcW w:w="2615" w:type="dxa"/>
            <w:tcBorders/>
            <w:shd w:fill="auto" w:val="clear"/>
            <w:vAlign w:val="center"/>
          </w:tcPr>
          <w:p>
            <w:pPr>
              <w:pStyle w:val="TableContents"/>
              <w:spacing w:before="0" w:after="283"/>
              <w:rPr/>
            </w:pPr>
            <w:r>
              <w:rPr/>
              <w:t> </w:t>
            </w:r>
          </w:p>
        </w:tc>
      </w:tr>
      <w:tr>
        <w:trPr/>
        <w:tc>
          <w:tcPr>
            <w:tcW w:w="6065" w:type="dxa"/>
            <w:tcBorders/>
            <w:shd w:fill="auto" w:val="clear"/>
            <w:vAlign w:val="center"/>
          </w:tcPr>
          <w:p>
            <w:pPr>
              <w:pStyle w:val="TableContents"/>
              <w:spacing w:before="0" w:after="283"/>
              <w:rPr>
                <w:b/>
                <w:sz w:val="20"/>
              </w:rPr>
            </w:pPr>
            <w:r>
              <w:rPr>
                <w:b/>
                <w:sz w:val="20"/>
              </w:rPr>
              <w:t xml:space="preserve">Non-accelerated filer  ☒ (Do not check if a smaller reporting company) </w:t>
            </w:r>
          </w:p>
        </w:tc>
        <w:tc>
          <w:tcPr>
            <w:tcW w:w="2615" w:type="dxa"/>
            <w:tcBorders/>
            <w:shd w:fill="auto" w:val="clear"/>
            <w:vAlign w:val="center"/>
          </w:tcPr>
          <w:p>
            <w:pPr>
              <w:pStyle w:val="TableContents"/>
              <w:spacing w:before="0" w:after="283"/>
              <w:rPr>
                <w:b/>
                <w:sz w:val="20"/>
              </w:rPr>
            </w:pPr>
            <w:r>
              <w:rPr>
                <w:b/>
                <w:sz w:val="20"/>
              </w:rPr>
              <w:t>Smaller reporting company ☐</w:t>
            </w:r>
          </w:p>
        </w:tc>
      </w:tr>
      <w:tr>
        <w:trPr/>
        <w:tc>
          <w:tcPr>
            <w:tcW w:w="6065" w:type="dxa"/>
            <w:tcBorders/>
            <w:shd w:fill="auto" w:val="clear"/>
            <w:vAlign w:val="center"/>
          </w:tcPr>
          <w:p>
            <w:pPr>
              <w:pStyle w:val="TableContents"/>
              <w:spacing w:before="0" w:after="283"/>
              <w:rPr/>
            </w:pPr>
            <w:r>
              <w:rPr/>
              <w:t> </w:t>
            </w:r>
          </w:p>
        </w:tc>
        <w:tc>
          <w:tcPr>
            <w:tcW w:w="2615" w:type="dxa"/>
            <w:tcBorders/>
            <w:shd w:fill="auto" w:val="clear"/>
            <w:vAlign w:val="center"/>
          </w:tcPr>
          <w:p>
            <w:pPr>
              <w:pStyle w:val="TableContents"/>
              <w:spacing w:before="0" w:after="283"/>
              <w:rPr/>
            </w:pPr>
            <w:r>
              <w:rPr/>
              <w:t> </w:t>
            </w:r>
          </w:p>
        </w:tc>
      </w:tr>
      <w:tr>
        <w:trPr/>
        <w:tc>
          <w:tcPr>
            <w:tcW w:w="6065" w:type="dxa"/>
            <w:tcBorders/>
            <w:shd w:fill="auto" w:val="clear"/>
            <w:vAlign w:val="center"/>
          </w:tcPr>
          <w:p>
            <w:pPr>
              <w:pStyle w:val="TableContents"/>
              <w:spacing w:before="0" w:after="283"/>
              <w:rPr/>
            </w:pPr>
            <w:r>
              <w:rPr/>
              <w:t> </w:t>
            </w:r>
          </w:p>
        </w:tc>
        <w:tc>
          <w:tcPr>
            <w:tcW w:w="2615" w:type="dxa"/>
            <w:tcBorders/>
            <w:shd w:fill="auto" w:val="clear"/>
            <w:vAlign w:val="center"/>
          </w:tcPr>
          <w:p>
            <w:pPr>
              <w:pStyle w:val="TableContents"/>
              <w:spacing w:before="0" w:after="283"/>
              <w:rPr>
                <w:b/>
                <w:sz w:val="20"/>
              </w:rPr>
            </w:pPr>
            <w:r>
              <w:rPr>
                <w:b/>
                <w:sz w:val="20"/>
              </w:rPr>
              <w:t>Emerging growth company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4198"/>
        <w:gridCol w:w="1314"/>
        <w:gridCol w:w="1575"/>
        <w:gridCol w:w="1984"/>
        <w:gridCol w:w="1134"/>
      </w:tblGrid>
      <w:tr>
        <w:trPr/>
        <w:tc>
          <w:tcPr>
            <w:tcW w:w="10205" w:type="dxa"/>
            <w:gridSpan w:val="5"/>
            <w:tcBorders>
              <w:bottom w:val="double" w:sz="4" w:space="0" w:color="000000"/>
            </w:tcBorders>
            <w:shd w:fill="auto" w:val="clear"/>
            <w:vAlign w:val="center"/>
          </w:tcPr>
          <w:p>
            <w:pPr>
              <w:pStyle w:val="TableContents"/>
              <w:spacing w:before="0" w:after="283"/>
              <w:jc w:val="center"/>
              <w:rPr>
                <w:b/>
                <w:sz w:val="20"/>
              </w:rPr>
            </w:pPr>
            <w:r>
              <w:rPr>
                <w:b/>
                <w:sz w:val="20"/>
              </w:rPr>
              <w:t>CALCULATION OF REGISTRATION FEE</w:t>
            </w:r>
          </w:p>
        </w:tc>
      </w:tr>
      <w:tr>
        <w:trPr/>
        <w:tc>
          <w:tcPr>
            <w:tcW w:w="4198" w:type="dxa"/>
            <w:tcBorders>
              <w:bottom w:val="single" w:sz="8" w:space="0" w:color="000000"/>
              <w:right w:val="single" w:sz="8" w:space="0" w:color="000000"/>
            </w:tcBorders>
            <w:shd w:fill="auto" w:val="clear"/>
            <w:tcMar>
              <w:right w:w="60" w:type="dxa"/>
            </w:tcMar>
            <w:vAlign w:val="center"/>
          </w:tcPr>
          <w:p>
            <w:pPr>
              <w:pStyle w:val="TableContents"/>
              <w:spacing w:before="0" w:after="283"/>
              <w:jc w:val="center"/>
              <w:rPr>
                <w:b/>
                <w:sz w:val="20"/>
              </w:rPr>
            </w:pPr>
            <w:r>
              <w:rPr>
                <w:b/>
                <w:sz w:val="20"/>
              </w:rPr>
              <w:t>Title of Securities to be Registered</w:t>
            </w:r>
          </w:p>
        </w:tc>
        <w:tc>
          <w:tcPr>
            <w:tcW w:w="1314" w:type="dxa"/>
            <w:tcBorders>
              <w:bottom w:val="single" w:sz="8" w:space="0" w:color="000000"/>
              <w:right w:val="single" w:sz="8" w:space="0" w:color="000000"/>
            </w:tcBorders>
            <w:shd w:fill="auto" w:val="clear"/>
            <w:tcMar>
              <w:right w:w="60" w:type="dxa"/>
            </w:tcMar>
            <w:vAlign w:val="center"/>
          </w:tcPr>
          <w:p>
            <w:pPr>
              <w:pStyle w:val="TableContents"/>
              <w:spacing w:before="0" w:after="283"/>
              <w:jc w:val="center"/>
              <w:rPr>
                <w:b/>
                <w:sz w:val="20"/>
              </w:rPr>
            </w:pPr>
            <w:r>
              <w:rPr>
                <w:b/>
                <w:sz w:val="20"/>
              </w:rPr>
              <w:t>Amount to be Registered (1)</w:t>
            </w:r>
          </w:p>
        </w:tc>
        <w:tc>
          <w:tcPr>
            <w:tcW w:w="1575" w:type="dxa"/>
            <w:tcBorders>
              <w:bottom w:val="single" w:sz="8" w:space="0" w:color="000000"/>
              <w:right w:val="single" w:sz="8" w:space="0" w:color="000000"/>
            </w:tcBorders>
            <w:shd w:fill="auto" w:val="clear"/>
            <w:tcMar>
              <w:right w:w="60" w:type="dxa"/>
            </w:tcMar>
            <w:vAlign w:val="center"/>
          </w:tcPr>
          <w:p>
            <w:pPr>
              <w:pStyle w:val="TableContents"/>
              <w:spacing w:before="0" w:after="283"/>
              <w:jc w:val="center"/>
              <w:rPr>
                <w:b/>
                <w:sz w:val="20"/>
              </w:rPr>
            </w:pPr>
            <w:r>
              <w:rPr>
                <w:b/>
                <w:sz w:val="20"/>
              </w:rPr>
              <w:t>Proposed Maximum Offering Price per Share</w:t>
            </w:r>
          </w:p>
        </w:tc>
        <w:tc>
          <w:tcPr>
            <w:tcW w:w="1984" w:type="dxa"/>
            <w:tcBorders>
              <w:bottom w:val="single" w:sz="8" w:space="0" w:color="000000"/>
              <w:right w:val="single" w:sz="8" w:space="0" w:color="000000"/>
            </w:tcBorders>
            <w:shd w:fill="auto" w:val="clear"/>
            <w:tcMar>
              <w:right w:w="60" w:type="dxa"/>
            </w:tcMar>
            <w:vAlign w:val="center"/>
          </w:tcPr>
          <w:p>
            <w:pPr>
              <w:pStyle w:val="TableContents"/>
              <w:spacing w:before="0" w:after="283"/>
              <w:jc w:val="center"/>
              <w:rPr>
                <w:b/>
                <w:sz w:val="20"/>
              </w:rPr>
            </w:pPr>
            <w:r>
              <w:rPr>
                <w:b/>
                <w:sz w:val="20"/>
              </w:rPr>
              <w:t>Proposed Maximum Aggregate Offering Price</w:t>
            </w:r>
          </w:p>
        </w:tc>
        <w:tc>
          <w:tcPr>
            <w:tcW w:w="1134" w:type="dxa"/>
            <w:tcBorders>
              <w:bottom w:val="single" w:sz="8" w:space="0" w:color="000000"/>
            </w:tcBorders>
            <w:shd w:fill="auto" w:val="clear"/>
            <w:vAlign w:val="center"/>
          </w:tcPr>
          <w:p>
            <w:pPr>
              <w:pStyle w:val="TableContents"/>
              <w:spacing w:before="0" w:after="283"/>
              <w:ind w:left="0" w:right="0" w:hanging="200"/>
              <w:jc w:val="center"/>
              <w:rPr>
                <w:b/>
                <w:sz w:val="20"/>
              </w:rPr>
            </w:pPr>
            <w:r>
              <w:rPr>
                <w:b/>
                <w:sz w:val="20"/>
              </w:rPr>
              <w:t xml:space="preserve">Amount of </w:t>
              <w:br/>
              <w:t>Registration Fee (2)</w:t>
            </w:r>
          </w:p>
        </w:tc>
      </w:tr>
      <w:tr>
        <w:trPr/>
        <w:tc>
          <w:tcPr>
            <w:tcW w:w="4198" w:type="dxa"/>
            <w:tcBorders>
              <w:bottom w:val="single" w:sz="8" w:space="0" w:color="000000"/>
              <w:right w:val="single" w:sz="8" w:space="0" w:color="000000"/>
            </w:tcBorders>
            <w:shd w:fill="auto" w:val="clear"/>
            <w:tcMar>
              <w:right w:w="60" w:type="dxa"/>
            </w:tcMar>
            <w:vAlign w:val="center"/>
          </w:tcPr>
          <w:p>
            <w:pPr>
              <w:pStyle w:val="TableContents"/>
              <w:spacing w:before="0" w:after="283"/>
              <w:rPr>
                <w:sz w:val="20"/>
              </w:rPr>
            </w:pPr>
            <w:r>
              <w:rPr>
                <w:sz w:val="20"/>
              </w:rPr>
              <w:t xml:space="preserve">Class A Common Stock, $0.0001 par value per share (“Common Stock”), which consist of Common Stock outstanding and/or reserved for future issuance pursuant to the following Plans: </w:t>
            </w:r>
          </w:p>
        </w:tc>
        <w:tc>
          <w:tcPr>
            <w:tcW w:w="1314" w:type="dxa"/>
            <w:tcBorders>
              <w:bottom w:val="single" w:sz="8" w:space="0" w:color="000000"/>
              <w:right w:val="single" w:sz="8" w:space="0" w:color="000000"/>
            </w:tcBorders>
            <w:shd w:fill="auto" w:val="clear"/>
            <w:tcMar>
              <w:right w:w="60" w:type="dxa"/>
            </w:tcMar>
            <w:vAlign w:val="center"/>
          </w:tcPr>
          <w:p>
            <w:pPr>
              <w:pStyle w:val="TableContents"/>
              <w:spacing w:before="0" w:after="283"/>
              <w:rPr/>
            </w:pPr>
            <w:r>
              <w:rPr/>
              <w:t> </w:t>
            </w:r>
          </w:p>
        </w:tc>
        <w:tc>
          <w:tcPr>
            <w:tcW w:w="1575" w:type="dxa"/>
            <w:tcBorders>
              <w:bottom w:val="single" w:sz="8" w:space="0" w:color="000000"/>
              <w:right w:val="single" w:sz="8" w:space="0" w:color="000000"/>
            </w:tcBorders>
            <w:shd w:fill="auto" w:val="clear"/>
            <w:tcMar>
              <w:right w:w="60" w:type="dxa"/>
            </w:tcMar>
            <w:vAlign w:val="center"/>
          </w:tcPr>
          <w:p>
            <w:pPr>
              <w:pStyle w:val="TableContents"/>
              <w:spacing w:before="0" w:after="283"/>
              <w:jc w:val="center"/>
              <w:rPr/>
            </w:pPr>
            <w:r>
              <w:rPr/>
              <w:t> </w:t>
            </w:r>
          </w:p>
        </w:tc>
        <w:tc>
          <w:tcPr>
            <w:tcW w:w="1984" w:type="dxa"/>
            <w:tcBorders>
              <w:bottom w:val="single" w:sz="8" w:space="0" w:color="000000"/>
              <w:right w:val="single" w:sz="8" w:space="0" w:color="000000"/>
            </w:tcBorders>
            <w:shd w:fill="auto" w:val="clear"/>
            <w:tcMar>
              <w:right w:w="60" w:type="dxa"/>
            </w:tcMar>
            <w:vAlign w:val="center"/>
          </w:tcPr>
          <w:p>
            <w:pPr>
              <w:pStyle w:val="TableContents"/>
              <w:spacing w:before="0" w:after="283"/>
              <w:jc w:val="right"/>
              <w:rPr/>
            </w:pPr>
            <w:r>
              <w:rPr/>
              <w:t> </w:t>
            </w:r>
          </w:p>
        </w:tc>
        <w:tc>
          <w:tcPr>
            <w:tcW w:w="1134" w:type="dxa"/>
            <w:tcBorders>
              <w:bottom w:val="single" w:sz="8" w:space="0" w:color="000000"/>
            </w:tcBorders>
            <w:shd w:fill="auto" w:val="clear"/>
            <w:vAlign w:val="center"/>
          </w:tcPr>
          <w:p>
            <w:pPr>
              <w:pStyle w:val="TableContents"/>
              <w:spacing w:before="0" w:after="283"/>
              <w:ind w:left="0" w:right="0" w:hanging="200"/>
              <w:jc w:val="right"/>
              <w:rPr/>
            </w:pPr>
            <w:r>
              <w:rPr/>
              <w:t> </w:t>
            </w:r>
          </w:p>
        </w:tc>
      </w:tr>
      <w:tr>
        <w:trPr/>
        <w:tc>
          <w:tcPr>
            <w:tcW w:w="4198" w:type="dxa"/>
            <w:tcBorders>
              <w:bottom w:val="single" w:sz="8" w:space="0" w:color="000000"/>
              <w:right w:val="single" w:sz="8" w:space="0" w:color="000000"/>
            </w:tcBorders>
            <w:shd w:fill="auto" w:val="clear"/>
            <w:tcMar>
              <w:right w:w="60" w:type="dxa"/>
            </w:tcMar>
            <w:vAlign w:val="center"/>
          </w:tcPr>
          <w:p>
            <w:pPr>
              <w:pStyle w:val="TableContents"/>
              <w:spacing w:before="0" w:after="283"/>
              <w:rPr/>
            </w:pPr>
            <w:r>
              <w:rPr/>
              <w:t> </w:t>
            </w:r>
          </w:p>
        </w:tc>
        <w:tc>
          <w:tcPr>
            <w:tcW w:w="1314" w:type="dxa"/>
            <w:tcBorders>
              <w:bottom w:val="single" w:sz="8" w:space="0" w:color="000000"/>
              <w:right w:val="single" w:sz="8" w:space="0" w:color="000000"/>
            </w:tcBorders>
            <w:shd w:fill="auto" w:val="clear"/>
            <w:tcMar>
              <w:right w:w="60" w:type="dxa"/>
            </w:tcMar>
            <w:vAlign w:val="center"/>
          </w:tcPr>
          <w:p>
            <w:pPr>
              <w:pStyle w:val="TableContents"/>
              <w:spacing w:before="0" w:after="283"/>
              <w:rPr/>
            </w:pPr>
            <w:r>
              <w:rPr/>
              <w:t> </w:t>
            </w:r>
          </w:p>
        </w:tc>
        <w:tc>
          <w:tcPr>
            <w:tcW w:w="1575" w:type="dxa"/>
            <w:tcBorders>
              <w:bottom w:val="single" w:sz="8" w:space="0" w:color="000000"/>
              <w:right w:val="single" w:sz="8" w:space="0" w:color="000000"/>
            </w:tcBorders>
            <w:shd w:fill="auto" w:val="clear"/>
            <w:tcMar>
              <w:right w:w="60" w:type="dxa"/>
            </w:tcMar>
            <w:vAlign w:val="center"/>
          </w:tcPr>
          <w:p>
            <w:pPr>
              <w:pStyle w:val="TableContents"/>
              <w:spacing w:before="0" w:after="283"/>
              <w:jc w:val="center"/>
              <w:rPr/>
            </w:pPr>
            <w:r>
              <w:rPr/>
              <w:t> </w:t>
            </w:r>
          </w:p>
        </w:tc>
        <w:tc>
          <w:tcPr>
            <w:tcW w:w="1984" w:type="dxa"/>
            <w:tcBorders>
              <w:bottom w:val="single" w:sz="8" w:space="0" w:color="000000"/>
              <w:right w:val="single" w:sz="8" w:space="0" w:color="000000"/>
            </w:tcBorders>
            <w:shd w:fill="auto" w:val="clear"/>
            <w:tcMar>
              <w:right w:w="60" w:type="dxa"/>
            </w:tcMar>
            <w:vAlign w:val="center"/>
          </w:tcPr>
          <w:p>
            <w:pPr>
              <w:pStyle w:val="TableContents"/>
              <w:spacing w:before="0" w:after="283"/>
              <w:jc w:val="right"/>
              <w:rPr/>
            </w:pPr>
            <w:r>
              <w:rPr/>
              <w:t> </w:t>
            </w:r>
          </w:p>
        </w:tc>
        <w:tc>
          <w:tcPr>
            <w:tcW w:w="1134" w:type="dxa"/>
            <w:tcBorders>
              <w:bottom w:val="single" w:sz="8" w:space="0" w:color="000000"/>
            </w:tcBorders>
            <w:shd w:fill="auto" w:val="clear"/>
            <w:vAlign w:val="center"/>
          </w:tcPr>
          <w:p>
            <w:pPr>
              <w:pStyle w:val="TableContents"/>
              <w:spacing w:before="0" w:after="283"/>
              <w:jc w:val="right"/>
              <w:rPr/>
            </w:pPr>
            <w:r>
              <w:rPr/>
              <w:t> </w:t>
            </w:r>
          </w:p>
        </w:tc>
      </w:tr>
      <w:tr>
        <w:trPr/>
        <w:tc>
          <w:tcPr>
            <w:tcW w:w="4198" w:type="dxa"/>
            <w:tcBorders>
              <w:bottom w:val="single" w:sz="8" w:space="0" w:color="000000"/>
              <w:right w:val="single" w:sz="8" w:space="0" w:color="000000"/>
            </w:tcBorders>
            <w:shd w:fill="auto" w:val="clear"/>
            <w:tcMar>
              <w:right w:w="60" w:type="dxa"/>
            </w:tcMar>
            <w:vAlign w:val="center"/>
          </w:tcPr>
          <w:p>
            <w:pPr>
              <w:pStyle w:val="TableContents"/>
              <w:spacing w:before="0" w:after="283"/>
              <w:rPr>
                <w:sz w:val="20"/>
              </w:rPr>
            </w:pPr>
            <w:r>
              <w:rPr>
                <w:sz w:val="20"/>
              </w:rPr>
              <w:t>Atieva, Inc. 2009 Share Plan</w:t>
            </w:r>
          </w:p>
        </w:tc>
        <w:tc>
          <w:tcPr>
            <w:tcW w:w="1314" w:type="dxa"/>
            <w:tcBorders>
              <w:bottom w:val="single" w:sz="8" w:space="0" w:color="000000"/>
              <w:right w:val="single" w:sz="8" w:space="0" w:color="000000"/>
            </w:tcBorders>
            <w:shd w:fill="auto" w:val="clear"/>
            <w:tcMar>
              <w:right w:w="60" w:type="dxa"/>
            </w:tcMar>
            <w:vAlign w:val="center"/>
          </w:tcPr>
          <w:p>
            <w:pPr>
              <w:pStyle w:val="TableContents"/>
              <w:spacing w:before="0" w:after="283"/>
              <w:rPr>
                <w:sz w:val="20"/>
              </w:rPr>
            </w:pPr>
            <w:r>
              <w:rPr>
                <w:sz w:val="20"/>
              </w:rPr>
              <w:t>539,376(3)</w:t>
            </w:r>
          </w:p>
        </w:tc>
        <w:tc>
          <w:tcPr>
            <w:tcW w:w="1575" w:type="dxa"/>
            <w:tcBorders>
              <w:bottom w:val="single" w:sz="8" w:space="0" w:color="000000"/>
              <w:right w:val="single" w:sz="8" w:space="0" w:color="000000"/>
            </w:tcBorders>
            <w:shd w:fill="auto" w:val="clear"/>
            <w:tcMar>
              <w:right w:w="60" w:type="dxa"/>
            </w:tcMar>
            <w:vAlign w:val="center"/>
          </w:tcPr>
          <w:p>
            <w:pPr>
              <w:pStyle w:val="TableContents"/>
              <w:spacing w:before="0" w:after="283"/>
              <w:jc w:val="center"/>
              <w:rPr>
                <w:sz w:val="20"/>
              </w:rPr>
            </w:pPr>
            <w:r>
              <w:rPr>
                <w:sz w:val="20"/>
              </w:rPr>
              <w:t>$0.19(2)(6)</w:t>
            </w:r>
          </w:p>
        </w:tc>
        <w:tc>
          <w:tcPr>
            <w:tcW w:w="1984" w:type="dxa"/>
            <w:tcBorders>
              <w:bottom w:val="single" w:sz="8" w:space="0" w:color="000000"/>
              <w:right w:val="single" w:sz="8" w:space="0" w:color="000000"/>
            </w:tcBorders>
            <w:shd w:fill="auto" w:val="clear"/>
            <w:tcMar>
              <w:right w:w="60" w:type="dxa"/>
            </w:tcMar>
            <w:vAlign w:val="center"/>
          </w:tcPr>
          <w:p>
            <w:pPr>
              <w:pStyle w:val="TableContents"/>
              <w:spacing w:before="0" w:after="283"/>
              <w:jc w:val="right"/>
              <w:rPr>
                <w:sz w:val="20"/>
              </w:rPr>
            </w:pPr>
            <w:r>
              <w:rPr>
                <w:sz w:val="20"/>
              </w:rPr>
              <w:t>$102,481.44</w:t>
            </w:r>
          </w:p>
        </w:tc>
        <w:tc>
          <w:tcPr>
            <w:tcW w:w="1134" w:type="dxa"/>
            <w:tcBorders>
              <w:bottom w:val="single" w:sz="8" w:space="0" w:color="000000"/>
            </w:tcBorders>
            <w:shd w:fill="auto" w:val="clear"/>
            <w:vAlign w:val="center"/>
          </w:tcPr>
          <w:p>
            <w:pPr>
              <w:pStyle w:val="TableContents"/>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$11.18</w:t>
            </w:r>
          </w:p>
        </w:tc>
      </w:tr>
      <w:tr>
        <w:trPr/>
        <w:tc>
          <w:tcPr>
            <w:tcW w:w="4198" w:type="dxa"/>
            <w:tcBorders>
              <w:bottom w:val="single" w:sz="8" w:space="0" w:color="000000"/>
              <w:right w:val="single" w:sz="8" w:space="0" w:color="000000"/>
            </w:tcBorders>
            <w:shd w:fill="auto" w:val="clear"/>
            <w:tcMar>
              <w:right w:w="60" w:type="dxa"/>
            </w:tcMar>
            <w:vAlign w:val="center"/>
          </w:tcPr>
          <w:p>
            <w:pPr>
              <w:pStyle w:val="TableContents"/>
              <w:spacing w:before="0" w:after="283"/>
              <w:rPr>
                <w:sz w:val="20"/>
              </w:rPr>
            </w:pPr>
            <w:r>
              <w:rPr>
                <w:sz w:val="20"/>
              </w:rPr>
              <w:t>Atieva, Inc. 2014 Share Plan, as amended January 11, 2021</w:t>
            </w:r>
          </w:p>
        </w:tc>
        <w:tc>
          <w:tcPr>
            <w:tcW w:w="1314" w:type="dxa"/>
            <w:tcBorders>
              <w:bottom w:val="single" w:sz="8" w:space="0" w:color="000000"/>
              <w:right w:val="single" w:sz="8" w:space="0" w:color="000000"/>
            </w:tcBorders>
            <w:shd w:fill="auto" w:val="clear"/>
            <w:tcMar>
              <w:right w:w="60" w:type="dxa"/>
            </w:tcMar>
            <w:vAlign w:val="center"/>
          </w:tcPr>
          <w:p>
            <w:pPr>
              <w:pStyle w:val="TableContents"/>
              <w:spacing w:before="0" w:after="283"/>
              <w:rPr>
                <w:sz w:val="20"/>
              </w:rPr>
            </w:pPr>
            <w:r>
              <w:rPr>
                <w:sz w:val="20"/>
              </w:rPr>
              <w:t>65,655,830(4)</w:t>
            </w:r>
          </w:p>
        </w:tc>
        <w:tc>
          <w:tcPr>
            <w:tcW w:w="1575" w:type="dxa"/>
            <w:tcBorders>
              <w:bottom w:val="single" w:sz="8" w:space="0" w:color="000000"/>
              <w:right w:val="single" w:sz="8" w:space="0" w:color="000000"/>
            </w:tcBorders>
            <w:shd w:fill="auto" w:val="clear"/>
            <w:tcMar>
              <w:right w:w="60" w:type="dxa"/>
            </w:tcMar>
            <w:vAlign w:val="center"/>
          </w:tcPr>
          <w:p>
            <w:pPr>
              <w:pStyle w:val="TableContents"/>
              <w:spacing w:before="0" w:after="283"/>
              <w:jc w:val="center"/>
              <w:rPr>
                <w:sz w:val="20"/>
              </w:rPr>
            </w:pPr>
            <w:r>
              <w:rPr>
                <w:sz w:val="20"/>
              </w:rPr>
              <w:t>$0.97(2)(6)</w:t>
            </w:r>
          </w:p>
        </w:tc>
        <w:tc>
          <w:tcPr>
            <w:tcW w:w="1984" w:type="dxa"/>
            <w:tcBorders>
              <w:bottom w:val="single" w:sz="8" w:space="0" w:color="000000"/>
              <w:right w:val="single" w:sz="8" w:space="0" w:color="000000"/>
            </w:tcBorders>
            <w:shd w:fill="auto" w:val="clear"/>
            <w:tcMar>
              <w:right w:w="60" w:type="dxa"/>
            </w:tcMar>
            <w:vAlign w:val="center"/>
          </w:tcPr>
          <w:p>
            <w:pPr>
              <w:pStyle w:val="TableContents"/>
              <w:spacing w:before="0" w:after="283"/>
              <w:jc w:val="right"/>
              <w:rPr>
                <w:sz w:val="20"/>
              </w:rPr>
            </w:pPr>
            <w:r>
              <w:rPr>
                <w:sz w:val="20"/>
              </w:rPr>
              <w:t>$63,686,155.10</w:t>
            </w:r>
          </w:p>
        </w:tc>
        <w:tc>
          <w:tcPr>
            <w:tcW w:w="1134" w:type="dxa"/>
            <w:tcBorders>
              <w:bottom w:val="single" w:sz="8" w:space="0" w:color="000000"/>
            </w:tcBorders>
            <w:shd w:fill="auto" w:val="clear"/>
            <w:vAlign w:val="center"/>
          </w:tcPr>
          <w:p>
            <w:pPr>
              <w:pStyle w:val="TableContents"/>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$6,948.16</w:t>
            </w:r>
          </w:p>
        </w:tc>
      </w:tr>
      <w:tr>
        <w:trPr/>
        <w:tc>
          <w:tcPr>
            <w:tcW w:w="4198" w:type="dxa"/>
            <w:tcBorders>
              <w:bottom w:val="single" w:sz="8" w:space="0" w:color="000000"/>
              <w:right w:val="single" w:sz="8" w:space="0" w:color="000000"/>
            </w:tcBorders>
            <w:shd w:fill="auto" w:val="clear"/>
            <w:tcMar>
              <w:right w:w="60" w:type="dxa"/>
            </w:tcMar>
            <w:vAlign w:val="center"/>
          </w:tcPr>
          <w:p>
            <w:pPr>
              <w:pStyle w:val="TableContents"/>
              <w:spacing w:before="0" w:after="283"/>
              <w:rPr>
                <w:sz w:val="20"/>
              </w:rPr>
            </w:pPr>
            <w:r>
              <w:rPr>
                <w:sz w:val="20"/>
              </w:rPr>
              <w:t>Atieva, Inc. 2021 Stock Incentive Plan, as amended February 22, 2021</w:t>
            </w:r>
          </w:p>
        </w:tc>
        <w:tc>
          <w:tcPr>
            <w:tcW w:w="1314" w:type="dxa"/>
            <w:tcBorders>
              <w:bottom w:val="single" w:sz="8" w:space="0" w:color="000000"/>
              <w:right w:val="single" w:sz="8" w:space="0" w:color="000000"/>
            </w:tcBorders>
            <w:shd w:fill="auto" w:val="clear"/>
            <w:tcMar>
              <w:right w:w="60" w:type="dxa"/>
            </w:tcMar>
            <w:vAlign w:val="center"/>
          </w:tcPr>
          <w:p>
            <w:pPr>
              <w:pStyle w:val="TableContents"/>
              <w:spacing w:before="0" w:after="283"/>
              <w:rPr>
                <w:sz w:val="20"/>
              </w:rPr>
            </w:pPr>
            <w:r>
              <w:rPr>
                <w:sz w:val="20"/>
              </w:rPr>
              <w:t>356,580(5)</w:t>
            </w:r>
          </w:p>
        </w:tc>
        <w:tc>
          <w:tcPr>
            <w:tcW w:w="1575" w:type="dxa"/>
            <w:tcBorders>
              <w:bottom w:val="single" w:sz="8" w:space="0" w:color="000000"/>
              <w:right w:val="single" w:sz="8" w:space="0" w:color="000000"/>
            </w:tcBorders>
            <w:shd w:fill="auto" w:val="clear"/>
            <w:tcMar>
              <w:right w:w="60" w:type="dxa"/>
            </w:tcMar>
            <w:vAlign w:val="center"/>
          </w:tcPr>
          <w:p>
            <w:pPr>
              <w:pStyle w:val="TableContents"/>
              <w:spacing w:before="0" w:after="283"/>
              <w:jc w:val="center"/>
              <w:rPr>
                <w:sz w:val="20"/>
              </w:rPr>
            </w:pPr>
            <w:r>
              <w:rPr>
                <w:sz w:val="20"/>
              </w:rPr>
              <w:t>$23.23(2)(6)</w:t>
            </w:r>
          </w:p>
        </w:tc>
        <w:tc>
          <w:tcPr>
            <w:tcW w:w="1984" w:type="dxa"/>
            <w:tcBorders>
              <w:bottom w:val="single" w:sz="8" w:space="0" w:color="000000"/>
              <w:right w:val="single" w:sz="8" w:space="0" w:color="000000"/>
            </w:tcBorders>
            <w:shd w:fill="auto" w:val="clear"/>
            <w:tcMar>
              <w:right w:w="60" w:type="dxa"/>
            </w:tcMar>
            <w:vAlign w:val="center"/>
          </w:tcPr>
          <w:p>
            <w:pPr>
              <w:pStyle w:val="TableContents"/>
              <w:spacing w:before="0" w:after="283"/>
              <w:jc w:val="right"/>
              <w:rPr/>
            </w:pPr>
            <w:r>
              <w:rPr/>
              <w:t>$8,283,353.40</w:t>
            </w:r>
          </w:p>
        </w:tc>
        <w:tc>
          <w:tcPr>
            <w:tcW w:w="1134" w:type="dxa"/>
            <w:tcBorders>
              <w:bottom w:val="single" w:sz="8" w:space="0" w:color="000000"/>
            </w:tcBorders>
            <w:shd w:fill="auto" w:val="clear"/>
            <w:vAlign w:val="center"/>
          </w:tcPr>
          <w:p>
            <w:pPr>
              <w:pStyle w:val="TableContents"/>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$903.72</w:t>
            </w:r>
          </w:p>
        </w:tc>
      </w:tr>
      <w:tr>
        <w:trPr/>
        <w:tc>
          <w:tcPr>
            <w:tcW w:w="4198" w:type="dxa"/>
            <w:tcBorders>
              <w:bottom w:val="single" w:sz="8" w:space="0" w:color="000000"/>
              <w:right w:val="single" w:sz="8" w:space="0" w:color="000000"/>
            </w:tcBorders>
            <w:shd w:fill="auto" w:val="clear"/>
            <w:tcMar>
              <w:right w:w="60" w:type="dxa"/>
            </w:tcMar>
            <w:vAlign w:val="center"/>
          </w:tcPr>
          <w:p>
            <w:pPr>
              <w:pStyle w:val="TableContents"/>
              <w:spacing w:before="0" w:after="283"/>
              <w:rPr>
                <w:sz w:val="20"/>
              </w:rPr>
            </w:pPr>
            <w:r>
              <w:rPr>
                <w:sz w:val="20"/>
              </w:rPr>
              <w:t>Lucid Group, Inc. 2021 Stock Incentive Plan (7)</w:t>
            </w:r>
          </w:p>
        </w:tc>
        <w:tc>
          <w:tcPr>
            <w:tcW w:w="1314" w:type="dxa"/>
            <w:tcBorders>
              <w:bottom w:val="single" w:sz="8" w:space="0" w:color="000000"/>
              <w:right w:val="single" w:sz="8" w:space="0" w:color="000000"/>
            </w:tcBorders>
            <w:shd w:fill="auto" w:val="clear"/>
            <w:tcMar>
              <w:right w:w="60" w:type="dxa"/>
            </w:tcMar>
            <w:vAlign w:val="center"/>
          </w:tcPr>
          <w:p>
            <w:pPr>
              <w:pStyle w:val="TableContents"/>
              <w:spacing w:before="0" w:after="283"/>
              <w:rPr>
                <w:sz w:val="20"/>
              </w:rPr>
            </w:pPr>
            <w:r>
              <w:rPr>
                <w:sz w:val="20"/>
              </w:rPr>
              <w:t>23,794,253</w:t>
            </w:r>
          </w:p>
        </w:tc>
        <w:tc>
          <w:tcPr>
            <w:tcW w:w="1575" w:type="dxa"/>
            <w:tcBorders>
              <w:bottom w:val="single" w:sz="8" w:space="0" w:color="000000"/>
              <w:right w:val="single" w:sz="8" w:space="0" w:color="000000"/>
            </w:tcBorders>
            <w:shd w:fill="auto" w:val="clear"/>
            <w:tcMar>
              <w:right w:w="60" w:type="dxa"/>
            </w:tcMar>
            <w:vAlign w:val="center"/>
          </w:tcPr>
          <w:p>
            <w:pPr>
              <w:pStyle w:val="TableContents"/>
              <w:spacing w:before="0" w:after="283"/>
              <w:jc w:val="center"/>
              <w:rPr>
                <w:sz w:val="20"/>
              </w:rPr>
            </w:pPr>
            <w:r>
              <w:rPr>
                <w:sz w:val="20"/>
              </w:rPr>
              <w:t>$22.71(2)(8)</w:t>
            </w:r>
          </w:p>
        </w:tc>
        <w:tc>
          <w:tcPr>
            <w:tcW w:w="1984" w:type="dxa"/>
            <w:tcBorders>
              <w:bottom w:val="single" w:sz="8" w:space="0" w:color="000000"/>
              <w:right w:val="single" w:sz="8" w:space="0" w:color="000000"/>
            </w:tcBorders>
            <w:shd w:fill="auto" w:val="clear"/>
            <w:tcMar>
              <w:right w:w="60" w:type="dxa"/>
            </w:tcMar>
            <w:vAlign w:val="center"/>
          </w:tcPr>
          <w:p>
            <w:pPr>
              <w:pStyle w:val="TableContents"/>
              <w:spacing w:before="0" w:after="283"/>
              <w:jc w:val="right"/>
              <w:rPr>
                <w:sz w:val="20"/>
              </w:rPr>
            </w:pPr>
            <w:r>
              <w:rPr>
                <w:sz w:val="20"/>
              </w:rPr>
              <w:t>$540,367,485.63</w:t>
            </w:r>
          </w:p>
        </w:tc>
        <w:tc>
          <w:tcPr>
            <w:tcW w:w="1134" w:type="dxa"/>
            <w:tcBorders>
              <w:bottom w:val="single" w:sz="8" w:space="0" w:color="000000"/>
            </w:tcBorders>
            <w:shd w:fill="auto" w:val="clear"/>
            <w:vAlign w:val="center"/>
          </w:tcPr>
          <w:p>
            <w:pPr>
              <w:pStyle w:val="TableContents"/>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$58,954.10</w:t>
            </w:r>
          </w:p>
        </w:tc>
      </w:tr>
      <w:tr>
        <w:trPr/>
        <w:tc>
          <w:tcPr>
            <w:tcW w:w="4198" w:type="dxa"/>
            <w:tcBorders>
              <w:bottom w:val="single" w:sz="8" w:space="0" w:color="000000"/>
              <w:right w:val="single" w:sz="8" w:space="0" w:color="000000"/>
            </w:tcBorders>
            <w:shd w:fill="auto" w:val="clear"/>
            <w:tcMar>
              <w:right w:w="60" w:type="dxa"/>
            </w:tcMar>
            <w:vAlign w:val="center"/>
          </w:tcPr>
          <w:p>
            <w:pPr>
              <w:pStyle w:val="TableContents"/>
              <w:spacing w:before="0" w:after="283"/>
              <w:rPr/>
            </w:pPr>
            <w:r>
              <w:rPr/>
              <w:t> </w:t>
            </w:r>
          </w:p>
        </w:tc>
        <w:tc>
          <w:tcPr>
            <w:tcW w:w="1314" w:type="dxa"/>
            <w:tcBorders>
              <w:bottom w:val="single" w:sz="8" w:space="0" w:color="000000"/>
              <w:right w:val="single" w:sz="8" w:space="0" w:color="000000"/>
            </w:tcBorders>
            <w:shd w:fill="auto" w:val="clear"/>
            <w:tcMar>
              <w:right w:w="60" w:type="dxa"/>
            </w:tcMar>
            <w:vAlign w:val="center"/>
          </w:tcPr>
          <w:p>
            <w:pPr>
              <w:pStyle w:val="TableContents"/>
              <w:spacing w:before="0" w:after="283"/>
              <w:rPr/>
            </w:pPr>
            <w:r>
              <w:rPr/>
              <w:t> </w:t>
            </w:r>
          </w:p>
        </w:tc>
        <w:tc>
          <w:tcPr>
            <w:tcW w:w="1575" w:type="dxa"/>
            <w:tcBorders>
              <w:bottom w:val="single" w:sz="8" w:space="0" w:color="000000"/>
              <w:right w:val="single" w:sz="8" w:space="0" w:color="000000"/>
            </w:tcBorders>
            <w:shd w:fill="auto" w:val="clear"/>
            <w:tcMar>
              <w:right w:w="60" w:type="dxa"/>
            </w:tcMar>
            <w:vAlign w:val="center"/>
          </w:tcPr>
          <w:p>
            <w:pPr>
              <w:pStyle w:val="TableContents"/>
              <w:spacing w:before="0" w:after="283"/>
              <w:jc w:val="center"/>
              <w:rPr/>
            </w:pPr>
            <w:r>
              <w:rPr/>
              <w:t> </w:t>
            </w:r>
          </w:p>
        </w:tc>
        <w:tc>
          <w:tcPr>
            <w:tcW w:w="1984" w:type="dxa"/>
            <w:tcBorders>
              <w:bottom w:val="single" w:sz="8" w:space="0" w:color="000000"/>
              <w:right w:val="single" w:sz="8" w:space="0" w:color="000000"/>
            </w:tcBorders>
            <w:shd w:fill="auto" w:val="clear"/>
            <w:tcMar>
              <w:right w:w="60" w:type="dxa"/>
            </w:tcMar>
            <w:vAlign w:val="center"/>
          </w:tcPr>
          <w:p>
            <w:pPr>
              <w:pStyle w:val="TableContents"/>
              <w:spacing w:before="0" w:after="283"/>
              <w:jc w:val="right"/>
              <w:rPr/>
            </w:pPr>
            <w:r>
              <w:rPr/>
              <w:t> </w:t>
            </w:r>
          </w:p>
        </w:tc>
        <w:tc>
          <w:tcPr>
            <w:tcW w:w="1134" w:type="dxa"/>
            <w:tcBorders>
              <w:bottom w:val="single" w:sz="8" w:space="0" w:color="000000"/>
            </w:tcBorders>
            <w:shd w:fill="auto" w:val="clear"/>
            <w:vAlign w:val="center"/>
          </w:tcPr>
          <w:p>
            <w:pPr>
              <w:pStyle w:val="TableContents"/>
              <w:spacing w:before="0" w:after="283"/>
              <w:jc w:val="right"/>
              <w:rPr/>
            </w:pPr>
            <w:r>
              <w:rPr/>
              <w:t> </w:t>
            </w:r>
          </w:p>
        </w:tc>
      </w:tr>
      <w:tr>
        <w:trPr/>
        <w:tc>
          <w:tcPr>
            <w:tcW w:w="4198" w:type="dxa"/>
            <w:tcBorders>
              <w:bottom w:val="single" w:sz="8" w:space="0" w:color="000000"/>
              <w:right w:val="single" w:sz="8" w:space="0" w:color="000000"/>
            </w:tcBorders>
            <w:shd w:fill="auto" w:val="clear"/>
            <w:tcMar>
              <w:right w:w="60" w:type="dxa"/>
            </w:tcMar>
            <w:vAlign w:val="center"/>
          </w:tcPr>
          <w:p>
            <w:pPr>
              <w:pStyle w:val="TableContents"/>
              <w:spacing w:before="0" w:after="283"/>
              <w:rPr>
                <w:sz w:val="20"/>
              </w:rPr>
            </w:pPr>
            <w:r>
              <w:rPr>
                <w:b/>
                <w:sz w:val="20"/>
              </w:rPr>
              <w:t>Total</w:t>
            </w:r>
            <w:r>
              <w:rPr>
                <w:sz w:val="20"/>
              </w:rPr>
              <w:t>:</w:t>
            </w:r>
          </w:p>
        </w:tc>
        <w:tc>
          <w:tcPr>
            <w:tcW w:w="1314" w:type="dxa"/>
            <w:tcBorders>
              <w:bottom w:val="single" w:sz="8" w:space="0" w:color="000000"/>
              <w:right w:val="single" w:sz="8" w:space="0" w:color="000000"/>
            </w:tcBorders>
            <w:shd w:fill="auto" w:val="clear"/>
            <w:tcMar>
              <w:right w:w="60" w:type="dxa"/>
            </w:tcMar>
            <w:vAlign w:val="center"/>
          </w:tcPr>
          <w:p>
            <w:pPr>
              <w:pStyle w:val="TableContents"/>
              <w:spacing w:before="0" w:after="283"/>
              <w:rPr>
                <w:sz w:val="20"/>
              </w:rPr>
            </w:pPr>
            <w:r>
              <w:rPr>
                <w:sz w:val="20"/>
              </w:rPr>
              <w:t>90,346,039</w:t>
            </w:r>
          </w:p>
        </w:tc>
        <w:tc>
          <w:tcPr>
            <w:tcW w:w="1575" w:type="dxa"/>
            <w:tcBorders>
              <w:bottom w:val="single" w:sz="8" w:space="0" w:color="000000"/>
              <w:right w:val="single" w:sz="8" w:space="0" w:color="000000"/>
            </w:tcBorders>
            <w:shd w:fill="auto" w:val="clear"/>
            <w:tcMar>
              <w:right w:w="60" w:type="dxa"/>
            </w:tcMar>
            <w:vAlign w:val="center"/>
          </w:tcPr>
          <w:p>
            <w:pPr>
              <w:pStyle w:val="TableContents"/>
              <w:spacing w:before="0" w:after="283"/>
              <w:jc w:val="center"/>
              <w:rPr/>
            </w:pPr>
            <w:r>
              <w:rPr/>
              <w:t> </w:t>
            </w:r>
          </w:p>
        </w:tc>
        <w:tc>
          <w:tcPr>
            <w:tcW w:w="1984" w:type="dxa"/>
            <w:tcBorders>
              <w:bottom w:val="single" w:sz="8" w:space="0" w:color="000000"/>
              <w:right w:val="single" w:sz="8" w:space="0" w:color="000000"/>
            </w:tcBorders>
            <w:shd w:fill="auto" w:val="clear"/>
            <w:tcMar>
              <w:right w:w="60" w:type="dxa"/>
            </w:tcMar>
            <w:vAlign w:val="center"/>
          </w:tcPr>
          <w:p>
            <w:pPr>
              <w:pStyle w:val="TableContents"/>
              <w:spacing w:before="0" w:after="283"/>
              <w:jc w:val="right"/>
              <w:rPr>
                <w:sz w:val="20"/>
              </w:rPr>
            </w:pPr>
            <w:r>
              <w:rPr>
                <w:sz w:val="20"/>
              </w:rPr>
              <w:t>$612,439,475.57</w:t>
            </w:r>
          </w:p>
        </w:tc>
        <w:tc>
          <w:tcPr>
            <w:tcW w:w="1134" w:type="dxa"/>
            <w:tcBorders>
              <w:bottom w:val="single" w:sz="8" w:space="0" w:color="000000"/>
            </w:tcBorders>
            <w:shd w:fill="auto" w:val="clear"/>
            <w:vAlign w:val="center"/>
          </w:tcPr>
          <w:p>
            <w:pPr>
              <w:pStyle w:val="TableContents"/>
              <w:spacing w:before="0" w:after="283"/>
              <w:jc w:val="right"/>
              <w:rPr>
                <w:sz w:val="20"/>
              </w:rPr>
            </w:pPr>
            <w:r>
              <w:rPr>
                <w:sz w:val="20"/>
              </w:rPr>
              <w:t>$66,817.16</w:t>
            </w:r>
          </w:p>
        </w:tc>
      </w:tr>
    </w:tbl>
    <w:p>
      <w:pPr>
        <w:pStyle w:val="TextBody"/>
        <w:rPr/>
      </w:pPr>
      <w:r>
        <w:rPr/>
        <w:t> </w:t>
      </w:r>
    </w:p>
    <w:tbl>
      <w:tblPr>
        <w:tblW w:w="5000" w:type="pct"/>
        <w:jc w:val="left"/>
        <w:tblInd w:w="0" w:type="dxa"/>
        <w:tblCellMar>
          <w:top w:w="0" w:type="dxa"/>
          <w:left w:w="0" w:type="dxa"/>
          <w:bottom w:w="0" w:type="dxa"/>
          <w:right w:w="0" w:type="dxa"/>
        </w:tblCellMar>
      </w:tblPr>
      <w:tblGrid>
        <w:gridCol w:w="37"/>
        <w:gridCol w:w="227"/>
        <w:gridCol w:w="9941"/>
      </w:tblGrid>
      <w:tr>
        <w:trPr/>
        <w:tc>
          <w:tcPr>
            <w:tcW w:w="3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pPr>
            <w:r>
              <w:rPr/>
              <w:t>(1)</w:t>
            </w:r>
          </w:p>
        </w:tc>
        <w:tc>
          <w:tcPr>
            <w:tcW w:w="9941" w:type="dxa"/>
            <w:tcBorders/>
            <w:shd w:fill="auto" w:val="clear"/>
            <w:vAlign w:val="center"/>
          </w:tcPr>
          <w:p>
            <w:pPr>
              <w:pStyle w:val="TableContents"/>
              <w:spacing w:before="0" w:after="283"/>
              <w:rPr/>
            </w:pPr>
            <w:r>
              <w:rPr/>
              <w:t>This Registration Statement on Form S-8 (this “Registration Statement”) covers shares of Class A Common Stock, par value $0.0001 per share (“Common Stock”) of Lucid Group, Inc. (the “Company” or “Registrant”) (i) authorized for issuance under the plans set forth in this table (collectively, the “Plans”) and (ii) pursuant to Rule 416(a) under the Securities Act of 1933, as amended (the “Securities Act”), any additional shares of Common Stock that may become issuable under the Plans by reason of any stock dividend, stock split or other similar transaction.</w:t>
            </w:r>
          </w:p>
        </w:tc>
      </w:tr>
    </w:tbl>
    <w:tbl>
      <w:tblPr>
        <w:tblW w:w="5000" w:type="pct"/>
        <w:jc w:val="left"/>
        <w:tblInd w:w="0" w:type="dxa"/>
        <w:tblCellMar>
          <w:top w:w="0" w:type="dxa"/>
          <w:left w:w="0" w:type="dxa"/>
          <w:bottom w:w="0" w:type="dxa"/>
          <w:right w:w="0" w:type="dxa"/>
        </w:tblCellMar>
      </w:tblPr>
      <w:tblGrid>
        <w:gridCol w:w="109"/>
        <w:gridCol w:w="835"/>
        <w:gridCol w:w="9261"/>
      </w:tblGrid>
      <w:tr>
        <w:trPr/>
        <w:tc>
          <w:tcPr>
            <w:tcW w:w="109"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pPr>
            <w:r>
              <w:rPr/>
              <w:t>(2)</w:t>
            </w:r>
          </w:p>
        </w:tc>
        <w:tc>
          <w:tcPr>
            <w:tcW w:w="9261" w:type="dxa"/>
            <w:tcBorders/>
            <w:shd w:fill="auto" w:val="clear"/>
            <w:vAlign w:val="center"/>
          </w:tcPr>
          <w:p>
            <w:pPr>
              <w:pStyle w:val="TableContents"/>
              <w:spacing w:before="0" w:after="283"/>
              <w:rPr/>
            </w:pPr>
            <w:r>
              <w:rPr/>
              <w:t>Rounded up to the nearest penny.</w:t>
            </w:r>
          </w:p>
        </w:tc>
      </w:tr>
    </w:tbl>
    <w:tbl>
      <w:tblPr>
        <w:tblW w:w="5000" w:type="pct"/>
        <w:jc w:val="left"/>
        <w:tblInd w:w="0" w:type="dxa"/>
        <w:tblCellMar>
          <w:top w:w="0" w:type="dxa"/>
          <w:left w:w="0" w:type="dxa"/>
          <w:bottom w:w="0" w:type="dxa"/>
          <w:right w:w="0" w:type="dxa"/>
        </w:tblCellMar>
      </w:tblPr>
      <w:tblGrid>
        <w:gridCol w:w="37"/>
        <w:gridCol w:w="272"/>
        <w:gridCol w:w="9896"/>
      </w:tblGrid>
      <w:tr>
        <w:trPr/>
        <w:tc>
          <w:tcPr>
            <w:tcW w:w="3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pPr>
            <w:r>
              <w:rPr/>
              <w:t>(3)</w:t>
            </w:r>
          </w:p>
        </w:tc>
        <w:tc>
          <w:tcPr>
            <w:tcW w:w="9896" w:type="dxa"/>
            <w:tcBorders/>
            <w:shd w:fill="auto" w:val="clear"/>
            <w:vAlign w:val="center"/>
          </w:tcPr>
          <w:p>
            <w:pPr>
              <w:pStyle w:val="TableContents"/>
              <w:spacing w:before="0" w:after="283"/>
              <w:rPr/>
            </w:pPr>
            <w:r>
              <w:rPr/>
              <w:t>Represents shares of Common Stock issuable upon the exercise of stock options issued pursuant to the Atieva, Inc. 2009 Share Plan.</w:t>
            </w:r>
          </w:p>
        </w:tc>
      </w:tr>
    </w:tbl>
    <w:tbl>
      <w:tblPr>
        <w:tblW w:w="5000" w:type="pct"/>
        <w:jc w:val="left"/>
        <w:tblInd w:w="0" w:type="dxa"/>
        <w:tblCellMar>
          <w:top w:w="0" w:type="dxa"/>
          <w:left w:w="0" w:type="dxa"/>
          <w:bottom w:w="0" w:type="dxa"/>
          <w:right w:w="0" w:type="dxa"/>
        </w:tblCellMar>
      </w:tblPr>
      <w:tblGrid>
        <w:gridCol w:w="37"/>
        <w:gridCol w:w="272"/>
        <w:gridCol w:w="9896"/>
      </w:tblGrid>
      <w:tr>
        <w:trPr/>
        <w:tc>
          <w:tcPr>
            <w:tcW w:w="3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pPr>
            <w:r>
              <w:rPr/>
              <w:t>(4)</w:t>
            </w:r>
          </w:p>
        </w:tc>
        <w:tc>
          <w:tcPr>
            <w:tcW w:w="9896" w:type="dxa"/>
            <w:tcBorders/>
            <w:shd w:fill="auto" w:val="clear"/>
            <w:vAlign w:val="center"/>
          </w:tcPr>
          <w:p>
            <w:pPr>
              <w:pStyle w:val="TableContents"/>
              <w:spacing w:before="0" w:after="283"/>
              <w:rPr/>
            </w:pPr>
            <w:r>
              <w:rPr/>
              <w:t>Represents shares of Common Stock issuable upon the exercise of stock options issued pursuant to the Atieva, Inc. 2014 Share Plan.</w:t>
            </w:r>
          </w:p>
        </w:tc>
      </w:tr>
    </w:tbl>
    <w:tbl>
      <w:tblPr>
        <w:tblW w:w="5000" w:type="pct"/>
        <w:jc w:val="left"/>
        <w:tblInd w:w="0" w:type="dxa"/>
        <w:tblCellMar>
          <w:top w:w="0" w:type="dxa"/>
          <w:left w:w="0" w:type="dxa"/>
          <w:bottom w:w="0" w:type="dxa"/>
          <w:right w:w="0" w:type="dxa"/>
        </w:tblCellMar>
      </w:tblPr>
      <w:tblGrid>
        <w:gridCol w:w="37"/>
        <w:gridCol w:w="268"/>
        <w:gridCol w:w="9900"/>
      </w:tblGrid>
      <w:tr>
        <w:trPr/>
        <w:tc>
          <w:tcPr>
            <w:tcW w:w="37"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pPr>
            <w:r>
              <w:rPr/>
              <w:t>(5)</w:t>
            </w:r>
          </w:p>
        </w:tc>
        <w:tc>
          <w:tcPr>
            <w:tcW w:w="9900" w:type="dxa"/>
            <w:tcBorders/>
            <w:shd w:fill="auto" w:val="clear"/>
            <w:vAlign w:val="center"/>
          </w:tcPr>
          <w:p>
            <w:pPr>
              <w:pStyle w:val="TableContents"/>
              <w:spacing w:before="0" w:after="283"/>
              <w:rPr/>
            </w:pPr>
            <w:r>
              <w:rPr/>
              <w:t>Represents shares of Common Stock issuable upon the exercise of stock options issued pursuant to the Atieva, Inc. 2021 Stock Incentive Plan.</w:t>
            </w:r>
          </w:p>
        </w:tc>
      </w:tr>
    </w:tbl>
    <w:tbl>
      <w:tblPr>
        <w:tblW w:w="5000" w:type="pct"/>
        <w:jc w:val="left"/>
        <w:tblInd w:w="0" w:type="dxa"/>
        <w:tblCellMar>
          <w:top w:w="0" w:type="dxa"/>
          <w:left w:w="0" w:type="dxa"/>
          <w:bottom w:w="0" w:type="dxa"/>
          <w:right w:w="0" w:type="dxa"/>
        </w:tblCellMar>
      </w:tblPr>
      <w:tblGrid>
        <w:gridCol w:w="37"/>
        <w:gridCol w:w="253"/>
        <w:gridCol w:w="9915"/>
      </w:tblGrid>
      <w:tr>
        <w:trPr/>
        <w:tc>
          <w:tcPr>
            <w:tcW w:w="37"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pPr>
            <w:r>
              <w:rPr/>
              <w:t>(6)</w:t>
            </w:r>
          </w:p>
        </w:tc>
        <w:tc>
          <w:tcPr>
            <w:tcW w:w="9915" w:type="dxa"/>
            <w:tcBorders/>
            <w:shd w:fill="auto" w:val="clear"/>
            <w:vAlign w:val="center"/>
          </w:tcPr>
          <w:p>
            <w:pPr>
              <w:pStyle w:val="TableContents"/>
              <w:spacing w:before="0" w:after="283"/>
              <w:rPr/>
            </w:pPr>
            <w:r>
              <w:rPr/>
              <w:t>Estimated solely for the purpose of calculating the registration fee pursuant to Rule 457(h) under the Securities Act on the basis of the weighted average exercise price of outstanding stock options.</w:t>
            </w:r>
          </w:p>
        </w:tc>
      </w:tr>
    </w:tbl>
    <w:tbl>
      <w:tblPr>
        <w:tblW w:w="5000" w:type="pct"/>
        <w:jc w:val="left"/>
        <w:tblInd w:w="0" w:type="dxa"/>
        <w:tblCellMar>
          <w:top w:w="0" w:type="dxa"/>
          <w:left w:w="0" w:type="dxa"/>
          <w:bottom w:w="0" w:type="dxa"/>
          <w:right w:w="0" w:type="dxa"/>
        </w:tblCellMar>
      </w:tblPr>
      <w:tblGrid>
        <w:gridCol w:w="37"/>
        <w:gridCol w:w="268"/>
        <w:gridCol w:w="9900"/>
      </w:tblGrid>
      <w:tr>
        <w:trPr/>
        <w:tc>
          <w:tcPr>
            <w:tcW w:w="37"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pPr>
            <w:r>
              <w:rPr/>
              <w:t>(7)</w:t>
            </w:r>
          </w:p>
        </w:tc>
        <w:tc>
          <w:tcPr>
            <w:tcW w:w="9900" w:type="dxa"/>
            <w:tcBorders/>
            <w:shd w:fill="auto" w:val="clear"/>
            <w:vAlign w:val="center"/>
          </w:tcPr>
          <w:p>
            <w:pPr>
              <w:pStyle w:val="TableContents"/>
              <w:spacing w:before="0" w:after="283"/>
              <w:rPr/>
            </w:pPr>
            <w:r>
              <w:rPr/>
              <w:t>Includes the Lucid Group, Inc. 2021 Employee Stock Purchase Plan, which is a sub-plan of the Lucid Group, Inc. 2021 Stock Incentive Plan.</w:t>
            </w:r>
          </w:p>
        </w:tc>
      </w:tr>
    </w:tbl>
    <w:tbl>
      <w:tblPr>
        <w:tblW w:w="5000" w:type="pct"/>
        <w:jc w:val="left"/>
        <w:tblInd w:w="0" w:type="dxa"/>
        <w:tblCellMar>
          <w:top w:w="0" w:type="dxa"/>
          <w:left w:w="0" w:type="dxa"/>
          <w:bottom w:w="0" w:type="dxa"/>
          <w:right w:w="0" w:type="dxa"/>
        </w:tblCellMar>
      </w:tblPr>
      <w:tblGrid>
        <w:gridCol w:w="37"/>
        <w:gridCol w:w="240"/>
        <w:gridCol w:w="9928"/>
      </w:tblGrid>
      <w:tr>
        <w:trPr/>
        <w:tc>
          <w:tcPr>
            <w:tcW w:w="37"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pPr>
            <w:r>
              <w:rPr/>
              <w:t>(8)</w:t>
            </w:r>
          </w:p>
        </w:tc>
        <w:tc>
          <w:tcPr>
            <w:tcW w:w="9928" w:type="dxa"/>
            <w:tcBorders/>
            <w:shd w:fill="auto" w:val="clear"/>
            <w:vAlign w:val="center"/>
          </w:tcPr>
          <w:p>
            <w:pPr>
              <w:pStyle w:val="TableContents"/>
              <w:spacing w:before="0" w:after="283"/>
              <w:rPr/>
            </w:pPr>
            <w:r>
              <w:rPr/>
              <w:t>Estimated solely for the purpose of calculating the registration fee pursuant to Rule 457(h) and Rule 457(c) under the Securities Act based on the average of the high and low prices reported for the shares of Common Stock on The Nasdaq Global Select Market on September 17, 2021.</w:t>
            </w:r>
          </w:p>
        </w:tc>
      </w:tr>
    </w:tbl>
    <w:p>
      <w:pPr>
        <w:pStyle w:val="TextBody"/>
        <w:spacing w:before="0" w:after="0"/>
        <w:rPr>
          <w:caps w:val="false"/>
          <w:smallCaps w:val="false"/>
        </w:rPr>
      </w:pPr>
      <w:r>
        <w:rPr>
          <w:caps w:val="false"/>
          <w:smallCaps w:val="false"/>
        </w:rPr>
        <w:t> </w:t>
      </w:r>
    </w:p>
    <w:p>
      <w:pPr>
        <w:pStyle w:val="TextBody"/>
        <w:spacing w:before="0" w:after="0"/>
        <w:jc w:val="center"/>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specified in Item 1 and Item 2 of Part I of Form S-8 is omitted from this filing in accordance with the provisions of Rule 428 under the Securities Act and the introductory note to Part I of the Form S-8 instructions. The documents containing the information specified in Part I will be delivered to the participants in the Plans as required by Rule 428(b)(1).</w:t>
      </w:r>
    </w:p>
    <w:p>
      <w:pPr>
        <w:pStyle w:val="TextBody"/>
        <w:spacing w:before="0" w:after="0"/>
        <w:ind w:left="0" w:right="0" w:firstLine="360"/>
        <w:jc w:val="left"/>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br/>
        <w:br/>
        <w:t>INFORMATION REQUIRED IN THE REGISTRATION STATEMENT</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 Incorporation of Documents by Reference.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are incorporated herein by reference:</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highlight w:val="white"/>
        </w:rPr>
        <w:t>The Registrant’s </w:t>
      </w:r>
      <w:r>
        <w:rPr>
          <w:rFonts w:ascii="Times New Roman;Times;Serif" w:hAnsi="Times New Roman;Times;Serif"/>
          <w:b w:val="false"/>
          <w:i w:val="false"/>
          <w:caps w:val="false"/>
          <w:smallCaps w:val="false"/>
          <w:sz w:val="20"/>
        </w:rPr>
        <w:t>Final Prospectus filed with the Securities and Exchange Commission (the “Commission”) on August 24, 2021 pursuant to Rule 424(b) under the Securities Act relating to the Registration Statement on Form S-1, as amended (File No. 333-258348), which contains the Registrant’s audited financial statements for the latest fiscal year for which such statements have been filed.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Registrant’s Annual Report on Form 10-K for the year ended December 31, 2020, as amended and filed with the Commission on May 14, 2021;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Registrant’s Quarterly Reports on Form 10-Q for the quarters ended March 31, 2021 and June 30, 2021;</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Registrant’s Current Reports on Forms 8-K and 8-K/A, filed with the Commission on February 23, 2021 (both forms filed on such date), May 14, 2021, June 1, 2021, June 25, 2021, July 9, 2021, July 15, 2021, July 26, 2021 (both forms filed on such date), August 16, 2021, September 8, 2021 and September 21, 2021 (except for any portions of such Current Reports on Form 8-K furnished pursuant to Item 2.02 and/or Item 7.01 thereof and any corresponding exhibits thereto not filed with the Commission);</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description of the Registrant’s capital stock which is contained in the Registrant’s Registration Statement on Form 8-A (File No. 001-39408), dated July 23, 2021, including any amendments or supplements thereto.</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t>All documents filed by the Registrant pursuant to Sections 13(a), 13(c), 14 or 15(d) of the Exchange Act of 1934, as amended (the “Exchange Act”) after the date of this Registration Statement and prior to the filing of a post-effective amendment that indicates that all securities offered hereby have been sold or which deregisters all securities then remaining unsold, are incorporated by reference in this Registration Statement and are a part hereof from the date of filing of such documents; except as to any portion of any future annual or quarterly report to stockholders or document or current report furnished under current Items 2.02 or 7.01 of Form 8-K that is not deemed filed under such provisions. 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4. Description of Securities.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 Interests of Named Experts and Counsel.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pacing w:before="0" w:after="0"/>
        <w:ind w:left="0" w:right="0" w:firstLine="360"/>
        <w:rPr>
          <w:caps w:val="false"/>
          <w:smallCaps w:val="false"/>
        </w:rPr>
      </w:pPr>
      <w:r>
        <w:rPr>
          <w:caps w:val="false"/>
          <w:smallCaps w:val="false"/>
        </w:rPr>
        <w:t> </w:t>
      </w:r>
    </w:p>
    <w:p>
      <w:pPr>
        <w:pStyle w:val="TextBody"/>
        <w:spacing w:before="0" w:after="0"/>
        <w:jc w:val="center"/>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6. Indemnification of Directors and Officers.</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Delaware General Corporation Law, or DGCL,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the Registrant. The DGCL provides that Section 145 is not exclusive of other rights to which those seeking indemnification may be entitled under any bylaw, agreement, vote of stockholders or disinterested directors or otherwise.</w:t>
      </w:r>
    </w:p>
    <w:p>
      <w:pPr>
        <w:pStyle w:val="TextBody"/>
        <w:shd w:fill="FFFFFF" w:val="clear"/>
        <w:spacing w:before="0" w:after="0"/>
        <w:ind w:left="0" w:right="0" w:firstLine="490"/>
        <w:rPr>
          <w:caps w:val="false"/>
          <w:smallCaps w:val="false"/>
        </w:rPr>
      </w:pPr>
      <w:r>
        <w:rPr>
          <w:caps w:val="false"/>
          <w:smallCaps w:val="false"/>
        </w:rPr>
        <w:t> </w:t>
      </w:r>
    </w:p>
    <w:p>
      <w:pPr>
        <w:pStyle w:val="TextBody"/>
        <w:shd w:fill="FFFFFF" w:val="clear"/>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amended and restated certificate of incorporation and amended and restated bylaws provide for indemnification for its directors and executive officers to the fullest extent permitted by the DGCL. The Registrant has entered into indemnification agreements with each of its current directors and executive officers to provide for contractual rights to indemnification, expense advancement and reimbursement, to the fullest extent permitted by the DGCL.</w:t>
      </w:r>
    </w:p>
    <w:p>
      <w:pPr>
        <w:pStyle w:val="TextBody"/>
        <w:shd w:fill="FFFFFF" w:val="clear"/>
        <w:spacing w:before="0" w:after="0"/>
        <w:ind w:left="0" w:right="0" w:firstLine="490"/>
        <w:rPr>
          <w:caps w:val="false"/>
          <w:smallCaps w:val="false"/>
        </w:rPr>
      </w:pPr>
      <w:r>
        <w:rPr>
          <w:caps w:val="false"/>
          <w:smallCaps w:val="false"/>
        </w:rPr>
        <w:t> </w:t>
      </w:r>
    </w:p>
    <w:p>
      <w:pPr>
        <w:pStyle w:val="TextBody"/>
        <w:shd w:fill="FFFFFF" w:val="clear"/>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102(b)(7) of the DGCL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for unlawful payments of dividends or unlawful stock repurchases, redemptions or other distributions, or (iv) for any transaction from which the director derived an improper personal benefit. The Registrant’s certificate of incorporation provides for such limitation of liability.</w:t>
      </w:r>
    </w:p>
    <w:p>
      <w:pPr>
        <w:pStyle w:val="TextBody"/>
        <w:shd w:fill="FFFFFF" w:val="clear"/>
        <w:spacing w:before="0" w:after="0"/>
        <w:ind w:left="0" w:right="0" w:firstLine="490"/>
        <w:rPr>
          <w:caps w:val="false"/>
          <w:smallCaps w:val="false"/>
        </w:rPr>
      </w:pPr>
      <w:r>
        <w:rPr>
          <w:caps w:val="false"/>
          <w:smallCaps w:val="false"/>
        </w:rPr>
        <w:t> </w:t>
      </w:r>
    </w:p>
    <w:p>
      <w:pPr>
        <w:pStyle w:val="TextBody"/>
        <w:shd w:fill="FFFFFF" w:val="clear"/>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also maintains standard policies of insurance under which coverage is provided (a) to its directors and officers against loss arising from claims made by reason of breach of duty or other wrongful act, while acting in their capacity as directors and officers of the Registrant, and (b) to the Registrant with respect to payments which may be made by the Registrant to such officers and directors pursuant to the above indemnification provision or otherwise as a matter of law.</w:t>
      </w:r>
    </w:p>
    <w:p>
      <w:pPr>
        <w:pStyle w:val="TextBody"/>
        <w:shd w:fill="FFFFFF" w:val="clear"/>
        <w:spacing w:before="0" w:after="0"/>
        <w:ind w:left="0" w:right="0" w:firstLine="49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 Exemption from Registration Claimed.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t>Not applicable.</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Exhibits.</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1089"/>
        <w:gridCol w:w="9116"/>
      </w:tblGrid>
      <w:tr>
        <w:trPr/>
        <w:tc>
          <w:tcPr>
            <w:tcW w:w="1089" w:type="dxa"/>
            <w:tcBorders>
              <w:bottom w:val="single" w:sz="8" w:space="0" w:color="000000"/>
            </w:tcBorders>
            <w:shd w:fill="auto" w:val="clear"/>
            <w:vAlign w:val="center"/>
          </w:tcPr>
          <w:p>
            <w:pPr>
              <w:pStyle w:val="TableContents"/>
              <w:spacing w:before="0" w:after="283"/>
              <w:jc w:val="center"/>
              <w:rPr>
                <w:b/>
                <w:sz w:val="20"/>
              </w:rPr>
            </w:pPr>
            <w:r>
              <w:rPr>
                <w:b/>
                <w:sz w:val="20"/>
              </w:rPr>
              <w:t>Exhibit Number</w:t>
            </w:r>
          </w:p>
        </w:tc>
        <w:tc>
          <w:tcPr>
            <w:tcW w:w="9116" w:type="dxa"/>
            <w:tcBorders>
              <w:bottom w:val="single" w:sz="8" w:space="0" w:color="000000"/>
            </w:tcBorders>
            <w:shd w:fill="auto" w:val="clear"/>
            <w:vAlign w:val="center"/>
          </w:tcPr>
          <w:p>
            <w:pPr>
              <w:pStyle w:val="TableContents"/>
              <w:spacing w:before="0" w:after="283"/>
              <w:jc w:val="center"/>
              <w:rPr>
                <w:b/>
                <w:sz w:val="20"/>
              </w:rPr>
            </w:pPr>
            <w:r>
              <w:rPr>
                <w:b/>
                <w:sz w:val="20"/>
              </w:rPr>
              <w:t>Description</w:t>
            </w:r>
          </w:p>
        </w:tc>
      </w:tr>
      <w:tr>
        <w:trPr/>
        <w:tc>
          <w:tcPr>
            <w:tcW w:w="1089" w:type="dxa"/>
            <w:tcBorders/>
            <w:shd w:fill="auto" w:val="clear"/>
            <w:tcMar>
              <w:bottom w:w="0" w:type="dxa"/>
            </w:tcMar>
            <w:vAlign w:val="center"/>
          </w:tcPr>
          <w:p>
            <w:pPr>
              <w:pStyle w:val="TableContents"/>
              <w:spacing w:before="0" w:after="283"/>
              <w:rPr>
                <w:sz w:val="20"/>
              </w:rPr>
            </w:pPr>
            <w:r>
              <w:rPr>
                <w:sz w:val="20"/>
              </w:rPr>
              <w:t>4.1</w:t>
            </w:r>
          </w:p>
        </w:tc>
        <w:tc>
          <w:tcPr>
            <w:tcW w:w="9116" w:type="dxa"/>
            <w:tcBorders/>
            <w:shd w:fill="auto" w:val="clear"/>
            <w:tcMar>
              <w:bottom w:w="0" w:type="dxa"/>
            </w:tcMar>
            <w:vAlign w:val="center"/>
          </w:tcPr>
          <w:p>
            <w:pPr>
              <w:pStyle w:val="TableContents"/>
              <w:spacing w:before="0" w:after="283"/>
              <w:rPr/>
            </w:pPr>
            <w:hyperlink r:id="rId2">
              <w:r>
                <w:rPr>
                  <w:rStyle w:val="InternetLink"/>
                  <w:color w:val="0000FF"/>
                  <w:sz w:val="20"/>
                  <w:u w:val="single"/>
                </w:rPr>
                <w:t>Second Amended and Restated Certificate of Incorporation of the Registrant (incorporated herein by reference to Exhibit 3.1 to the Registrant’s Current Report on Form 8-K, filed on July 26, 2021)</w:t>
              </w:r>
            </w:hyperlink>
          </w:p>
        </w:tc>
      </w:tr>
      <w:tr>
        <w:trPr/>
        <w:tc>
          <w:tcPr>
            <w:tcW w:w="1089" w:type="dxa"/>
            <w:tcBorders/>
            <w:shd w:fill="auto" w:val="clear"/>
            <w:tcMar>
              <w:bottom w:w="0" w:type="dxa"/>
            </w:tcMar>
            <w:vAlign w:val="center"/>
          </w:tcPr>
          <w:p>
            <w:pPr>
              <w:pStyle w:val="TableContents"/>
              <w:spacing w:before="0" w:after="283"/>
              <w:rPr>
                <w:sz w:val="20"/>
              </w:rPr>
            </w:pPr>
            <w:r>
              <w:rPr>
                <w:sz w:val="20"/>
              </w:rPr>
              <w:t>4.2</w:t>
            </w:r>
          </w:p>
        </w:tc>
        <w:tc>
          <w:tcPr>
            <w:tcW w:w="9116" w:type="dxa"/>
            <w:tcBorders/>
            <w:shd w:fill="auto" w:val="clear"/>
            <w:tcMar>
              <w:bottom w:w="0" w:type="dxa"/>
            </w:tcMar>
            <w:vAlign w:val="center"/>
          </w:tcPr>
          <w:p>
            <w:pPr>
              <w:pStyle w:val="TableContents"/>
              <w:spacing w:before="0" w:after="283"/>
              <w:rPr/>
            </w:pPr>
            <w:hyperlink r:id="rId3">
              <w:r>
                <w:rPr>
                  <w:rStyle w:val="InternetLink"/>
                  <w:color w:val="0000FF"/>
                  <w:sz w:val="20"/>
                  <w:u w:val="single"/>
                </w:rPr>
                <w:t>Amended and Restated Bylaws of the Registrant (incorporated herein by reference to Exhibit 3.2 to the Registrant’s Current Report on Form 8-K, filed on July 26, 2021)</w:t>
              </w:r>
            </w:hyperlink>
          </w:p>
        </w:tc>
      </w:tr>
      <w:tr>
        <w:trPr/>
        <w:tc>
          <w:tcPr>
            <w:tcW w:w="1089" w:type="dxa"/>
            <w:tcBorders/>
            <w:shd w:fill="auto" w:val="clear"/>
            <w:tcMar>
              <w:bottom w:w="0" w:type="dxa"/>
            </w:tcMar>
            <w:vAlign w:val="center"/>
          </w:tcPr>
          <w:p>
            <w:pPr>
              <w:pStyle w:val="TableContents"/>
              <w:spacing w:before="0" w:after="283"/>
              <w:rPr>
                <w:sz w:val="20"/>
              </w:rPr>
            </w:pPr>
            <w:r>
              <w:rPr>
                <w:sz w:val="20"/>
              </w:rPr>
              <w:t>5.1</w:t>
            </w:r>
          </w:p>
        </w:tc>
        <w:tc>
          <w:tcPr>
            <w:tcW w:w="9116" w:type="dxa"/>
            <w:tcBorders/>
            <w:shd w:fill="auto" w:val="clear"/>
            <w:tcMar>
              <w:bottom w:w="0" w:type="dxa"/>
            </w:tcMar>
            <w:vAlign w:val="center"/>
          </w:tcPr>
          <w:p>
            <w:pPr>
              <w:pStyle w:val="TableContents"/>
              <w:spacing w:before="0" w:after="283"/>
              <w:rPr/>
            </w:pPr>
            <w:hyperlink w:anchor="dp158364_ex0501.htm">
              <w:r>
                <w:rPr>
                  <w:rStyle w:val="InternetLink"/>
                  <w:color w:val="0000FF"/>
                  <w:sz w:val="20"/>
                  <w:u w:val="single"/>
                </w:rPr>
                <w:t>Opinion of Davis Polk &amp; Wardwell LLP (filed herewith)</w:t>
              </w:r>
            </w:hyperlink>
          </w:p>
        </w:tc>
      </w:tr>
      <w:tr>
        <w:trPr/>
        <w:tc>
          <w:tcPr>
            <w:tcW w:w="1089" w:type="dxa"/>
            <w:tcBorders/>
            <w:shd w:fill="auto" w:val="clear"/>
            <w:tcMar>
              <w:bottom w:w="0" w:type="dxa"/>
            </w:tcMar>
            <w:vAlign w:val="center"/>
          </w:tcPr>
          <w:p>
            <w:pPr>
              <w:pStyle w:val="TableContents"/>
              <w:spacing w:before="0" w:after="283"/>
              <w:rPr>
                <w:sz w:val="20"/>
              </w:rPr>
            </w:pPr>
            <w:r>
              <w:rPr>
                <w:sz w:val="20"/>
              </w:rPr>
              <w:t>23.1</w:t>
            </w:r>
          </w:p>
        </w:tc>
        <w:tc>
          <w:tcPr>
            <w:tcW w:w="9116" w:type="dxa"/>
            <w:tcBorders/>
            <w:shd w:fill="auto" w:val="clear"/>
            <w:tcMar>
              <w:bottom w:w="0" w:type="dxa"/>
            </w:tcMar>
            <w:vAlign w:val="center"/>
          </w:tcPr>
          <w:p>
            <w:pPr>
              <w:pStyle w:val="TableContents"/>
              <w:spacing w:before="0" w:after="283"/>
              <w:rPr/>
            </w:pPr>
            <w:hyperlink w:anchor="dp158364_ex2301.htm">
              <w:r>
                <w:rPr>
                  <w:rStyle w:val="InternetLink"/>
                  <w:color w:val="0000FF"/>
                  <w:sz w:val="20"/>
                  <w:u w:val="single"/>
                </w:rPr>
                <w:t xml:space="preserve">Consent of Grant Thornton LLP (filed herewith) </w:t>
              </w:r>
            </w:hyperlink>
          </w:p>
        </w:tc>
      </w:tr>
      <w:tr>
        <w:trPr/>
        <w:tc>
          <w:tcPr>
            <w:tcW w:w="1089" w:type="dxa"/>
            <w:tcBorders/>
            <w:shd w:fill="auto" w:val="clear"/>
            <w:tcMar>
              <w:bottom w:w="0" w:type="dxa"/>
            </w:tcMar>
            <w:vAlign w:val="center"/>
          </w:tcPr>
          <w:p>
            <w:pPr>
              <w:pStyle w:val="TableContents"/>
              <w:spacing w:before="0" w:after="283"/>
              <w:rPr>
                <w:sz w:val="20"/>
              </w:rPr>
            </w:pPr>
            <w:r>
              <w:rPr>
                <w:sz w:val="20"/>
              </w:rPr>
              <w:t>23.2</w:t>
            </w:r>
          </w:p>
        </w:tc>
        <w:tc>
          <w:tcPr>
            <w:tcW w:w="9116" w:type="dxa"/>
            <w:tcBorders/>
            <w:shd w:fill="auto" w:val="clear"/>
            <w:tcMar>
              <w:bottom w:w="0" w:type="dxa"/>
            </w:tcMar>
            <w:vAlign w:val="center"/>
          </w:tcPr>
          <w:p>
            <w:pPr>
              <w:pStyle w:val="TableContents"/>
              <w:spacing w:before="0" w:after="283"/>
              <w:rPr/>
            </w:pPr>
            <w:hyperlink w:anchor="dp158364_ex2302.htm">
              <w:r>
                <w:rPr>
                  <w:rStyle w:val="InternetLink"/>
                  <w:sz w:val="20"/>
                </w:rPr>
                <w:t>Consent of Marcum LLP (filed herewith)</w:t>
              </w:r>
            </w:hyperlink>
          </w:p>
        </w:tc>
      </w:tr>
      <w:tr>
        <w:trPr/>
        <w:tc>
          <w:tcPr>
            <w:tcW w:w="1089" w:type="dxa"/>
            <w:tcBorders/>
            <w:shd w:fill="auto" w:val="clear"/>
            <w:tcMar>
              <w:bottom w:w="0" w:type="dxa"/>
            </w:tcMar>
            <w:vAlign w:val="center"/>
          </w:tcPr>
          <w:p>
            <w:pPr>
              <w:pStyle w:val="TableContents"/>
              <w:spacing w:before="0" w:after="283"/>
              <w:rPr>
                <w:sz w:val="20"/>
              </w:rPr>
            </w:pPr>
            <w:r>
              <w:rPr>
                <w:sz w:val="20"/>
              </w:rPr>
              <w:t>23.3</w:t>
            </w:r>
          </w:p>
        </w:tc>
        <w:tc>
          <w:tcPr>
            <w:tcW w:w="9116" w:type="dxa"/>
            <w:tcBorders/>
            <w:shd w:fill="auto" w:val="clear"/>
            <w:tcMar>
              <w:bottom w:w="0" w:type="dxa"/>
            </w:tcMar>
            <w:vAlign w:val="center"/>
          </w:tcPr>
          <w:p>
            <w:pPr>
              <w:pStyle w:val="TableContents"/>
              <w:spacing w:before="0" w:after="283"/>
              <w:rPr/>
            </w:pPr>
            <w:hyperlink w:anchor="dp158364_ex0501.htm">
              <w:r>
                <w:rPr>
                  <w:rStyle w:val="InternetLink"/>
                  <w:color w:val="0000FF"/>
                  <w:sz w:val="20"/>
                  <w:u w:val="single"/>
                </w:rPr>
                <w:t>Consent of Davis Polk &amp; Wardwell LLP (included in Exhibit 5.1)</w:t>
              </w:r>
            </w:hyperlink>
          </w:p>
        </w:tc>
      </w:tr>
      <w:tr>
        <w:trPr/>
        <w:tc>
          <w:tcPr>
            <w:tcW w:w="1089" w:type="dxa"/>
            <w:tcBorders/>
            <w:shd w:fill="auto" w:val="clear"/>
            <w:tcMar>
              <w:bottom w:w="0" w:type="dxa"/>
            </w:tcMar>
            <w:vAlign w:val="center"/>
          </w:tcPr>
          <w:p>
            <w:pPr>
              <w:pStyle w:val="TableContents"/>
              <w:spacing w:before="0" w:after="283"/>
              <w:rPr>
                <w:sz w:val="20"/>
              </w:rPr>
            </w:pPr>
            <w:r>
              <w:rPr>
                <w:sz w:val="20"/>
              </w:rPr>
              <w:t>24.1</w:t>
            </w:r>
          </w:p>
        </w:tc>
        <w:tc>
          <w:tcPr>
            <w:tcW w:w="9116" w:type="dxa"/>
            <w:tcBorders/>
            <w:shd w:fill="auto" w:val="clear"/>
            <w:tcMar>
              <w:bottom w:w="0" w:type="dxa"/>
            </w:tcMar>
            <w:vAlign w:val="center"/>
          </w:tcPr>
          <w:p>
            <w:pPr>
              <w:pStyle w:val="TableContents"/>
              <w:spacing w:before="0" w:after="283"/>
              <w:rPr/>
            </w:pPr>
            <w:hyperlink w:anchor="poa">
              <w:r>
                <w:rPr>
                  <w:rStyle w:val="InternetLink"/>
                  <w:color w:val="0000FF"/>
                  <w:sz w:val="20"/>
                  <w:u w:val="single"/>
                </w:rPr>
                <w:t>Power of Attorney (included in signature page hereof)</w:t>
              </w:r>
            </w:hyperlink>
          </w:p>
        </w:tc>
      </w:tr>
    </w:tbl>
    <w:p>
      <w:pPr>
        <w:pStyle w:val="TextBody"/>
        <w:spacing w:before="0" w:after="0"/>
        <w:jc w:val="center"/>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95"/>
        <w:gridCol w:w="9810"/>
      </w:tblGrid>
      <w:tr>
        <w:trPr/>
        <w:tc>
          <w:tcPr>
            <w:tcW w:w="395" w:type="dxa"/>
            <w:tcBorders/>
            <w:shd w:fill="auto" w:val="clear"/>
            <w:vAlign w:val="center"/>
          </w:tcPr>
          <w:p>
            <w:pPr>
              <w:pStyle w:val="TableContents"/>
              <w:spacing w:before="0" w:after="283"/>
              <w:rPr>
                <w:sz w:val="20"/>
              </w:rPr>
            </w:pPr>
            <w:r>
              <w:rPr>
                <w:sz w:val="20"/>
              </w:rPr>
              <w:t>99.1</w:t>
            </w:r>
          </w:p>
        </w:tc>
        <w:tc>
          <w:tcPr>
            <w:tcW w:w="9810" w:type="dxa"/>
            <w:tcBorders/>
            <w:shd w:fill="auto" w:val="clear"/>
            <w:vAlign w:val="center"/>
          </w:tcPr>
          <w:p>
            <w:pPr>
              <w:pStyle w:val="TableContents"/>
              <w:spacing w:before="0" w:after="283"/>
              <w:rPr/>
            </w:pPr>
            <w:hyperlink r:id="rId4">
              <w:r>
                <w:rPr>
                  <w:rStyle w:val="InternetLink"/>
                  <w:color w:val="0000FF"/>
                  <w:sz w:val="20"/>
                  <w:u w:val="single"/>
                </w:rPr>
                <w:t>Atieva, Inc. 2009 Share Plan (incorporated by reference to Exhibit 10.8 to the Registration Statement on Form S-4, as amended (File No. 333-254543), filed June 11, 2021 (“Amendment No. 2 to the Registration Statement”)</w:t>
              </w:r>
            </w:hyperlink>
          </w:p>
        </w:tc>
      </w:tr>
      <w:tr>
        <w:trPr/>
        <w:tc>
          <w:tcPr>
            <w:tcW w:w="395" w:type="dxa"/>
            <w:tcBorders/>
            <w:shd w:fill="auto" w:val="clear"/>
            <w:vAlign w:val="center"/>
          </w:tcPr>
          <w:p>
            <w:pPr>
              <w:pStyle w:val="TableContents"/>
              <w:spacing w:before="0" w:after="283"/>
              <w:rPr>
                <w:sz w:val="20"/>
              </w:rPr>
            </w:pPr>
            <w:r>
              <w:rPr>
                <w:sz w:val="20"/>
              </w:rPr>
              <w:t>99.2</w:t>
            </w:r>
          </w:p>
        </w:tc>
        <w:tc>
          <w:tcPr>
            <w:tcW w:w="9810" w:type="dxa"/>
            <w:tcBorders/>
            <w:shd w:fill="auto" w:val="clear"/>
            <w:vAlign w:val="center"/>
          </w:tcPr>
          <w:p>
            <w:pPr>
              <w:pStyle w:val="TableContents"/>
              <w:spacing w:before="0" w:after="283"/>
              <w:rPr/>
            </w:pPr>
            <w:hyperlink r:id="rId5">
              <w:r>
                <w:rPr>
                  <w:rStyle w:val="InternetLink"/>
                  <w:color w:val="0000FF"/>
                  <w:sz w:val="20"/>
                  <w:u w:val="single"/>
                </w:rPr>
                <w:t>Atieva, Inc. 2014 Share Plan, as amended January 11, 2021 (incorporated by reference to Exhibit 10.10 to Amendment No. 2 to the Registration Statement)</w:t>
              </w:r>
            </w:hyperlink>
          </w:p>
        </w:tc>
      </w:tr>
      <w:tr>
        <w:trPr/>
        <w:tc>
          <w:tcPr>
            <w:tcW w:w="395" w:type="dxa"/>
            <w:tcBorders/>
            <w:shd w:fill="auto" w:val="clear"/>
            <w:vAlign w:val="center"/>
          </w:tcPr>
          <w:p>
            <w:pPr>
              <w:pStyle w:val="TableContents"/>
              <w:spacing w:before="0" w:after="283"/>
              <w:rPr>
                <w:sz w:val="20"/>
              </w:rPr>
            </w:pPr>
            <w:r>
              <w:rPr>
                <w:sz w:val="20"/>
              </w:rPr>
              <w:t>99.3</w:t>
            </w:r>
          </w:p>
        </w:tc>
        <w:tc>
          <w:tcPr>
            <w:tcW w:w="9810" w:type="dxa"/>
            <w:tcBorders/>
            <w:shd w:fill="auto" w:val="clear"/>
            <w:vAlign w:val="center"/>
          </w:tcPr>
          <w:p>
            <w:pPr>
              <w:pStyle w:val="TableContents"/>
              <w:spacing w:before="0" w:after="283"/>
              <w:rPr/>
            </w:pPr>
            <w:hyperlink r:id="rId6">
              <w:r>
                <w:rPr>
                  <w:rStyle w:val="InternetLink"/>
                  <w:color w:val="0000FF"/>
                  <w:sz w:val="20"/>
                  <w:u w:val="single"/>
                </w:rPr>
                <w:t>Atieva, Inc. 2021 Stock Incentive Plan, as amended February 22, 2021 (incorporated by reference to Exhibit 10.12 to Amendment No. 2 to the Registration Statement)</w:t>
              </w:r>
            </w:hyperlink>
          </w:p>
        </w:tc>
      </w:tr>
      <w:tr>
        <w:trPr/>
        <w:tc>
          <w:tcPr>
            <w:tcW w:w="395" w:type="dxa"/>
            <w:tcBorders/>
            <w:shd w:fill="auto" w:val="clear"/>
            <w:vAlign w:val="center"/>
          </w:tcPr>
          <w:p>
            <w:pPr>
              <w:pStyle w:val="TableContents"/>
              <w:spacing w:before="0" w:after="283"/>
              <w:rPr>
                <w:sz w:val="20"/>
              </w:rPr>
            </w:pPr>
            <w:r>
              <w:rPr>
                <w:sz w:val="20"/>
              </w:rPr>
              <w:t>99.4</w:t>
            </w:r>
          </w:p>
        </w:tc>
        <w:tc>
          <w:tcPr>
            <w:tcW w:w="9810" w:type="dxa"/>
            <w:tcBorders/>
            <w:shd w:fill="auto" w:val="clear"/>
            <w:vAlign w:val="center"/>
          </w:tcPr>
          <w:p>
            <w:pPr>
              <w:pStyle w:val="TableContents"/>
              <w:spacing w:before="0" w:after="283"/>
              <w:rPr/>
            </w:pPr>
            <w:r>
              <w:fldChar w:fldCharType="begin"/>
            </w:r>
            <w:r>
              <w:rPr>
                <w:rStyle w:val="InternetLink"/>
                <w:sz w:val="20"/>
                <w:u w:val="single"/>
              </w:rPr>
              <w:instrText> HYPERLINK "https://www.sec.gov/Archives/edgar/data/0001811210/000110465921080354/tm219359-8_s4a.htm" \l "tANNH"</w:instrText>
            </w:r>
            <w:r>
              <w:rPr>
                <w:rStyle w:val="InternetLink"/>
                <w:sz w:val="20"/>
                <w:u w:val="single"/>
              </w:rPr>
              <w:fldChar w:fldCharType="separate"/>
            </w:r>
            <w:r>
              <w:rPr>
                <w:rStyle w:val="InternetLink"/>
                <w:color w:val="0000FF"/>
                <w:sz w:val="20"/>
                <w:u w:val="single"/>
              </w:rPr>
              <w:t>Lucid Group, Inc. 2021 Stock Incentive Plan (including the Lucid Group, Inc. 2021 Employee Stock Purchase Plan, attached thereto) (incorporated by reference to Exhibit 10.5 to Amendment No. 2 to the Registration Statement)</w:t>
            </w:r>
            <w:r>
              <w:rPr>
                <w:rStyle w:val="InternetLink"/>
                <w:sz w:val="20"/>
                <w:u w:val="single"/>
              </w:rPr>
              <w:fldChar w:fldCharType="end"/>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 Undertakings.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undersigned Registrant hereby undertakes:</w:t>
      </w:r>
    </w:p>
    <w:p>
      <w:pPr>
        <w:pStyle w:val="TextBody"/>
        <w:spacing w:before="0" w:after="0"/>
        <w:ind w:left="0" w:right="0" w:firstLine="360"/>
        <w:rPr>
          <w:caps w:val="false"/>
          <w:smallCaps w:val="false"/>
        </w:rPr>
      </w:pPr>
      <w:r>
        <w:rPr>
          <w:caps w:val="false"/>
          <w:smallCaps w:val="false"/>
        </w:rPr>
        <w:t> </w:t>
      </w:r>
    </w:p>
    <w:p>
      <w:pPr>
        <w:pStyle w:val="TextBody"/>
        <w:spacing w:before="0" w:after="0"/>
        <w:ind w:left="36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file, during any period in which offers or sales are being made, a post-effective amendment to this Registration Statement:</w:t>
      </w:r>
    </w:p>
    <w:p>
      <w:pPr>
        <w:pStyle w:val="TextBody"/>
        <w:spacing w:before="0" w:after="0"/>
        <w:ind w:left="360" w:right="0" w:firstLine="360"/>
        <w:rPr>
          <w:caps w:val="false"/>
          <w:smallCaps w:val="false"/>
        </w:rPr>
      </w:pPr>
      <w:r>
        <w:rPr>
          <w:caps w:val="false"/>
          <w:smallCaps w:val="false"/>
        </w:rPr>
        <w:t> </w:t>
      </w:r>
    </w:p>
    <w:p>
      <w:pPr>
        <w:pStyle w:val="TextBody"/>
        <w:spacing w:before="0" w:after="0"/>
        <w:ind w:left="72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include any prospectus required by Section 10(a)(3) of the Securities Act;</w:t>
      </w:r>
    </w:p>
    <w:p>
      <w:pPr>
        <w:pStyle w:val="TextBody"/>
        <w:spacing w:before="0" w:after="0"/>
        <w:ind w:left="720" w:right="0" w:firstLine="360"/>
        <w:rPr>
          <w:caps w:val="false"/>
          <w:smallCaps w:val="false"/>
        </w:rPr>
      </w:pPr>
      <w:r>
        <w:rPr>
          <w:caps w:val="false"/>
          <w:smallCaps w:val="false"/>
        </w:rPr>
        <w:t> </w:t>
      </w:r>
    </w:p>
    <w:p>
      <w:pPr>
        <w:pStyle w:val="TextBody"/>
        <w:spacing w:before="0" w:after="0"/>
        <w:ind w:left="72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this registration statement; and</w:t>
      </w:r>
    </w:p>
    <w:p>
      <w:pPr>
        <w:pStyle w:val="TextBody"/>
        <w:spacing w:before="0" w:after="0"/>
        <w:ind w:left="720" w:right="0" w:firstLine="360"/>
        <w:rPr>
          <w:caps w:val="false"/>
          <w:smallCaps w:val="false"/>
        </w:rPr>
      </w:pPr>
      <w:r>
        <w:rPr>
          <w:caps w:val="false"/>
          <w:smallCaps w:val="false"/>
        </w:rPr>
        <w:t> </w:t>
      </w:r>
    </w:p>
    <w:p>
      <w:pPr>
        <w:pStyle w:val="TextBody"/>
        <w:spacing w:before="0" w:after="0"/>
        <w:ind w:left="72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include any material information with respect to the Plans not previously disclosed in this Registration Statement or any material change to such information in this Registration Statement;</w:t>
      </w:r>
    </w:p>
    <w:p>
      <w:pPr>
        <w:pStyle w:val="TextBody"/>
        <w:spacing w:before="0" w:after="0"/>
        <w:ind w:left="720" w:right="0" w:firstLine="360"/>
        <w:rPr>
          <w:caps w:val="false"/>
          <w:smallCaps w:val="false"/>
        </w:rPr>
      </w:pPr>
      <w:r>
        <w:rPr>
          <w:caps w:val="false"/>
          <w:smallCaps w:val="false"/>
        </w:rPr>
        <w:t> </w:t>
      </w:r>
    </w:p>
    <w:p>
      <w:pPr>
        <w:pStyle w:val="TextBody"/>
        <w:spacing w:before="0" w:after="0"/>
        <w:ind w:left="360" w:right="0" w:hanging="0"/>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paragraphs (a)(1)(i) and (a)(1)(ii) do not apply if the information required to be included in a post-effective amendment by those paragraphs is contained in periodic reports filed with or furnished to the Commission by the Registrant pursuant to Section 13 or Section 15(d) of the Exchange Act that are incorporated by reference in this Registration Statement.</w:t>
      </w:r>
    </w:p>
    <w:p>
      <w:pPr>
        <w:pStyle w:val="TextBody"/>
        <w:spacing w:before="0" w:after="0"/>
        <w:ind w:left="360" w:right="0" w:hanging="0"/>
        <w:rPr>
          <w:caps w:val="false"/>
          <w:smallCaps w:val="false"/>
        </w:rPr>
      </w:pPr>
      <w:r>
        <w:rPr>
          <w:caps w:val="false"/>
          <w:smallCaps w:val="false"/>
        </w:rPr>
        <w:t> </w:t>
      </w:r>
    </w:p>
    <w:p>
      <w:pPr>
        <w:pStyle w:val="TextBody"/>
        <w:spacing w:before="0" w:after="0"/>
        <w:ind w:left="36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offering thereof.</w:t>
      </w:r>
    </w:p>
    <w:p>
      <w:pPr>
        <w:pStyle w:val="TextBody"/>
        <w:spacing w:before="0" w:after="0"/>
        <w:ind w:left="360" w:right="0" w:firstLine="360"/>
        <w:rPr>
          <w:caps w:val="false"/>
          <w:smallCaps w:val="false"/>
        </w:rPr>
      </w:pPr>
      <w:r>
        <w:rPr>
          <w:caps w:val="false"/>
          <w:smallCaps w:val="false"/>
        </w:rPr>
        <w:t> </w:t>
      </w:r>
    </w:p>
    <w:p>
      <w:pPr>
        <w:pStyle w:val="TextBody"/>
        <w:spacing w:before="0" w:after="0"/>
        <w:ind w:left="36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spacing w:before="0" w:after="0"/>
        <w:ind w:left="36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offering thereof.</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Insofar as indemnification for liabilities arising under the Securities Act may be permitted to directors, officers and controlling persons of the Registrant pursuant to the provisions referenced in Item 6 of this</w:t>
      </w:r>
    </w:p>
    <w:p>
      <w:pPr>
        <w:pStyle w:val="TextBody"/>
        <w:spacing w:before="0" w:after="0"/>
        <w:ind w:left="0" w:right="0" w:firstLine="360"/>
        <w:rPr>
          <w:caps w:val="false"/>
          <w:smallCaps w:val="false"/>
        </w:rPr>
      </w:pPr>
      <w:r>
        <w:rPr>
          <w:caps w:val="false"/>
          <w:smallCaps w:val="false"/>
        </w:rPr>
        <w:t> </w:t>
      </w:r>
    </w:p>
    <w:p>
      <w:pPr>
        <w:pStyle w:val="TextBody"/>
        <w:spacing w:before="0" w:after="0"/>
        <w:jc w:val="center"/>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Statement,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hereunder,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Newark, State of California on the 24</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September 2021</w:t>
      </w:r>
      <w:r>
        <w:rPr>
          <w:rFonts w:ascii="Times New Roman;Times;Serif" w:hAnsi="Times New Roman;Times;Serif"/>
          <w:b/>
          <w:i w:val="false"/>
          <w:caps w:val="false"/>
          <w:smallCaps w:val="false"/>
          <w:sz w:val="20"/>
        </w:rPr>
        <w:t>.</w:t>
      </w:r>
    </w:p>
    <w:p>
      <w:pPr>
        <w:pStyle w:val="TextBody"/>
        <w:spacing w:before="0" w:after="0"/>
        <w:ind w:left="0" w:right="0" w:firstLine="360"/>
        <w:rPr>
          <w:caps w:val="false"/>
          <w:smallCaps w:val="false"/>
        </w:rPr>
      </w:pPr>
      <w:r>
        <w:rPr>
          <w:caps w:val="false"/>
          <w:smallCaps w:val="false"/>
        </w:rPr>
        <w:t> </w:t>
      </w:r>
    </w:p>
    <w:tbl>
      <w:tblPr>
        <w:tblW w:w="2940" w:type="dxa"/>
        <w:jc w:val="left"/>
        <w:tblInd w:w="0" w:type="dxa"/>
        <w:tblCellMar>
          <w:top w:w="0" w:type="dxa"/>
          <w:left w:w="0" w:type="dxa"/>
          <w:bottom w:w="0" w:type="dxa"/>
          <w:right w:w="0" w:type="dxa"/>
        </w:tblCellMar>
      </w:tblPr>
      <w:tblGrid>
        <w:gridCol w:w="75"/>
        <w:gridCol w:w="320"/>
        <w:gridCol w:w="590"/>
        <w:gridCol w:w="1880"/>
        <w:gridCol w:w="75"/>
      </w:tblGrid>
      <w:tr>
        <w:trPr/>
        <w:tc>
          <w:tcPr>
            <w:tcW w:w="75" w:type="dxa"/>
            <w:tcBorders/>
            <w:shd w:fill="auto" w:val="clear"/>
            <w:vAlign w:val="center"/>
          </w:tcPr>
          <w:p>
            <w:pPr>
              <w:pStyle w:val="TableContents"/>
              <w:spacing w:before="0" w:after="283"/>
              <w:rPr/>
            </w:pPr>
            <w:r>
              <w:rPr/>
              <w:t> </w:t>
            </w:r>
          </w:p>
        </w:tc>
        <w:tc>
          <w:tcPr>
            <w:tcW w:w="2865" w:type="dxa"/>
            <w:gridSpan w:val="4"/>
            <w:tcBorders/>
            <w:shd w:fill="auto" w:val="clear"/>
            <w:vAlign w:val="center"/>
          </w:tcPr>
          <w:p>
            <w:pPr>
              <w:pStyle w:val="TableContents"/>
              <w:spacing w:before="0" w:after="283"/>
              <w:rPr>
                <w:b/>
                <w:sz w:val="20"/>
              </w:rPr>
            </w:pPr>
            <w:r>
              <w:rPr>
                <w:b/>
                <w:sz w:val="20"/>
              </w:rPr>
              <w:t xml:space="preserve">LUCID GROUP, INC. </w:t>
            </w:r>
          </w:p>
        </w:tc>
      </w:tr>
      <w:tr>
        <w:trPr/>
        <w:tc>
          <w:tcPr>
            <w:tcW w:w="75" w:type="dxa"/>
            <w:tcBorders/>
            <w:shd w:fill="auto" w:val="clear"/>
            <w:vAlign w:val="center"/>
          </w:tcPr>
          <w:p>
            <w:pPr>
              <w:pStyle w:val="TableContents"/>
              <w:spacing w:before="0" w:after="283"/>
              <w:rPr/>
            </w:pPr>
            <w:r>
              <w:rPr/>
              <w:t> </w:t>
            </w:r>
          </w:p>
        </w:tc>
        <w:tc>
          <w:tcPr>
            <w:tcW w:w="2865" w:type="dxa"/>
            <w:gridSpan w:val="4"/>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2865" w:type="dxa"/>
            <w:gridSpan w:val="4"/>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sz w:val="20"/>
              </w:rPr>
            </w:pPr>
            <w:r>
              <w:rPr>
                <w:sz w:val="20"/>
              </w:rPr>
              <w:t>By:</w:t>
            </w:r>
          </w:p>
        </w:tc>
        <w:tc>
          <w:tcPr>
            <w:tcW w:w="2470" w:type="dxa"/>
            <w:gridSpan w:val="2"/>
            <w:tcBorders>
              <w:bottom w:val="single" w:sz="8" w:space="0" w:color="000000"/>
            </w:tcBorders>
            <w:shd w:fill="auto" w:val="clear"/>
            <w:tcMar>
              <w:bottom w:w="28" w:type="dxa"/>
            </w:tcMar>
            <w:vAlign w:val="center"/>
          </w:tcPr>
          <w:p>
            <w:pPr>
              <w:pStyle w:val="TableContents"/>
              <w:spacing w:before="0" w:after="283"/>
              <w:rPr>
                <w:sz w:val="20"/>
              </w:rPr>
            </w:pPr>
            <w:r>
              <w:rPr>
                <w:sz w:val="20"/>
              </w:rPr>
              <w:t>/s/ Sherry House</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590" w:type="dxa"/>
            <w:tcBorders/>
            <w:shd w:fill="auto" w:val="clear"/>
            <w:vAlign w:val="center"/>
          </w:tcPr>
          <w:p>
            <w:pPr>
              <w:pStyle w:val="TableContents"/>
              <w:spacing w:before="0" w:after="283"/>
              <w:rPr>
                <w:sz w:val="20"/>
              </w:rPr>
            </w:pPr>
            <w:r>
              <w:rPr>
                <w:sz w:val="20"/>
              </w:rPr>
              <w:t xml:space="preserve">Name: </w:t>
            </w:r>
          </w:p>
        </w:tc>
        <w:tc>
          <w:tcPr>
            <w:tcW w:w="1880" w:type="dxa"/>
            <w:tcBorders/>
            <w:shd w:fill="auto" w:val="clear"/>
            <w:vAlign w:val="center"/>
          </w:tcPr>
          <w:p>
            <w:pPr>
              <w:pStyle w:val="TableContents"/>
              <w:spacing w:before="0" w:after="283"/>
              <w:rPr>
                <w:sz w:val="20"/>
              </w:rPr>
            </w:pPr>
            <w:r>
              <w:rPr>
                <w:sz w:val="20"/>
              </w:rPr>
              <w:t>Sherry House</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590" w:type="dxa"/>
            <w:tcBorders/>
            <w:shd w:fill="auto" w:val="clear"/>
            <w:vAlign w:val="center"/>
          </w:tcPr>
          <w:p>
            <w:pPr>
              <w:pStyle w:val="TableContents"/>
              <w:spacing w:before="0" w:after="283"/>
              <w:rPr>
                <w:sz w:val="20"/>
              </w:rPr>
            </w:pPr>
            <w:r>
              <w:rPr>
                <w:sz w:val="20"/>
              </w:rPr>
              <w:t xml:space="preserve">Title: </w:t>
            </w:r>
          </w:p>
        </w:tc>
        <w:tc>
          <w:tcPr>
            <w:tcW w:w="1880" w:type="dxa"/>
            <w:tcBorders/>
            <w:shd w:fill="auto" w:val="clear"/>
            <w:vAlign w:val="center"/>
          </w:tcPr>
          <w:p>
            <w:pPr>
              <w:pStyle w:val="TableContents"/>
              <w:spacing w:before="0" w:after="283"/>
              <w:rPr>
                <w:sz w:val="20"/>
              </w:rPr>
            </w:pPr>
            <w:r>
              <w:rPr>
                <w:sz w:val="20"/>
              </w:rPr>
              <w:t>Chief Financial Officer</w:t>
            </w:r>
          </w:p>
        </w:tc>
        <w:tc>
          <w:tcPr>
            <w:tcW w:w="75" w:type="dxa"/>
            <w:tcBorders/>
            <w:shd w:fill="auto" w:val="clear"/>
            <w:vAlign w:val="center"/>
          </w:tcPr>
          <w:p>
            <w:pPr>
              <w:pStyle w:val="TableContents"/>
              <w:spacing w:before="0" w:after="283"/>
              <w:rPr/>
            </w:pPr>
            <w:r>
              <w:rPr/>
              <w:t> </w:t>
            </w:r>
          </w:p>
        </w:tc>
      </w:tr>
    </w:tbl>
    <w:p>
      <w:pPr>
        <w:pStyle w:val="TextBody"/>
        <w:spacing w:before="0" w:after="0"/>
        <w:jc w:val="center"/>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2" w:name="poa"/>
      <w:bookmarkEnd w:id="2"/>
      <w:r>
        <w:rPr>
          <w:rFonts w:ascii="Times New Roman;Times;Serif" w:hAnsi="Times New Roman;Times;Serif"/>
          <w:b/>
          <w:i w:val="false"/>
          <w:caps w:val="false"/>
          <w:smallCaps w:val="false"/>
          <w:sz w:val="20"/>
        </w:rPr>
        <w:t>POWER OF ATTORNEY</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PERSONS BY THESE PRESENTS, that each person whose signature appears below hereby constitutes and appoints Peter Rawlinson and Sherry House, and each of them,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any and all additional registration statements pursuant to Rule 462(b) of the Securities Act of 1933, and to file the same, with all exhibits thereto, and all other documents in connection therewith, with the Securities and Exchange Commission, granting unto each said attorney-in-fact and agents full power and authority to do and perform each and every act in person, hereby ratifying and confirming all that said attorneys-in-fact and agents or either of them or their or his or her substitute or substitutes may lawfully do or cause to be done by virtue hereof.</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spacing w:before="0" w:after="0"/>
        <w:ind w:left="0" w:right="0" w:firstLine="360"/>
        <w:rPr>
          <w:caps w:val="false"/>
          <w:smallCaps w:val="false"/>
        </w:rPr>
      </w:pPr>
      <w:r>
        <w:rPr>
          <w:caps w:val="false"/>
          <w:smallCaps w:val="false"/>
        </w:rPr>
        <w:t> </w:t>
      </w:r>
    </w:p>
    <w:tbl>
      <w:tblPr>
        <w:tblW w:w="9210" w:type="dxa"/>
        <w:jc w:val="left"/>
        <w:tblInd w:w="0" w:type="dxa"/>
        <w:tblCellMar>
          <w:top w:w="0" w:type="dxa"/>
          <w:left w:w="0" w:type="dxa"/>
          <w:bottom w:w="0" w:type="dxa"/>
          <w:right w:w="0" w:type="dxa"/>
        </w:tblCellMar>
      </w:tblPr>
      <w:tblGrid>
        <w:gridCol w:w="2390"/>
        <w:gridCol w:w="5165"/>
        <w:gridCol w:w="1655"/>
      </w:tblGrid>
      <w:tr>
        <w:trPr/>
        <w:tc>
          <w:tcPr>
            <w:tcW w:w="2390" w:type="dxa"/>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p>
            <w:pPr>
              <w:pStyle w:val="TableContents"/>
              <w:spacing w:before="0" w:after="0"/>
              <w:ind w:left="0" w:right="0" w:hanging="0"/>
              <w:jc w:val="center"/>
              <w:rPr>
                <w:caps w:val="false"/>
                <w:smallCaps w:val="false"/>
              </w:rPr>
            </w:pPr>
            <w:r>
              <w:rPr>
                <w:caps w:val="false"/>
                <w:smallCaps w:val="false"/>
              </w:rPr>
              <w:t> </w:t>
            </w:r>
          </w:p>
        </w:tc>
        <w:tc>
          <w:tcPr>
            <w:tcW w:w="5165" w:type="dxa"/>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p>
            <w:pPr>
              <w:pStyle w:val="TableContents"/>
              <w:spacing w:before="0" w:after="0"/>
              <w:ind w:left="0" w:right="0" w:hanging="0"/>
              <w:jc w:val="center"/>
              <w:rPr>
                <w:caps w:val="false"/>
                <w:smallCaps w:val="false"/>
              </w:rPr>
            </w:pPr>
            <w:r>
              <w:rPr>
                <w:caps w:val="false"/>
                <w:smallCaps w:val="false"/>
              </w:rPr>
              <w:t> </w:t>
            </w:r>
          </w:p>
        </w:tc>
        <w:tc>
          <w:tcPr>
            <w:tcW w:w="1655" w:type="dxa"/>
            <w:tcBorders/>
            <w:shd w:fill="auto" w:val="clear"/>
            <w:vAlign w:val="center"/>
          </w:tcPr>
          <w:p>
            <w:pPr>
              <w:pStyle w:val="TableContents"/>
              <w:spacing w:before="0" w:after="283"/>
              <w:jc w:val="center"/>
              <w:rPr>
                <w:b/>
                <w:sz w:val="20"/>
              </w:rPr>
            </w:pPr>
            <w:r>
              <w:rPr>
                <w:b/>
                <w:sz w:val="20"/>
              </w:rPr>
              <w:t>Date</w:t>
            </w:r>
          </w:p>
        </w:tc>
      </w:tr>
      <w:tr>
        <w:trPr/>
        <w:tc>
          <w:tcPr>
            <w:tcW w:w="2390" w:type="dxa"/>
            <w:tcBorders/>
            <w:shd w:fill="auto" w:val="clear"/>
            <w:vAlign w:val="center"/>
          </w:tcPr>
          <w:p>
            <w:pPr>
              <w:pStyle w:val="TableContents"/>
              <w:spacing w:before="0" w:after="283"/>
              <w:rPr/>
            </w:pPr>
            <w:r>
              <w:rPr/>
              <w:t> </w:t>
            </w:r>
          </w:p>
        </w:tc>
        <w:tc>
          <w:tcPr>
            <w:tcW w:w="5165" w:type="dxa"/>
            <w:tcBorders/>
            <w:shd w:fill="auto" w:val="clear"/>
            <w:vAlign w:val="center"/>
          </w:tcPr>
          <w:p>
            <w:pPr>
              <w:pStyle w:val="TableContents"/>
              <w:spacing w:before="0" w:after="283"/>
              <w:rPr/>
            </w:pPr>
            <w:r>
              <w:rPr/>
              <w:t> </w:t>
            </w:r>
          </w:p>
        </w:tc>
        <w:tc>
          <w:tcPr>
            <w:tcW w:w="1655" w:type="dxa"/>
            <w:tcBorders/>
            <w:shd w:fill="auto" w:val="clear"/>
            <w:vAlign w:val="center"/>
          </w:tcPr>
          <w:p>
            <w:pPr>
              <w:pStyle w:val="TableContents"/>
              <w:spacing w:before="0" w:after="283"/>
              <w:rPr/>
            </w:pPr>
            <w:r>
              <w:rPr/>
              <w:t> </w:t>
            </w:r>
          </w:p>
        </w:tc>
      </w:tr>
      <w:tr>
        <w:trPr/>
        <w:tc>
          <w:tcPr>
            <w:tcW w:w="2390" w:type="dxa"/>
            <w:tcBorders/>
            <w:shd w:fill="auto" w:val="clear"/>
            <w:vAlign w:val="center"/>
          </w:tcPr>
          <w:p>
            <w:pPr>
              <w:pStyle w:val="TableContents"/>
              <w:pBdr>
                <w:bottom w:val="single" w:sz="8" w:space="1" w:color="000000"/>
              </w:pBdr>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/s/ Peter Rawlinson</w:t>
            </w:r>
          </w:p>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Rawlinson</w:t>
            </w:r>
          </w:p>
        </w:tc>
        <w:tc>
          <w:tcPr>
            <w:tcW w:w="5165" w:type="dxa"/>
            <w:tcBorders/>
            <w:shd w:fill="auto" w:val="clear"/>
            <w:vAlign w:val="center"/>
          </w:tcPr>
          <w:p>
            <w:pPr>
              <w:pStyle w:val="TableContents"/>
              <w:spacing w:before="0" w:after="283"/>
              <w:jc w:val="center"/>
              <w:rPr>
                <w:sz w:val="20"/>
              </w:rPr>
            </w:pPr>
            <w:r>
              <w:rPr>
                <w:sz w:val="20"/>
              </w:rPr>
              <w:t>Chief Executive Officer, Chief Technology Officer and Director</w:t>
              <w:br/>
              <w:t>(principal executive officer)</w:t>
            </w:r>
          </w:p>
        </w:tc>
        <w:tc>
          <w:tcPr>
            <w:tcW w:w="1655" w:type="dxa"/>
            <w:tcBorders/>
            <w:shd w:fill="auto" w:val="clear"/>
            <w:vAlign w:val="center"/>
          </w:tcPr>
          <w:p>
            <w:pPr>
              <w:pStyle w:val="TableContents"/>
              <w:spacing w:before="0" w:after="283"/>
              <w:jc w:val="center"/>
              <w:rPr>
                <w:sz w:val="20"/>
              </w:rPr>
            </w:pPr>
            <w:r>
              <w:rPr>
                <w:sz w:val="20"/>
              </w:rPr>
              <w:t>September 24, 2021</w:t>
            </w:r>
          </w:p>
        </w:tc>
      </w:tr>
      <w:tr>
        <w:trPr/>
        <w:tc>
          <w:tcPr>
            <w:tcW w:w="2390" w:type="dxa"/>
            <w:tcBorders/>
            <w:shd w:fill="auto" w:val="clear"/>
            <w:vAlign w:val="center"/>
          </w:tcPr>
          <w:p>
            <w:pPr>
              <w:pStyle w:val="TableContents"/>
              <w:spacing w:before="0" w:after="283"/>
              <w:rPr/>
            </w:pPr>
            <w:r>
              <w:rPr/>
              <w:t> </w:t>
            </w:r>
          </w:p>
        </w:tc>
        <w:tc>
          <w:tcPr>
            <w:tcW w:w="5165" w:type="dxa"/>
            <w:tcBorders/>
            <w:shd w:fill="auto" w:val="clear"/>
            <w:vAlign w:val="center"/>
          </w:tcPr>
          <w:p>
            <w:pPr>
              <w:pStyle w:val="TableContents"/>
              <w:spacing w:before="0" w:after="283"/>
              <w:rPr/>
            </w:pPr>
            <w:r>
              <w:rPr/>
              <w:t> </w:t>
            </w:r>
          </w:p>
        </w:tc>
        <w:tc>
          <w:tcPr>
            <w:tcW w:w="1655" w:type="dxa"/>
            <w:tcBorders/>
            <w:shd w:fill="auto" w:val="clear"/>
            <w:vAlign w:val="center"/>
          </w:tcPr>
          <w:p>
            <w:pPr>
              <w:pStyle w:val="TableContents"/>
              <w:spacing w:before="0" w:after="283"/>
              <w:rPr/>
            </w:pPr>
            <w:r>
              <w:rPr/>
              <w:t> </w:t>
            </w:r>
          </w:p>
        </w:tc>
      </w:tr>
      <w:tr>
        <w:trPr/>
        <w:tc>
          <w:tcPr>
            <w:tcW w:w="2390" w:type="dxa"/>
            <w:tcBorders/>
            <w:shd w:fill="auto" w:val="clear"/>
            <w:vAlign w:val="center"/>
          </w:tcPr>
          <w:p>
            <w:pPr>
              <w:pStyle w:val="TableContents"/>
              <w:pBdr>
                <w:bottom w:val="single" w:sz="8" w:space="1" w:color="000000"/>
              </w:pBdr>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/s/ Sherry House</w:t>
            </w:r>
          </w:p>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Sherry House</w:t>
            </w:r>
          </w:p>
        </w:tc>
        <w:tc>
          <w:tcPr>
            <w:tcW w:w="5165" w:type="dxa"/>
            <w:tcBorders/>
            <w:shd w:fill="auto" w:val="clear"/>
            <w:vAlign w:val="center"/>
          </w:tcPr>
          <w:p>
            <w:pPr>
              <w:pStyle w:val="TableContents"/>
              <w:spacing w:before="0" w:after="283"/>
              <w:jc w:val="center"/>
              <w:rPr>
                <w:sz w:val="20"/>
              </w:rPr>
            </w:pPr>
            <w:r>
              <w:rPr>
                <w:sz w:val="20"/>
              </w:rPr>
              <w:t>Chief Financial Officer</w:t>
              <w:br/>
              <w:t>(principal financial and principal accounting officer)</w:t>
            </w:r>
          </w:p>
        </w:tc>
        <w:tc>
          <w:tcPr>
            <w:tcW w:w="1655" w:type="dxa"/>
            <w:tcBorders/>
            <w:shd w:fill="auto" w:val="clear"/>
            <w:vAlign w:val="center"/>
          </w:tcPr>
          <w:p>
            <w:pPr>
              <w:pStyle w:val="TableContents"/>
              <w:spacing w:before="0" w:after="283"/>
              <w:jc w:val="center"/>
              <w:rPr>
                <w:sz w:val="20"/>
              </w:rPr>
            </w:pPr>
            <w:r>
              <w:rPr>
                <w:sz w:val="20"/>
              </w:rPr>
              <w:t>September 24, 2021</w:t>
            </w:r>
          </w:p>
        </w:tc>
      </w:tr>
      <w:tr>
        <w:trPr/>
        <w:tc>
          <w:tcPr>
            <w:tcW w:w="2390" w:type="dxa"/>
            <w:tcBorders/>
            <w:shd w:fill="auto" w:val="clear"/>
            <w:vAlign w:val="center"/>
          </w:tcPr>
          <w:p>
            <w:pPr>
              <w:pStyle w:val="TableContents"/>
              <w:spacing w:before="0" w:after="283"/>
              <w:rPr/>
            </w:pPr>
            <w:r>
              <w:rPr/>
              <w:t> </w:t>
            </w:r>
          </w:p>
        </w:tc>
        <w:tc>
          <w:tcPr>
            <w:tcW w:w="5165" w:type="dxa"/>
            <w:tcBorders/>
            <w:shd w:fill="auto" w:val="clear"/>
            <w:vAlign w:val="center"/>
          </w:tcPr>
          <w:p>
            <w:pPr>
              <w:pStyle w:val="TableContents"/>
              <w:spacing w:before="0" w:after="283"/>
              <w:rPr/>
            </w:pPr>
            <w:r>
              <w:rPr/>
              <w:t> </w:t>
            </w:r>
          </w:p>
        </w:tc>
        <w:tc>
          <w:tcPr>
            <w:tcW w:w="1655" w:type="dxa"/>
            <w:tcBorders/>
            <w:shd w:fill="auto" w:val="clear"/>
            <w:vAlign w:val="center"/>
          </w:tcPr>
          <w:p>
            <w:pPr>
              <w:pStyle w:val="TableContents"/>
              <w:spacing w:before="0" w:after="283"/>
              <w:rPr/>
            </w:pPr>
            <w:r>
              <w:rPr/>
              <w:t> </w:t>
            </w:r>
          </w:p>
        </w:tc>
      </w:tr>
      <w:tr>
        <w:trPr/>
        <w:tc>
          <w:tcPr>
            <w:tcW w:w="2390" w:type="dxa"/>
            <w:tcBorders/>
            <w:shd w:fill="auto" w:val="clear"/>
            <w:vAlign w:val="center"/>
          </w:tcPr>
          <w:p>
            <w:pPr>
              <w:pStyle w:val="TableContents"/>
              <w:pBdr>
                <w:bottom w:val="single" w:sz="8" w:space="1" w:color="000000"/>
              </w:pBdr>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/s/ Turqi Alnowaiser</w:t>
            </w:r>
          </w:p>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Turqi Alnowaiser</w:t>
            </w:r>
          </w:p>
        </w:tc>
        <w:tc>
          <w:tcPr>
            <w:tcW w:w="5165" w:type="dxa"/>
            <w:tcBorders/>
            <w:shd w:fill="auto" w:val="clear"/>
            <w:vAlign w:val="center"/>
          </w:tcPr>
          <w:p>
            <w:pPr>
              <w:pStyle w:val="TableContents"/>
              <w:spacing w:before="0" w:after="283"/>
              <w:jc w:val="center"/>
              <w:rPr>
                <w:sz w:val="20"/>
              </w:rPr>
            </w:pPr>
            <w:r>
              <w:rPr>
                <w:sz w:val="20"/>
              </w:rPr>
              <w:t>Director</w:t>
            </w:r>
          </w:p>
        </w:tc>
        <w:tc>
          <w:tcPr>
            <w:tcW w:w="1655" w:type="dxa"/>
            <w:tcBorders/>
            <w:shd w:fill="auto" w:val="clear"/>
            <w:vAlign w:val="center"/>
          </w:tcPr>
          <w:p>
            <w:pPr>
              <w:pStyle w:val="TableContents"/>
              <w:spacing w:before="0" w:after="283"/>
              <w:jc w:val="center"/>
              <w:rPr>
                <w:sz w:val="20"/>
              </w:rPr>
            </w:pPr>
            <w:r>
              <w:rPr>
                <w:sz w:val="20"/>
              </w:rPr>
              <w:t>September 24, 2021</w:t>
            </w:r>
          </w:p>
        </w:tc>
      </w:tr>
      <w:tr>
        <w:trPr/>
        <w:tc>
          <w:tcPr>
            <w:tcW w:w="2390" w:type="dxa"/>
            <w:tcBorders/>
            <w:shd w:fill="auto" w:val="clear"/>
            <w:vAlign w:val="center"/>
          </w:tcPr>
          <w:p>
            <w:pPr>
              <w:pStyle w:val="TableContents"/>
              <w:spacing w:before="0" w:after="283"/>
              <w:rPr/>
            </w:pPr>
            <w:r>
              <w:rPr/>
              <w:t> </w:t>
            </w:r>
          </w:p>
        </w:tc>
        <w:tc>
          <w:tcPr>
            <w:tcW w:w="5165" w:type="dxa"/>
            <w:tcBorders/>
            <w:shd w:fill="auto" w:val="clear"/>
            <w:vAlign w:val="center"/>
          </w:tcPr>
          <w:p>
            <w:pPr>
              <w:pStyle w:val="TableContents"/>
              <w:spacing w:before="0" w:after="283"/>
              <w:rPr/>
            </w:pPr>
            <w:r>
              <w:rPr/>
              <w:t> </w:t>
            </w:r>
          </w:p>
        </w:tc>
        <w:tc>
          <w:tcPr>
            <w:tcW w:w="1655" w:type="dxa"/>
            <w:tcBorders/>
            <w:shd w:fill="auto" w:val="clear"/>
            <w:vAlign w:val="center"/>
          </w:tcPr>
          <w:p>
            <w:pPr>
              <w:pStyle w:val="TableContents"/>
              <w:spacing w:before="0" w:after="283"/>
              <w:rPr/>
            </w:pPr>
            <w:r>
              <w:rPr/>
              <w:t> </w:t>
            </w:r>
          </w:p>
        </w:tc>
      </w:tr>
      <w:tr>
        <w:trPr/>
        <w:tc>
          <w:tcPr>
            <w:tcW w:w="2390" w:type="dxa"/>
            <w:tcBorders/>
            <w:shd w:fill="auto" w:val="clear"/>
            <w:vAlign w:val="center"/>
          </w:tcPr>
          <w:p>
            <w:pPr>
              <w:pStyle w:val="TableContents"/>
              <w:pBdr>
                <w:bottom w:val="single" w:sz="8" w:space="1" w:color="000000"/>
              </w:pBdr>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/s/ Glenn R. August</w:t>
            </w:r>
          </w:p>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Glenn R. August</w:t>
            </w:r>
          </w:p>
        </w:tc>
        <w:tc>
          <w:tcPr>
            <w:tcW w:w="5165" w:type="dxa"/>
            <w:tcBorders/>
            <w:shd w:fill="auto" w:val="clear"/>
            <w:vAlign w:val="center"/>
          </w:tcPr>
          <w:p>
            <w:pPr>
              <w:pStyle w:val="TableContents"/>
              <w:spacing w:before="0" w:after="283"/>
              <w:jc w:val="center"/>
              <w:rPr>
                <w:sz w:val="20"/>
              </w:rPr>
            </w:pPr>
            <w:r>
              <w:rPr>
                <w:sz w:val="20"/>
              </w:rPr>
              <w:t xml:space="preserve">Director </w:t>
            </w:r>
          </w:p>
        </w:tc>
        <w:tc>
          <w:tcPr>
            <w:tcW w:w="1655" w:type="dxa"/>
            <w:tcBorders/>
            <w:shd w:fill="auto" w:val="clear"/>
            <w:vAlign w:val="center"/>
          </w:tcPr>
          <w:p>
            <w:pPr>
              <w:pStyle w:val="TableContents"/>
              <w:spacing w:before="0" w:after="283"/>
              <w:jc w:val="center"/>
              <w:rPr>
                <w:sz w:val="20"/>
              </w:rPr>
            </w:pPr>
            <w:r>
              <w:rPr>
                <w:sz w:val="20"/>
              </w:rPr>
              <w:t>September 24, 2021</w:t>
            </w:r>
          </w:p>
        </w:tc>
      </w:tr>
      <w:tr>
        <w:trPr/>
        <w:tc>
          <w:tcPr>
            <w:tcW w:w="2390" w:type="dxa"/>
            <w:tcBorders/>
            <w:shd w:fill="auto" w:val="clear"/>
            <w:vAlign w:val="center"/>
          </w:tcPr>
          <w:p>
            <w:pPr>
              <w:pStyle w:val="TableContents"/>
              <w:spacing w:before="0" w:after="283"/>
              <w:rPr/>
            </w:pPr>
            <w:r>
              <w:rPr/>
              <w:t> </w:t>
            </w:r>
          </w:p>
        </w:tc>
        <w:tc>
          <w:tcPr>
            <w:tcW w:w="5165" w:type="dxa"/>
            <w:tcBorders/>
            <w:shd w:fill="auto" w:val="clear"/>
            <w:vAlign w:val="center"/>
          </w:tcPr>
          <w:p>
            <w:pPr>
              <w:pStyle w:val="TableContents"/>
              <w:spacing w:before="0" w:after="283"/>
              <w:rPr/>
            </w:pPr>
            <w:r>
              <w:rPr/>
              <w:t> </w:t>
            </w:r>
          </w:p>
        </w:tc>
        <w:tc>
          <w:tcPr>
            <w:tcW w:w="1655" w:type="dxa"/>
            <w:tcBorders/>
            <w:shd w:fill="auto" w:val="clear"/>
            <w:vAlign w:val="center"/>
          </w:tcPr>
          <w:p>
            <w:pPr>
              <w:pStyle w:val="TableContents"/>
              <w:spacing w:before="0" w:after="283"/>
              <w:rPr/>
            </w:pPr>
            <w:r>
              <w:rPr/>
              <w:t> </w:t>
            </w:r>
          </w:p>
        </w:tc>
      </w:tr>
      <w:tr>
        <w:trPr/>
        <w:tc>
          <w:tcPr>
            <w:tcW w:w="2390" w:type="dxa"/>
            <w:tcBorders/>
            <w:shd w:fill="auto" w:val="clear"/>
            <w:vAlign w:val="center"/>
          </w:tcPr>
          <w:p>
            <w:pPr>
              <w:pStyle w:val="TableContents"/>
              <w:pBdr>
                <w:bottom w:val="single" w:sz="8" w:space="1" w:color="000000"/>
              </w:pBdr>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/s/ Nancy Gioia</w:t>
            </w:r>
          </w:p>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Nancy Gioia</w:t>
            </w:r>
          </w:p>
        </w:tc>
        <w:tc>
          <w:tcPr>
            <w:tcW w:w="5165" w:type="dxa"/>
            <w:tcBorders/>
            <w:shd w:fill="auto" w:val="clear"/>
            <w:vAlign w:val="center"/>
          </w:tcPr>
          <w:p>
            <w:pPr>
              <w:pStyle w:val="TableContents"/>
              <w:spacing w:before="0" w:after="283"/>
              <w:jc w:val="center"/>
              <w:rPr>
                <w:sz w:val="20"/>
              </w:rPr>
            </w:pPr>
            <w:r>
              <w:rPr>
                <w:sz w:val="20"/>
              </w:rPr>
              <w:t>Director</w:t>
            </w:r>
          </w:p>
        </w:tc>
        <w:tc>
          <w:tcPr>
            <w:tcW w:w="1655" w:type="dxa"/>
            <w:tcBorders/>
            <w:shd w:fill="auto" w:val="clear"/>
            <w:vAlign w:val="center"/>
          </w:tcPr>
          <w:p>
            <w:pPr>
              <w:pStyle w:val="TableContents"/>
              <w:spacing w:before="0" w:after="283"/>
              <w:jc w:val="center"/>
              <w:rPr>
                <w:sz w:val="20"/>
              </w:rPr>
            </w:pPr>
            <w:r>
              <w:rPr>
                <w:sz w:val="20"/>
              </w:rPr>
              <w:t>September 24, 2021</w:t>
            </w:r>
          </w:p>
        </w:tc>
      </w:tr>
      <w:tr>
        <w:trPr/>
        <w:tc>
          <w:tcPr>
            <w:tcW w:w="2390" w:type="dxa"/>
            <w:tcBorders/>
            <w:shd w:fill="auto" w:val="clear"/>
            <w:vAlign w:val="center"/>
          </w:tcPr>
          <w:p>
            <w:pPr>
              <w:pStyle w:val="TableContents"/>
              <w:spacing w:before="0" w:after="283"/>
              <w:rPr/>
            </w:pPr>
            <w:r>
              <w:rPr/>
              <w:t> </w:t>
            </w:r>
          </w:p>
        </w:tc>
        <w:tc>
          <w:tcPr>
            <w:tcW w:w="5165" w:type="dxa"/>
            <w:tcBorders/>
            <w:shd w:fill="auto" w:val="clear"/>
            <w:vAlign w:val="center"/>
          </w:tcPr>
          <w:p>
            <w:pPr>
              <w:pStyle w:val="TableContents"/>
              <w:spacing w:before="0" w:after="283"/>
              <w:rPr/>
            </w:pPr>
            <w:r>
              <w:rPr/>
              <w:t> </w:t>
            </w:r>
          </w:p>
        </w:tc>
        <w:tc>
          <w:tcPr>
            <w:tcW w:w="1655" w:type="dxa"/>
            <w:tcBorders/>
            <w:shd w:fill="auto" w:val="clear"/>
            <w:vAlign w:val="center"/>
          </w:tcPr>
          <w:p>
            <w:pPr>
              <w:pStyle w:val="TableContents"/>
              <w:spacing w:before="0" w:after="283"/>
              <w:rPr/>
            </w:pPr>
            <w:r>
              <w:rPr/>
              <w:t> </w:t>
            </w:r>
          </w:p>
        </w:tc>
      </w:tr>
      <w:tr>
        <w:trPr/>
        <w:tc>
          <w:tcPr>
            <w:tcW w:w="2390" w:type="dxa"/>
            <w:tcBorders/>
            <w:shd w:fill="auto" w:val="clear"/>
            <w:vAlign w:val="center"/>
          </w:tcPr>
          <w:p>
            <w:pPr>
              <w:pStyle w:val="TableContents"/>
              <w:pBdr>
                <w:bottom w:val="single" w:sz="8" w:space="1" w:color="000000"/>
              </w:pBdr>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/s/ Frank Lindenberg</w:t>
            </w:r>
          </w:p>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Frank Lindenberg</w:t>
            </w:r>
          </w:p>
        </w:tc>
        <w:tc>
          <w:tcPr>
            <w:tcW w:w="5165" w:type="dxa"/>
            <w:tcBorders/>
            <w:shd w:fill="auto" w:val="clear"/>
            <w:vAlign w:val="center"/>
          </w:tcPr>
          <w:p>
            <w:pPr>
              <w:pStyle w:val="TableContents"/>
              <w:spacing w:before="0" w:after="283"/>
              <w:jc w:val="center"/>
              <w:rPr>
                <w:sz w:val="20"/>
              </w:rPr>
            </w:pPr>
            <w:r>
              <w:rPr>
                <w:sz w:val="20"/>
              </w:rPr>
              <w:t>Director</w:t>
            </w:r>
          </w:p>
        </w:tc>
        <w:tc>
          <w:tcPr>
            <w:tcW w:w="1655" w:type="dxa"/>
            <w:tcBorders/>
            <w:shd w:fill="auto" w:val="clear"/>
            <w:vAlign w:val="center"/>
          </w:tcPr>
          <w:p>
            <w:pPr>
              <w:pStyle w:val="TableContents"/>
              <w:spacing w:before="0" w:after="283"/>
              <w:jc w:val="center"/>
              <w:rPr>
                <w:sz w:val="20"/>
              </w:rPr>
            </w:pPr>
            <w:r>
              <w:rPr>
                <w:sz w:val="20"/>
              </w:rPr>
              <w:t>September 24, 2021</w:t>
            </w:r>
          </w:p>
        </w:tc>
      </w:tr>
      <w:tr>
        <w:trPr/>
        <w:tc>
          <w:tcPr>
            <w:tcW w:w="2390" w:type="dxa"/>
            <w:tcBorders/>
            <w:shd w:fill="auto" w:val="clear"/>
            <w:vAlign w:val="center"/>
          </w:tcPr>
          <w:p>
            <w:pPr>
              <w:pStyle w:val="TableContents"/>
              <w:spacing w:before="0" w:after="283"/>
              <w:rPr/>
            </w:pPr>
            <w:r>
              <w:rPr/>
              <w:t> </w:t>
            </w:r>
          </w:p>
        </w:tc>
        <w:tc>
          <w:tcPr>
            <w:tcW w:w="5165" w:type="dxa"/>
            <w:tcBorders/>
            <w:shd w:fill="auto" w:val="clear"/>
            <w:vAlign w:val="center"/>
          </w:tcPr>
          <w:p>
            <w:pPr>
              <w:pStyle w:val="TableContents"/>
              <w:spacing w:before="0" w:after="283"/>
              <w:rPr/>
            </w:pPr>
            <w:r>
              <w:rPr/>
              <w:t> </w:t>
            </w:r>
          </w:p>
        </w:tc>
        <w:tc>
          <w:tcPr>
            <w:tcW w:w="1655" w:type="dxa"/>
            <w:tcBorders/>
            <w:shd w:fill="auto" w:val="clear"/>
            <w:vAlign w:val="center"/>
          </w:tcPr>
          <w:p>
            <w:pPr>
              <w:pStyle w:val="TableContents"/>
              <w:spacing w:before="0" w:after="283"/>
              <w:rPr/>
            </w:pPr>
            <w:r>
              <w:rPr/>
              <w:t> </w:t>
            </w:r>
          </w:p>
        </w:tc>
      </w:tr>
      <w:tr>
        <w:trPr/>
        <w:tc>
          <w:tcPr>
            <w:tcW w:w="2390" w:type="dxa"/>
            <w:tcBorders/>
            <w:shd w:fill="auto" w:val="clear"/>
            <w:vAlign w:val="center"/>
          </w:tcPr>
          <w:p>
            <w:pPr>
              <w:pStyle w:val="TableContents"/>
              <w:pBdr>
                <w:bottom w:val="single" w:sz="8" w:space="1" w:color="000000"/>
              </w:pBdr>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/s/ Andrew Liveris</w:t>
            </w:r>
          </w:p>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Liveris</w:t>
            </w:r>
          </w:p>
        </w:tc>
        <w:tc>
          <w:tcPr>
            <w:tcW w:w="5165" w:type="dxa"/>
            <w:tcBorders/>
            <w:shd w:fill="auto" w:val="clear"/>
            <w:vAlign w:val="center"/>
          </w:tcPr>
          <w:p>
            <w:pPr>
              <w:pStyle w:val="TableContents"/>
              <w:spacing w:before="0" w:after="283"/>
              <w:jc w:val="center"/>
              <w:rPr>
                <w:sz w:val="20"/>
              </w:rPr>
            </w:pPr>
            <w:r>
              <w:rPr>
                <w:sz w:val="20"/>
              </w:rPr>
              <w:t>Director</w:t>
            </w:r>
          </w:p>
        </w:tc>
        <w:tc>
          <w:tcPr>
            <w:tcW w:w="1655" w:type="dxa"/>
            <w:tcBorders/>
            <w:shd w:fill="auto" w:val="clear"/>
            <w:vAlign w:val="center"/>
          </w:tcPr>
          <w:p>
            <w:pPr>
              <w:pStyle w:val="TableContents"/>
              <w:spacing w:before="0" w:after="283"/>
              <w:jc w:val="center"/>
              <w:rPr>
                <w:sz w:val="20"/>
              </w:rPr>
            </w:pPr>
            <w:r>
              <w:rPr>
                <w:sz w:val="20"/>
              </w:rPr>
              <w:t>September 24, 2021</w:t>
            </w:r>
          </w:p>
        </w:tc>
      </w:tr>
      <w:tr>
        <w:trPr/>
        <w:tc>
          <w:tcPr>
            <w:tcW w:w="2390" w:type="dxa"/>
            <w:tcBorders/>
            <w:shd w:fill="auto" w:val="clear"/>
            <w:vAlign w:val="center"/>
          </w:tcPr>
          <w:p>
            <w:pPr>
              <w:pStyle w:val="TableContents"/>
              <w:spacing w:before="0" w:after="283"/>
              <w:jc w:val="center"/>
              <w:rPr/>
            </w:pPr>
            <w:r>
              <w:rPr/>
              <w:t> </w:t>
            </w:r>
          </w:p>
        </w:tc>
        <w:tc>
          <w:tcPr>
            <w:tcW w:w="5165" w:type="dxa"/>
            <w:tcBorders/>
            <w:shd w:fill="auto" w:val="clear"/>
            <w:vAlign w:val="center"/>
          </w:tcPr>
          <w:p>
            <w:pPr>
              <w:pStyle w:val="TableContents"/>
              <w:spacing w:before="0" w:after="283"/>
              <w:jc w:val="center"/>
              <w:rPr/>
            </w:pPr>
            <w:r>
              <w:rPr/>
              <w:t> </w:t>
            </w:r>
          </w:p>
        </w:tc>
        <w:tc>
          <w:tcPr>
            <w:tcW w:w="1655" w:type="dxa"/>
            <w:tcBorders/>
            <w:shd w:fill="auto" w:val="clear"/>
            <w:vAlign w:val="center"/>
          </w:tcPr>
          <w:p>
            <w:pPr>
              <w:pStyle w:val="TableContents"/>
              <w:spacing w:before="0" w:after="283"/>
              <w:jc w:val="center"/>
              <w:rPr/>
            </w:pPr>
            <w:r>
              <w:rPr/>
              <w:t> </w:t>
            </w:r>
          </w:p>
        </w:tc>
      </w:tr>
      <w:tr>
        <w:trPr/>
        <w:tc>
          <w:tcPr>
            <w:tcW w:w="2390" w:type="dxa"/>
            <w:tcBorders/>
            <w:shd w:fill="auto" w:val="clear"/>
            <w:vAlign w:val="center"/>
          </w:tcPr>
          <w:p>
            <w:pPr>
              <w:pStyle w:val="TableContents"/>
              <w:pBdr>
                <w:bottom w:val="single" w:sz="8" w:space="1" w:color="000000"/>
              </w:pBdr>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/s/ Nichelle Maynard-Elliott</w:t>
            </w:r>
          </w:p>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Nichelle Maynard-Elliott</w:t>
            </w:r>
          </w:p>
        </w:tc>
        <w:tc>
          <w:tcPr>
            <w:tcW w:w="5165" w:type="dxa"/>
            <w:tcBorders/>
            <w:shd w:fill="auto" w:val="clear"/>
            <w:vAlign w:val="center"/>
          </w:tcPr>
          <w:p>
            <w:pPr>
              <w:pStyle w:val="TableContents"/>
              <w:spacing w:before="0" w:after="283"/>
              <w:jc w:val="center"/>
              <w:rPr>
                <w:sz w:val="20"/>
              </w:rPr>
            </w:pPr>
            <w:r>
              <w:rPr>
                <w:sz w:val="20"/>
              </w:rPr>
              <w:t>Director</w:t>
            </w:r>
          </w:p>
        </w:tc>
        <w:tc>
          <w:tcPr>
            <w:tcW w:w="1655" w:type="dxa"/>
            <w:tcBorders/>
            <w:shd w:fill="auto" w:val="clear"/>
            <w:vAlign w:val="center"/>
          </w:tcPr>
          <w:p>
            <w:pPr>
              <w:pStyle w:val="TableContents"/>
              <w:spacing w:before="0" w:after="283"/>
              <w:jc w:val="center"/>
              <w:rPr>
                <w:sz w:val="20"/>
              </w:rPr>
            </w:pPr>
            <w:r>
              <w:rPr>
                <w:sz w:val="20"/>
              </w:rPr>
              <w:t>September 24, 2021</w:t>
            </w:r>
          </w:p>
        </w:tc>
      </w:tr>
      <w:tr>
        <w:trPr/>
        <w:tc>
          <w:tcPr>
            <w:tcW w:w="2390" w:type="dxa"/>
            <w:tcBorders/>
            <w:shd w:fill="auto" w:val="clear"/>
            <w:vAlign w:val="center"/>
          </w:tcPr>
          <w:p>
            <w:pPr>
              <w:pStyle w:val="TableContents"/>
              <w:spacing w:before="0" w:after="283"/>
              <w:jc w:val="center"/>
              <w:rPr/>
            </w:pPr>
            <w:r>
              <w:rPr/>
              <w:t> </w:t>
            </w:r>
          </w:p>
        </w:tc>
        <w:tc>
          <w:tcPr>
            <w:tcW w:w="5165" w:type="dxa"/>
            <w:tcBorders/>
            <w:shd w:fill="auto" w:val="clear"/>
            <w:vAlign w:val="center"/>
          </w:tcPr>
          <w:p>
            <w:pPr>
              <w:pStyle w:val="TableContents"/>
              <w:spacing w:before="0" w:after="283"/>
              <w:jc w:val="center"/>
              <w:rPr/>
            </w:pPr>
            <w:r>
              <w:rPr/>
              <w:t> </w:t>
            </w:r>
          </w:p>
        </w:tc>
        <w:tc>
          <w:tcPr>
            <w:tcW w:w="1655" w:type="dxa"/>
            <w:tcBorders/>
            <w:shd w:fill="auto" w:val="clear"/>
            <w:vAlign w:val="center"/>
          </w:tcPr>
          <w:p>
            <w:pPr>
              <w:pStyle w:val="TableContents"/>
              <w:spacing w:before="0" w:after="283"/>
              <w:jc w:val="center"/>
              <w:rPr/>
            </w:pPr>
            <w:r>
              <w:rPr/>
              <w:t> </w:t>
            </w:r>
          </w:p>
        </w:tc>
      </w:tr>
      <w:tr>
        <w:trPr/>
        <w:tc>
          <w:tcPr>
            <w:tcW w:w="2390" w:type="dxa"/>
            <w:tcBorders/>
            <w:shd w:fill="auto" w:val="clear"/>
            <w:vAlign w:val="center"/>
          </w:tcPr>
          <w:p>
            <w:pPr>
              <w:pStyle w:val="TableContents"/>
              <w:pBdr>
                <w:bottom w:val="single" w:sz="8" w:space="1" w:color="000000"/>
              </w:pBdr>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/s/ Tony Posawatz</w:t>
            </w:r>
          </w:p>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Tony Posawatz</w:t>
            </w:r>
          </w:p>
        </w:tc>
        <w:tc>
          <w:tcPr>
            <w:tcW w:w="5165" w:type="dxa"/>
            <w:tcBorders/>
            <w:shd w:fill="auto" w:val="clear"/>
            <w:vAlign w:val="center"/>
          </w:tcPr>
          <w:p>
            <w:pPr>
              <w:pStyle w:val="TableContents"/>
              <w:spacing w:before="0" w:after="283"/>
              <w:jc w:val="center"/>
              <w:rPr>
                <w:sz w:val="20"/>
              </w:rPr>
            </w:pPr>
            <w:r>
              <w:rPr>
                <w:sz w:val="20"/>
              </w:rPr>
              <w:t>Director</w:t>
            </w:r>
          </w:p>
        </w:tc>
        <w:tc>
          <w:tcPr>
            <w:tcW w:w="1655" w:type="dxa"/>
            <w:tcBorders/>
            <w:shd w:fill="auto" w:val="clear"/>
            <w:vAlign w:val="center"/>
          </w:tcPr>
          <w:p>
            <w:pPr>
              <w:pStyle w:val="TableContents"/>
              <w:spacing w:before="0" w:after="283"/>
              <w:jc w:val="center"/>
              <w:rPr>
                <w:sz w:val="20"/>
              </w:rPr>
            </w:pPr>
            <w:r>
              <w:rPr>
                <w:sz w:val="20"/>
              </w:rPr>
              <w:t>September 24, 2021</w:t>
            </w:r>
          </w:p>
        </w:tc>
      </w:tr>
      <w:tr>
        <w:trPr/>
        <w:tc>
          <w:tcPr>
            <w:tcW w:w="2390" w:type="dxa"/>
            <w:tcBorders/>
            <w:shd w:fill="auto" w:val="clear"/>
            <w:vAlign w:val="center"/>
          </w:tcPr>
          <w:p>
            <w:pPr>
              <w:pStyle w:val="TableContents"/>
              <w:spacing w:before="0" w:after="283"/>
              <w:jc w:val="center"/>
              <w:rPr/>
            </w:pPr>
            <w:r>
              <w:rPr/>
              <w:t> </w:t>
            </w:r>
          </w:p>
        </w:tc>
        <w:tc>
          <w:tcPr>
            <w:tcW w:w="5165" w:type="dxa"/>
            <w:tcBorders/>
            <w:shd w:fill="auto" w:val="clear"/>
            <w:vAlign w:val="center"/>
          </w:tcPr>
          <w:p>
            <w:pPr>
              <w:pStyle w:val="TableContents"/>
              <w:spacing w:before="0" w:after="283"/>
              <w:jc w:val="center"/>
              <w:rPr/>
            </w:pPr>
            <w:r>
              <w:rPr/>
              <w:t> </w:t>
            </w:r>
          </w:p>
        </w:tc>
        <w:tc>
          <w:tcPr>
            <w:tcW w:w="1655" w:type="dxa"/>
            <w:tcBorders/>
            <w:shd w:fill="auto" w:val="clear"/>
            <w:vAlign w:val="center"/>
          </w:tcPr>
          <w:p>
            <w:pPr>
              <w:pStyle w:val="TableContents"/>
              <w:spacing w:before="0" w:after="283"/>
              <w:jc w:val="center"/>
              <w:rPr/>
            </w:pPr>
            <w:r>
              <w:rPr/>
              <w:t> </w:t>
            </w:r>
          </w:p>
        </w:tc>
      </w:tr>
      <w:tr>
        <w:trPr/>
        <w:tc>
          <w:tcPr>
            <w:tcW w:w="2390" w:type="dxa"/>
            <w:tcBorders/>
            <w:shd w:fill="auto" w:val="clear"/>
            <w:vAlign w:val="center"/>
          </w:tcPr>
          <w:p>
            <w:pPr>
              <w:pStyle w:val="TableContents"/>
              <w:pBdr>
                <w:bottom w:val="single" w:sz="8" w:space="1" w:color="000000"/>
              </w:pBdr>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/s/ Janet S. Wong</w:t>
            </w:r>
          </w:p>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Janet S. Wong</w:t>
            </w:r>
          </w:p>
        </w:tc>
        <w:tc>
          <w:tcPr>
            <w:tcW w:w="5165" w:type="dxa"/>
            <w:tcBorders/>
            <w:shd w:fill="auto" w:val="clear"/>
            <w:vAlign w:val="center"/>
          </w:tcPr>
          <w:p>
            <w:pPr>
              <w:pStyle w:val="TableContents"/>
              <w:spacing w:before="0" w:after="283"/>
              <w:jc w:val="center"/>
              <w:rPr>
                <w:sz w:val="20"/>
              </w:rPr>
            </w:pPr>
            <w:r>
              <w:rPr>
                <w:sz w:val="20"/>
              </w:rPr>
              <w:t>Director</w:t>
            </w:r>
          </w:p>
        </w:tc>
        <w:tc>
          <w:tcPr>
            <w:tcW w:w="1655" w:type="dxa"/>
            <w:tcBorders/>
            <w:shd w:fill="auto" w:val="clear"/>
            <w:vAlign w:val="center"/>
          </w:tcPr>
          <w:p>
            <w:pPr>
              <w:pStyle w:val="TableContents"/>
              <w:spacing w:before="0" w:after="283"/>
              <w:jc w:val="center"/>
              <w:rPr>
                <w:sz w:val="20"/>
              </w:rPr>
            </w:pPr>
            <w:r>
              <w:rPr>
                <w:sz w:val="20"/>
              </w:rPr>
              <w:t>September 24, 2021</w:t>
            </w:r>
          </w:p>
        </w:tc>
      </w:tr>
    </w:tbl>
    <w:p>
      <w:pPr>
        <w:pStyle w:val="TextBody"/>
        <w:spacing w:before="0" w:after="0"/>
        <w:jc w:val="center"/>
        <w:rPr>
          <w:caps w:val="false"/>
          <w:smallCaps w:val="false"/>
          <w:bdr w:val="single" w:sz="8" w:space="1" w:color="000000"/>
        </w:rPr>
      </w:pPr>
      <w:r>
        <w:rPr>
          <w:caps w:val="false"/>
          <w:smallCaps w:val="false"/>
          <w:bdr w:val="single" w:sz="8" w:space="1" w:color="000000"/>
        </w:rPr>
        <w:t> </w:t>
      </w:r>
      <w:r>
        <w:br w:type="page"/>
      </w:r>
    </w:p>
    <w:p>
      <w:pPr>
        <w:pStyle w:val="TextBody"/>
        <w:rPr/>
      </w:pPr>
      <w:bookmarkStart w:id="3" w:name="dp158364_ex0501.htm"/>
      <w:bookmarkStart w:id="4" w:name="ksdp158364_ex0501"/>
      <w:bookmarkEnd w:id="3"/>
      <w:bookmarkEnd w:id="4"/>
      <w:r>
        <w:rPr/>
        <w:t> </w:t>
      </w:r>
    </w:p>
    <w:p>
      <w:pPr>
        <w:pStyle w:val="TextBody"/>
        <w:rPr/>
      </w:pPr>
      <w:r>
        <w:rPr/>
        <w:t> </w:t>
      </w:r>
    </w:p>
    <w:tbl>
      <w:tblPr>
        <w:tblW w:w="2815" w:type="dxa"/>
        <w:jc w:val="left"/>
        <w:tblInd w:w="0" w:type="dxa"/>
        <w:tblCellMar>
          <w:top w:w="0" w:type="dxa"/>
          <w:left w:w="0" w:type="dxa"/>
          <w:bottom w:w="0" w:type="dxa"/>
          <w:right w:w="0" w:type="dxa"/>
        </w:tblCellMar>
      </w:tblPr>
      <w:tblGrid>
        <w:gridCol w:w="75"/>
        <w:gridCol w:w="1730"/>
        <w:gridCol w:w="1010"/>
      </w:tblGrid>
      <w:tr>
        <w:trPr/>
        <w:tc>
          <w:tcPr>
            <w:tcW w:w="75" w:type="dxa"/>
            <w:tcBorders/>
            <w:shd w:fill="auto" w:val="clear"/>
            <w:vAlign w:val="center"/>
          </w:tcPr>
          <w:p>
            <w:pPr>
              <w:pStyle w:val="TableContents"/>
              <w:spacing w:before="0" w:after="283"/>
              <w:rPr/>
            </w:pPr>
            <w:r>
              <w:rPr/>
              <w:t> </w:t>
            </w:r>
          </w:p>
        </w:tc>
        <w:tc>
          <w:tcPr>
            <w:tcW w:w="1730" w:type="dxa"/>
            <w:tcBorders/>
            <w:shd w:fill="auto" w:val="clear"/>
            <w:vAlign w:val="center"/>
          </w:tcPr>
          <w:p>
            <w:pPr>
              <w:pStyle w:val="TableContents"/>
              <w:spacing w:before="0" w:after="283"/>
              <w:rPr>
                <w:b/>
                <w:sz w:val="20"/>
              </w:rPr>
            </w:pPr>
            <w:r>
              <w:rPr>
                <w:b/>
                <w:sz w:val="20"/>
              </w:rPr>
              <w:t>New York</w:t>
              <w:br/>
              <w:t>Northern California</w:t>
              <w:br/>
              <w:t>Washington DC</w:t>
              <w:br/>
              <w:t>São Paulo</w:t>
              <w:br/>
              <w:t>London</w:t>
            </w:r>
          </w:p>
        </w:tc>
        <w:tc>
          <w:tcPr>
            <w:tcW w:w="1010" w:type="dxa"/>
            <w:tcBorders/>
            <w:shd w:fill="auto" w:val="clear"/>
            <w:vAlign w:val="center"/>
          </w:tcPr>
          <w:p>
            <w:pPr>
              <w:pStyle w:val="TableContents"/>
              <w:spacing w:before="0" w:after="283"/>
              <w:rPr>
                <w:b/>
                <w:sz w:val="20"/>
              </w:rPr>
            </w:pPr>
            <w:r>
              <w:rPr>
                <w:b/>
                <w:sz w:val="20"/>
              </w:rPr>
              <w:t>Paris</w:t>
              <w:br/>
              <w:t>Madrid</w:t>
              <w:br/>
              <w:t>Tokyo</w:t>
              <w:br/>
              <w:t>Beijing</w:t>
              <w:br/>
              <w:t>Hong Kong</w:t>
            </w:r>
          </w:p>
        </w:tc>
      </w:tr>
    </w:tbl>
    <w:p>
      <w:pPr>
        <w:pStyle w:val="TextBody"/>
        <w:rPr/>
      </w:pPr>
      <w:r>
        <w:rPr/>
        <w:t> </w:t>
      </w:r>
    </w:p>
    <w:p>
      <w:pPr>
        <w:pStyle w:val="TextBody"/>
        <w:rPr/>
      </w:pPr>
      <w:r>
        <w:rPr/>
        <w:t> </w:t>
      </w:r>
      <w:r>
        <w:rPr/>
        <w:drawing>
          <wp:inline distT="0" distB="0" distL="0" distR="0">
            <wp:extent cx="1485900" cy="285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7"/>
                    <a:stretch>
                      <a:fillRect/>
                    </a:stretch>
                  </pic:blipFill>
                  <pic:spPr bwMode="auto">
                    <a:xfrm>
                      <a:off x="0" y="0"/>
                      <a:ext cx="1485900" cy="285750"/>
                    </a:xfrm>
                    <a:prstGeom prst="rect">
                      <a:avLst/>
                    </a:prstGeom>
                  </pic:spPr>
                </pic:pic>
              </a:graphicData>
            </a:graphic>
          </wp:inline>
        </w:drawing>
      </w:r>
    </w:p>
    <w:p>
      <w:pPr>
        <w:pStyle w:val="TextBody"/>
        <w:rPr/>
      </w:pPr>
      <w:r>
        <w:rPr/>
        <w:t> </w:t>
      </w:r>
    </w:p>
    <w:tbl>
      <w:tblPr>
        <w:tblW w:w="3865" w:type="dxa"/>
        <w:jc w:val="left"/>
        <w:tblInd w:w="0" w:type="dxa"/>
        <w:tblCellMar>
          <w:top w:w="0" w:type="dxa"/>
          <w:left w:w="0" w:type="dxa"/>
          <w:bottom w:w="0" w:type="dxa"/>
          <w:right w:w="0" w:type="dxa"/>
        </w:tblCellMar>
      </w:tblPr>
      <w:tblGrid>
        <w:gridCol w:w="2330"/>
        <w:gridCol w:w="1460"/>
        <w:gridCol w:w="75"/>
      </w:tblGrid>
      <w:tr>
        <w:trPr/>
        <w:tc>
          <w:tcPr>
            <w:tcW w:w="2330"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Davis Polk &amp; Wardwell LLP</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 Lexington Avenue</w:t>
              <w:br/>
              <w:t>New York, NY 10017</w:t>
            </w:r>
          </w:p>
        </w:tc>
        <w:tc>
          <w:tcPr>
            <w:tcW w:w="1460"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212 450 4000 tel</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212 701 5800 fax</w:t>
            </w:r>
          </w:p>
          <w:p>
            <w:pPr>
              <w:pStyle w:val="TableContents"/>
              <w:spacing w:before="0" w:after="0"/>
              <w:ind w:left="0" w:right="0" w:hanging="0"/>
              <w:rPr>
                <w:caps w:val="false"/>
                <w:smallCaps w:val="false"/>
              </w:rPr>
            </w:pPr>
            <w:r>
              <w:rPr>
                <w:caps w:val="false"/>
                <w:smallCaps w:val="false"/>
              </w:rPr>
              <w:t> </w:t>
            </w:r>
          </w:p>
        </w:tc>
        <w:tc>
          <w:tcPr>
            <w:tcW w:w="75" w:type="dxa"/>
            <w:tcBorders/>
            <w:shd w:fill="auto" w:val="clear"/>
            <w:vAlign w:val="center"/>
          </w:tcPr>
          <w:p>
            <w:pPr>
              <w:pStyle w:val="TableContents"/>
              <w:spacing w:before="0" w:after="283"/>
              <w:rPr/>
            </w:pPr>
            <w:r>
              <w:rPr/>
              <w:t> </w:t>
            </w:r>
          </w:p>
        </w:tc>
      </w:tr>
    </w:tbl>
    <w:p>
      <w:pPr>
        <w:pStyle w:val="TextBody"/>
        <w:rPr/>
      </w:pPr>
      <w:r>
        <w:rPr/>
        <w:t> </w:t>
      </w:r>
    </w:p>
    <w:p>
      <w:pPr>
        <w:pStyle w:val="TextBody"/>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 5.1 AND 23.3</w:t>
      </w:r>
    </w:p>
    <w:p>
      <w:pPr>
        <w:pStyle w:val="TextBody"/>
        <w:spacing w:before="0" w:after="0"/>
        <w:ind w:left="0" w:right="0" w:hanging="0"/>
        <w:jc w:val="right"/>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OF DAVIS POLK &amp; WARDWELL LLP</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400" w:right="40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24, 2021</w:t>
      </w:r>
    </w:p>
    <w:p>
      <w:pPr>
        <w:pStyle w:val="TextBody"/>
        <w:spacing w:before="0" w:after="0"/>
        <w:ind w:left="400" w:right="40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Lucid Group, Inc.</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7373 Gateway Blvd.</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Newark, CA 94560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for Lucid Group,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 connection with the preparation and filing of a registration statement on Form S-8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with the Securities and Exchange Commission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relating to 90,346,039 shares of the Company’s Class A common stock, par value $0.0001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issuable pursuant to the Atieva, Inc. 2009 Share Plan, Atieva, Inc. 2014 Share Plan, as amended on January 11, 2021, the Atieva, Inc. 2021 Stock Incentive Plan, as amended on February 22, 2021 and the Lucid Group, Inc. 2021 Stock Incentive Plan (collectively, the “</w:t>
      </w:r>
      <w:r>
        <w:rPr>
          <w:rFonts w:ascii="Times New Roman;Times;Serif" w:hAnsi="Times New Roman;Times;Serif"/>
          <w:b/>
          <w:i w:val="false"/>
          <w:caps w:val="false"/>
          <w:smallCaps w:val="false"/>
          <w:sz w:val="20"/>
        </w:rPr>
        <w:t>Plans</w:t>
      </w:r>
      <w:r>
        <w:rPr>
          <w:rFonts w:ascii="Times New Roman;Times;Serif" w:hAnsi="Times New Roman;Times;Serif"/>
          <w:b w:val="false"/>
          <w:i w:val="false"/>
          <w:caps w:val="false"/>
          <w:smallCaps w:val="false"/>
          <w:sz w:val="20"/>
        </w:rPr>
        <w:t>”). As counsel, we have made such legal and factual examination and inquiries as we have deemed necessary or appropriate for purposes of this opinion and have made such additional assumptions as are set forth below. This opinion is furnished pursuant to the requirements of Item 601(b)(5) of Regulation S-K.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as your counsel, have examined originals or copies of such documents and such matters of fact and law as we have deemed necessary for the purposes of rendering the opinion expressed herein.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the opinion expressed herein, we have, without independent inquiry or investigation, assumed that (i) all documents submitted to us as originals are authentic and complete, (ii) all documents submitted to us as copies conform to authentic, complete originals, (iii) all signatures on all documents that we reviewed are genuine, (iv) all natural persons executing documents had and have the legal capacity to do so, (v) all statements in certificates of public officials and officers of the Company that we reviewed were and are accurate and (vi) all representations made by the Company as to matters of fact in the documents that we reviewed were and are accurate.</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pPr>
      <w:r>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basis of the foregoing, we are of the opinion that the Common Stock issuable pursuant to the Plans has been duly authorized and, when and to the extent issued pursuant to the Plans upon receipt by the Company of adequate consideration for the Common Stock specified therein, will be validly issued, fully paid and non-assessable.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given as of the date hereof. We assume no obligation to update or supplement this opinion to reflect any facts or circumstances which may hereafter come to our attention of any changes in laws which may hereafter occur.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members of the Bar of the State of New York, and the foregoing opinion is limited to the laws of the State of New York and the General Corporation Law of the State of Delaware. The opinion is strictly limited to the matters stated herein and no other or more extensive opinion is intended, implied or to be inferred beyond the matters expressly stated herein.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Registration Statement. In giving this consent, we do not admit that we are in the category of persons whose consent is required under Section 7 of the Securities Act.</w:t>
      </w:r>
    </w:p>
    <w:p>
      <w:pPr>
        <w:pStyle w:val="TextBody"/>
        <w:spacing w:before="0" w:after="0"/>
        <w:ind w:left="0" w:right="0" w:hanging="0"/>
        <w:rPr>
          <w:caps w:val="false"/>
          <w:smallCaps w:val="false"/>
        </w:rPr>
      </w:pPr>
      <w:r>
        <w:rPr>
          <w:caps w:val="false"/>
          <w:smallCaps w:val="false"/>
        </w:rPr>
        <w:t> </w:t>
      </w:r>
    </w:p>
    <w:tbl>
      <w:tblPr>
        <w:tblW w:w="3155" w:type="dxa"/>
        <w:jc w:val="left"/>
        <w:tblInd w:w="0" w:type="dxa"/>
        <w:tblCellMar>
          <w:top w:w="0" w:type="dxa"/>
          <w:left w:w="0" w:type="dxa"/>
          <w:bottom w:w="0" w:type="dxa"/>
          <w:right w:w="0" w:type="dxa"/>
        </w:tblCellMar>
      </w:tblPr>
      <w:tblGrid>
        <w:gridCol w:w="75"/>
        <w:gridCol w:w="3080"/>
      </w:tblGrid>
      <w:tr>
        <w:trPr/>
        <w:tc>
          <w:tcPr>
            <w:tcW w:w="75" w:type="dxa"/>
            <w:tcBorders/>
            <w:shd w:fill="auto" w:val="clear"/>
            <w:vAlign w:val="center"/>
          </w:tcPr>
          <w:p>
            <w:pPr>
              <w:pStyle w:val="TableContents"/>
              <w:spacing w:before="0" w:after="283"/>
              <w:rPr/>
            </w:pPr>
            <w:r>
              <w:rPr/>
              <w:t> </w:t>
            </w:r>
          </w:p>
        </w:tc>
        <w:tc>
          <w:tcPr>
            <w:tcW w:w="3080" w:type="dxa"/>
            <w:tcBorders/>
            <w:shd w:fill="auto" w:val="clear"/>
            <w:vAlign w:val="center"/>
          </w:tcPr>
          <w:p>
            <w:pPr>
              <w:pStyle w:val="TableContents"/>
              <w:spacing w:before="0" w:after="283"/>
              <w:rPr/>
            </w:pPr>
            <w:r>
              <w:rPr/>
              <w:t>Very truly yours,</w:t>
            </w:r>
          </w:p>
        </w:tc>
      </w:tr>
      <w:tr>
        <w:trPr/>
        <w:tc>
          <w:tcPr>
            <w:tcW w:w="75" w:type="dxa"/>
            <w:tcBorders/>
            <w:shd w:fill="auto" w:val="clear"/>
            <w:vAlign w:val="center"/>
          </w:tcPr>
          <w:p>
            <w:pPr>
              <w:pStyle w:val="TableContents"/>
              <w:spacing w:before="0" w:after="283"/>
              <w:rPr/>
            </w:pPr>
            <w:r>
              <w:rPr/>
              <w:t> </w:t>
            </w:r>
          </w:p>
        </w:tc>
        <w:tc>
          <w:tcPr>
            <w:tcW w:w="3080"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080"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080"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080" w:type="dxa"/>
            <w:tcBorders/>
            <w:shd w:fill="auto" w:val="clear"/>
            <w:vAlign w:val="center"/>
          </w:tcPr>
          <w:p>
            <w:pPr>
              <w:pStyle w:val="TableContents"/>
              <w:spacing w:before="0" w:after="283"/>
              <w:rPr/>
            </w:pPr>
            <w:r>
              <w:rPr/>
              <w:t>/s/ Davis Polk &amp; Wardwell LLP</w:t>
            </w:r>
          </w:p>
        </w:tc>
      </w:tr>
    </w:tbl>
    <w:p>
      <w:pPr>
        <w:pStyle w:val="TextBody"/>
        <w:spacing w:before="0" w:after="0"/>
        <w:jc w:val="center"/>
        <w:rPr>
          <w:caps w:val="false"/>
          <w:smallCaps w:val="false"/>
          <w:bdr w:val="single" w:sz="8" w:space="1" w:color="000000"/>
        </w:rPr>
      </w:pPr>
      <w:r>
        <w:rPr>
          <w:caps w:val="false"/>
          <w:smallCaps w:val="false"/>
          <w:bdr w:val="single" w:sz="8" w:space="1" w:color="000000"/>
        </w:rPr>
        <w:t> </w:t>
      </w:r>
      <w:r>
        <w:br w:type="page"/>
      </w:r>
    </w:p>
    <w:p>
      <w:pPr>
        <w:pStyle w:val="TextBody"/>
        <w:rPr/>
      </w:pPr>
      <w:bookmarkStart w:id="5" w:name="dp158364_ex2301.htm"/>
      <w:bookmarkStart w:id="6" w:name="ksdp158364_ex2301"/>
      <w:bookmarkEnd w:id="5"/>
      <w:bookmarkEnd w:id="6"/>
      <w:r>
        <w:rPr/>
        <w:t> </w:t>
      </w:r>
    </w:p>
    <w:p>
      <w:pPr>
        <w:pStyle w:val="TextBody"/>
        <w:spacing w:before="0" w:after="0"/>
        <w:ind w:left="0" w:right="0" w:hanging="0"/>
        <w:jc w:val="righ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Exhibit 23.1</w:t>
      </w:r>
    </w:p>
    <w:p>
      <w:pPr>
        <w:pStyle w:val="TextBody"/>
        <w:spacing w:before="0" w:after="0"/>
        <w:ind w:left="0" w:right="0" w:hanging="0"/>
        <w:jc w:val="right"/>
        <w:rPr>
          <w:caps w:val="false"/>
          <w:smallCaps w:val="false"/>
        </w:rPr>
      </w:pPr>
      <w:r>
        <w:rPr>
          <w:caps w:val="false"/>
          <w:smallCaps w:val="false"/>
        </w:rPr>
        <w:t> </w:t>
      </w:r>
    </w:p>
    <w:p>
      <w:pPr>
        <w:pStyle w:val="TextBody"/>
        <w:spacing w:before="0" w:after="0"/>
        <w:jc w:val="left"/>
        <w:rPr>
          <w:caps w:val="false"/>
          <w:smallCaps w:val="false"/>
        </w:rPr>
      </w:pPr>
      <w:r>
        <w:rPr>
          <w:caps w:val="false"/>
          <w:smallCaps w:val="false"/>
        </w:rPr>
        <w:t> </w:t>
      </w:r>
    </w:p>
    <w:p>
      <w:pPr>
        <w:pStyle w:val="TextBody"/>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CONSENT OF INDEPENDENT REGISTERED PUBLIC ACCOUNTING FIRM</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have issued our report dated March 19, 2021, with respect to the consolidated financial statements of Atieva, Inc. and subsidiaries contained in the Final Prospectus, filed on August 24, 2021, relating to the Registration Statement on Form S-1 (File No. 333-258348), which is incorporated by reference in this Registration Statement on Form S-8. We consent to the incorporation by reference of the aforementioned report in this Registration Statement on Form S-8.</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 GRANT THORNTON LLP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San Francisco, California</w:t>
      </w:r>
    </w:p>
    <w:p>
      <w:pPr>
        <w:pStyle w:val="TextBody"/>
        <w:spacing w:before="0" w:after="0"/>
        <w:ind w:left="0" w:right="0" w:hanging="0"/>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September 24, 2021</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caps w:val="false"/>
          <w:smallCaps w:val="false"/>
          <w:bdr w:val="single" w:sz="8" w:space="1" w:color="000000"/>
        </w:rPr>
      </w:pPr>
      <w:r>
        <w:rPr>
          <w:caps w:val="false"/>
          <w:smallCaps w:val="false"/>
          <w:bdr w:val="single" w:sz="8" w:space="1" w:color="000000"/>
        </w:rPr>
        <w:t> </w:t>
      </w:r>
      <w:r>
        <w:br w:type="page"/>
      </w:r>
    </w:p>
    <w:p>
      <w:pPr>
        <w:pStyle w:val="TextBody"/>
        <w:rPr/>
      </w:pPr>
      <w:bookmarkStart w:id="7" w:name="dp158364_ex2302.htm"/>
      <w:bookmarkStart w:id="8" w:name="ksdp158364_ex2302"/>
      <w:bookmarkEnd w:id="7"/>
      <w:bookmarkEnd w:id="8"/>
      <w:r>
        <w:rPr/>
        <w:t> </w:t>
      </w:r>
    </w:p>
    <w:p>
      <w:pPr>
        <w:pStyle w:val="TextBody"/>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23.2</w:t>
      </w:r>
    </w:p>
    <w:p>
      <w:pPr>
        <w:pStyle w:val="TextBody"/>
        <w:spacing w:before="0" w:after="0"/>
        <w:ind w:left="0" w:right="0" w:hanging="0"/>
        <w:jc w:val="right"/>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Independent Registered Public Accounting Firm’s Consent</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of Lucid Group, Inc. (f/k/a Churchill Capital Corp IV) on Form S-8, of our report dated March 15, 2021, except for the effects of the restatement disclosed in Note 2 and the subsequent events discussed in Note 12 (Legal Proceedings), as to which the date is May 14, 2021, with respect to our audit of the financial statements of Churchill Capital Corp IV as of December 31, 2020 and for the period from April 30, 2020 (inception) through December 31, 2020 appearing in the Annual Report on Form 10-K of Churchill Capital Corp IV for the period from April 30, 2020 (inception) through December 31, 2020. We were dismissed as auditors of Churchill Capital Corp IV on August 16, 2021 and, accordingly, we have not performed any audit or review procedures with respect to any financial statements appearing in such Prospectus for the periods after the date of our dismissal.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Marcum </w:t>
      </w:r>
      <w:r>
        <w:rPr>
          <w:rFonts w:ascii="Times New Roman;Times;Serif" w:hAnsi="Times New Roman;Times;Serif"/>
          <w:b w:val="false"/>
          <w:i w:val="false"/>
          <w:smallCaps/>
          <w:sz w:val="20"/>
        </w:rPr>
        <w:t>llp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Marcum </w:t>
      </w:r>
      <w:r>
        <w:rPr>
          <w:rFonts w:ascii="Times New Roman;Times;Serif" w:hAnsi="Times New Roman;Times;Serif"/>
          <w:b w:val="false"/>
          <w:i w:val="false"/>
          <w:smallCaps/>
          <w:sz w:val="20"/>
        </w:rPr>
        <w:t>llp</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TX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24, 2021</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caps w:val="false"/>
          <w:smallCaps w:val="false"/>
          <w:bdr w:val="single" w:sz="8" w:space="1" w:color="000000"/>
        </w:rPr>
      </w:pPr>
      <w:r>
        <w:rPr>
          <w:caps w:val="false"/>
          <w:smallCaps w:val="false"/>
          <w:bdr w:val="single" w:sz="8" w:space="1" w:color="000000"/>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Arial">
    <w:altName w:val="Helvetica"/>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811210/000110465921095842/tm2120294d5_ex3-1.htm" TargetMode="External"/><Relationship Id="rId3" Type="http://schemas.openxmlformats.org/officeDocument/2006/relationships/hyperlink" Target="https://www.sec.gov/Archives/edgar/data/0001811210/000110465921095842/tm2120294d5_ex3-2.htm" TargetMode="External"/><Relationship Id="rId4" Type="http://schemas.openxmlformats.org/officeDocument/2006/relationships/hyperlink" Target="https://www.sec.gov/Archives/edgar/data/1811210/000110465921039318/tm219359d2_ex10-8.htm" TargetMode="External"/><Relationship Id="rId5" Type="http://schemas.openxmlformats.org/officeDocument/2006/relationships/hyperlink" Target="https://www.sec.gov/Archives/edgar/data/1811210/000110465921039318/tm219359d2_ex10-10.htm" TargetMode="External"/><Relationship Id="rId6" Type="http://schemas.openxmlformats.org/officeDocument/2006/relationships/hyperlink" Target="https://www.sec.gov/Archives/edgar/data/1811210/000110465921039318/tm219359d2_ex10-12.htm" TargetMode="External"/><Relationship Id="rId7" Type="http://schemas.openxmlformats.org/officeDocument/2006/relationships/image" Target="media/image1.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Pages>
  <Words>3714</Words>
  <CharactersWithSpaces>23541</CharactersWithSpaces>
  <Paragraphs>432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