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31,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2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16"/>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(State or other jurisdiction of</w:t>
            </w: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ind w:left="8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incorporation or organization)</w:t>
            </w:r>
          </w:p>
        </w:tc>
        <w:tc>
          <w:tcPr>
            <w:tcW w:w="3020" w:type="dxa"/>
            <w:vAlign w:val="bottom"/>
          </w:tcPr>
          <w:p>
            <w:pPr>
              <w:jc w:val="center"/>
              <w:ind w:right="10"/>
              <w:spacing w:after="0"/>
              <w:rPr>
                <w:sz w:val="20"/>
                <w:szCs w:val="20"/>
                <w:color w:val="auto"/>
              </w:rPr>
            </w:pPr>
            <w:r>
              <w:rPr>
                <w:rFonts w:ascii="Arial" w:cs="Arial" w:eastAsia="Arial" w:hAnsi="Arial"/>
                <w:sz w:val="18"/>
                <w:szCs w:val="18"/>
                <w:color w:val="auto"/>
                <w:w w:val="91"/>
              </w:rPr>
              <w:t>Number)</w:t>
            </w:r>
          </w:p>
        </w:tc>
        <w:tc>
          <w:tcPr>
            <w:tcW w:w="3520" w:type="dxa"/>
            <w:vAlign w:val="bottom"/>
          </w:tcPr>
          <w:p>
            <w:pPr>
              <w:spacing w:after="0"/>
              <w:rPr>
                <w:sz w:val="20"/>
                <w:szCs w:val="20"/>
                <w:color w:val="auto"/>
              </w:rPr>
            </w:pPr>
          </w:p>
        </w:tc>
      </w:tr>
      <w:tr>
        <w:trPr>
          <w:trHeight w:val="414"/>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0"/>
              </w:rPr>
              <w:t>7373 Gateway Boulevard</w:t>
            </w:r>
          </w:p>
        </w:tc>
        <w:tc>
          <w:tcPr>
            <w:tcW w:w="30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0"/>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5"/>
              </w:rPr>
              <w:t>Newark, CA</w:t>
            </w:r>
          </w:p>
        </w:tc>
        <w:tc>
          <w:tcPr>
            <w:tcW w:w="3020" w:type="dxa"/>
            <w:vAlign w:val="bottom"/>
          </w:tcPr>
          <w:p>
            <w:pPr>
              <w:spacing w:after="0"/>
              <w:rPr>
                <w:sz w:val="19"/>
                <w:szCs w:val="19"/>
                <w:color w:val="auto"/>
              </w:rPr>
            </w:pPr>
          </w:p>
        </w:tc>
        <w:tc>
          <w:tcPr>
            <w:tcW w:w="3520" w:type="dxa"/>
            <w:vAlign w:val="bottom"/>
          </w:tcPr>
          <w:p>
            <w:pPr>
              <w:jc w:val="right"/>
              <w:ind w:right="990"/>
              <w:spacing w:after="0"/>
              <w:rPr>
                <w:sz w:val="20"/>
                <w:szCs w:val="20"/>
                <w:color w:val="auto"/>
              </w:rPr>
            </w:pPr>
            <w:r>
              <w:rPr>
                <w:rFonts w:ascii="Arial" w:cs="Arial" w:eastAsia="Arial" w:hAnsi="Arial"/>
                <w:sz w:val="18"/>
                <w:szCs w:val="18"/>
                <w:b w:val="1"/>
                <w:bCs w:val="1"/>
                <w:color w:val="auto"/>
              </w:rPr>
              <w:t>94560</w:t>
            </w:r>
          </w:p>
        </w:tc>
      </w:tr>
      <w:tr>
        <w:trPr>
          <w:trHeight w:val="230"/>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c>
          <w:tcPr>
            <w:tcW w:w="3520" w:type="dxa"/>
            <w:vAlign w:val="bottom"/>
          </w:tcPr>
          <w:p>
            <w:pPr>
              <w:jc w:val="center"/>
              <w:ind w:left="7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34"/>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24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240" w:type="dxa"/>
            <w:vAlign w:val="bottom"/>
          </w:tcPr>
          <w:p>
            <w:pPr>
              <w:spacing w:after="0"/>
              <w:rPr>
                <w:sz w:val="16"/>
                <w:szCs w:val="16"/>
                <w:color w:val="auto"/>
              </w:rPr>
            </w:pPr>
          </w:p>
        </w:tc>
        <w:tc>
          <w:tcPr>
            <w:tcW w:w="3120" w:type="dxa"/>
            <w:vAlign w:val="bottom"/>
          </w:tcPr>
          <w:p>
            <w:pPr>
              <w:jc w:val="center"/>
              <w:spacing w:after="0" w:line="195" w:lineRule="exact"/>
              <w:rPr>
                <w:sz w:val="20"/>
                <w:szCs w:val="20"/>
                <w:color w:val="auto"/>
              </w:rPr>
            </w:pPr>
            <w:r>
              <w:rPr>
                <w:rFonts w:ascii="Arial" w:cs="Arial" w:eastAsia="Arial" w:hAnsi="Arial"/>
                <w:sz w:val="18"/>
                <w:szCs w:val="18"/>
                <w:color w:val="auto"/>
              </w:rPr>
              <w:t>LCID</w:t>
            </w:r>
          </w:p>
        </w:tc>
        <w:tc>
          <w:tcPr>
            <w:tcW w:w="240" w:type="dxa"/>
            <w:vAlign w:val="bottom"/>
          </w:tcPr>
          <w:p>
            <w:pPr>
              <w:spacing w:after="0"/>
              <w:rPr>
                <w:sz w:val="16"/>
                <w:szCs w:val="16"/>
                <w:color w:val="auto"/>
              </w:rPr>
            </w:pPr>
          </w:p>
        </w:tc>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May 31, 2023, Lucid Group,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entered into a subscription agreement, dated May 31, 2023 (the “</w:t>
      </w:r>
      <w:r>
        <w:rPr>
          <w:rFonts w:ascii="Arial" w:cs="Arial" w:eastAsia="Arial" w:hAnsi="Arial"/>
          <w:sz w:val="17"/>
          <w:szCs w:val="17"/>
          <w:b w:val="1"/>
          <w:bCs w:val="1"/>
          <w:i w:val="1"/>
          <w:iCs w:val="1"/>
          <w:color w:val="auto"/>
        </w:rPr>
        <w:t>Subscription Agreement</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between the Company and Ayar Third Investment Company, a single shareholder limited liability company organized under the laws of the Kingdom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 (“</w:t>
      </w:r>
      <w:r>
        <w:rPr>
          <w:rFonts w:ascii="Arial" w:cs="Arial" w:eastAsia="Arial" w:hAnsi="Arial"/>
          <w:sz w:val="16"/>
          <w:szCs w:val="16"/>
          <w:b w:val="1"/>
          <w:bCs w:val="1"/>
          <w:i w:val="1"/>
          <w:iCs w:val="1"/>
          <w:color w:val="auto"/>
        </w:rPr>
        <w:t>Ayar</w:t>
      </w:r>
      <w:r>
        <w:rPr>
          <w:rFonts w:ascii="Arial" w:cs="Arial" w:eastAsia="Arial" w:hAnsi="Arial"/>
          <w:sz w:val="16"/>
          <w:szCs w:val="16"/>
          <w:color w:val="auto"/>
        </w:rPr>
        <w:t>”), an affiliate of the Public Investment Fund and the Company’s majority shareholder. Pursuant to the Subscription Agreement, Ayar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agreed to purchase from the Company 265,693,703 shares of the Company’s Class A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in a private placement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 Placement</w:t>
      </w:r>
      <w:r>
        <w:rPr>
          <w:rFonts w:ascii="Arial" w:cs="Arial" w:eastAsia="Arial" w:hAnsi="Arial"/>
          <w:sz w:val="16"/>
          <w:szCs w:val="16"/>
          <w:color w:val="auto"/>
        </w:rPr>
        <w:t>”), for aggregate net proceeds of approximately $1.8 billion. The Private Placement is expected to close on June 26, 2023 and is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customary closing conditions. As a result of the offering described below under the caption “Underwriting Agreement” and the Private Placement, Ayar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expects to continue to maintain its approximate 60.5% ownership of the Company’s outstanding common stock as of March 31, 2023.</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shares of common stock to be sold to Ayar pursuant to the Subscription Agreement will be sold in reliance on the exemption from registration provided in Section 4(a)(2)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70" w:lineRule="exact"/>
        <w:rPr>
          <w:sz w:val="20"/>
          <w:szCs w:val="20"/>
          <w:color w:val="auto"/>
        </w:rPr>
      </w:pPr>
    </w:p>
    <w:p>
      <w:pPr>
        <w:jc w:val="both"/>
        <w:ind w:right="520"/>
        <w:spacing w:after="0" w:line="311" w:lineRule="auto"/>
        <w:rPr>
          <w:sz w:val="20"/>
          <w:szCs w:val="20"/>
          <w:color w:val="auto"/>
        </w:rPr>
      </w:pPr>
      <w:r>
        <w:rPr>
          <w:rFonts w:ascii="Arial" w:cs="Arial" w:eastAsia="Arial" w:hAnsi="Arial"/>
          <w:sz w:val="16"/>
          <w:szCs w:val="16"/>
          <w:color w:val="auto"/>
        </w:rPr>
        <w:t>The Subscription Agreement contains customary representations, warranties and covenants. Common stock acquired by Ayar under the Subscription Agreement will be subject to the Investor Rights Agreement, dated as of February 22, 2021, by and among the Company, Ayar, and the other parties thereto, as amended from time to time (the “</w:t>
      </w:r>
      <w:r>
        <w:rPr>
          <w:rFonts w:ascii="Arial" w:cs="Arial" w:eastAsia="Arial" w:hAnsi="Arial"/>
          <w:sz w:val="16"/>
          <w:szCs w:val="16"/>
          <w:b w:val="1"/>
          <w:bCs w:val="1"/>
          <w:i w:val="1"/>
          <w:iCs w:val="1"/>
          <w:color w:val="auto"/>
        </w:rPr>
        <w:t>Investor Rights Agreement</w:t>
      </w:r>
      <w:r>
        <w:rPr>
          <w:rFonts w:ascii="Arial" w:cs="Arial" w:eastAsia="Arial" w:hAnsi="Arial"/>
          <w:sz w:val="16"/>
          <w:szCs w:val="16"/>
          <w:color w:val="auto"/>
        </w:rPr>
        <w:t>”), which governs the registration for resale of such common stock.</w:t>
      </w:r>
    </w:p>
    <w:p>
      <w:pPr>
        <w:spacing w:after="0" w:line="149"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The description of the Subscription Agreement does not purport to be complete and is qualified in its entirety by reference to the full text of the Subscription Agreement included as Exhibit 10.1 to this Current Report on Form 8-K and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Investor Rights Agreement</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May 31, 2023, concurrently with entering into the Subscription Agreement, the Company entered into an amendment to the Investor Rights Agreement (the “</w:t>
      </w:r>
      <w:r>
        <w:rPr>
          <w:rFonts w:ascii="Arial" w:cs="Arial" w:eastAsia="Arial" w:hAnsi="Arial"/>
          <w:sz w:val="17"/>
          <w:szCs w:val="17"/>
          <w:b w:val="1"/>
          <w:bCs w:val="1"/>
          <w:i w:val="1"/>
          <w:iCs w:val="1"/>
          <w:color w:val="auto"/>
        </w:rPr>
        <w:t>Second IRA Amendment</w:t>
      </w:r>
      <w:r>
        <w:rPr>
          <w:rFonts w:ascii="Arial" w:cs="Arial" w:eastAsia="Arial" w:hAnsi="Arial"/>
          <w:sz w:val="17"/>
          <w:szCs w:val="17"/>
          <w:color w:val="auto"/>
        </w:rPr>
        <w:t>”). Pursuant to the Second IRA Amendment, Ayar will be entitled to certain registration rights, including demand, piggy-back and shelf registration rights, with respect to the shares of common stock Ayar purchased in the Private Placement.</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description of the Second IRA Amendment does not purport to be complete and is qualified in its entirety by reference to the full text of the Second IRA Amendment included as Exhibit 10.2 to this Current Report on Form 8-K and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in Item 1.01 under the caption “Private Placement” above is incorporated by reference into this Item 3.02.</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May 31, 2023 the Company entered into an underwriting agreement, dated May 31, 2023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between the Company and BofA Securities, Inc., (the “</w:t>
      </w:r>
      <w:r>
        <w:rPr>
          <w:rFonts w:ascii="Arial" w:cs="Arial" w:eastAsia="Arial" w:hAnsi="Arial"/>
          <w:sz w:val="17"/>
          <w:szCs w:val="17"/>
          <w:b w:val="1"/>
          <w:bCs w:val="1"/>
          <w:i w:val="1"/>
          <w:iCs w:val="1"/>
          <w:color w:val="auto"/>
        </w:rPr>
        <w:t>Underwriter</w:t>
      </w:r>
      <w:r>
        <w:rPr>
          <w:rFonts w:ascii="Arial" w:cs="Arial" w:eastAsia="Arial" w:hAnsi="Arial"/>
          <w:sz w:val="17"/>
          <w:szCs w:val="17"/>
          <w:color w:val="auto"/>
        </w:rPr>
        <w:t>”) relating to the issuance and sale of 173,544,948 shares of common stock for aggregate net proceeds to the Company of approximately $1.2 billion. The Underwriter may offer the shares of common stock from time to time for sale in one or more transactions to purchasers directly, through agents or through brokers in brokerage transactions on Nasdaq, in the over-the-counter market, through negotiated transactions or in a combination of such methods, or otherwise at a fixed price or prices, which may be changed, at market prices prevailing at the time of sale, at prices related to prevailing market prices or at negotiated prices. The common stock is being sold pursuant to a prospectus supplement, dated May 31, 2023, and the accompanying prospectus, dated May 16, 2023, each filed with the Securities and Exchange Commission, relating to the Company’s shelf registration statement on Form S-3 (File No. 333-267147).</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jc w:val="both"/>
        <w:spacing w:after="0" w:line="311" w:lineRule="auto"/>
        <w:rPr>
          <w:sz w:val="20"/>
          <w:szCs w:val="20"/>
          <w:color w:val="auto"/>
        </w:rPr>
      </w:pPr>
      <w:r>
        <w:rPr>
          <w:rFonts w:ascii="Arial" w:cs="Arial" w:eastAsia="Arial" w:hAnsi="Arial"/>
          <w:sz w:val="16"/>
          <w:szCs w:val="16"/>
          <w:color w:val="auto"/>
        </w:rPr>
        <w:t>The Company has agreed to indemnify the Underwriters against certain liabilities, including certain liabilities under the Securities Act. If the Company is unable to provide the required indemnification, the Company has agreed to contribute to payments the Underwriters may be required to make in respect of those liabilities. In addition, the Underwriting Agreement contains customary representations, warranties and covenants of the Company.</w:t>
      </w:r>
    </w:p>
    <w:p>
      <w:pPr>
        <w:spacing w:after="0" w:line="1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foregoing description of the Underwriting Agreement is not complete and is qualified in its entirety by reference to the full text of such agreement, a copy of which is filed herewith as Exhibit 1.1 to this Current Report on Form 8-K and is incorporated herein by reference.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legal opinion of Davis Polk &amp; Wardwell LLP relating to the common stock sold pursuant to the Underwriting Agreement is filed as Exhibit 5.1 to this Current Report on Form 8-K.</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Exhibit</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Number</w:t>
            </w: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940" w:type="dxa"/>
            <w:vAlign w:val="bottom"/>
            <w:gridSpan w:val="5"/>
          </w:tcPr>
          <w:p>
            <w:pPr>
              <w:ind w:left="15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0"/>
        </w:trPr>
        <w:tc>
          <w:tcPr>
            <w:tcW w:w="240" w:type="dxa"/>
            <w:vAlign w:val="bottom"/>
            <w:gridSpan w:val="2"/>
            <w:vMerge w:val="restart"/>
          </w:tcPr>
          <w:p>
            <w:pPr>
              <w:ind w:left="20"/>
              <w:spacing w:after="0" w:line="196" w:lineRule="exact"/>
              <w:rPr>
                <w:sz w:val="20"/>
                <w:szCs w:val="20"/>
                <w:color w:val="auto"/>
              </w:rPr>
            </w:pPr>
            <w:r>
              <w:rPr>
                <w:rFonts w:ascii="Arial" w:cs="Arial" w:eastAsia="Arial" w:hAnsi="Arial"/>
                <w:sz w:val="18"/>
                <w:szCs w:val="18"/>
                <w:color w:val="0000EE"/>
                <w:w w:val="79"/>
              </w:rPr>
              <w:t>1.</w:t>
            </w:r>
            <w:r>
              <w:rPr>
                <w:rFonts w:ascii="Arial" w:cs="Arial" w:eastAsia="Arial" w:hAnsi="Arial"/>
                <w:sz w:val="18"/>
                <w:szCs w:val="18"/>
                <w:u w:val="single" w:color="auto"/>
                <w:color w:val="0000EE"/>
                <w:w w:val="79"/>
              </w:rPr>
              <w:t>1</w:t>
            </w:r>
          </w:p>
        </w:tc>
        <w:tc>
          <w:tcPr>
            <w:tcW w:w="10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880" w:type="dxa"/>
            <w:vAlign w:val="bottom"/>
            <w:gridSpan w:val="7"/>
          </w:tcPr>
          <w:p>
            <w:pPr>
              <w:spacing w:after="0" w:line="156" w:lineRule="exact"/>
              <w:rPr>
                <w:sz w:val="20"/>
                <w:szCs w:val="20"/>
                <w:color w:val="auto"/>
              </w:rPr>
            </w:pPr>
            <w:r>
              <w:rPr>
                <w:rFonts w:ascii="Arial" w:cs="Arial" w:eastAsia="Arial" w:hAnsi="Arial"/>
                <w:sz w:val="18"/>
                <w:szCs w:val="18"/>
                <w:color w:val="0000EE"/>
              </w:rPr>
              <w:t>Underwriting Agreement, dated May 31, 2023, between Lucid Group, Inc., BofA Securities, Inc.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gridSpan w:val="2"/>
          </w:tcPr>
          <w:p>
            <w:pPr>
              <w:ind w:left="20"/>
              <w:spacing w:after="0"/>
              <w:rPr>
                <w:sz w:val="20"/>
                <w:szCs w:val="20"/>
                <w:color w:val="auto"/>
              </w:rPr>
            </w:pPr>
            <w:r>
              <w:rPr>
                <w:rFonts w:ascii="Arial" w:cs="Arial" w:eastAsia="Arial" w:hAnsi="Arial"/>
                <w:sz w:val="18"/>
                <w:szCs w:val="18"/>
                <w:color w:val="0000EE"/>
                <w:w w:val="79"/>
              </w:rPr>
              <w:t>5.</w:t>
            </w:r>
            <w:r>
              <w:rPr>
                <w:rFonts w:ascii="Arial" w:cs="Arial" w:eastAsia="Arial" w:hAnsi="Arial"/>
                <w:sz w:val="18"/>
                <w:szCs w:val="18"/>
                <w:u w:val="single" w:color="auto"/>
                <w:color w:val="0000EE"/>
                <w:w w:val="79"/>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0000EE"/>
              </w:rPr>
              <w:t>Opinion of Davis Polk &amp; Wardwell LLP.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3"/>
          </w:tcPr>
          <w:p>
            <w:pPr>
              <w:ind w:left="20"/>
              <w:spacing w:after="0" w:line="196" w:lineRule="exact"/>
              <w:rPr>
                <w:sz w:val="20"/>
                <w:szCs w:val="20"/>
                <w:color w:val="auto"/>
              </w:rPr>
            </w:pPr>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gridSpan w:val="7"/>
          </w:tcPr>
          <w:p>
            <w:pPr>
              <w:spacing w:after="0" w:line="196" w:lineRule="exact"/>
              <w:rPr>
                <w:sz w:val="20"/>
                <w:szCs w:val="20"/>
                <w:color w:val="auto"/>
              </w:rPr>
            </w:pPr>
            <w:r>
              <w:rPr>
                <w:rFonts w:ascii="Arial" w:cs="Arial" w:eastAsia="Arial" w:hAnsi="Arial"/>
                <w:sz w:val="18"/>
                <w:szCs w:val="18"/>
                <w:color w:val="0000EE"/>
              </w:rPr>
              <w:t>Subscription Agreement, dated May 31, 2023, between Lucid Group, Inc. and Ayar Third Investment Company.</w:t>
            </w: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gridSpan w:val="3"/>
          </w:tcPr>
          <w:p>
            <w:pPr>
              <w:ind w:left="20"/>
              <w:spacing w:after="0"/>
              <w:rPr>
                <w:sz w:val="20"/>
                <w:szCs w:val="20"/>
                <w:color w:val="auto"/>
              </w:rPr>
            </w:pPr>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0000EE"/>
                <w:w w:val="92"/>
              </w:rPr>
              <w:t>Amendment No. 2 to the Investor Rights Agreement, dated May 31, 2023, between Lucid Group, Inc., Ayar Third Investment Company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and the other parties thereto.</w:t>
            </w:r>
          </w:p>
        </w:tc>
        <w:tc>
          <w:tcPr>
            <w:tcW w:w="7720" w:type="dxa"/>
            <w:vAlign w:val="bottom"/>
            <w:tcBorders>
              <w:top w:val="single" w:sz="8" w:color="0000EE"/>
            </w:tcBorders>
            <w:gridSpan w:val="5"/>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gridSpan w:val="3"/>
          </w:tcPr>
          <w:p>
            <w:pPr>
              <w:ind w:left="20"/>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1</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0000EE"/>
              </w:rPr>
              <w:t>Consent of Davis Polk &amp; Wardwell LLP (included in Exhibit 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5580" w:right="5440" w:hanging="5568"/>
        <w:spacing w:after="0" w:line="581" w:lineRule="auto"/>
        <w:tabs>
          <w:tab w:leader="none" w:pos="1361" w:val="left"/>
        </w:tabs>
        <w:numPr>
          <w:ilvl w:val="0"/>
          <w:numId w:val="3"/>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Date: June 5, 2023</w:t>
            </w:r>
          </w:p>
        </w:tc>
        <w:tc>
          <w:tcPr>
            <w:tcW w:w="7740" w:type="dxa"/>
            <w:vAlign w:val="bottom"/>
            <w:gridSpan w:val="2"/>
          </w:tcPr>
          <w:p>
            <w:pPr>
              <w:ind w:left="2120"/>
              <w:spacing w:after="0"/>
              <w:rPr>
                <w:sz w:val="20"/>
                <w:szCs w:val="20"/>
                <w:color w:val="auto"/>
              </w:rPr>
            </w:pPr>
            <w:r>
              <w:rPr>
                <w:rFonts w:ascii="Arial" w:cs="Arial" w:eastAsia="Arial" w:hAnsi="Arial"/>
                <w:sz w:val="18"/>
                <w:szCs w:val="18"/>
                <w:color w:val="auto"/>
              </w:rPr>
              <w:t>Lucid Group, Inc.</w:t>
            </w:r>
          </w:p>
        </w:tc>
      </w:tr>
      <w:tr>
        <w:trPr>
          <w:trHeight w:val="230"/>
        </w:trPr>
        <w:tc>
          <w:tcPr>
            <w:tcW w:w="3500" w:type="dxa"/>
            <w:vAlign w:val="bottom"/>
          </w:tcPr>
          <w:p>
            <w:pPr>
              <w:spacing w:after="0"/>
              <w:rPr>
                <w:sz w:val="20"/>
                <w:szCs w:val="20"/>
                <w:color w:val="auto"/>
              </w:rPr>
            </w:pPr>
          </w:p>
        </w:tc>
        <w:tc>
          <w:tcPr>
            <w:tcW w:w="7740" w:type="dxa"/>
            <w:vAlign w:val="bottom"/>
            <w:gridSpan w:val="2"/>
          </w:tcPr>
          <w:p>
            <w:pPr>
              <w:ind w:left="2120"/>
              <w:spacing w:after="0"/>
              <w:rPr>
                <w:sz w:val="20"/>
                <w:szCs w:val="20"/>
                <w:color w:val="auto"/>
              </w:rPr>
            </w:pPr>
            <w:r>
              <w:rPr>
                <w:rFonts w:ascii="Arial" w:cs="Arial" w:eastAsia="Arial" w:hAnsi="Arial"/>
                <w:sz w:val="18"/>
                <w:szCs w:val="18"/>
                <w:color w:val="auto"/>
              </w:rPr>
              <w:t>By: /s/ Sherry House</w:t>
            </w:r>
          </w:p>
        </w:tc>
      </w:tr>
      <w:tr>
        <w:trPr>
          <w:trHeight w:val="195"/>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Sherry House</w:t>
            </w: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173,544,948 Shares of Class A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173,544,948 Shares of Class A Common Stock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May 31,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Lucid Group, Inc., a Delaware corporation (the “Company”), confirms its agreement with BofA Securities, Inc. and each of the other Underwriters named in Schedule A hereto (collectively, the “Underwriters,” which term shall also include any underwriter substituted as hereinafter provided in Section 10 hereof), for whom BofA Securities, Inc. is acting as representative (in such capacity, the “Representative”), with respect to the sale by the Company and the purchase by the Underwriters, acting severally and not jointly, of the respective numbers of shares of Class A Common Stock, par value $0.0001 per share, of the Company (“Common Stock”) set forth in Schedule A hereto. The aforesaid 173,544,948 shares of Common Stock are herein called the “Securities.” If there is only one Underwriter listed on Schedule A, the term Representative as used herein shall mean you, as Underwriter, and the term Underwriters shall mean either the singular or plural as the context requires.</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understands that the Underwriters propose to make a public offering of the Securities as soon as the Representative deems advisable after this Agreement has been executed and delivered. Ayar Third Investment Company (“Ayar”) has agreed to purchase 265,693,703 shares of Common Stock from the Company pursuant to the Subscription Agreement between Ayar and the Company, dated as of the date hereof (the “Ayar Agreement”), as Placement Shares (as defined in the Ayar Agreement) with respect to the transactions contemplated hereby (the “Ayar Investment”).</w:t>
      </w:r>
    </w:p>
    <w:p>
      <w:pPr>
        <w:spacing w:after="0" w:line="15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Company has prepared and filed with the Securities and Exchange Commission (the “Commission”) an effective shelf registration statement on Form S-3 (File No. 333-267147) covering the public offering and sale of certain securities, including the Securities, under the Securities Act of 1933, as amended (the “1933 Act”), and the rules and regulations promulgated thereunder (the “1933 Act Regulations”), including the related prospectus dated on May 16, 2023.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(“Rule 430B”),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 (“Rule 424(b)”).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“Applicable Time” means 5:00 P.M., New York City time, on May 31, 2023 or such other time as agreed by the Company and the Representative.</w:t>
      </w:r>
    </w:p>
    <w:p>
      <w:pPr>
        <w:spacing w:after="0" w:line="17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Schedule B-1 hereto, all considered together.</w:t>
      </w:r>
    </w:p>
    <w:p>
      <w:pPr>
        <w:spacing w:after="0" w:line="184"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auto"/>
        </w:rPr>
        <w:t>“Issuer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9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“Issuer General Use Free Writing Prospectus”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as evidenced by its being specified in Schedule B-2 hereto.</w:t>
      </w:r>
    </w:p>
    <w:p>
      <w:pPr>
        <w:spacing w:after="0" w:line="18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and the rules and regulations promulgated thereunder (collectively, the “1934 Act”), incorporated or deemed to be incorporated by reference in the Registration Statement, such preliminary prospectus or the Prospectus, as the case may be, at or after the execution and delivery of this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Representations and Warranties by the Company</w:t>
      </w:r>
      <w:r>
        <w:rPr>
          <w:rFonts w:ascii="Arial" w:cs="Arial" w:eastAsia="Arial" w:hAnsi="Arial"/>
          <w:sz w:val="16"/>
          <w:szCs w:val="16"/>
          <w:color w:val="auto"/>
        </w:rPr>
        <w:t>. The Company represents and warrants to each Underwriter as of the date hereof,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Applicable Time and the Closing Time (as defined below), and agrees with each Underwriter, as follows:</w:t>
      </w:r>
    </w:p>
    <w:p>
      <w:pPr>
        <w:spacing w:after="0" w:line="211"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auto"/>
        </w:rPr>
        <w:t>(i)            </w:t>
      </w:r>
      <w:r>
        <w:rPr>
          <w:rFonts w:ascii="Arial" w:cs="Arial" w:eastAsia="Arial" w:hAnsi="Arial"/>
          <w:sz w:val="16"/>
          <w:szCs w:val="16"/>
          <w:u w:val="single" w:color="auto"/>
          <w:color w:val="auto"/>
        </w:rPr>
        <w:t>Registration Statement and Prospectuses</w:t>
      </w:r>
      <w:r>
        <w:rPr>
          <w:rFonts w:ascii="Arial" w:cs="Arial" w:eastAsia="Arial" w:hAnsi="Arial"/>
          <w:sz w:val="16"/>
          <w:szCs w:val="16"/>
          <w:color w:val="auto"/>
        </w:rPr>
        <w:t>. The Company meets the requirements for use of Form S-3 under the 1933 Act. The Securities have been and remain eligible for registration by the Company on such shelf registration statement.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w:t>
      </w:r>
    </w:p>
    <w:p>
      <w:pPr>
        <w:spacing w:after="0" w:line="164"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6"/>
          <w:szCs w:val="16"/>
          <w:color w:val="auto"/>
        </w:rPr>
        <w:t>Each of the Registration Statement and any post-effective amendment thereto, at the time of its effectiveness, each deemed effective date with respect to the Underwriters pursuant to Rule 430B(f)(2) under the 1933 Act Regulations, the Applicable Time and the Closing Time complied and will comply in all material respects with the requirements of the 1933 Act and the 1933 Act Regulations. Each preliminary prospectus, the Prospectus and any amendment or supplement thereto, at the time each was filed with the Commission, and, in each case, at the Applicable Time and the Closing Time complied and will comply in all material respects with the requirements of the 1933 Act Regulations and each preliminary prospectus and the Prospectus delivered to the Underwriters for use in connection with this offering was identical to the electronically transmitted copies thereof filed with the Commission pursuant to EDGAR, except to the extent permitted by Regulation S-T.</w:t>
      </w:r>
    </w:p>
    <w:p>
      <w:pPr>
        <w:spacing w:after="0" w:line="166"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The documents incorporated or deemed to be incorporated by reference in the Registration Statement, any preliminary prospectus and the Prospectus, at the time they were or hereafter are filed with the Commission, complied and will comply in all material respects with the requirements of the 1934 Act and the rules and regulations of the Commission under the 1934 Act (the “1934 Act Regulations”).</w:t>
      </w:r>
    </w:p>
    <w:p>
      <w:pPr>
        <w:spacing w:after="0" w:line="165"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6"/>
          <w:szCs w:val="16"/>
          <w:color w:val="auto"/>
        </w:rPr>
        <w:t>(ii)            </w:t>
      </w:r>
      <w:r>
        <w:rPr>
          <w:rFonts w:ascii="Arial" w:cs="Arial" w:eastAsia="Arial" w:hAnsi="Arial"/>
          <w:sz w:val="16"/>
          <w:szCs w:val="16"/>
          <w:u w:val="single" w:color="auto"/>
          <w:color w:val="auto"/>
        </w:rPr>
        <w:t>Accurate Disclosure</w:t>
      </w:r>
      <w:r>
        <w:rPr>
          <w:rFonts w:ascii="Arial" w:cs="Arial" w:eastAsia="Arial" w:hAnsi="Arial"/>
          <w:sz w:val="16"/>
          <w:szCs w:val="16"/>
          <w:color w:val="auto"/>
        </w:rPr>
        <w:t>. Neither the Registration Statement nor any amendment thereto, at its effective time, on the date hereof or at the Closing Time, contained, contains or will contain an untrue statement of a material fact or omitted, omits or will omit to state a material fact required to be stated therein or necessary to make the statements therein not misleading. At the Applicable Time and at the Closing Time, neither</w:t>
      </w:r>
    </w:p>
    <w:p>
      <w:pPr>
        <w:spacing w:after="0" w:line="2" w:lineRule="exact"/>
        <w:rPr>
          <w:sz w:val="20"/>
          <w:szCs w:val="20"/>
          <w:color w:val="auto"/>
        </w:rPr>
      </w:pPr>
    </w:p>
    <w:p>
      <w:pPr>
        <w:jc w:val="both"/>
        <w:ind w:left="660" w:hanging="4"/>
        <w:spacing w:after="0" w:line="285" w:lineRule="auto"/>
        <w:tabs>
          <w:tab w:leader="none" w:pos="98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General Disclosure Package nor (B) any individual Issuer Limited Use Free Writing Prospectus, when considered together with the General Disclosure Package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or at the Closing Time,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72" w:lineRule="auto"/>
        <w:rPr>
          <w:sz w:val="20"/>
          <w:szCs w:val="20"/>
          <w:color w:val="auto"/>
        </w:rPr>
      </w:pPr>
      <w:r>
        <w:rPr>
          <w:rFonts w:ascii="Arial" w:cs="Arial" w:eastAsia="Arial" w:hAnsi="Arial"/>
          <w:sz w:val="17"/>
          <w:szCs w:val="17"/>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 expressly for use therein. For purposes of this Agreement, the only information so furnished shall be the information in the first paragraph under the heading “Underwriting– Commissions and Discounts,” the information in the second, third and fourth paragraphs under the heading “Underwriting–Price Stabilization, Short Positions and Penalty Bids” and the information under the heading “Underwriting–Electronic Offer, Sale and Distribution of Shares” in each case contained in the Prospectus (collectively, the “Underwriter Information”).</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(iii)            </w:t>
      </w:r>
      <w:r>
        <w:rPr>
          <w:rFonts w:ascii="Arial" w:cs="Arial" w:eastAsia="Arial" w:hAnsi="Arial"/>
          <w:sz w:val="17"/>
          <w:szCs w:val="17"/>
          <w:u w:val="single" w:color="auto"/>
          <w:color w:val="auto"/>
        </w:rPr>
        <w:t>Issuer Free Writing Prospectuses</w:t>
      </w:r>
      <w:r>
        <w:rPr>
          <w:rFonts w:ascii="Arial" w:cs="Arial" w:eastAsia="Arial" w:hAnsi="Arial"/>
          <w:sz w:val="17"/>
          <w:szCs w:val="17"/>
          <w:color w:val="auto"/>
        </w:rPr>
        <w:t>.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Any offer that is a written communication relating to the Securities made prior to the initial filing of the Registration Statement by the Company or any person acting on its behalf (within the meaning, for this paragraph only, of Rule 163(c) of the 1933 Act Regulations) has been filed with the Commission in accordance with the exemption provided by Rule 163 under the 1933 Act Regulations (“Rule 163”) and otherwise complied with the requirements of Rule 163, including without limitation the legending requirement, to qualify such offer for the exemption from Section 5(c) of the 1933 Act provided by Rule 163.</w:t>
      </w:r>
    </w:p>
    <w:p>
      <w:pPr>
        <w:spacing w:after="0" w:line="17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(iv)            </w:t>
      </w:r>
      <w:r>
        <w:rPr>
          <w:rFonts w:ascii="Arial" w:cs="Arial" w:eastAsia="Arial" w:hAnsi="Arial"/>
          <w:sz w:val="16"/>
          <w:szCs w:val="16"/>
          <w:u w:val="single" w:color="auto"/>
          <w:color w:val="auto"/>
        </w:rPr>
        <w:t>Independent Accountants</w:t>
      </w:r>
      <w:r>
        <w:rPr>
          <w:rFonts w:ascii="Arial" w:cs="Arial" w:eastAsia="Arial" w:hAnsi="Arial"/>
          <w:sz w:val="16"/>
          <w:szCs w:val="16"/>
          <w:color w:val="auto"/>
        </w:rPr>
        <w:t>. The accountants (the “Accountants”) who certified the financial statements and supporting schedules included in the Registration Statement, the General Disclosure Package and the Prospectus are independent public accountants as required by the 1933 Act, the 1933 Act Regulations, the 1934 Act and the 1934 Act Regulations and the Public Company Accounting Oversight Board.</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(v)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 or the 1934 Act Regulations.</w:t>
      </w:r>
    </w:p>
    <w:p>
      <w:pPr>
        <w:spacing w:after="0" w:line="3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 w:name="page11"/>
    <w:bookmarkEnd w:id="10"/>
    <w:p>
      <w:pPr>
        <w:jc w:val="both"/>
        <w:ind w:firstLine="648"/>
        <w:spacing w:after="0" w:line="291" w:lineRule="auto"/>
        <w:rPr>
          <w:sz w:val="20"/>
          <w:szCs w:val="20"/>
          <w:color w:val="auto"/>
        </w:rPr>
      </w:pPr>
      <w:r>
        <w:rPr>
          <w:rFonts w:ascii="Arial" w:cs="Arial" w:eastAsia="Arial" w:hAnsi="Arial"/>
          <w:sz w:val="16"/>
          <w:szCs w:val="16"/>
          <w:color w:val="auto"/>
        </w:rPr>
        <w:t>(vi)            </w:t>
      </w: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Except as otherwise stated therein, since the respective dates as of which information is given in the Registration Statement, the General Disclosure Package, or the Prospectus, (A) there has been no material adverse change or any development involving a prospective material adverse change in the condition, financial or otherwise, or in the earnings, business or management of the Company and its subsidiaries considered as one enterprise, whether or not arising in the ordinary course of business (a “Material Adverse Effect”),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(vii)            </w:t>
      </w:r>
      <w:r>
        <w:rPr>
          <w:rFonts w:ascii="Arial" w:cs="Arial" w:eastAsia="Arial" w:hAnsi="Arial"/>
          <w:sz w:val="18"/>
          <w:szCs w:val="18"/>
          <w:u w:val="single" w:color="auto"/>
          <w:color w:val="auto"/>
        </w:rPr>
        <w:t>Good Standing of the Company</w:t>
      </w:r>
      <w:r>
        <w:rPr>
          <w:rFonts w:ascii="Arial" w:cs="Arial" w:eastAsia="Arial" w:hAnsi="Arial"/>
          <w:sz w:val="18"/>
          <w:szCs w:val="18"/>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(to the extent such concept or functional equivalent is applicable in such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(viii)            </w:t>
      </w:r>
      <w:r>
        <w:rPr>
          <w:rFonts w:ascii="Arial" w:cs="Arial" w:eastAsia="Arial" w:hAnsi="Arial"/>
          <w:sz w:val="16"/>
          <w:szCs w:val="16"/>
          <w:u w:val="single" w:color="auto"/>
          <w:color w:val="auto"/>
        </w:rPr>
        <w:t>Good Standing of Subsidiaries</w:t>
      </w:r>
      <w:r>
        <w:rPr>
          <w:rFonts w:ascii="Arial" w:cs="Arial" w:eastAsia="Arial" w:hAnsi="Arial"/>
          <w:sz w:val="16"/>
          <w:szCs w:val="16"/>
          <w:color w:val="auto"/>
        </w:rPr>
        <w:t>. Each “significant subsidiary” of the Company (as such term is defined in Rule 1-02 of Regulation S-X) (each, a “Subsidiary” and, collectively, the “Subsidiaries”) has been duly organized and is validly existing in good standing under the laws of the jurisdiction of its incorporation or organization (to the extent such concept or functional equivalent is applicable in such jurisdiction), has corporate or similar power and authority to own, lease and operate its properties and to conduct its business as described in the Registration Statement, General Disclosure Package and the Prospectus and is duly qualified to transact business and is in good standing in each jurisdiction (to the extent such concept or functional equivalent is applicable in such jurisdiction) in which such qualification is required, whether by reason of the ownership or leasing of property or the conduct of business, except where the failure to so qualify or to be in good standing would not result in a Material Adverse Effect. Except as otherwise disclosed in the Registration Statement, General Disclosure Package or the Prospectus, all of the issued and outstanding capital stock of each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 The only Subsidiaries of the Company are the Subsidiaries listed on Exhibit 21.1 to the Company’s Annual Report on Form 10-K for the fiscal year ended December 31, 2022, as filed with the Commission.</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(ix)            </w:t>
      </w:r>
      <w:r>
        <w:rPr>
          <w:rFonts w:ascii="Arial" w:cs="Arial" w:eastAsia="Arial" w:hAnsi="Arial"/>
          <w:sz w:val="17"/>
          <w:szCs w:val="17"/>
          <w:u w:val="single" w:color="auto"/>
          <w:color w:val="auto"/>
        </w:rPr>
        <w:t>Capitalization</w:t>
      </w:r>
      <w:r>
        <w:rPr>
          <w:rFonts w:ascii="Arial" w:cs="Arial" w:eastAsia="Arial" w:hAnsi="Arial"/>
          <w:sz w:val="17"/>
          <w:szCs w:val="17"/>
          <w:color w:val="auto"/>
        </w:rPr>
        <w:t>. The authorized capital stock of the Company conforms as to legal matters to the description thereof contained in the Registration Statement, General Disclosure Package, and the Prospectus. All outstanding shares of capital stock of the Company have been duly authorized and validly issued in accordance with the Bylaws, fully paid and non-assessable and conform as to legal matters to the description thereof contained in or incorporated by reference into the Prospectus; and the stockholders of the Company have no preemptive rights with respect to the Securities. As of the date of the Company’s most recent Quarterly Report on Form 10-Q or an Annual Report on Form 10-K, except as disclosed in the Registration Statement, General Disclosure Package, and the Prospectus, neither the Company nor any of the Subsidiaries has outstanding any options to purchase, or any preemptive rights or other rights to subscribe for or to purchase, any securities or obligations convertible into, or any contracts or commitments to issue or sell, shares of its capital stock or any such options, rights, convertible securities or obligations. All outstanding shares of capital stock and options and other rights to acquire capital stock have been issued in compliance with the registration and qualification provisions of all applicable securities laws and were not issued in violation of any preemptive rights, rights of first refusal or other similar rights.</w:t>
      </w:r>
    </w:p>
    <w:p>
      <w:pPr>
        <w:spacing w:after="0" w:line="3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1" w:name="page12"/>
    <w:bookmarkEnd w:id="11"/>
    <w:p>
      <w:pPr>
        <w:ind w:left="640"/>
        <w:spacing w:after="0"/>
        <w:rPr>
          <w:sz w:val="20"/>
          <w:szCs w:val="20"/>
          <w:color w:val="auto"/>
        </w:rPr>
      </w:pPr>
      <w:r>
        <w:rPr>
          <w:rFonts w:ascii="Arial" w:cs="Arial" w:eastAsia="Arial" w:hAnsi="Arial"/>
          <w:sz w:val="18"/>
          <w:szCs w:val="18"/>
          <w:color w:val="auto"/>
        </w:rPr>
        <w:t>(x)            </w:t>
      </w: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(xi)           </w:t>
      </w:r>
      <w:r>
        <w:rPr>
          <w:rFonts w:ascii="Arial" w:cs="Arial" w:eastAsia="Arial" w:hAnsi="Arial"/>
          <w:sz w:val="18"/>
          <w:szCs w:val="18"/>
          <w:u w:val="single" w:color="auto"/>
          <w:color w:val="auto"/>
        </w:rPr>
        <w:t>Securities</w:t>
      </w:r>
      <w:r>
        <w:rPr>
          <w:rFonts w:ascii="Arial" w:cs="Arial" w:eastAsia="Arial" w:hAnsi="Arial"/>
          <w:sz w:val="18"/>
          <w:szCs w:val="18"/>
          <w:color w:val="auto"/>
        </w:rPr>
        <w:t>. The Securities to be offered by the Company hereunder have been duly authorized and when issued and delivered and paid for as provided herein, will be duly and validly issued in accordance with the second amended and restated certificate of incorporation of the Company, as subsequently amended from time to time, and the amended and restated bylaws of the Company, as subsequently amended from time to time, and will be fully paid and non-assessable and will conform to the description thereof in the Registration Statement, General Disclosure Package and the Prospectus; and no such issuance of Securities is subject to any statutory, preemptive or other similar contractual rights to subscribe for the Securities.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(xii)          </w:t>
      </w:r>
      <w:r>
        <w:rPr>
          <w:rFonts w:ascii="Arial" w:cs="Arial" w:eastAsia="Arial" w:hAnsi="Arial"/>
          <w:sz w:val="17"/>
          <w:szCs w:val="17"/>
          <w:u w:val="single" w:color="auto"/>
          <w:color w:val="auto"/>
        </w:rPr>
        <w:t>Registration Rights</w:t>
      </w:r>
      <w:r>
        <w:rPr>
          <w:rFonts w:ascii="Arial" w:cs="Arial" w:eastAsia="Arial" w:hAnsi="Arial"/>
          <w:sz w:val="17"/>
          <w:szCs w:val="17"/>
          <w:color w:val="auto"/>
        </w:rPr>
        <w:t>. There are no persons with registration rights or other similar rights to have any securities of the Company registered for sale or sold by the Company under the Act, other than those rights that have been disclosed in the Registration Statement, General Disclosure Package or the Prospectus. No person has the right to include any securities in the Securities to be sold in the offering contemplated by this Agreement, except for any such right that has been complied with or duly waived.</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(xiii)         </w:t>
      </w:r>
      <w:r>
        <w:rPr>
          <w:rFonts w:ascii="Arial" w:cs="Arial" w:eastAsia="Arial" w:hAnsi="Arial"/>
          <w:sz w:val="16"/>
          <w:szCs w:val="16"/>
          <w:u w:val="single" w:color="auto"/>
          <w:color w:val="auto"/>
        </w:rPr>
        <w:t>Absence of Violations, Defaults and Conflicts</w:t>
      </w:r>
      <w:r>
        <w:rPr>
          <w:rFonts w:ascii="Arial" w:cs="Arial" w:eastAsia="Arial" w:hAnsi="Arial"/>
          <w:sz w:val="16"/>
          <w:szCs w:val="16"/>
          <w:color w:val="auto"/>
        </w:rPr>
        <w:t>. Neither the Company nor any of its subsidiaries is (A) in material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“Agreements and Instruments”), except for such defaults that would not, singly or in the aggregate,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singly or in the aggregate, result in a Material Adverse Effect. Neither the Company nor any of its Subsidiaries is in violation of its charter, by-laws or similar organizational document. The execution, delivery and performance of this Agreement and the consummation of the transactions contemplated herein and in the Registration Statement, the General Disclosure Package and the Prospectus (including the issuance and sale of the Securities and the use of the net proceeds from the sale of the Securities and the Ayar Investment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result in a Material Adverse Effect), nor will such action result in any violation of the provisions of (i) the charter, by-laws or similar organizational document of the Company or any of its subsidiaries or (ii) any law, statute, rule, regulation, judgment, order, writ or decree of any Governmental Entity, except, with respect to clause (ii), such violations as would not reasonably be expected to, singly or in the aggregate,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prior to its stated maturity, by the Company or any of its subsidiaries.</w:t>
      </w:r>
    </w:p>
    <w:p>
      <w:pPr>
        <w:spacing w:after="0" w:line="39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t>(xiv)         </w:t>
      </w: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customers or contractors, which, in either case, would result in a Material Adverse Effect.</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(xv)          </w:t>
      </w:r>
      <w:r>
        <w:rPr>
          <w:rFonts w:ascii="Arial" w:cs="Arial" w:eastAsia="Arial" w:hAnsi="Arial"/>
          <w:sz w:val="17"/>
          <w:szCs w:val="17"/>
          <w:u w:val="single" w:color="auto"/>
          <w:color w:val="auto"/>
        </w:rPr>
        <w:t>Absence of Proceedings</w:t>
      </w:r>
      <w:r>
        <w:rPr>
          <w:rFonts w:ascii="Arial" w:cs="Arial" w:eastAsia="Arial" w:hAnsi="Arial"/>
          <w:sz w:val="17"/>
          <w:szCs w:val="17"/>
          <w:color w:val="auto"/>
        </w:rPr>
        <w:t>. Except as disclosed in the Registration Statement, the General Disclosure Package and the Prospectus, there is no action, suit, proceeding, inquiry or investigation before or brought by any Governmental Entity now pending or, to the knowledge of the Company, threatened, against or affecting the Company or any of its subsidiaries, which might result in a Material Adverse Effect, or which might materially and adversely affect their respective properties or assets or the consummation of the transactions contemplated in this Agreement or the performance by the Company of its obligations hereunder; and the aggregate of all pending legal or governmental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could not result in a Material Adverse Effect.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(xvi)         </w:t>
      </w: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(xvii)        </w:t>
      </w: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hereby, except (x) such as have been obtained and made under the 1933 Act or the 1934 Act or (y) such consents, approvals, authorizations, orders and registrations or qualifications (A) as may be obtained under applicable securities or blue-sky laws of any state or foreign jurisdiction in connection with the sale of the Securities by the Underwriters or (B) as have been obtained prior to the date herewith.</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3" w:name="page14"/>
    <w:bookmarkEnd w:id="13"/>
    <w:p>
      <w:pPr>
        <w:jc w:val="both"/>
        <w:ind w:left="4" w:firstLine="648"/>
        <w:spacing w:after="0" w:line="270" w:lineRule="auto"/>
        <w:rPr>
          <w:sz w:val="20"/>
          <w:szCs w:val="20"/>
          <w:color w:val="auto"/>
        </w:rPr>
      </w:pPr>
      <w:r>
        <w:rPr>
          <w:rFonts w:ascii="Arial" w:cs="Arial" w:eastAsia="Arial" w:hAnsi="Arial"/>
          <w:sz w:val="17"/>
          <w:szCs w:val="17"/>
          <w:color w:val="auto"/>
        </w:rPr>
        <w:t>(xviii)      </w:t>
      </w: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The Company and its subsidiaries possess such permits, licenses, approvals, consents and other authorizations (collectively, “Governmental Licenses”) issued by the appropriate Governmental Entities necessary to conduct the business now operated by them, except where the failure so to possess would not, singly or in the aggregate, result in a Material Adverse Effect. The Company and its subsidiaries are in compliance with the terms and conditions of all Governmental Licenses, except where the failure so to comply would not, singly or in the aggregate,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result in a Material Adverse Effect. Neither the Company nor any of its subsidiaries has received any written notice of proceedings relating to the revocation or modification of any Governmental Licenses which, singly or in the aggregate, if the subject of an unfavorable decision, ruling or finding, would result in a Material Adverse Effect.</w:t>
      </w:r>
    </w:p>
    <w:p>
      <w:pPr>
        <w:spacing w:after="0" w:line="181" w:lineRule="exact"/>
        <w:rPr>
          <w:sz w:val="20"/>
          <w:szCs w:val="20"/>
          <w:color w:val="auto"/>
        </w:rPr>
      </w:pPr>
    </w:p>
    <w:p>
      <w:pPr>
        <w:jc w:val="both"/>
        <w:ind w:left="4" w:firstLine="648"/>
        <w:spacing w:after="0" w:line="287" w:lineRule="auto"/>
        <w:rPr>
          <w:sz w:val="20"/>
          <w:szCs w:val="20"/>
          <w:color w:val="auto"/>
        </w:rPr>
      </w:pPr>
      <w:r>
        <w:rPr>
          <w:rFonts w:ascii="Arial" w:cs="Arial" w:eastAsia="Arial" w:hAnsi="Arial"/>
          <w:sz w:val="16"/>
          <w:szCs w:val="16"/>
          <w:color w:val="auto"/>
        </w:rPr>
        <w:t>(xix)         </w:t>
      </w: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w:t>
      </w:r>
    </w:p>
    <w:p>
      <w:pPr>
        <w:spacing w:after="0" w:line="2" w:lineRule="exact"/>
        <w:rPr>
          <w:sz w:val="20"/>
          <w:szCs w:val="20"/>
          <w:color w:val="auto"/>
        </w:rPr>
      </w:pPr>
    </w:p>
    <w:p>
      <w:pPr>
        <w:jc w:val="both"/>
        <w:ind w:left="4" w:hanging="4"/>
        <w:spacing w:after="0" w:line="268" w:lineRule="auto"/>
        <w:tabs>
          <w:tab w:leader="none" w:pos="292"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not, singly or in the aggregate, materially affect the value of such property and do not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received any written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that would, singly or in the aggregate, be material to the Company and its subsidiaries, taken as a whole.</w:t>
      </w:r>
    </w:p>
    <w:p>
      <w:pPr>
        <w:spacing w:after="0" w:line="183" w:lineRule="exact"/>
        <w:rPr>
          <w:sz w:val="20"/>
          <w:szCs w:val="20"/>
          <w:color w:val="auto"/>
        </w:rPr>
      </w:pPr>
    </w:p>
    <w:p>
      <w:pPr>
        <w:jc w:val="both"/>
        <w:ind w:left="4" w:firstLine="648"/>
        <w:spacing w:after="0" w:line="254" w:lineRule="auto"/>
        <w:rPr>
          <w:sz w:val="20"/>
          <w:szCs w:val="20"/>
          <w:color w:val="auto"/>
        </w:rPr>
      </w:pPr>
      <w:r>
        <w:rPr>
          <w:rFonts w:ascii="Arial" w:cs="Arial" w:eastAsia="Arial" w:hAnsi="Arial"/>
          <w:sz w:val="18"/>
          <w:szCs w:val="18"/>
          <w:color w:val="auto"/>
        </w:rPr>
        <w:t>(xx)          </w:t>
      </w:r>
      <w:r>
        <w:rPr>
          <w:rFonts w:ascii="Arial" w:cs="Arial" w:eastAsia="Arial" w:hAnsi="Arial"/>
          <w:sz w:val="18"/>
          <w:szCs w:val="18"/>
          <w:u w:val="single" w:color="auto"/>
          <w:color w:val="auto"/>
        </w:rPr>
        <w:t>Possession of Intellectual Property</w:t>
      </w:r>
      <w:r>
        <w:rPr>
          <w:rFonts w:ascii="Arial" w:cs="Arial" w:eastAsia="Arial" w:hAnsi="Arial"/>
          <w:sz w:val="18"/>
          <w:szCs w:val="18"/>
          <w:color w:val="auto"/>
        </w:rPr>
        <w:t>. Except as would not, singly or in the aggregate, result in a Material Adverse Effect, (A)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(B) neither the Company nor any of its subsidiaries has received any written notice or is otherwise aware of any infringement of or conflict with asserted rights of others with respect to any Intellectual Property or of any facts or circumstances which would render any Intellectual Property owned by the Company or its Subsidiaries invalid or inadequate to protect the interest of the Company or any of its Subsidiaries therein.</w:t>
      </w:r>
    </w:p>
    <w:p>
      <w:pPr>
        <w:spacing w:after="0" w:line="192"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(xxi)          </w:t>
      </w: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described in the Registration Statement, the General Disclosure Package and the Prospectus or would not, singly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investigations or proceedings relating to any Environmental Law against the Company or any of its subsidiaries and (D) to the Company’s knowledge,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spacing w:after="0" w:line="38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4" w:name="page15"/>
    <w:bookmarkEnd w:id="14"/>
    <w:p>
      <w:pPr>
        <w:jc w:val="both"/>
        <w:ind w:left="4" w:firstLine="648"/>
        <w:spacing w:after="0" w:line="287" w:lineRule="auto"/>
        <w:rPr>
          <w:sz w:val="20"/>
          <w:szCs w:val="20"/>
          <w:color w:val="auto"/>
        </w:rPr>
      </w:pPr>
      <w:r>
        <w:rPr>
          <w:rFonts w:ascii="Arial" w:cs="Arial" w:eastAsia="Arial" w:hAnsi="Arial"/>
          <w:sz w:val="16"/>
          <w:szCs w:val="16"/>
          <w:color w:val="auto"/>
        </w:rPr>
        <w:t>(xxii)         </w:t>
      </w:r>
      <w:r>
        <w:rPr>
          <w:rFonts w:ascii="Arial" w:cs="Arial" w:eastAsia="Arial" w:hAnsi="Arial"/>
          <w:sz w:val="16"/>
          <w:szCs w:val="16"/>
          <w:u w:val="single" w:color="auto"/>
          <w:color w:val="auto"/>
        </w:rPr>
        <w:t>Accounting Controls and Disclosure Controls</w:t>
      </w:r>
      <w:r>
        <w:rPr>
          <w:rFonts w:ascii="Arial" w:cs="Arial" w:eastAsia="Arial" w:hAnsi="Arial"/>
          <w:sz w:val="16"/>
          <w:szCs w:val="16"/>
          <w:color w:val="auto"/>
        </w:rPr>
        <w:t>. The Company and each of its subsidiaries maintain effective internal control over financial reporting (as defined under Rule 13-a15 and 15d-15 under the 1934 Act Regulations) and a system of internal accounting controls sufficient to provide reasonable assurances that (A) transactions are executed in accordance with management’s general or specific authorization;</w:t>
      </w:r>
    </w:p>
    <w:p>
      <w:pPr>
        <w:spacing w:after="0" w:line="2" w:lineRule="exact"/>
        <w:rPr>
          <w:sz w:val="20"/>
          <w:szCs w:val="20"/>
          <w:color w:val="auto"/>
        </w:rPr>
      </w:pPr>
    </w:p>
    <w:p>
      <w:pPr>
        <w:jc w:val="both"/>
        <w:ind w:left="4" w:hanging="4"/>
        <w:spacing w:after="0" w:line="284" w:lineRule="auto"/>
        <w:tabs>
          <w:tab w:leader="none" w:pos="298"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the General Disclosure Package and the Prospectus fairly presents the information called for in all material respects and is prepared in accordance with the Commission's rules and guidelines applicable thereto.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The Company and each of its subsidiaries maintain an effective system of disclosure controls and procedures (as defined in Rule 13a 15 and Rule 15d 15 under the Exchange Act)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78"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(xxiii)       </w:t>
      </w: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xml:space="preserve">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w:t>
      </w:r>
    </w:p>
    <w:p>
      <w:pPr>
        <w:spacing w:after="0" w:line="187"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(xxiv)       </w:t>
      </w:r>
      <w:r>
        <w:rPr>
          <w:rFonts w:ascii="Arial" w:cs="Arial" w:eastAsia="Arial" w:hAnsi="Arial"/>
          <w:sz w:val="16"/>
          <w:szCs w:val="16"/>
          <w:u w:val="single" w:color="auto"/>
          <w:color w:val="auto"/>
        </w:rPr>
        <w:t>Payment of Taxes</w:t>
      </w:r>
      <w:r>
        <w:rPr>
          <w:rFonts w:ascii="Arial" w:cs="Arial" w:eastAsia="Arial" w:hAnsi="Arial"/>
          <w:sz w:val="16"/>
          <w:szCs w:val="16"/>
          <w:color w:val="auto"/>
        </w:rPr>
        <w:t>. All United States federal, state, local and non-U.S.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and except where the failure to file such a return or pay such a tax would not, in the aggregate, reasonably be expected to have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in the aggregate result in a Material Adverse Effect.</w:t>
      </w:r>
    </w:p>
    <w:p>
      <w:pPr>
        <w:spacing w:after="0" w:line="38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 w:name="page16"/>
    <w:bookmarkEnd w:id="15"/>
    <w:p>
      <w:pPr>
        <w:jc w:val="both"/>
        <w:ind w:firstLine="648"/>
        <w:spacing w:after="0" w:line="254" w:lineRule="auto"/>
        <w:rPr>
          <w:sz w:val="20"/>
          <w:szCs w:val="20"/>
          <w:color w:val="auto"/>
        </w:rPr>
      </w:pPr>
      <w:r>
        <w:rPr>
          <w:rFonts w:ascii="Arial" w:cs="Arial" w:eastAsia="Arial" w:hAnsi="Arial"/>
          <w:sz w:val="18"/>
          <w:szCs w:val="18"/>
          <w:color w:val="auto"/>
        </w:rPr>
        <w:t>(xxv)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result in a Material Adverse Effect. Neither of the Company nor any of its subsidiaries has been denied any insurance coverage which it has sought or for which it has applied during the past three years.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(xxvi)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(xxvii)      </w:t>
      </w: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any controlled affiliate of the Company has taken, nor will the Company or any controlled affiliate take, directly or indirectly, any action which is designed, or would be expected, to cause or result in, or which constitutes, the stabilization or manipulation of the price of any security of the Company to facilitate the sale or resale of the Securities or to result in a violation of Regulation M under the 1934 Act. Except as permitted by the 1933 Act and furnished and consented to by the Underwriters prior to distribution, the Company has not distributed any registration statement, preliminary prospectus, prospectus or other offering material in connection with the Securities.</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(xxviii)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Company, any of its subsidiaries or, to the knowledge of the Company, any director, officer, agent, employee, controlled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controlled affiliates have conducted their businesses in compliance with the FCPA and have instituted and maintain policies and procedures designed to ensure, and which are reasonably expected to continue to ensure, continued compliance therewith.</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(xxix)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Company and its subsidiaries are and have been conducted at all times in material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knowledge of the Company, threatened.</w:t>
      </w:r>
    </w:p>
    <w:p>
      <w:pPr>
        <w:spacing w:after="0" w:line="39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6" w:name="page17"/>
    <w:bookmarkEnd w:id="16"/>
    <w:p>
      <w:pPr>
        <w:jc w:val="both"/>
        <w:ind w:firstLine="648"/>
        <w:spacing w:after="0" w:line="268" w:lineRule="auto"/>
        <w:rPr>
          <w:sz w:val="20"/>
          <w:szCs w:val="20"/>
          <w:color w:val="auto"/>
        </w:rPr>
      </w:pPr>
      <w:r>
        <w:rPr>
          <w:rFonts w:ascii="Arial" w:cs="Arial" w:eastAsia="Arial" w:hAnsi="Arial"/>
          <w:sz w:val="17"/>
          <w:szCs w:val="17"/>
          <w:color w:val="auto"/>
        </w:rPr>
        <w:t>(xxx)         </w:t>
      </w:r>
      <w:r>
        <w:rPr>
          <w:rFonts w:ascii="Arial" w:cs="Arial" w:eastAsia="Arial" w:hAnsi="Arial"/>
          <w:sz w:val="17"/>
          <w:szCs w:val="17"/>
          <w:u w:val="single" w:color="auto"/>
          <w:color w:val="auto"/>
        </w:rPr>
        <w:t>OFAC</w:t>
      </w:r>
      <w:r>
        <w:rPr>
          <w:rFonts w:ascii="Arial" w:cs="Arial" w:eastAsia="Arial" w:hAnsi="Arial"/>
          <w:sz w:val="17"/>
          <w:szCs w:val="17"/>
          <w:color w:val="auto"/>
        </w:rPr>
        <w:t>. None of the Company, any of its subsidiaries or, to the knowledge of the Company, any director, officer, agent, employee, controlled affiliate or representative of the Company or any of its subsidiaries is an individual or entity (“Person”) currently the subject or target of any sanctions of or administered or enforced by the United States Government, including, without limitation, the U.S. Department of the Treasury’s Office of Foreign Assets Control (“OFAC”), the U.S. Department of State, the United Nations Security Council, the European Union, His Majesty’s Treasury, or other relevant sanctions authority (collectively, “Sanctions”), nor is the Company or any of its subsidiaries located, organized or resident in a country or territory that is the subject of Sanctions (including, without limitation, Cuba, Iran, North Korea, Syria, the Crimea, Kherson, and Zaporizhzhia regions of Ukraine, the so-called Donetsk People’s Republic and the so-called Luhansk People’s Republic); and the Company will not, directly or indirectly, use the proceeds of the sale of the Securities, or lend, contribute or otherwise make available such proceeds to any subsidiaries, joint venture partners or other Person, to (A)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 or (B) finance any of the Company’s operations or activities (including joint ventures) in the Russian Federation, or to purchase Russian origin crude oil or refined petroleum products.</w:t>
      </w:r>
    </w:p>
    <w:p>
      <w:pPr>
        <w:spacing w:after="0" w:line="18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(xxxi)       </w:t>
      </w:r>
      <w:r>
        <w:rPr>
          <w:rFonts w:ascii="Arial" w:cs="Arial" w:eastAsia="Arial" w:hAnsi="Arial"/>
          <w:sz w:val="16"/>
          <w:szCs w:val="16"/>
          <w:u w:val="single" w:color="auto"/>
          <w:color w:val="auto"/>
        </w:rPr>
        <w:t>Lending Relationship</w:t>
      </w:r>
      <w:r>
        <w:rPr>
          <w:rFonts w:ascii="Arial" w:cs="Arial" w:eastAsia="Arial" w:hAnsi="Arial"/>
          <w:sz w:val="16"/>
          <w:szCs w:val="16"/>
          <w:i w:val="1"/>
          <w:iCs w:val="1"/>
          <w:color w:val="auto"/>
        </w:rPr>
        <w:t>.</w:t>
      </w:r>
      <w:r>
        <w:rPr>
          <w:rFonts w:ascii="Arial" w:cs="Arial" w:eastAsia="Arial" w:hAnsi="Arial"/>
          <w:sz w:val="16"/>
          <w:szCs w:val="16"/>
          <w:color w:val="auto"/>
        </w:rPr>
        <w:t xml:space="preserve"> 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(xxxii)      </w:t>
      </w:r>
      <w:r>
        <w:rPr>
          <w:rFonts w:ascii="Arial" w:cs="Arial" w:eastAsia="Arial" w:hAnsi="Arial"/>
          <w:sz w:val="16"/>
          <w:szCs w:val="16"/>
          <w:u w:val="single" w:color="auto"/>
          <w:color w:val="auto"/>
        </w:rPr>
        <w:t>Statistical and Market-Related Data</w:t>
      </w:r>
      <w:r>
        <w:rPr>
          <w:rFonts w:ascii="Arial" w:cs="Arial" w:eastAsia="Arial" w:hAnsi="Arial"/>
          <w:sz w:val="16"/>
          <w:szCs w:val="16"/>
          <w:color w:val="auto"/>
        </w:rPr>
        <w:t>.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(xxxiii)     </w:t>
      </w:r>
      <w:r>
        <w:rPr>
          <w:rFonts w:ascii="Arial" w:cs="Arial" w:eastAsia="Arial" w:hAnsi="Arial"/>
          <w:sz w:val="16"/>
          <w:szCs w:val="16"/>
          <w:u w:val="single" w:color="auto"/>
          <w:color w:val="auto"/>
        </w:rPr>
        <w:t>Cybersecurity</w:t>
      </w:r>
      <w:r>
        <w:rPr>
          <w:rFonts w:ascii="Arial" w:cs="Arial" w:eastAsia="Arial" w:hAnsi="Arial"/>
          <w:sz w:val="16"/>
          <w:szCs w:val="16"/>
          <w:color w:val="auto"/>
        </w:rPr>
        <w:t>. (A)Except as would not, singly or in the aggregate, result in a Material Adverse Effect, there has been no security breach or incident, unauthorized access or disclosure, or other compromise of or relating to the Company or its subsidiaries information technology and computer systems, networks, hardware, software, data and databases (including the data and information maintained, processed or stored by the Company and its subsidiaries), equipment or technology (collectively, “IT Systems and Data”); (B) neither the Company nor its subsidiaries have been notified of, and each of them have no knowledge of any material event or condition that could result in, any security breach or incident, unauthorized access or disclosure or other compromise to their IT Systems and Data and (C) the Company and its subsidiaries have implemented commercially reasonable controls, policies, procedures, and technological safeguards designed to maintain and protect the integrity, continuous operation, redundancy and security of their material IT Systems and Data reasonably consistent with applicable binding industry standards and practices, or as required by applicable binding regulatory standards. The Company and its subsidiaries are presently in material compliance with all applicable laws or statutes and all judgments, orders, rules and regulations of any court or arbitrator or governmental or regulatory authority, public-facing policies and statements and contractual obligations relating to the privacy and security of IT Systems and Data and to the protection of such IT Systems and Data from unauthorized use, access, misappropriation or modification.</w:t>
      </w:r>
    </w:p>
    <w:p>
      <w:pPr>
        <w:spacing w:after="0" w:line="38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 w:name="page18"/>
    <w:bookmarkEnd w:id="17"/>
    <w:p>
      <w:pPr>
        <w:jc w:val="both"/>
        <w:ind w:left="660" w:firstLine="648"/>
        <w:spacing w:after="0" w:line="270" w:lineRule="auto"/>
        <w:rPr>
          <w:sz w:val="20"/>
          <w:szCs w:val="20"/>
          <w:color w:val="auto"/>
        </w:rPr>
      </w:pPr>
      <w:r>
        <w:rPr>
          <w:rFonts w:ascii="Arial" w:cs="Arial" w:eastAsia="Arial" w:hAnsi="Arial"/>
          <w:sz w:val="17"/>
          <w:szCs w:val="17"/>
          <w:color w:val="auto"/>
        </w:rPr>
        <w:t>(xxxiv)     </w:t>
      </w:r>
      <w:r>
        <w:rPr>
          <w:rFonts w:ascii="Arial" w:cs="Arial" w:eastAsia="Arial" w:hAnsi="Arial"/>
          <w:sz w:val="17"/>
          <w:szCs w:val="17"/>
          <w:u w:val="single" w:color="auto"/>
          <w:color w:val="auto"/>
        </w:rPr>
        <w:t>Uyghur Forced Labor Prevention Act.</w:t>
      </w:r>
      <w:r>
        <w:rPr>
          <w:rFonts w:ascii="Arial" w:cs="Arial" w:eastAsia="Arial" w:hAnsi="Arial"/>
          <w:sz w:val="17"/>
          <w:szCs w:val="17"/>
          <w:color w:val="auto"/>
        </w:rPr>
        <w:t xml:space="preserve"> The operations of neither the Company nor any of its subsidiaries involve the sale or import into the United States of any goods, wares, articles, or merchandise mined, produced, or manufactured wholly or in part in the Xinjiang Uyghur Autonomous Region of the People's Republic of China, or produced by an entity on the Department of Homeland Security’s UFLPA Entity List. In the past five (5) years, none of the goods the Company or any of its subsidiaries have sold or imported into the United States have been seized by Customs and Border Patrol as being contrary to Section 307 of the Tariff Act of 1930 due to the use of forced labor in China in the production of such goods, and neither the Company nor its subsidiaries have been the subject of any fines, penalties, enforcement actions, litigation, or other liability in relation to the use of forced labor or alleged forced labor in the supply chain of the products it sells or imports into the United States. The Company and its subsidiaries have implemented policies and controls reasonably designed to mitigate the risks of forced labor in their supply chains and to ensure compliance with Section 307 of the Tariff Act of 1930.</w:t>
      </w:r>
    </w:p>
    <w:p>
      <w:pPr>
        <w:spacing w:after="0" w:line="181"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(xxxv)       </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The Company has not made any offer relating to the Securities that would constitute an Issuer Free Writing Prospectus or that would otherwise constitute a “free writing prospectus,” or a portion thereof, required to be filed by the Company with the Commission or retained by the Company under Rule 433.</w:t>
      </w:r>
    </w:p>
    <w:p>
      <w:pPr>
        <w:spacing w:after="0" w:line="184"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7"/>
          <w:szCs w:val="17"/>
          <w:color w:val="auto"/>
        </w:rPr>
        <w:t>(xxxvi)     </w:t>
      </w:r>
      <w:r>
        <w:rPr>
          <w:rFonts w:ascii="Arial" w:cs="Arial" w:eastAsia="Arial" w:hAnsi="Arial"/>
          <w:sz w:val="17"/>
          <w:szCs w:val="17"/>
          <w:u w:val="single" w:color="auto"/>
          <w:color w:val="auto"/>
        </w:rPr>
        <w:t>Ineligible Issuer</w:t>
      </w:r>
      <w:r>
        <w:rPr>
          <w:rFonts w:ascii="Arial" w:cs="Arial" w:eastAsia="Arial" w:hAnsi="Arial"/>
          <w:sz w:val="17"/>
          <w:szCs w:val="17"/>
          <w:color w:val="auto"/>
        </w:rPr>
        <w:t>. The Company is an “ineligible issuer” in connection with the offering pursuant to Rules 164, 405 and 433 under the 1933 Act Regulations. The Company has not, directly or indirectly, offered or sold any Securities by means of any “prospectus” or used any “prospectus” (each within the meaning of the 1933 Act) in connection with the offer or sale of the Securities, in each case other than the Registration Statement; the Company has not, directly or indirectly, prepared, used or referred to, and will not, directly or indirectly, prepare, use or refer to, any free writing prospectus, as such term is defined in Rule 405 under the 1933 Act, in connection with the offer and sale of the Securities; and the Company was and is an “ineligible issuer” (as defined in Rule 405 under the 1933 Act) as of the time of filing the Registration Statement and as of the time of each sale of the Securities in connection with the offering of the Securities.</w:t>
      </w:r>
    </w:p>
    <w:p>
      <w:pPr>
        <w:spacing w:after="0" w:line="17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            </w:t>
      </w:r>
      <w:r>
        <w:rPr>
          <w:rFonts w:ascii="Arial" w:cs="Arial" w:eastAsia="Arial" w:hAnsi="Arial"/>
          <w:sz w:val="16"/>
          <w:szCs w:val="16"/>
          <w:i w:val="1"/>
          <w:iCs w:val="1"/>
          <w:color w:val="auto"/>
        </w:rPr>
        <w:t>Officer’s Certificates</w:t>
      </w:r>
      <w:r>
        <w:rPr>
          <w:rFonts w:ascii="Arial" w:cs="Arial" w:eastAsia="Arial" w:hAnsi="Arial"/>
          <w:sz w:val="16"/>
          <w:szCs w:val="16"/>
          <w:color w:val="auto"/>
        </w:rPr>
        <w:t>. Any certificate signed by any officer of the Company or any of its subsidiaries delivered to the Representative or to counsel for the Underwriters shall be deemed a representation and warranty by the Company to each Underwriter as to the matters covered thereby.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to Underwriters; Closing</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Securities</w:t>
      </w:r>
      <w:r>
        <w:rPr>
          <w:rFonts w:ascii="Arial" w:cs="Arial" w:eastAsia="Arial" w:hAnsi="Arial"/>
          <w:sz w:val="18"/>
          <w:szCs w:val="18"/>
          <w:color w:val="auto"/>
        </w:rPr>
        <w:t>. 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price per share set forth in Schedule A, that number of Securities set forth in Schedule A opposite the name of such Underwriter, plus any additional number of Securities which such Underwriter may become obligated to purchase pursuant to the provisions of Section 10 hereof, subject, in each case, to such adjustments among the Underwriters as the Representative in its sole discretion may make to eliminate any sales or purchases of fractional shares.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            </w:t>
      </w:r>
      <w:r>
        <w:rPr>
          <w:rFonts w:ascii="Arial" w:cs="Arial" w:eastAsia="Arial" w:hAnsi="Arial"/>
          <w:sz w:val="18"/>
          <w:szCs w:val="18"/>
          <w:i w:val="1"/>
          <w:iCs w:val="1"/>
          <w:color w:val="auto"/>
        </w:rPr>
        <w:t>Payment</w:t>
      </w:r>
      <w:r>
        <w:rPr>
          <w:rFonts w:ascii="Arial" w:cs="Arial" w:eastAsia="Arial" w:hAnsi="Arial"/>
          <w:sz w:val="18"/>
          <w:szCs w:val="18"/>
          <w:color w:val="auto"/>
        </w:rPr>
        <w:t>. Payment of the purchase price for, and delivery of certificates or security entitlements for, the Securities shall be made at the offices of Simpson Thacher &amp; Bartlett LLP, 2475 Hanover Street, Palo Alto, CA 94304, or at such other place as shall be agreed upon by the Representative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 and the Company (such time and date of payment and delivery being herein called “Closing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73" w:lineRule="auto"/>
        <w:rPr>
          <w:sz w:val="20"/>
          <w:szCs w:val="20"/>
          <w:color w:val="auto"/>
        </w:rPr>
      </w:pPr>
      <w:r>
        <w:rPr>
          <w:rFonts w:ascii="Arial" w:cs="Arial" w:eastAsia="Arial" w:hAnsi="Arial"/>
          <w:sz w:val="17"/>
          <w:szCs w:val="17"/>
          <w:color w:val="auto"/>
        </w:rPr>
        <w:t>Payment shall be made to the Company by wire transfer of immediately available funds to a bank account designated by the Company against delivery to the Representative for the respective accounts of the Underwriters of certificates or security entitlements for the Securities to be purchased by them. It is understood that each Underwriter has authorized the Representative, for its account, to accept delivery of, receipt for, and make payment of the purchase price for, the Securities which it has agreed to purchase. The Representative, individually and not as representative of the Underwriters, may (but shall not be obligated to) make payment of the purchase price for the Securities to be purchased by any Underwriter whose funds have not been received by the Closing Time, but such payment shall not relieve such Underwriter from its obligations hereunder.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each Underwriter as follows: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            </w:t>
      </w:r>
      <w:r>
        <w:rPr>
          <w:rFonts w:ascii="Arial" w:cs="Arial" w:eastAsia="Arial" w:hAnsi="Arial"/>
          <w:sz w:val="17"/>
          <w:szCs w:val="17"/>
          <w:i w:val="1"/>
          <w:iCs w:val="1"/>
          <w:color w:val="auto"/>
        </w:rPr>
        <w:t>Compliance with Securities Regulations and Commission Requests</w:t>
      </w:r>
      <w:r>
        <w:rPr>
          <w:rFonts w:ascii="Arial" w:cs="Arial" w:eastAsia="Arial" w:hAnsi="Arial"/>
          <w:sz w:val="17"/>
          <w:szCs w:val="17"/>
          <w:color w:val="auto"/>
        </w:rPr>
        <w:t>. The Company, subject to Section 3(b), will comply with the requirements of Rule 430B, and will notify the Representative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 The Company shall pay the required Commission filing fees relating to the Securities within the time required by Rule 456(b)(1)(i) under the 1933 Act Regulations without regard to the proviso therein and otherwise in accordance with Rules 456(b) and 457(r) under the 1933 Act Regulations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48"/>
        <w:spacing w:after="0" w:line="284" w:lineRule="auto"/>
        <w:rPr>
          <w:sz w:val="20"/>
          <w:szCs w:val="20"/>
          <w:color w:val="auto"/>
        </w:rPr>
      </w:pPr>
      <w:r>
        <w:rPr>
          <w:rFonts w:ascii="Arial" w:cs="Arial" w:eastAsia="Arial" w:hAnsi="Arial"/>
          <w:sz w:val="16"/>
          <w:szCs w:val="16"/>
          <w:color w:val="auto"/>
        </w:rPr>
        <w:t>(b)            </w:t>
      </w: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comply with the 1933 Act, the 1933 Act Regulations, the 1934 Act and 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 with copies of any such amendment or supplement and (C) file with the Commission any such amendment or supplement; provided that the Company shall not file or use any such amendment or supplement to which the Representative or counsel for the Underwriters shall object. The Company will furnish to the Underwriters such number of copies of such amendment or supplement as the Underwriters may reasonably request. The Company has given the Representative notice of any filings made pursuant to the 1934 Act or 1934 Act Regulations within 48 hours prior to the Applicable Time; the Company will give the Representative notice of its intention to make any such filing from the Applicable Time to the Closing Time and will furnish the Representative with copies of any such documents a reasonable amount of time prior to such proposed filing, as the case may be, and will not file or use any such document to which the Representative or counsel for the Underwriters shall reasonably object.</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            </w:t>
      </w:r>
      <w:r>
        <w:rPr>
          <w:rFonts w:ascii="Arial" w:cs="Arial" w:eastAsia="Arial" w:hAnsi="Arial"/>
          <w:sz w:val="18"/>
          <w:szCs w:val="18"/>
          <w:i w:val="1"/>
          <w:iCs w:val="1"/>
          <w:color w:val="auto"/>
        </w:rPr>
        <w:t>Delivery of Registration Statements</w:t>
      </w:r>
      <w:r>
        <w:rPr>
          <w:rFonts w:ascii="Arial" w:cs="Arial" w:eastAsia="Arial" w:hAnsi="Arial"/>
          <w:sz w:val="18"/>
          <w:szCs w:val="18"/>
          <w:color w:val="auto"/>
        </w:rPr>
        <w:t>. The Company has furnished or will deliver to the Representative and counsel for the Underwriters, without charge, conformed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Representative,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            </w:t>
      </w:r>
      <w:r>
        <w:rPr>
          <w:rFonts w:ascii="Arial" w:cs="Arial" w:eastAsia="Arial" w:hAnsi="Arial"/>
          <w:sz w:val="16"/>
          <w:szCs w:val="16"/>
          <w:i w:val="1"/>
          <w:iCs w:val="1"/>
          <w:color w:val="auto"/>
        </w:rPr>
        <w:t>Delivery of Prospectuses</w:t>
      </w:r>
      <w:r>
        <w:rPr>
          <w:rFonts w:ascii="Arial" w:cs="Arial" w:eastAsia="Arial" w:hAnsi="Arial"/>
          <w:sz w:val="16"/>
          <w:szCs w:val="16"/>
          <w:color w:val="auto"/>
        </w:rPr>
        <w:t>.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6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            </w:t>
      </w: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use its best efforts, in cooperation with the Underwriters, to qualify the Securities for offering and sale under the applicable securities laws of such states and other jurisdictions (domestic or foreign) as the Representative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59" w:lineRule="auto"/>
        <w:rPr>
          <w:sz w:val="20"/>
          <w:szCs w:val="20"/>
          <w:color w:val="auto"/>
        </w:rPr>
      </w:pPr>
      <w:r>
        <w:rPr>
          <w:rFonts w:ascii="Arial" w:cs="Arial" w:eastAsia="Arial" w:hAnsi="Arial"/>
          <w:sz w:val="18"/>
          <w:szCs w:val="18"/>
          <w:color w:val="auto"/>
        </w:rPr>
        <w:t>(f)            </w:t>
      </w: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1934 Act as are necessary in order to make generally available to its securityholders as soon as practicable an earnings statement for the purposes of, and to provide to the Underwriters the benefits contemplated by, the last paragraph of Section 11(a) of the 1933 Act; provided the Company will be deemed to have furnished such statement to securityholders and the Representative to the extent it is filed with the Commission pursuant to EDGAR.</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(g)            </w:t>
      </w:r>
      <w:r>
        <w:rPr>
          <w:rFonts w:ascii="Arial" w:cs="Arial" w:eastAsia="Arial" w:hAnsi="Arial"/>
          <w:sz w:val="17"/>
          <w:szCs w:val="17"/>
          <w:i w:val="1"/>
          <w:iCs w:val="1"/>
          <w:color w:val="auto"/>
        </w:rPr>
        <w:t>Use of Proceeds</w:t>
      </w:r>
      <w:r>
        <w:rPr>
          <w:rFonts w:ascii="Arial" w:cs="Arial" w:eastAsia="Arial" w:hAnsi="Arial"/>
          <w:sz w:val="17"/>
          <w:szCs w:val="17"/>
          <w:color w:val="auto"/>
        </w:rPr>
        <w:t>. The Company will use the net proceeds received by it from the sale of the Securities and the Ayar Investment in the manner specified in the Registration Statement, the General Disclosure Package and the Prospectus under “Use of Proceeds.”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            </w:t>
      </w:r>
      <w:r>
        <w:rPr>
          <w:rFonts w:ascii="Arial" w:cs="Arial" w:eastAsia="Arial" w:hAnsi="Arial"/>
          <w:sz w:val="17"/>
          <w:szCs w:val="17"/>
          <w:i w:val="1"/>
          <w:iCs w:val="1"/>
          <w:color w:val="auto"/>
        </w:rPr>
        <w:t>Listing</w:t>
      </w:r>
      <w:r>
        <w:rPr>
          <w:rFonts w:ascii="Arial" w:cs="Arial" w:eastAsia="Arial" w:hAnsi="Arial"/>
          <w:sz w:val="17"/>
          <w:szCs w:val="17"/>
          <w:color w:val="auto"/>
        </w:rPr>
        <w:t>. The Company will use its best efforts to effect and maintain the listing of the Securities on the Nasdaq Global Select Market.</w:t>
      </w:r>
    </w:p>
    <w:p>
      <w:pPr>
        <w:spacing w:after="0" w:line="23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            </w:t>
      </w:r>
      <w:r>
        <w:rPr>
          <w:rFonts w:ascii="Arial" w:cs="Arial" w:eastAsia="Arial" w:hAnsi="Arial"/>
          <w:sz w:val="16"/>
          <w:szCs w:val="16"/>
          <w:i w:val="1"/>
          <w:iCs w:val="1"/>
          <w:color w:val="auto"/>
        </w:rPr>
        <w:t>Restriction on Sale of Securities</w:t>
      </w:r>
      <w:r>
        <w:rPr>
          <w:rFonts w:ascii="Arial" w:cs="Arial" w:eastAsia="Arial" w:hAnsi="Arial"/>
          <w:sz w:val="16"/>
          <w:szCs w:val="16"/>
          <w:color w:val="auto"/>
        </w:rPr>
        <w:t>. During a period of 60 days from the date of the Prospectus, the Company will not, without the prior written consent of the Representative,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The foregoing sentence shall not apply to (A) the Securities to be sold hereunder,</w:t>
      </w:r>
    </w:p>
    <w:p>
      <w:pPr>
        <w:spacing w:after="0" w:line="2" w:lineRule="exact"/>
        <w:rPr>
          <w:sz w:val="20"/>
          <w:szCs w:val="20"/>
          <w:color w:val="auto"/>
        </w:rPr>
      </w:pPr>
    </w:p>
    <w:p>
      <w:pPr>
        <w:jc w:val="both"/>
        <w:ind w:firstLine="8"/>
        <w:spacing w:after="0" w:line="281" w:lineRule="auto"/>
        <w:tabs>
          <w:tab w:leader="none" w:pos="297"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shares of Common Stock issued by the Company upon the exercise of an option, warrant or employee stock purchase plan purchase right or the conversion of a security outstanding on the date hereof and referred to in the Registration Statement, the General Disclosure Package and the Prospectus,</w:t>
      </w:r>
    </w:p>
    <w:p>
      <w:pPr>
        <w:spacing w:after="0" w:line="1" w:lineRule="exact"/>
        <w:rPr>
          <w:rFonts w:ascii="Arial" w:cs="Arial" w:eastAsia="Arial" w:hAnsi="Arial"/>
          <w:sz w:val="16"/>
          <w:szCs w:val="16"/>
          <w:color w:val="auto"/>
        </w:rPr>
      </w:pPr>
    </w:p>
    <w:p>
      <w:pPr>
        <w:jc w:val="both"/>
        <w:ind w:firstLine="8"/>
        <w:spacing w:after="0" w:line="285" w:lineRule="auto"/>
        <w:tabs>
          <w:tab w:leader="none" w:pos="302"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shares of Common Stock issued upon the exercise, vesting or settlement of equity awards or the issuance of equity awards granted pursuant to existing employee benefit plans of the Company existing on the date hereof referred to in the Registration Statement, the General Disclosure Package and the Prospectus, (D) any shares of Common Stock issued pursuant to any non-employee director stock plan or dividend reinvestment plan referred to in the Registration Statement, the General Disclosure Package and the Prospectus, (E) the entry into any agreements to issue or the issuance of Common Stock and/or Related Securities (not exceeding 5% of the aggregate number of Common Stock outstanding immediately following the offering of Securities pursuant to this Agreement) in connection with one or more acquisitions by the Company, either directly or through any of its subsidiaries (which acquisitions may be structured as acquisition of equity or assets, merger or consolidation), (F) any shares of Common Stock issued to Ayar pursuant to the terms of the Ayar Investment or (G) any action required to be taken under the Company’s Investor Rights Agreement dated February 22, 2021, as amended; provided that each transferee who receives Common Stock or Related Securities pursuant to clause (E) shall execute or otherwise be subject to an agreement substantially in the form of Exhibit A hereto for the remainder of the relevant 60-day period hereunder. For purposes of the foregoing, “Related Securities” shall mean any options or warrants or other rights to acquire Common Stock or any securities exchangeable or exercisable for or convertible into Common Stock, or to acquire other securities or rights ultimately exchangeable or exercisable for, or convertible into, Common Stock.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59" w:lineRule="auto"/>
        <w:rPr>
          <w:sz w:val="20"/>
          <w:szCs w:val="20"/>
          <w:color w:val="auto"/>
        </w:rPr>
      </w:pPr>
      <w:r>
        <w:rPr>
          <w:rFonts w:ascii="Arial" w:cs="Arial" w:eastAsia="Arial" w:hAnsi="Arial"/>
          <w:sz w:val="18"/>
          <w:szCs w:val="18"/>
          <w:color w:val="auto"/>
        </w:rPr>
        <w:t>(j)             </w:t>
      </w: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 exception 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(k)            </w:t>
      </w:r>
      <w:r>
        <w:rPr>
          <w:rFonts w:ascii="Arial" w:cs="Arial" w:eastAsia="Arial" w:hAnsi="Arial"/>
          <w:sz w:val="18"/>
          <w:szCs w:val="18"/>
          <w:i w:val="1"/>
          <w:iCs w:val="1"/>
          <w:color w:val="auto"/>
        </w:rPr>
        <w:t>Issuer Free Writing Prospectuses</w:t>
      </w:r>
      <w:r>
        <w:rPr>
          <w:rFonts w:ascii="Arial" w:cs="Arial" w:eastAsia="Arial" w:hAnsi="Arial"/>
          <w:sz w:val="18"/>
          <w:szCs w:val="18"/>
          <w:color w:val="auto"/>
        </w:rPr>
        <w:t>. The Company agrees that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(i) so long as the Company remains an ineligible issuer or (ii) unless it obtains the prior written consent of the Representative, if the Company ceases to be an ineligible issuer.</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(l)             </w:t>
      </w:r>
      <w:r>
        <w:rPr>
          <w:rFonts w:ascii="Arial" w:cs="Arial" w:eastAsia="Arial" w:hAnsi="Arial"/>
          <w:sz w:val="16"/>
          <w:szCs w:val="16"/>
          <w:i w:val="1"/>
          <w:iCs w:val="1"/>
          <w:color w:val="auto"/>
        </w:rPr>
        <w:t>No Amendment, Modification, Termination or Waiver of Ayar Agreement</w:t>
      </w:r>
      <w:r>
        <w:rPr>
          <w:rFonts w:ascii="Arial" w:cs="Arial" w:eastAsia="Arial" w:hAnsi="Arial"/>
          <w:sz w:val="16"/>
          <w:szCs w:val="16"/>
          <w:color w:val="auto"/>
        </w:rPr>
        <w:t>. Prior to the closing of the Ayar Investment, the Company agrees that, without prior written consent of the Representative, the Company will not, amend, modify, terminate or waive any provision of the Ayar Agreement relating to the economic terms of the Ayar Investment as disclosed in the General Disclosure Package and the Prospectus and will use all commercially reasonable efforts to consummate the closing contemplated by the Ayar Agreement in accordance with its terms. In addition, the Company agrees that, without the prior written consent of the Representative, the Company will not amend, modify, terminate or waive Section 5.06 of the Ayar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w:t>
      </w:r>
    </w:p>
    <w:p>
      <w:pPr>
        <w:spacing w:after="0" w:line="4" w:lineRule="exact"/>
        <w:rPr>
          <w:sz w:val="20"/>
          <w:szCs w:val="20"/>
          <w:color w:val="auto"/>
        </w:rPr>
      </w:pPr>
    </w:p>
    <w:p>
      <w:pPr>
        <w:jc w:val="both"/>
        <w:ind w:firstLine="8"/>
        <w:spacing w:after="0" w:line="286" w:lineRule="auto"/>
        <w:tabs>
          <w:tab w:leader="none" w:pos="318"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fees and disbursements of the Company’s counsel, accountants and other advisors, (v) the qualification of the Securities under securities laws in accordance with the provisions of Section 3(e) hereof, including filing fees and the reasonable and documented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in connection with the road show presentations, (viii) the filing fees incident to, and the reasonable and documented fees and disbursements of counsel to the Underwriters in connection with the review by FINRA of the terms of the sale of the Securities and (ix) the fees and expenses incurred in connection with the listing of the Securities on the Nasdaq Global Select Market; </w:t>
      </w:r>
      <w:r>
        <w:rPr>
          <w:rFonts w:ascii="Arial" w:cs="Arial" w:eastAsia="Arial" w:hAnsi="Arial"/>
          <w:sz w:val="16"/>
          <w:szCs w:val="16"/>
          <w:i w:val="1"/>
          <w:iCs w:val="1"/>
          <w:color w:val="auto"/>
        </w:rPr>
        <w:t>provided</w:t>
      </w:r>
      <w:r>
        <w:rPr>
          <w:rFonts w:ascii="Arial" w:cs="Arial" w:eastAsia="Arial" w:hAnsi="Arial"/>
          <w:sz w:val="16"/>
          <w:szCs w:val="16"/>
          <w:color w:val="auto"/>
        </w:rPr>
        <w:t>, that the fees and disbursements of counsel to the Underwriters incurred in connection with clauses (v) and (viii) shall not exceed $15,000.</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            </w:t>
      </w:r>
      <w:r>
        <w:rPr>
          <w:rFonts w:ascii="Arial" w:cs="Arial" w:eastAsia="Arial" w:hAnsi="Arial"/>
          <w:sz w:val="18"/>
          <w:szCs w:val="18"/>
          <w:i w:val="1"/>
          <w:iCs w:val="1"/>
          <w:color w:val="auto"/>
        </w:rPr>
        <w:t>Termination of Agreement</w:t>
      </w:r>
      <w:r>
        <w:rPr>
          <w:rFonts w:ascii="Arial" w:cs="Arial" w:eastAsia="Arial" w:hAnsi="Arial"/>
          <w:sz w:val="18"/>
          <w:szCs w:val="18"/>
          <w:color w:val="auto"/>
        </w:rPr>
        <w:t>. If this Agreement is terminated by the Representative in accordance with the provisions of Section 5, Section 9 or Section 10 hereof, the Company shall reimburse the Underwriters for all of their out-of-pocket expenses, including the reasonable fees and disbursements of counsel for the Underwriters.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Effectiveness of Registration Statement</w:t>
      </w:r>
      <w:r>
        <w:rPr>
          <w:rFonts w:ascii="Arial" w:cs="Arial" w:eastAsia="Arial" w:hAnsi="Arial"/>
          <w:sz w:val="16"/>
          <w:szCs w:val="16"/>
          <w:color w:val="auto"/>
        </w:rPr>
        <w:t>. The Registration 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The Company shall have paid the required Commission filing fees relating to the Securities within the time period required by Rule 456(b)(1)(i) under the 1933 Act Regulations without regard to the proviso therein and otherwise in accordance with Rules 456(b) and 457(r) under the 1933 Act Regulations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            </w:t>
      </w:r>
      <w:r>
        <w:rPr>
          <w:rFonts w:ascii="Arial" w:cs="Arial" w:eastAsia="Arial" w:hAnsi="Arial"/>
          <w:sz w:val="17"/>
          <w:szCs w:val="17"/>
          <w:i w:val="1"/>
          <w:iCs w:val="1"/>
          <w:color w:val="auto"/>
        </w:rPr>
        <w:t>Opinion of Counsel for Company</w:t>
      </w:r>
      <w:r>
        <w:rPr>
          <w:rFonts w:ascii="Arial" w:cs="Arial" w:eastAsia="Arial" w:hAnsi="Arial"/>
          <w:sz w:val="17"/>
          <w:szCs w:val="17"/>
          <w:color w:val="auto"/>
        </w:rPr>
        <w:t>. At the Closing Time, the Representative shall have received the favorable opinion, dated the Closing Time, of Davis Polk &amp; Wardwell LLP, counsel for the Company, in form and substance satisfactory to counsel for the Underwriters.</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            </w:t>
      </w:r>
      <w:r>
        <w:rPr>
          <w:rFonts w:ascii="Arial" w:cs="Arial" w:eastAsia="Arial" w:hAnsi="Arial"/>
          <w:sz w:val="17"/>
          <w:szCs w:val="17"/>
          <w:i w:val="1"/>
          <w:iCs w:val="1"/>
          <w:color w:val="auto"/>
        </w:rPr>
        <w:t>Opinion of Counsel for Underwriters</w:t>
      </w:r>
      <w:r>
        <w:rPr>
          <w:rFonts w:ascii="Arial" w:cs="Arial" w:eastAsia="Arial" w:hAnsi="Arial"/>
          <w:sz w:val="17"/>
          <w:szCs w:val="17"/>
          <w:color w:val="auto"/>
        </w:rPr>
        <w:t>. At the Closing Time, the Representative shall have received the favorable opinion, dated the Closing Time, of Simpson Thacher &amp; Bartlett LLP, counsel for the Underwriters, in form and substance satisfactory to the Representative.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            </w:t>
      </w:r>
      <w:r>
        <w:rPr>
          <w:rFonts w:ascii="Arial" w:cs="Arial" w:eastAsia="Arial" w:hAnsi="Arial"/>
          <w:sz w:val="16"/>
          <w:szCs w:val="16"/>
          <w:i w:val="1"/>
          <w:iCs w:val="1"/>
          <w:color w:val="auto"/>
        </w:rPr>
        <w:t>Officers’ Certificate</w:t>
      </w:r>
      <w:r>
        <w:rPr>
          <w:rFonts w:ascii="Arial" w:cs="Arial" w:eastAsia="Arial" w:hAnsi="Arial"/>
          <w:sz w:val="16"/>
          <w:szCs w:val="16"/>
          <w:color w:val="auto"/>
        </w:rPr>
        <w:t>. At the Closing Time, there shall not have been, since the date hereof or since the respective dates as of which information is given in the Registration Statement, the General Disclosure Package or the Prospectus, any Material Adverse Effect, and the Representative shall have received a certificate of the Chief Executive Officer or of the Chief Financial Officer of the Company, dated the Closing Time, to the effect that</w:t>
      </w:r>
    </w:p>
    <w:p>
      <w:pPr>
        <w:spacing w:after="0" w:line="2" w:lineRule="exact"/>
        <w:rPr>
          <w:sz w:val="20"/>
          <w:szCs w:val="20"/>
          <w:color w:val="auto"/>
        </w:rPr>
      </w:pPr>
    </w:p>
    <w:p>
      <w:pPr>
        <w:jc w:val="both"/>
        <w:ind w:firstLine="8"/>
        <w:spacing w:after="0" w:line="271" w:lineRule="auto"/>
        <w:tabs>
          <w:tab w:leader="none" w:pos="22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            </w:t>
      </w:r>
      <w:r>
        <w:rPr>
          <w:rFonts w:ascii="Arial" w:cs="Arial" w:eastAsia="Arial" w:hAnsi="Arial"/>
          <w:sz w:val="16"/>
          <w:szCs w:val="16"/>
          <w:i w:val="1"/>
          <w:iCs w:val="1"/>
          <w:color w:val="auto"/>
        </w:rPr>
        <w:t>Accountant’s Comfort Letter</w:t>
      </w:r>
      <w:r>
        <w:rPr>
          <w:rFonts w:ascii="Arial" w:cs="Arial" w:eastAsia="Arial" w:hAnsi="Arial"/>
          <w:sz w:val="16"/>
          <w:szCs w:val="16"/>
          <w:color w:val="auto"/>
        </w:rPr>
        <w:t>. At the time of the execution of this Agreement, the Representative shall have received from Grant Thornton LLP a letter, dated such date, in form and substance satisfactory to the Representative,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263" w:lineRule="auto"/>
        <w:rPr>
          <w:sz w:val="20"/>
          <w:szCs w:val="20"/>
          <w:color w:val="auto"/>
        </w:rPr>
      </w:pPr>
      <w:r>
        <w:rPr>
          <w:rFonts w:ascii="Arial" w:cs="Arial" w:eastAsia="Arial" w:hAnsi="Arial"/>
          <w:sz w:val="18"/>
          <w:szCs w:val="18"/>
          <w:color w:val="auto"/>
        </w:rPr>
        <w:t>(f)            </w:t>
      </w: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Representative shall have received from Grant Thornton LLP a letter, dated as of the 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            </w:t>
      </w:r>
      <w:r>
        <w:rPr>
          <w:rFonts w:ascii="Arial" w:cs="Arial" w:eastAsia="Arial" w:hAnsi="Arial"/>
          <w:sz w:val="17"/>
          <w:szCs w:val="17"/>
          <w:i w:val="1"/>
          <w:iCs w:val="1"/>
          <w:color w:val="auto"/>
        </w:rPr>
        <w:t>Approval of Listing</w:t>
      </w:r>
      <w:r>
        <w:rPr>
          <w:rFonts w:ascii="Arial" w:cs="Arial" w:eastAsia="Arial" w:hAnsi="Arial"/>
          <w:sz w:val="17"/>
          <w:szCs w:val="17"/>
          <w:color w:val="auto"/>
        </w:rPr>
        <w:t>. At the Closing Time, the Securities shall have been approved for listing on the Nasdaq Global Select Market.</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            </w:t>
      </w: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 underwriting terms and arrangements relating to the offering of the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             </w:t>
      </w: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Representative shall have received an agreement substantially in the form of Exhibit A hereto signed by the persons listed on Schedule C 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(j)             </w:t>
      </w:r>
      <w:r>
        <w:rPr>
          <w:rFonts w:ascii="Arial" w:cs="Arial" w:eastAsia="Arial" w:hAnsi="Arial"/>
          <w:sz w:val="18"/>
          <w:szCs w:val="18"/>
          <w:i w:val="1"/>
          <w:iCs w:val="1"/>
          <w:color w:val="auto"/>
        </w:rPr>
        <w:t>Securities Ratings</w:t>
      </w:r>
      <w:r>
        <w:rPr>
          <w:rFonts w:ascii="Arial" w:cs="Arial" w:eastAsia="Arial" w:hAnsi="Arial"/>
          <w:sz w:val="18"/>
          <w:szCs w:val="18"/>
          <w:color w:val="auto"/>
        </w:rPr>
        <w:t>. Neither the Company nor its subsidiaries have any debt securities or preferred stock that are rated by any “nationally recognized statistical rating organization.”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            </w:t>
      </w: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counsel for the Underwriters shall have been furnished with such documents and opinions as they may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Representative and counsel for the Underwriters.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            </w:t>
      </w:r>
      <w:r>
        <w:rPr>
          <w:rFonts w:ascii="Arial" w:cs="Arial" w:eastAsia="Arial" w:hAnsi="Arial"/>
          <w:sz w:val="18"/>
          <w:szCs w:val="18"/>
          <w:i w:val="1"/>
          <w:iCs w:val="1"/>
          <w:color w:val="auto"/>
        </w:rPr>
        <w:t>Termination of Agreement</w:t>
      </w:r>
      <w:r>
        <w:rPr>
          <w:rFonts w:ascii="Arial" w:cs="Arial" w:eastAsia="Arial" w:hAnsi="Arial"/>
          <w:sz w:val="18"/>
          <w:szCs w:val="18"/>
          <w:color w:val="auto"/>
        </w:rPr>
        <w:t>. If any condition specified in this Section shall not have been fulfilled when and as required to be fulfilled, this Agreement may be terminated by the Representative by notice to the Company at any time at or prior to Closing Time, and such termination shall be without liability of any party to any other party except as provided in Section 4 and except that Sections 1, 6, 7, 8, 14, 15, 16 and 17 shall survive any such termination and remain in full force and effect.</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(m)            </w:t>
      </w:r>
      <w:r>
        <w:rPr>
          <w:rFonts w:ascii="Arial" w:cs="Arial" w:eastAsia="Arial" w:hAnsi="Arial"/>
          <w:sz w:val="16"/>
          <w:szCs w:val="16"/>
          <w:i w:val="1"/>
          <w:iCs w:val="1"/>
          <w:color w:val="auto"/>
        </w:rPr>
        <w:t>Effectiveness of Ayar Agreement</w:t>
      </w:r>
      <w:r>
        <w:rPr>
          <w:rFonts w:ascii="Arial" w:cs="Arial" w:eastAsia="Arial" w:hAnsi="Arial"/>
          <w:sz w:val="16"/>
          <w:szCs w:val="16"/>
          <w:color w:val="auto"/>
        </w:rPr>
        <w:t>. The Ayar Agreement shall be in full force and effect and there shall not be, to the Company’s knowledge, any reason at the Closing Time that the closing contemplated by the Ayar Agreement will not be consummated in accordance with its terms.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agrees to indemnify and hold harmless each Underwriter, its affiliates (as such term is defined in Rule 501(b) under the 1933 Act (each, an “Affiliate”)), its selling agents and employees and each person, if any, who controls any Underwriter within the meaning of Section 15 of the 1933 Act or Section 20 of the 1934 Act as follows:</w:t>
      </w:r>
    </w:p>
    <w:p>
      <w:pPr>
        <w:spacing w:after="0" w:line="184"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(i)            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roadshow or investor presentations made to investors by the Company (whether in person or electronically), or the omission or alleged omission in any preliminary prospectus, Issuer Free Writing Prospectus, Prospectus or in any Marketing Materials of a material fact necessary in order to make the statements therein, in the light of the circumstances under which they were made, not misleading;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left="660" w:firstLine="648"/>
        <w:spacing w:after="0" w:line="259" w:lineRule="auto"/>
        <w:rPr>
          <w:sz w:val="20"/>
          <w:szCs w:val="20"/>
          <w:color w:val="auto"/>
        </w:rPr>
      </w:pPr>
      <w:r>
        <w:rPr>
          <w:rFonts w:ascii="Arial" w:cs="Arial" w:eastAsia="Arial" w:hAnsi="Arial"/>
          <w:sz w:val="18"/>
          <w:szCs w:val="18"/>
          <w:color w:val="auto"/>
        </w:rPr>
        <w:t>(ii)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187"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(iii)            against any and all expense whatsoever, as incurred (including the fees and disbursements of counsel chosen by the Representative),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            </w:t>
      </w:r>
      <w:r>
        <w:rPr>
          <w:rFonts w:ascii="Arial" w:cs="Arial" w:eastAsia="Arial" w:hAnsi="Arial"/>
          <w:sz w:val="16"/>
          <w:szCs w:val="16"/>
          <w:i w:val="1"/>
          <w:iCs w:val="1"/>
          <w:color w:val="auto"/>
        </w:rPr>
        <w:t>Indemnification of Company, Directors and Officers</w:t>
      </w:r>
      <w:r>
        <w:rPr>
          <w:rFonts w:ascii="Arial" w:cs="Arial" w:eastAsia="Arial" w:hAnsi="Arial"/>
          <w:sz w:val="16"/>
          <w:szCs w:val="16"/>
          <w:color w:val="auto"/>
        </w:rPr>
        <w:t>. Each Underwriter severally agrees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            </w:t>
      </w: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48"/>
        <w:spacing w:after="0" w:line="255" w:lineRule="auto"/>
        <w:rPr>
          <w:sz w:val="20"/>
          <w:szCs w:val="20"/>
          <w:color w:val="auto"/>
        </w:rPr>
      </w:pPr>
      <w:r>
        <w:rPr>
          <w:rFonts w:ascii="Arial" w:cs="Arial" w:eastAsia="Arial" w:hAnsi="Arial"/>
          <w:sz w:val="18"/>
          <w:szCs w:val="18"/>
          <w:color w:val="auto"/>
        </w:rPr>
        <w:t>(d)            </w:t>
      </w: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 party to reimburse the indemnified party for reasonable and documented fees and expenses of counsel, such indemnifying party agrees that it shall be liable for any settlement of the nature contemplated by Section 6(a)(ii) effected without its written consent if (i) such settlement is entered into more than 90 days after receipt by such indemnifying party of the aforesaid request, (ii) such indemnifying party shall have received notice of the terms of such settlement at least 60 days prior to such settlement being entered into and (iii) such indemnifying party shall not have reimbursed such indemnified party in accordance with such request prior to the date of such settlement.</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difference between (x) the aggregate price to the public received by the Underwriters and (y) the aggregate price paid by the Underwriters to the Company for the Securities, on the other hand, bear to the aggregate price to the public received by the Underwriters.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93"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Securities set forth opposite their respective names in Schedule A hereto and not joint.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w:t>
      </w:r>
      <w:r>
        <w:rPr>
          <w:rFonts w:ascii="Arial" w:cs="Arial" w:eastAsia="Arial" w:hAnsi="Arial"/>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Termination</w:t>
      </w:r>
      <w:r>
        <w:rPr>
          <w:rFonts w:ascii="Arial" w:cs="Arial" w:eastAsia="Arial" w:hAnsi="Arial"/>
          <w:sz w:val="16"/>
          <w:szCs w:val="16"/>
          <w:color w:val="auto"/>
        </w:rPr>
        <w:t>. The Representative may terminate this Agreement, by notice to the Company, at any time at or prior to the Closing Time</w:t>
      </w:r>
    </w:p>
    <w:p>
      <w:pPr>
        <w:spacing w:after="0" w:line="46" w:lineRule="exact"/>
        <w:rPr>
          <w:sz w:val="20"/>
          <w:szCs w:val="20"/>
          <w:color w:val="auto"/>
        </w:rPr>
      </w:pPr>
    </w:p>
    <w:p>
      <w:pPr>
        <w:jc w:val="both"/>
        <w:ind w:firstLine="8"/>
        <w:spacing w:after="0" w:line="267" w:lineRule="auto"/>
        <w:tabs>
          <w:tab w:leader="none" w:pos="243"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there has been, in the judgment of the Representative,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NYSE American or the New York Stock Exchange or in the Nasdaq Global Select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63" w:lineRule="auto"/>
        <w:rPr>
          <w:sz w:val="20"/>
          <w:szCs w:val="20"/>
          <w:color w:val="auto"/>
        </w:rPr>
      </w:pPr>
      <w:r>
        <w:rPr>
          <w:rFonts w:ascii="Arial" w:cs="Arial" w:eastAsia="Arial" w:hAnsi="Arial"/>
          <w:sz w:val="18"/>
          <w:szCs w:val="18"/>
          <w:color w:val="auto"/>
        </w:rPr>
        <w:t>(b)            </w:t>
      </w: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 other party except as provided in Section 4 hereof, and provided further that Sections 1, 6, 7, 8, 14, 15, 16 and 17 shall survive such termination and remain in full force and effect.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Time to purchase the Securities which it or they are obligated to purchase under this Agreement (the “Defaulted Securities”), the Representative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 shall not have completed such arrangements within such 24-hour period, then:</w:t>
      </w:r>
    </w:p>
    <w:p>
      <w:pPr>
        <w:spacing w:after="0" w:line="188"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(i)            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6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(ii)            if the number of Defaulted Securities exceeds 10% of the number of Securities to be purchased on such date, this Agreement shall terminate without liability on the part of any non-defaulting Underwriter.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any such default which does not result in a termination of this Agreement, either the (i) Representative or (ii) the Company shall have the right to postpone Closing Time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to have been duly given if mailed or transmitted by any standard form of telecommunication. Notices to the Underwriters shall be directed to BofA Securities, Inc., One Bryant Park, New York, New York 10036, with a copy to Attention: ECM Legal (email: dg.ecm_legal@bofa.com), and, if sent to the Company, shall be directed to it at 7373 Gateway Blvd, Newark, CA 94560, Attention: General Counsel, email: Legal@lucidmotors.com. Each party to this Agreement may change such address for notices by sending to the parties to this Agreement written notice of a new address for such purpose.</w:t>
      </w:r>
    </w:p>
    <w:p>
      <w:pPr>
        <w:spacing w:after="0" w:line="17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w:t>
      </w:r>
    </w:p>
    <w:p>
      <w:pPr>
        <w:spacing w:after="0" w:line="6" w:lineRule="exact"/>
        <w:rPr>
          <w:sz w:val="20"/>
          <w:szCs w:val="20"/>
          <w:color w:val="auto"/>
        </w:rPr>
      </w:pPr>
    </w:p>
    <w:p>
      <w:pPr>
        <w:jc w:val="both"/>
        <w:ind w:firstLine="8"/>
        <w:spacing w:after="0" w:line="253" w:lineRule="auto"/>
        <w:tabs>
          <w:tab w:leader="none" w:pos="2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Underwriters have not provided any legal, accounting, regulatory, investment or tax advice with respect to the offering of the Securities and the Company has consulted its own respective legal, accounting, financial, regulatory and tax advisors to the extent it deemed appropriate and (f)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8"/>
          <w:szCs w:val="18"/>
          <w:b w:val="1"/>
          <w:bCs w:val="1"/>
          <w:color w:val="auto"/>
        </w:rPr>
        <w:t>“</w:t>
      </w:r>
      <w:r>
        <w:rPr>
          <w:rFonts w:ascii="Arial" w:cs="Arial" w:eastAsia="Arial" w:hAnsi="Arial"/>
          <w:sz w:val="18"/>
          <w:szCs w:val="18"/>
          <w:color w:val="auto"/>
        </w:rPr>
        <w:t>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Trial by Jury</w:t>
      </w:r>
      <w:r>
        <w:rPr>
          <w:rFonts w:ascii="Arial" w:cs="Arial" w:eastAsia="Arial" w:hAnsi="Arial"/>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648"/>
        <w:spacing w:after="0" w:line="26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Consent to Jurisdiction; Waiver of Immunity</w:t>
      </w:r>
      <w:r>
        <w:rPr>
          <w:rFonts w:ascii="Arial" w:cs="Arial" w:eastAsia="Arial" w:hAnsi="Arial"/>
          <w:sz w:val="16"/>
          <w:szCs w:val="16"/>
          <w:color w:val="auto"/>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Counterparts and Electronic Signatures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headings herein are for convenience only and shall not affect the construction hereof.</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263"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23"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the date first above written:</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Greg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Greg Kelly</w:t>
      </w:r>
    </w:p>
    <w:p>
      <w:pPr>
        <w:spacing w:after="0" w:line="23"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other Underwriters named in Schedule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9680" w:type="dxa"/>
            <w:vAlign w:val="bottom"/>
          </w:tcPr>
          <w:p>
            <w:pPr>
              <w:jc w:val="center"/>
              <w:ind w:left="1490"/>
              <w:spacing w:after="0"/>
              <w:rPr>
                <w:sz w:val="20"/>
                <w:szCs w:val="20"/>
                <w:color w:val="auto"/>
              </w:rPr>
            </w:pPr>
            <w:r>
              <w:rPr>
                <w:rFonts w:ascii="Arial" w:cs="Arial" w:eastAsia="Arial" w:hAnsi="Arial"/>
                <w:sz w:val="18"/>
                <w:szCs w:val="18"/>
                <w:color w:val="auto"/>
                <w:w w:val="95"/>
              </w:rPr>
              <w:t>SCHEDULE A</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80" w:type="dxa"/>
            <w:vAlign w:val="bottom"/>
          </w:tcPr>
          <w:p>
            <w:pPr>
              <w:spacing w:after="0"/>
              <w:rPr>
                <w:sz w:val="20"/>
                <w:szCs w:val="20"/>
                <w:color w:val="auto"/>
              </w:rPr>
            </w:pPr>
            <w:r>
              <w:rPr>
                <w:rFonts w:ascii="Arial" w:cs="Arial" w:eastAsia="Arial" w:hAnsi="Arial"/>
                <w:sz w:val="18"/>
                <w:szCs w:val="18"/>
                <w:color w:val="auto"/>
              </w:rPr>
              <w:t>The purchase price per share for the Securities to be paid by the Underwriter shall be $6.83.</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color w:val="auto"/>
              </w:rPr>
              <w:t>Number of</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 of Underwriter</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173,544,948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680" w:type="dxa"/>
            <w:vAlign w:val="bottom"/>
          </w:tcPr>
          <w:p>
            <w:pPr>
              <w:ind w:left="500"/>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173,544,948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80" w:type="dxa"/>
            <w:vAlign w:val="bottom"/>
            <w:vMerge w:val="restart"/>
          </w:tcPr>
          <w:p>
            <w:pPr>
              <w:jc w:val="center"/>
              <w:ind w:left="1490"/>
              <w:spacing w:after="0"/>
              <w:rPr>
                <w:sz w:val="20"/>
                <w:szCs w:val="20"/>
                <w:color w:val="auto"/>
              </w:rPr>
            </w:pPr>
            <w:r>
              <w:rPr>
                <w:rFonts w:ascii="Arial" w:cs="Arial" w:eastAsia="Arial" w:hAnsi="Arial"/>
                <w:sz w:val="18"/>
                <w:szCs w:val="18"/>
                <w:color w:val="auto"/>
                <w:w w:val="90"/>
              </w:rPr>
              <w:t>Sch A-1</w:t>
            </w: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6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SCHEDULE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Terms</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The Company is selling 173,544,948 shares of Common Stock in the public offering.</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public offering price is, as to each investor, the price paid by such investor. The Company expects proceeds from the public offering, before expenses, of approximately $1.2 billion.</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Ayar Third Investment Company, the Company’s majority shareholder, has agreed to purchase 265,693,703 shares of Common Stock at a price per share equal to $6.83 in connection with the Ayar Investment.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center"/>
        <w:ind w:right="-1080"/>
        <w:spacing w:after="0"/>
        <w:rPr>
          <w:sz w:val="20"/>
          <w:szCs w:val="20"/>
          <w:color w:val="auto"/>
        </w:rPr>
      </w:pPr>
      <w:r>
        <w:rPr>
          <w:rFonts w:ascii="Arial" w:cs="Arial" w:eastAsia="Arial" w:hAnsi="Arial"/>
          <w:sz w:val="18"/>
          <w:szCs w:val="18"/>
          <w:color w:val="auto"/>
        </w:rPr>
        <w:t>SCHEDULE C</w:t>
      </w:r>
    </w:p>
    <w:p>
      <w:pPr>
        <w:spacing w:after="0" w:line="225" w:lineRule="exact"/>
        <w:rPr>
          <w:sz w:val="20"/>
          <w:szCs w:val="20"/>
          <w:color w:val="auto"/>
        </w:rPr>
      </w:pPr>
    </w:p>
    <w:p>
      <w:pPr>
        <w:jc w:val="right"/>
        <w:ind w:right="2819"/>
        <w:spacing w:after="0"/>
        <w:rPr>
          <w:sz w:val="20"/>
          <w:szCs w:val="20"/>
          <w:color w:val="auto"/>
        </w:rPr>
      </w:pPr>
      <w:r>
        <w:rPr>
          <w:rFonts w:ascii="Arial" w:cs="Arial" w:eastAsia="Arial" w:hAnsi="Arial"/>
          <w:sz w:val="18"/>
          <w:szCs w:val="18"/>
          <w:u w:val="single" w:color="auto"/>
          <w:color w:val="auto"/>
        </w:rPr>
        <w:t>List of Persons and Entities Subject to Lock-up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Eric Bach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Bell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Turqi 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Glenn R.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Andrew Liveris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Sherif Marakby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Nichelle Maynard-Elliott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Chabi Nouri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 Winitzer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Janet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Gagan Dhingra</w:t>
      </w:r>
    </w:p>
    <w:p>
      <w:pPr>
        <w:spacing w:after="0" w:line="200" w:lineRule="exact"/>
        <w:rPr>
          <w:sz w:val="20"/>
          <w:szCs w:val="20"/>
          <w:color w:val="auto"/>
        </w:rPr>
      </w:pPr>
    </w:p>
    <w:p>
      <w:pPr>
        <w:spacing w:after="0" w:line="24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Sch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908" w:right="1440" w:bottom="1440" w:gutter="0" w:footer="0" w:header="0"/>
        </w:sectPr>
      </w:pPr>
    </w:p>
    <w:bookmarkStart w:id="34" w:name="page35"/>
    <w:bookmarkEnd w:id="34"/>
    <w:p>
      <w:pPr>
        <w:ind w:left="3240"/>
        <w:spacing w:after="0"/>
        <w:rPr>
          <w:sz w:val="20"/>
          <w:szCs w:val="20"/>
          <w:color w:val="auto"/>
        </w:rPr>
      </w:pPr>
      <w:r>
        <w:rPr>
          <w:rFonts w:ascii="Arial" w:cs="Arial" w:eastAsia="Arial" w:hAnsi="Arial"/>
          <w:sz w:val="18"/>
          <w:szCs w:val="18"/>
          <w:b w:val="1"/>
          <w:bCs w:val="1"/>
          <w:color w:val="auto"/>
        </w:rPr>
        <w:t>[Form of lock-up from directors and executive officers pursuant to Section 5(i)]</w:t>
      </w:r>
    </w:p>
    <w:p>
      <w:pPr>
        <w:spacing w:after="0" w:line="229" w:lineRule="exact"/>
        <w:rPr>
          <w:sz w:val="20"/>
          <w:szCs w:val="20"/>
          <w:color w:val="auto"/>
        </w:rPr>
      </w:pPr>
    </w:p>
    <w:p>
      <w:pPr>
        <w:ind w:left="1050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Underwriters named in the Underwriting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Proposed Public Offering by Lucid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 and Madams: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undersigned, a stockholder and/or an officer and/or a director of Lucid Group, Inc., a Delaware corporation (the “Company”), understands that BofA Securities Inc. (“BofA”) (the “Representative”) proposes to enter into an underwriting agreement (the “Underwriting Agreement”) with the Company providing for an underwritten public offering (the “Public Offering”) of the Class A common stock, par value $0.0001 per share, of the Company (the “Common Stock”). In recognition of the benefit that such an offering will confer upon the undersigned as a stockholder and/or an officer and/or a director of the Company, and for other good and valuable consideration, the receipt and sufficiency of which are hereby acknowledged, the undersigned agrees with the Representative that, during the period beginning on the date hereof and ending on the date that is 60 days from the date of the Underwriting Agreement (the “Lock-up Period”), the undersigned will not, without the prior written consent of BofA (the “Lock-Up Release Agent”),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Notwithstanding the foregoing, and subject to the conditions below, the undersigned may transfer the Lock-Up Securities without the prior written consent of the Lock-Up Release Agent, provided that in the case of any transfer of Lock-Up Securities pursuant to clauses (i)‎ through (vii)‎ set forth below,</w:t>
      </w:r>
    </w:p>
    <w:p>
      <w:pPr>
        <w:jc w:val="both"/>
        <w:ind w:firstLine="8"/>
        <w:spacing w:after="0" w:line="253"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Representatives receives a signed lock-up agreement for the balance of the Lock-Up Period from each donee, trustee, distributee, or transferee, as the case may be, (2) any such transfer shall not involve a disposition for value, (3) any required public report or filing (including filings under Section 16(a) of the Securities Exchange Act of 1934, as amended (the “Exchange Act”)) shall disclose the nature of such transfer and that the Lock-Up Securities remain subject to this lock-up agreement, and (4) the undersigned does not otherwise voluntarily effect any public filing or report regarding such transfers:</w:t>
      </w:r>
    </w:p>
    <w:p>
      <w:pPr>
        <w:spacing w:after="0" w:line="190" w:lineRule="exact"/>
        <w:rPr>
          <w:rFonts w:ascii="Arial" w:cs="Arial" w:eastAsia="Arial" w:hAnsi="Arial"/>
          <w:sz w:val="18"/>
          <w:szCs w:val="18"/>
          <w:color w:val="auto"/>
        </w:rPr>
      </w:pP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by will, other testamentary document or intestacy;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44" w:hanging="644"/>
        <w:spacing w:after="0"/>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including to charitable organizations or for bona fide estate planning purposes; or</w:t>
      </w:r>
    </w:p>
    <w:p>
      <w:pPr>
        <w:spacing w:after="0" w:line="225" w:lineRule="exact"/>
        <w:rPr>
          <w:rFonts w:ascii="Arial" w:cs="Arial" w:eastAsia="Arial" w:hAnsi="Arial"/>
          <w:sz w:val="18"/>
          <w:szCs w:val="18"/>
          <w:color w:val="auto"/>
        </w:rPr>
      </w:pPr>
    </w:p>
    <w:p>
      <w:pPr>
        <w:jc w:val="both"/>
        <w:ind w:left="644" w:hanging="644"/>
        <w:spacing w:after="0" w:line="286" w:lineRule="auto"/>
        <w:tabs>
          <w:tab w:leader="none" w:pos="64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 or if the undersigned is a trust, to a trustor or beneficiary of the trust or to the estate of a beneficiary of such trust; or</w:t>
      </w:r>
    </w:p>
    <w:p>
      <w:pPr>
        <w:spacing w:after="0" w:line="165"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 partnership, limited liability company or other entity of which the undersigned and the immediate family of the undersigned are the legal and beneficial owner of all of the outstanding equity securities or similar interests; or</w:t>
      </w:r>
    </w:p>
    <w:p>
      <w:pPr>
        <w:spacing w:after="0" w:line="170" w:lineRule="exact"/>
        <w:rPr>
          <w:rFonts w:ascii="Arial" w:cs="Arial" w:eastAsia="Arial" w:hAnsi="Arial"/>
          <w:sz w:val="18"/>
          <w:szCs w:val="18"/>
          <w:color w:val="auto"/>
        </w:rPr>
      </w:pPr>
    </w:p>
    <w:p>
      <w:pPr>
        <w:jc w:val="both"/>
        <w:ind w:left="644" w:hanging="644"/>
        <w:spacing w:after="0" w:line="273" w:lineRule="auto"/>
        <w:tabs>
          <w:tab w:leader="none" w:pos="644"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 or</w:t>
      </w:r>
    </w:p>
    <w:p>
      <w:pPr>
        <w:spacing w:after="0" w:line="177" w:lineRule="exact"/>
        <w:rPr>
          <w:rFonts w:ascii="Arial" w:cs="Arial" w:eastAsia="Arial" w:hAnsi="Arial"/>
          <w:sz w:val="17"/>
          <w:szCs w:val="17"/>
          <w:color w:val="auto"/>
        </w:rPr>
      </w:pPr>
    </w:p>
    <w:p>
      <w:pPr>
        <w:ind w:left="644" w:hanging="644"/>
        <w:spacing w:after="0"/>
        <w:tabs>
          <w:tab w:leader="none" w:pos="64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a nominee or custodian of any person or entity to whom a transfer would be permissible under clauses (i)‎ through (v)‎ above; or</w:t>
      </w:r>
    </w:p>
    <w:p>
      <w:pPr>
        <w:spacing w:after="0" w:line="236"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an individual, by operation of law, such as pursuant to a qualified domestic order, divorce settlement, divorce decree, separation agreement or related court order; or</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from an employee or a director of, or a service provider to, the Company or any of its subsidiaries upon the death, disability or termination of employment, in each case, of such person; or</w:t>
      </w:r>
    </w:p>
    <w:p>
      <w:pPr>
        <w:spacing w:after="0" w:line="170"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a bona fide third-party tender offer, merger, consolidation or other similar transaction that is approved by the board of directors of the Company and made to all holders of shares of the Company’s capital stock involving a Change of Control (as defined below) (including negotiating and entering into an agreement providing for any such transaction), provided that in the event that such tender offer, merger, consolidation or other similar transaction is not completed, the undersigned’s Lock-Up Securities shall remain subject to this lock-up agreement; or</w:t>
      </w:r>
    </w:p>
    <w:p>
      <w:pPr>
        <w:spacing w:after="0" w:line="187" w:lineRule="exact"/>
        <w:rPr>
          <w:rFonts w:ascii="Arial" w:cs="Arial" w:eastAsia="Arial" w:hAnsi="Arial"/>
          <w:sz w:val="18"/>
          <w:szCs w:val="18"/>
          <w:color w:val="auto"/>
        </w:rPr>
      </w:pPr>
    </w:p>
    <w:p>
      <w:pPr>
        <w:jc w:val="both"/>
        <w:ind w:left="644" w:hanging="644"/>
        <w:spacing w:after="0" w:line="272" w:lineRule="auto"/>
        <w:tabs>
          <w:tab w:leader="none" w:pos="644"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connection with the exercise of any stock options or warrants, or the vesting or settlement of any restricted stock units or other compensatory equity securities in respect of shares of the Company outstanding as of the date hereof for any payment due for the exercise of options or other rights to purchase securities of the Company (including, in each case, by way of a “cashless” or “net exercise”) and to cover tax withholding obligations or taxes due (including estimated taxes and remittance payments) in connection with such vesting, settlement or exercise (including by means of a “net settlement,” “sell to cover” or otherwise); provided that any shares received upon any exercise or settlement of such equity awards (after giving effect to any net or cashless exercise or sell-to-cover transaction pursuant to this clause (x)) will remain subject to this lock-up agreement; or</w:t>
      </w:r>
    </w:p>
    <w:p>
      <w:pPr>
        <w:spacing w:after="0" w:line="393"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6" w:name="page37"/>
    <w:bookmarkEnd w:id="36"/>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trading plans established in accordance with Rule 10b5-1 under the Exchange Act prior to the date hereof.</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Furthermore, the undersigned may enter into a trading plan established in accordance with Rule 10b5-1 under the Exchange Act during the Lock-Up Period so long as no transfers are effected under such trading plan prior to the expiration of the Lock-Up Period.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may sell shares of Common Stock of the Company purchased by the undersigned on the open market following the Public Offering if and only if (i) such sales are not required to be reported in any public report or filing with the Securities and Exchange Commission, or otherwise and (ii) the undersigned does not otherwise voluntarily effect any public filing or report regarding such sales.</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For purposes of this lock-up agreement, “Change of Control” means the transfer to or acquisition by (whether by tender offer, merger, consolidation, division or other similar transaction), in one transaction or a series of related transactions, a person or entity or group of affiliated persons or entities (other than an underwriter pursuant to an offering), of the Company’s voting securities if, after such transfer or acquisition, such person, entity or group of affiliated persons or entities would beneficially own (as defined in Rule 13d-3 promulgated under the Exchange Act) more than 90% of the outstanding voting securities of the Company.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avoidance of doubt, this lock-up agreement shall not be deemed to prohibit the Company from amending or supplementing its existing resale registration statement.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anything to the contrary contained herein, this lock-up agreement will automatically terminate and the undersigned shall be released from all obligations hereunder upon the earliest to occur of (A) the Company advising the Representatives in writing that it has determined not to proceed with the Public Offering, (B) the Underwriting Agreement being executed but then terminated (other than the provisions thereof which survive termination) prior to payment for and delivery of any Common Stock to be sold thereunder, or (C) June 15, 2023, if the Underwriting Agreement does not become effective by such date.</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EXHIBITS 5.1 AND 23.1</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23315"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23315" cy="31750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1600 El Camino Real</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davispolk.com</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DAVIS POLK &amp; WARDWELL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Lucid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7373 Gateway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CA 94560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Lucid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has filed with the Securities and Exchange Commission a Registration Statement on Form 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3 (File No. 333-267147)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for the purpose of registering under the Securities Act of 1933, as amended (the “</w:t>
      </w:r>
      <w:r>
        <w:rPr>
          <w:rFonts w:ascii="Arial" w:cs="Arial" w:eastAsia="Arial" w:hAnsi="Arial"/>
          <w:sz w:val="17"/>
          <w:szCs w:val="17"/>
          <w:b w:val="1"/>
          <w:bCs w:val="1"/>
          <w:color w:val="auto"/>
        </w:rPr>
        <w:t>Securities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w:t>
      </w:r>
      <w:r>
        <w:rPr>
          <w:rFonts w:ascii="Arial" w:cs="Arial" w:eastAsia="Arial" w:hAnsi="Arial"/>
          <w:sz w:val="16"/>
          <w:szCs w:val="16"/>
          <w:color w:val="auto"/>
        </w:rPr>
        <w:t>”), certain securities, including the 173,544,948 shares of its Class A common stock, par value $0.0001 per share (the “</w:t>
      </w:r>
      <w:r>
        <w:rPr>
          <w:rFonts w:ascii="Arial" w:cs="Arial" w:eastAsia="Arial" w:hAnsi="Arial"/>
          <w:sz w:val="16"/>
          <w:szCs w:val="16"/>
          <w:b w:val="1"/>
          <w:bCs w:val="1"/>
          <w:color w:val="auto"/>
        </w:rPr>
        <w:t>Securities</w:t>
      </w:r>
      <w:r>
        <w:rPr>
          <w:rFonts w:ascii="Arial" w:cs="Arial" w:eastAsia="Arial" w:hAnsi="Arial"/>
          <w:sz w:val="16"/>
          <w:szCs w:val="16"/>
          <w:color w:val="auto"/>
        </w:rPr>
        <w:t>”), to be sold pursuant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Underwriting Agreement dated May 31, 2023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between the Company and the underwriter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upon the foregoing, we advise you that, in our opinion, when the Securities have been issued and delivered against payment therefor in accordance with the terms of the Underwriting Agreement, the Securities will be validly issued, fully paid and non-assessable.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23315" cy="316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123315" cy="316865"/>
                    </a:xfrm>
                    <a:prstGeom prst="rect">
                      <a:avLst/>
                    </a:prstGeom>
                    <a:noFill/>
                  </pic:spPr>
                </pic:pic>
              </a:graphicData>
            </a:graphic>
          </wp:anchor>
        </w:drawing>
      </w:r>
    </w:p>
    <w:p>
      <w:pPr>
        <w:jc w:val="both"/>
        <w:ind w:right="20"/>
        <w:spacing w:after="0" w:line="259" w:lineRule="auto"/>
        <w:rPr>
          <w:sz w:val="20"/>
          <w:szCs w:val="20"/>
          <w:color w:val="auto"/>
        </w:rPr>
      </w:pPr>
      <w:r>
        <w:rPr>
          <w:rFonts w:ascii="Arial" w:cs="Arial" w:eastAsia="Arial" w:hAnsi="Arial"/>
          <w:sz w:val="18"/>
          <w:szCs w:val="18"/>
          <w:color w:val="auto"/>
        </w:rPr>
        <w:t>We hereby consent to the filing of this opinion as an exhibit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June 5, 2023</w:t>
            </w:r>
          </w:p>
        </w:tc>
        <w:tc>
          <w:tcPr>
            <w:tcW w:w="5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144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165100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182245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SUBSCRIPTION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AYAR THIRD INVESTMENT COMPANY</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Dated as of the Date Set Forth in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452120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0" w:name="page41"/>
    <w:bookmarkEnd w:id="40"/>
    <w:p>
      <w:pPr>
        <w:ind w:right="60"/>
        <w:spacing w:after="0" w:line="266" w:lineRule="auto"/>
        <w:rPr>
          <w:sz w:val="20"/>
          <w:szCs w:val="20"/>
          <w:color w:val="auto"/>
        </w:rPr>
      </w:pPr>
      <w:r>
        <w:rPr>
          <w:rFonts w:ascii="Arial" w:cs="Arial" w:eastAsia="Arial" w:hAnsi="Arial"/>
          <w:sz w:val="18"/>
          <w:szCs w:val="18"/>
          <w:b w:val="1"/>
          <w:bCs w:val="1"/>
          <w:color w:val="auto"/>
        </w:rPr>
        <w:t>SUBSCRIPTION AGREEMENT</w:t>
      </w:r>
      <w:r>
        <w:rPr>
          <w:rFonts w:ascii="Arial" w:cs="Arial" w:eastAsia="Arial" w:hAnsi="Arial"/>
          <w:sz w:val="18"/>
          <w:szCs w:val="18"/>
          <w:color w:val="auto"/>
        </w:rPr>
        <w:t>, dated as of the date set forth on Schedule 1 hereto (this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Lucid Group, Inc.,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Ayar Third Investment Company, a single shareholder limited liability company organized under the laws of the Kingdom of Saudi Arabia (the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8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WHEREAS, concurrently with this Agreement, the Company is entering into an Underwriting Agreement (as amended or modified from time to time,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the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 pursuant to which the Company is offering shares of its Class A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(the “</w:t>
      </w:r>
      <w:r>
        <w:rPr>
          <w:rFonts w:ascii="Arial" w:cs="Arial" w:eastAsia="Arial" w:hAnsi="Arial"/>
          <w:sz w:val="18"/>
          <w:szCs w:val="18"/>
          <w:b w:val="1"/>
          <w:bCs w:val="1"/>
          <w:color w:val="auto"/>
        </w:rPr>
        <w:t>Public Offering</w:t>
      </w:r>
      <w:r>
        <w:rPr>
          <w:rFonts w:ascii="Arial" w:cs="Arial" w:eastAsia="Arial" w:hAnsi="Arial"/>
          <w:sz w:val="18"/>
          <w:szCs w:val="18"/>
          <w:color w:val="auto"/>
        </w:rPr>
        <w:t>”) pursuant to the Registration Statement (as defined below).</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WHEREAS, the Company desires to issue and sell to the Investor, and the Investor desires to purchase from the Company, in a private placement, a number of shares of Common Stock in a pro rata proportion to the number of shares sold by the Company in the Public Offering, based on the Investor Ownership Percentage (as defined below) and at the same price initially to be paid by the Underwriters as set forth in the Underwriting Agreement for such Public Offering (prior to any subsequent upward adjustment in the price to be paid by the Underwriters pursuant to the Underwriting Agreement), subject to the terms and conditions set forth herein.</w:t>
      </w:r>
    </w:p>
    <w:p>
      <w:pPr>
        <w:spacing w:after="0" w:line="18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NOW, THEREFORE, in consideration of the mutual representations, warranties, covenants and agreements contained in this Agreement, the receipt and sufficiency of which are hereby acknowledged, the parties to this Agreement hereby agree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1.01.      </w:t>
      </w:r>
      <w:r>
        <w:rPr>
          <w:rFonts w:ascii="Arial" w:cs="Arial" w:eastAsia="Arial" w:hAnsi="Arial"/>
          <w:sz w:val="16"/>
          <w:szCs w:val="16"/>
          <w:i w:val="1"/>
          <w:iCs w:val="1"/>
          <w:color w:val="auto"/>
        </w:rPr>
        <w:t>Definitions</w:t>
      </w:r>
      <w:r>
        <w:rPr>
          <w:rFonts w:ascii="Arial" w:cs="Arial" w:eastAsia="Arial" w:hAnsi="Arial"/>
          <w:sz w:val="16"/>
          <w:szCs w:val="16"/>
          <w:color w:val="auto"/>
        </w:rPr>
        <w:t>. (a) As used in this Agreement (including the recitals hereto), the following terms shall have the following meanings:</w:t>
      </w:r>
    </w:p>
    <w:p>
      <w:pPr>
        <w:spacing w:after="0" w:line="244"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any Person, any other Person that, directly or indirectly, through one or more intermediaries, controls, is controlled by, or is under common control with, such Person; </w:t>
      </w:r>
      <w:r>
        <w:rPr>
          <w:rFonts w:ascii="Arial" w:cs="Arial" w:eastAsia="Arial" w:hAnsi="Arial"/>
          <w:sz w:val="16"/>
          <w:szCs w:val="16"/>
          <w:i w:val="1"/>
          <w:iCs w:val="1"/>
          <w:color w:val="auto"/>
        </w:rPr>
        <w:t>provided</w:t>
      </w:r>
      <w:r>
        <w:rPr>
          <w:rFonts w:ascii="Arial" w:cs="Arial" w:eastAsia="Arial" w:hAnsi="Arial"/>
          <w:sz w:val="16"/>
          <w:szCs w:val="16"/>
          <w:color w:val="auto"/>
        </w:rPr>
        <w:t>, that, for purposes of this Agreement only, the Company shall not be deemed an Affiliate of the Investor or any of the Investor’s Affiliates. The term “</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 cause the direction of the management and policies of a Person, whether through the ownership of voting securities, by contract or otherwise, including the ability to elect at least a majority of the members of the board of directors or other governing body of a Person, and the terms “</w:t>
      </w:r>
      <w:r>
        <w:rPr>
          <w:rFonts w:ascii="Arial" w:cs="Arial" w:eastAsia="Arial" w:hAnsi="Arial"/>
          <w:sz w:val="16"/>
          <w:szCs w:val="16"/>
          <w:b w:val="1"/>
          <w:bCs w:val="1"/>
          <w:color w:val="auto"/>
        </w:rPr>
        <w:t>controlled</w:t>
      </w:r>
      <w:r>
        <w:rPr>
          <w:rFonts w:ascii="Arial" w:cs="Arial" w:eastAsia="Arial" w:hAnsi="Arial"/>
          <w:sz w:val="16"/>
          <w:szCs w:val="16"/>
          <w:color w:val="auto"/>
        </w:rPr>
        <w:t>” and “</w:t>
      </w:r>
      <w:r>
        <w:rPr>
          <w:rFonts w:ascii="Arial" w:cs="Arial" w:eastAsia="Arial" w:hAnsi="Arial"/>
          <w:sz w:val="16"/>
          <w:szCs w:val="16"/>
          <w:b w:val="1"/>
          <w:bCs w:val="1"/>
          <w:color w:val="auto"/>
        </w:rPr>
        <w:t>controlling</w:t>
      </w:r>
      <w:r>
        <w:rPr>
          <w:rFonts w:ascii="Arial" w:cs="Arial" w:eastAsia="Arial" w:hAnsi="Arial"/>
          <w:sz w:val="16"/>
          <w:szCs w:val="16"/>
          <w:color w:val="auto"/>
        </w:rPr>
        <w:t>” have correlative meanings. Notwithstanding the foregoing, no governmental entity (other than a commercial entity acting in a commercial capacity) and no sovereign or political subdivision of The Kingdom of Saudi Arabia shall be considered an Affiliate of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 Saturday, a Sunday or other day on which the SEC or banks in the City of New York are authorized or required by Law to be closed.</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Organizational Documents</w:t>
      </w:r>
      <w:r>
        <w:rPr>
          <w:rFonts w:ascii="Arial" w:cs="Arial" w:eastAsia="Arial" w:hAnsi="Arial"/>
          <w:sz w:val="18"/>
          <w:szCs w:val="18"/>
          <w:color w:val="auto"/>
        </w:rPr>
        <w:t>” means the Company’s Third Amended and Restated Certificate of Incorporation and Second Amended and Restated Bylaws, each as amended and/or restated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government, court, regulatory or administrative agency, arbitrator (public or private), commission or authority, stock exchange or other legislative, executive or judicial governmental entity (in each case including any self-regulatory organization), whether federal, state or local, domestic, foreign or multinational. For the avoidance of doubt, Investor shall not be deemed to be a Governmental Authority for any purpose under this Agreement.</w:t>
      </w:r>
    </w:p>
    <w:p>
      <w:pPr>
        <w:spacing w:after="0" w:line="180"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Material Adverse Effect</w:t>
      </w:r>
      <w:r>
        <w:rPr>
          <w:rFonts w:ascii="Arial" w:cs="Arial" w:eastAsia="Arial" w:hAnsi="Arial"/>
          <w:sz w:val="18"/>
          <w:szCs w:val="18"/>
          <w:color w:val="auto"/>
        </w:rPr>
        <w:t>” means any effect, change, event or occurrence that would prevent or materially delay, interfere with, hinder or impair the compliance by the Investor with its obligations under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Ownership Percentage</w:t>
      </w:r>
      <w:r>
        <w:rPr>
          <w:rFonts w:ascii="Arial" w:cs="Arial" w:eastAsia="Arial" w:hAnsi="Arial"/>
          <w:sz w:val="18"/>
          <w:szCs w:val="18"/>
          <w:color w:val="auto"/>
        </w:rPr>
        <w:t>” means 60.4896%.</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Rights Agreement</w:t>
      </w:r>
      <w:r>
        <w:rPr>
          <w:rFonts w:ascii="Arial" w:cs="Arial" w:eastAsia="Arial" w:hAnsi="Arial"/>
          <w:sz w:val="18"/>
          <w:szCs w:val="18"/>
          <w:color w:val="auto"/>
        </w:rPr>
        <w:t>” means the Investor Rights Agreement, dated as of February 22, 2021, by and among the Company, the Investor and certain other parties thereto, as amended and/or restated from time to time.</w:t>
      </w:r>
    </w:p>
    <w:p>
      <w:pPr>
        <w:spacing w:after="0" w:line="162" w:lineRule="exact"/>
        <w:rPr>
          <w:sz w:val="20"/>
          <w:szCs w:val="20"/>
          <w:color w:val="auto"/>
        </w:rPr>
      </w:pPr>
    </w:p>
    <w:p>
      <w:pPr>
        <w:jc w:val="both"/>
        <w:ind w:right="7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IRA Amendment</w:t>
      </w:r>
      <w:r>
        <w:rPr>
          <w:rFonts w:ascii="Arial" w:cs="Arial" w:eastAsia="Arial" w:hAnsi="Arial"/>
          <w:sz w:val="18"/>
          <w:szCs w:val="18"/>
          <w:color w:val="auto"/>
        </w:rPr>
        <w:t>” means Amendment No. 2 to the Investor Rights Agreement, dated as of the date hereof, to provide the Investor with registration rights pursuant to the Investor Rights Agreement with respect to the Placement Shares and with certain other rights, such amendment substantially in the form attached hereto as “Annex I.”</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w:t>
      </w:r>
      <w:r>
        <w:rPr>
          <w:rFonts w:ascii="Arial" w:cs="Arial" w:eastAsia="Arial" w:hAnsi="Arial"/>
          <w:sz w:val="18"/>
          <w:szCs w:val="18"/>
          <w:color w:val="auto"/>
        </w:rPr>
        <w:t>” means any order, judgment, injunction, ruling, writ or decree of any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means all local, state or federal laws, common law, statutes, ordinances, codes, rules or regulations.</w:t>
      </w:r>
    </w:p>
    <w:p>
      <w:pPr>
        <w:spacing w:after="0" w:line="225" w:lineRule="exact"/>
        <w:rPr>
          <w:sz w:val="20"/>
          <w:szCs w:val="20"/>
          <w:color w:val="auto"/>
        </w:rPr>
      </w:pPr>
    </w:p>
    <w:p>
      <w:pPr>
        <w:ind w:right="5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material adverse change or any development involving a prospective material adverse change in the condition, financial or otherwise, or in the earnings, business or management of the Company and its subsidiaries considered as one enterprise.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Nasdaq</w:t>
      </w:r>
      <w:r>
        <w:rPr>
          <w:rFonts w:ascii="Arial" w:cs="Arial" w:eastAsia="Arial" w:hAnsi="Arial"/>
          <w:sz w:val="17"/>
          <w:szCs w:val="17"/>
          <w:color w:val="auto"/>
        </w:rPr>
        <w:t>” means the Nasdaq Global Select Market or any other principal trading exchange or market for Common Stock from time to time.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jc w:val="both"/>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Placement Shares</w:t>
      </w:r>
      <w:r>
        <w:rPr>
          <w:rFonts w:ascii="Arial" w:cs="Arial" w:eastAsia="Arial" w:hAnsi="Arial"/>
          <w:sz w:val="18"/>
          <w:szCs w:val="18"/>
          <w:color w:val="auto"/>
        </w:rPr>
        <w:t>” means, the number of shares of Common Stock equal to the number of shares of Common Stock actually sold in the Public Offering, multiplied by a ratio, the numerator of which is the Investor Ownership Percentage, and the denominator of which is a percentage equal to 100% minus the Investor Ownership Percentage, rounded down to the nearest whole share.</w:t>
      </w:r>
    </w:p>
    <w:p>
      <w:pPr>
        <w:spacing w:after="0" w:line="17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joint venture, association, trust, unincorporated organization or any other entity, including a Governmental Authority.</w:t>
      </w:r>
    </w:p>
    <w:p>
      <w:pPr>
        <w:spacing w:after="0" w:line="162"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the Company’s Registration Statement on Form S-3 (File No. 333-267147), including any amendment or supplement thereto and any information deemed to be included or incorporated by reference therein.</w:t>
      </w:r>
    </w:p>
    <w:p>
      <w:pPr>
        <w:spacing w:after="0" w:line="162" w:lineRule="exact"/>
        <w:rPr>
          <w:sz w:val="20"/>
          <w:szCs w:val="20"/>
          <w:color w:val="auto"/>
        </w:rPr>
      </w:pPr>
    </w:p>
    <w:p>
      <w:pPr>
        <w:ind w:right="34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Representatives</w:t>
      </w:r>
      <w:r>
        <w:rPr>
          <w:rFonts w:ascii="Arial" w:cs="Arial" w:eastAsia="Arial" w:hAnsi="Arial"/>
          <w:sz w:val="17"/>
          <w:szCs w:val="17"/>
          <w:color w:val="auto"/>
        </w:rPr>
        <w:t>” means, with respect to any Person, its officers, directors, principals, partners, managers, members, employees, consultants, agents, financial advisors, investment bankers, attorneys, accountants, other advisors, and other representatives.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urchase and</w:t>
      </w:r>
      <w:r>
        <w:rPr>
          <w:rFonts w:ascii="Arial" w:cs="Arial" w:eastAsia="Arial" w:hAnsi="Arial"/>
          <w:sz w:val="18"/>
          <w:szCs w:val="18"/>
          <w:color w:val="auto"/>
        </w:rPr>
        <w:t xml:space="preserve"> S</w:t>
      </w:r>
      <w:r>
        <w:rPr>
          <w:rFonts w:ascii="Arial" w:cs="Arial" w:eastAsia="Arial" w:hAnsi="Arial"/>
          <w:sz w:val="12"/>
          <w:szCs w:val="12"/>
          <w:color w:val="auto"/>
        </w:rPr>
        <w:t>ale</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Section 2.01.     </w:t>
      </w:r>
      <w:r>
        <w:rPr>
          <w:rFonts w:ascii="Arial" w:cs="Arial" w:eastAsia="Arial" w:hAnsi="Arial"/>
          <w:sz w:val="17"/>
          <w:szCs w:val="17"/>
          <w:i w:val="1"/>
          <w:iCs w:val="1"/>
          <w:color w:val="auto"/>
        </w:rPr>
        <w:t>Purchase and Sale</w:t>
      </w:r>
      <w:r>
        <w:rPr>
          <w:rFonts w:ascii="Arial" w:cs="Arial" w:eastAsia="Arial" w:hAnsi="Arial"/>
          <w:sz w:val="17"/>
          <w:szCs w:val="17"/>
          <w:color w:val="auto"/>
        </w:rPr>
        <w:t xml:space="preserve">. On the terms of this Agreement and subject to the satisfaction (or, to the extent permitted by applicable Law, waiver by the party entitled to the benefit thereof) of the conditions set forth in </w:t>
      </w:r>
      <w:r>
        <w:rPr>
          <w:rFonts w:ascii="Arial" w:cs="Arial" w:eastAsia="Arial" w:hAnsi="Arial"/>
          <w:sz w:val="22"/>
          <w:szCs w:val="22"/>
          <w:b w:val="1"/>
          <w:bCs w:val="1"/>
          <w:color w:val="auto"/>
        </w:rPr>
        <w:t>‎</w:t>
      </w:r>
      <w:r>
        <w:rPr>
          <w:rFonts w:ascii="Arial" w:cs="Arial" w:eastAsia="Arial" w:hAnsi="Arial"/>
          <w:sz w:val="17"/>
          <w:szCs w:val="17"/>
          <w:color w:val="auto"/>
        </w:rPr>
        <w:t>Article 6, the Investor shall purchase and acquire from the Company, and the Company shall issue, sell and deliver to the Investor, the Placement Shares at a purchase price per share of set forth on Schedule 1 (the “</w:t>
      </w:r>
      <w:r>
        <w:rPr>
          <w:rFonts w:ascii="Arial" w:cs="Arial" w:eastAsia="Arial" w:hAnsi="Arial"/>
          <w:sz w:val="17"/>
          <w:szCs w:val="17"/>
          <w:b w:val="1"/>
          <w:bCs w:val="1"/>
          <w:color w:val="auto"/>
        </w:rPr>
        <w:t>Purchase</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which equals the price to be paid by the Underwriters as set forth in the Underwriting Agreement at the time of the issuance of the launch press</w:t>
      </w:r>
      <w:r>
        <w:rPr>
          <w:rFonts w:ascii="Arial" w:cs="Arial" w:eastAsia="Arial" w:hAnsi="Arial"/>
          <w:sz w:val="17"/>
          <w:szCs w:val="17"/>
          <w:b w:val="1"/>
          <w:bCs w:val="1"/>
          <w:color w:val="auto"/>
        </w:rPr>
        <w:t xml:space="preserve"> </w:t>
      </w:r>
      <w:r>
        <w:rPr>
          <w:rFonts w:ascii="Arial" w:cs="Arial" w:eastAsia="Arial" w:hAnsi="Arial"/>
          <w:sz w:val="17"/>
          <w:szCs w:val="17"/>
          <w:color w:val="auto"/>
        </w:rPr>
        <w:t>release issued by the Company on the date hereof relating to the Public Offering (for the avoidance of doubt, prior to any subsequent upward adjustment in the price to be paid by the Underwriters pursuant to the Underwriting Agreement). The amounts set forth on Schedule 1 reflects the actual number of Placement Shares calculated as set forth in the definition of Placement Shares and the aggregate Purchase Price for all Placement Shares, which aggregate Purchase Price is not in excess of $1.875 billion. An authorized employee of Investor’s parent, the Public Investment Fund of the Kingdom of Saudi Arabia, shall approve the information set forth on Schedule 1 and the attachment of Schedule 1 to this Agreement. The purchase and sale of the Placement Shares pursuant to this Section 2.01 is referred to as the “</w:t>
      </w:r>
      <w:r>
        <w:rPr>
          <w:rFonts w:ascii="Arial" w:cs="Arial" w:eastAsia="Arial" w:hAnsi="Arial"/>
          <w:sz w:val="17"/>
          <w:szCs w:val="17"/>
          <w:b w:val="1"/>
          <w:bCs w:val="1"/>
          <w:color w:val="auto"/>
        </w:rPr>
        <w:t>Placement</w:t>
      </w:r>
      <w:r>
        <w:rPr>
          <w:rFonts w:ascii="Arial" w:cs="Arial" w:eastAsia="Arial" w:hAnsi="Arial"/>
          <w:sz w:val="17"/>
          <w:szCs w:val="17"/>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right="200" w:firstLine="648"/>
        <w:spacing w:after="0" w:line="314" w:lineRule="auto"/>
        <w:rPr>
          <w:sz w:val="20"/>
          <w:szCs w:val="20"/>
          <w:color w:val="auto"/>
        </w:rPr>
      </w:pPr>
      <w:r>
        <w:rPr>
          <w:rFonts w:ascii="Arial" w:cs="Arial" w:eastAsia="Arial" w:hAnsi="Arial"/>
          <w:sz w:val="16"/>
          <w:szCs w:val="16"/>
          <w:color w:val="auto"/>
        </w:rPr>
        <w:t>Section 2.02.     </w:t>
      </w:r>
      <w:r>
        <w:rPr>
          <w:rFonts w:ascii="Arial" w:cs="Arial" w:eastAsia="Arial" w:hAnsi="Arial"/>
          <w:sz w:val="16"/>
          <w:szCs w:val="16"/>
          <w:i w:val="1"/>
          <w:iCs w:val="1"/>
          <w:color w:val="auto"/>
        </w:rPr>
        <w:t>Closing</w:t>
      </w:r>
      <w:r>
        <w:rPr>
          <w:rFonts w:ascii="Arial" w:cs="Arial" w:eastAsia="Arial" w:hAnsi="Arial"/>
          <w:sz w:val="16"/>
          <w:szCs w:val="16"/>
          <w:color w:val="auto"/>
        </w:rPr>
        <w:t>. (a) Subject to the terms of this Agreement, the closing of the Placement (the “</w:t>
      </w:r>
      <w:r>
        <w:rPr>
          <w:rFonts w:ascii="Arial" w:cs="Arial" w:eastAsia="Arial" w:hAnsi="Arial"/>
          <w:sz w:val="16"/>
          <w:szCs w:val="16"/>
          <w:b w:val="1"/>
          <w:bCs w:val="1"/>
          <w:color w:val="auto"/>
        </w:rPr>
        <w:t>Closing</w:t>
      </w:r>
      <w:r>
        <w:rPr>
          <w:rFonts w:ascii="Arial" w:cs="Arial" w:eastAsia="Arial" w:hAnsi="Arial"/>
          <w:sz w:val="16"/>
          <w:szCs w:val="16"/>
          <w:color w:val="auto"/>
        </w:rPr>
        <w:t>”) shall occur electronically on or about 10:00 a.m., New York City time, twenty-five (25) days after the pricing of the Public Offering (or if such date is not a Business Day, the first Business Day thereafter) or at such other place, time or date as shall be agreed between the Company and the Investor (such date,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At the Closing:</w:t>
      </w:r>
    </w:p>
    <w:p>
      <w:pPr>
        <w:spacing w:after="0" w:line="225" w:lineRule="exact"/>
        <w:rPr>
          <w:sz w:val="20"/>
          <w:szCs w:val="20"/>
          <w:color w:val="auto"/>
        </w:rPr>
      </w:pPr>
    </w:p>
    <w:p>
      <w:pPr>
        <w:ind w:left="660" w:right="440" w:firstLine="648"/>
        <w:spacing w:after="0" w:line="277" w:lineRule="auto"/>
        <w:rPr>
          <w:sz w:val="20"/>
          <w:szCs w:val="20"/>
          <w:color w:val="auto"/>
        </w:rPr>
      </w:pPr>
      <w:r>
        <w:rPr>
          <w:rFonts w:ascii="Arial" w:cs="Arial" w:eastAsia="Arial" w:hAnsi="Arial"/>
          <w:sz w:val="18"/>
          <w:szCs w:val="18"/>
          <w:color w:val="auto"/>
        </w:rPr>
        <w:t>(i)        the Investor shall pay the applicable aggregate Purchase Price to the Company by wire transfer in immediately available U.S. federal funds to an account designated by the Company in writing; and</w:t>
      </w:r>
    </w:p>
    <w:p>
      <w:pPr>
        <w:spacing w:after="0" w:line="170" w:lineRule="exact"/>
        <w:rPr>
          <w:sz w:val="20"/>
          <w:szCs w:val="20"/>
          <w:color w:val="auto"/>
        </w:rPr>
      </w:pPr>
    </w:p>
    <w:p>
      <w:pPr>
        <w:ind w:left="660" w:right="160" w:firstLine="648"/>
        <w:spacing w:after="0" w:line="277" w:lineRule="auto"/>
        <w:rPr>
          <w:sz w:val="20"/>
          <w:szCs w:val="20"/>
          <w:color w:val="auto"/>
        </w:rPr>
      </w:pPr>
      <w:r>
        <w:rPr>
          <w:rFonts w:ascii="Arial" w:cs="Arial" w:eastAsia="Arial" w:hAnsi="Arial"/>
          <w:sz w:val="18"/>
          <w:szCs w:val="18"/>
          <w:color w:val="auto"/>
        </w:rPr>
        <w:t>(ii)       the Company shall deliver to the Investor the Placement Shares, in book entry form, free and clear of all liens, except restrictions imposed by applicable securities Laws.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 the</w:t>
      </w:r>
      <w:r>
        <w:rPr>
          <w:rFonts w:ascii="Arial" w:cs="Arial" w:eastAsia="Arial" w:hAnsi="Arial"/>
          <w:sz w:val="18"/>
          <w:szCs w:val="18"/>
          <w:color w:val="auto"/>
        </w:rPr>
        <w:t xml:space="preserve"> C</w:t>
      </w:r>
      <w:r>
        <w:rPr>
          <w:rFonts w:ascii="Arial" w:cs="Arial" w:eastAsia="Arial" w:hAnsi="Arial"/>
          <w:sz w:val="12"/>
          <w:szCs w:val="12"/>
          <w:color w:val="auto"/>
        </w:rPr>
        <w:t>ompany</w:t>
      </w:r>
    </w:p>
    <w:p>
      <w:pPr>
        <w:spacing w:after="0" w:line="21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represents and warrants to the Investor, as of the date hereof and as of the Closing Date (except to the extent made only as of a specified date, in which case such representation and warranty is made as of such date):</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Section 3.01.     </w:t>
      </w:r>
      <w:r>
        <w:rPr>
          <w:rFonts w:ascii="Arial" w:cs="Arial" w:eastAsia="Arial" w:hAnsi="Arial"/>
          <w:sz w:val="16"/>
          <w:szCs w:val="16"/>
          <w:i w:val="1"/>
          <w:iCs w:val="1"/>
          <w:color w:val="auto"/>
        </w:rPr>
        <w:t>Organization; Good Standing</w:t>
      </w:r>
      <w:r>
        <w:rPr>
          <w:rFonts w:ascii="Arial" w:cs="Arial" w:eastAsia="Arial" w:hAnsi="Arial"/>
          <w:sz w:val="16"/>
          <w:szCs w:val="16"/>
          <w:color w:val="auto"/>
        </w:rPr>
        <w:t>. (a) The Company is duly organized and is validly existing as a corporation in good standing under the laws of the State of Delaware and has corporate power and authority to own, lease and operate its properties and to conduct its business as described in the Company’s most recent Annual Report on Form 10-K and to enter into and perform its obligations under this Agreement; and the Company is duly qualified as a foreign corporation to transact business and is in good standing in each other jurisdiction (to the extent such concept or functional equivalent is applicable in such jurisdiction) in which such qualification is required, whether by reason of the ownership or leasing of property or the conduct of business, except where the failure so to qualify or to be in good standing would not reasonably be expected to have a Material Adverse Effect.</w:t>
      </w:r>
    </w:p>
    <w:p>
      <w:pPr>
        <w:spacing w:after="0" w:line="16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      </w:t>
      </w:r>
      <w:r>
        <w:rPr>
          <w:rFonts w:ascii="Arial" w:cs="Arial" w:eastAsia="Arial" w:hAnsi="Arial"/>
          <w:sz w:val="17"/>
          <w:szCs w:val="17"/>
          <w:i w:val="1"/>
          <w:iCs w:val="1"/>
          <w:color w:val="auto"/>
        </w:rPr>
        <w:t>Subsidiaries.</w:t>
      </w:r>
      <w:r>
        <w:rPr>
          <w:rFonts w:ascii="Arial" w:cs="Arial" w:eastAsia="Arial" w:hAnsi="Arial"/>
          <w:sz w:val="17"/>
          <w:szCs w:val="17"/>
          <w:color w:val="auto"/>
        </w:rPr>
        <w:t xml:space="preserve"> Each of the Company’s subsidiaries is duly organized and is validly existing in good standing under the laws of the jurisdiction of its incorporation or organization (to the extent such concept or functional equivalent is applicable in such jurisdiction), has corporate or similar power and authority to own, lease and operate its properties and to conduct its business as described in the Company’s most recent Annual Report on Form 10-K and is duly qualified to transact business and is in good standing in each jurisdiction (to the extent such concept or functional equivalent is applicable in such jurisdiction) in which such qualification is required, whether by reason of the ownership or leasing of property or the conduct of business, except where the failure to so qualify or to be in good standing would reasonably be expected to have a Material Adverse Effect.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ind w:right="100" w:firstLine="648"/>
        <w:spacing w:after="0" w:line="277" w:lineRule="auto"/>
        <w:rPr>
          <w:sz w:val="20"/>
          <w:szCs w:val="20"/>
          <w:color w:val="auto"/>
        </w:rPr>
      </w:pPr>
      <w:r>
        <w:rPr>
          <w:rFonts w:ascii="Arial" w:cs="Arial" w:eastAsia="Arial" w:hAnsi="Arial"/>
          <w:sz w:val="18"/>
          <w:szCs w:val="18"/>
          <w:color w:val="auto"/>
        </w:rPr>
        <w:t>Section 3.02.     </w:t>
      </w:r>
      <w:r>
        <w:rPr>
          <w:rFonts w:ascii="Arial" w:cs="Arial" w:eastAsia="Arial" w:hAnsi="Arial"/>
          <w:sz w:val="18"/>
          <w:szCs w:val="18"/>
          <w:i w:val="1"/>
          <w:iCs w:val="1"/>
          <w:color w:val="auto"/>
        </w:rPr>
        <w:t>Description of Capital Stock; Valid Issuance</w:t>
      </w:r>
      <w:r>
        <w:rPr>
          <w:rFonts w:ascii="Arial" w:cs="Arial" w:eastAsia="Arial" w:hAnsi="Arial"/>
          <w:sz w:val="18"/>
          <w:szCs w:val="18"/>
          <w:color w:val="auto"/>
        </w:rPr>
        <w:t>. (a) The authorized capital stock of the Company conforms as to legal matters to the description thereof contained in the Registration Statement.</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(b)      The Placement Shares, when issued and delivered against payment therefor in accordance with the terms of this Agreement, will be duly authorized, validly issued, fully paid and non-assessable, and will conform to the description thereof in the Registration Statement and the Prospectus.</w:t>
      </w:r>
    </w:p>
    <w:p>
      <w:pPr>
        <w:spacing w:after="0" w:line="12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Section 3.03.     </w:t>
      </w:r>
      <w:r>
        <w:rPr>
          <w:rFonts w:ascii="Arial" w:cs="Arial" w:eastAsia="Arial" w:hAnsi="Arial"/>
          <w:sz w:val="17"/>
          <w:szCs w:val="17"/>
          <w:i w:val="1"/>
          <w:iCs w:val="1"/>
          <w:color w:val="auto"/>
        </w:rPr>
        <w:t>Authority; Noncontravention</w:t>
      </w:r>
      <w:r>
        <w:rPr>
          <w:rFonts w:ascii="Arial" w:cs="Arial" w:eastAsia="Arial" w:hAnsi="Arial"/>
          <w:sz w:val="17"/>
          <w:szCs w:val="17"/>
          <w:color w:val="auto"/>
        </w:rPr>
        <w:t>. (a) The execution, delivery and performance by the Company of this Agreement has been duly authorized by the Company. This Agreement has been duly executed and delivered by the Company and, assuming due authorization, execution and delivery hereof by the Investor, constitutes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Arial" w:cs="Arial" w:eastAsia="Arial" w:hAnsi="Arial"/>
          <w:sz w:val="17"/>
          <w:szCs w:val="17"/>
          <w:b w:val="1"/>
          <w:bCs w:val="1"/>
          <w:color w:val="auto"/>
        </w:rPr>
        <w:t>Bankruptcy and Equity Exception</w:t>
      </w:r>
      <w:r>
        <w:rPr>
          <w:rFonts w:ascii="Arial" w:cs="Arial" w:eastAsia="Arial" w:hAnsi="Arial"/>
          <w:sz w:val="17"/>
          <w:szCs w:val="17"/>
          <w:color w:val="auto"/>
        </w:rPr>
        <w:t>”).</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      Neither the execution and delivery of this Agreement by the Company, nor the performance or compliance by the Company with any of the terms or provisions hereof, will (i) conflict with or violate any provision of the Company Organizational Documents, or (ii) (x) violate any Law or Judgment (as defined herein) applicable to the Company or (y) violate or constitute a default (or constitute an event which, with notice or lapse of time or both, would violate or constitute a default) under any of the terms, conditions or provisions of any loan or credit agreement, indenture, debenture, note, bond, mortgage, deed of trust, lease, sublease, license, contract or other agreement (each, a “</w:t>
      </w:r>
      <w:r>
        <w:rPr>
          <w:rFonts w:ascii="Arial" w:cs="Arial" w:eastAsia="Arial" w:hAnsi="Arial"/>
          <w:sz w:val="17"/>
          <w:szCs w:val="17"/>
          <w:b w:val="1"/>
          <w:bCs w:val="1"/>
          <w:color w:val="auto"/>
        </w:rPr>
        <w:t>Contract</w:t>
      </w:r>
      <w:r>
        <w:rPr>
          <w:rFonts w:ascii="Arial" w:cs="Arial" w:eastAsia="Arial" w:hAnsi="Arial"/>
          <w:sz w:val="17"/>
          <w:szCs w:val="17"/>
          <w:color w:val="auto"/>
        </w:rPr>
        <w:t>”) to which the Company or any of its subsidiaries, as applicable, is a party or accelerate the Company’s or, if applicable, any of its subsidiaries’ obligations under any such Contract, except in the case of clause (ii), as would not reasonably be expected to have a Material Adverse Effect.</w:t>
      </w:r>
    </w:p>
    <w:p>
      <w:pPr>
        <w:spacing w:after="0" w:line="17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Section 3.04.     </w:t>
      </w:r>
      <w:r>
        <w:rPr>
          <w:rFonts w:ascii="Arial" w:cs="Arial" w:eastAsia="Arial" w:hAnsi="Arial"/>
          <w:sz w:val="18"/>
          <w:szCs w:val="18"/>
          <w:i w:val="1"/>
          <w:iCs w:val="1"/>
          <w:color w:val="auto"/>
        </w:rPr>
        <w:t>Governmental Approvals</w:t>
      </w:r>
      <w:r>
        <w:rPr>
          <w:rFonts w:ascii="Arial" w:cs="Arial" w:eastAsia="Arial" w:hAnsi="Arial"/>
          <w:sz w:val="18"/>
          <w:szCs w:val="18"/>
          <w:color w:val="auto"/>
        </w:rPr>
        <w:t>. Except for (a) filings required under, and compliance with other applicable requirements of, the Securities Act and the Exchange Act, (b) compliance with the rules and regulations of the Nasdaq and (c) compliance with any applicable state securities or “Blue Sky” laws, no consent or approval of, or filing, license, permit or authorization, declaration or registration with, any Governmental Authority is necessary for the execution and delivery of this Agreement by the Company and the performance by the Company of its obligations hereunder, other than such other consents, approvals, filings, licenses, permits or authorizations, declarations or registrations that, if not obtained, made or given, would not reasonably be expected to have a Material Adverse Effect.</w:t>
      </w:r>
    </w:p>
    <w:p>
      <w:pPr>
        <w:spacing w:after="0" w:line="188" w:lineRule="exact"/>
        <w:rPr>
          <w:sz w:val="20"/>
          <w:szCs w:val="20"/>
          <w:color w:val="auto"/>
        </w:rPr>
      </w:pPr>
    </w:p>
    <w:p>
      <w:pPr>
        <w:jc w:val="both"/>
        <w:ind w:right="240" w:firstLine="648"/>
        <w:spacing w:after="0" w:line="266" w:lineRule="auto"/>
        <w:rPr>
          <w:sz w:val="20"/>
          <w:szCs w:val="20"/>
          <w:color w:val="auto"/>
        </w:rPr>
      </w:pPr>
      <w:r>
        <w:rPr>
          <w:rFonts w:ascii="Arial" w:cs="Arial" w:eastAsia="Arial" w:hAnsi="Arial"/>
          <w:sz w:val="18"/>
          <w:szCs w:val="18"/>
          <w:color w:val="auto"/>
        </w:rPr>
        <w:t>Section 3.05.     </w:t>
      </w:r>
      <w:r>
        <w:rPr>
          <w:rFonts w:ascii="Arial" w:cs="Arial" w:eastAsia="Arial" w:hAnsi="Arial"/>
          <w:sz w:val="18"/>
          <w:szCs w:val="18"/>
          <w:i w:val="1"/>
          <w:iCs w:val="1"/>
          <w:color w:val="auto"/>
        </w:rPr>
        <w:t>Sale of Securities</w:t>
      </w:r>
      <w:r>
        <w:rPr>
          <w:rFonts w:ascii="Arial" w:cs="Arial" w:eastAsia="Arial" w:hAnsi="Arial"/>
          <w:sz w:val="18"/>
          <w:szCs w:val="18"/>
          <w:color w:val="auto"/>
        </w:rPr>
        <w:t>. Assuming the accuracy of the representations and warranties of the Investor set forth in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4.05, the sale and issuance of the Placement Shares pursuant to this Agreement is exempt from the registration and prospectus delivery requirements of the Securities Act.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5" w:name="page46"/>
    <w:bookmarkEnd w:id="45"/>
    <w:p>
      <w:pPr>
        <w:ind w:right="500" w:firstLine="648"/>
        <w:spacing w:after="0" w:line="308" w:lineRule="auto"/>
        <w:rPr>
          <w:sz w:val="20"/>
          <w:szCs w:val="20"/>
          <w:color w:val="auto"/>
        </w:rPr>
      </w:pPr>
      <w:r>
        <w:rPr>
          <w:rFonts w:ascii="Arial" w:cs="Arial" w:eastAsia="Arial" w:hAnsi="Arial"/>
          <w:sz w:val="17"/>
          <w:szCs w:val="17"/>
          <w:color w:val="auto"/>
        </w:rPr>
        <w:t>Section 3.06.     </w:t>
      </w:r>
      <w:r>
        <w:rPr>
          <w:rFonts w:ascii="Arial" w:cs="Arial" w:eastAsia="Arial" w:hAnsi="Arial"/>
          <w:sz w:val="17"/>
          <w:szCs w:val="17"/>
          <w:i w:val="1"/>
          <w:iCs w:val="1"/>
          <w:color w:val="auto"/>
        </w:rPr>
        <w:t>Investment Company</w:t>
      </w:r>
      <w:r>
        <w:rPr>
          <w:rFonts w:ascii="Arial" w:cs="Arial" w:eastAsia="Arial" w:hAnsi="Arial"/>
          <w:sz w:val="17"/>
          <w:szCs w:val="17"/>
          <w:color w:val="auto"/>
        </w:rPr>
        <w:t>. The Company is not, and will not be, after giving effect to the offer and sale of the Placement Shares, required to register as an “investment company” within the meaning of the Investment Company Act of 1940, as amended.</w:t>
      </w:r>
    </w:p>
    <w:p>
      <w:pPr>
        <w:spacing w:after="0" w:line="14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Section 3.07.     </w:t>
      </w:r>
      <w:r>
        <w:rPr>
          <w:rFonts w:ascii="Arial" w:cs="Arial" w:eastAsia="Arial" w:hAnsi="Arial"/>
          <w:sz w:val="18"/>
          <w:szCs w:val="18"/>
          <w:i w:val="1"/>
          <w:iCs w:val="1"/>
          <w:color w:val="auto"/>
        </w:rPr>
        <w:t>Price Stabilization of Common Stock</w:t>
      </w:r>
      <w:r>
        <w:rPr>
          <w:rFonts w:ascii="Arial" w:cs="Arial" w:eastAsia="Arial" w:hAnsi="Arial"/>
          <w:sz w:val="18"/>
          <w:szCs w:val="18"/>
          <w:color w:val="auto"/>
        </w:rPr>
        <w:t>. The Company has not taken, nor will it take, directly or indirectly, any action designed to stabilize or manipulate the price of the Common Stock to facilitate the sale or resale of the Placement Shares.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Section 3.08.     </w:t>
      </w:r>
      <w:r>
        <w:rPr>
          <w:rFonts w:ascii="Arial" w:cs="Arial" w:eastAsia="Arial" w:hAnsi="Arial"/>
          <w:sz w:val="16"/>
          <w:szCs w:val="16"/>
          <w:i w:val="1"/>
          <w:iCs w:val="1"/>
          <w:color w:val="auto"/>
        </w:rPr>
        <w:t>Company SEC Documents</w:t>
      </w:r>
      <w:r>
        <w:rPr>
          <w:rFonts w:ascii="Arial" w:cs="Arial" w:eastAsia="Arial" w:hAnsi="Arial"/>
          <w:sz w:val="16"/>
          <w:szCs w:val="16"/>
          <w:color w:val="auto"/>
        </w:rPr>
        <w:t>. (a) The Company has filed with the SEC, during the preceding 12 months, on a timely basis, all required reports, schedules, forms, statements and other documents required to be filed by the Company with the SEC pursuant to the Exchange Act (collectively, the “</w:t>
      </w:r>
      <w:r>
        <w:rPr>
          <w:rFonts w:ascii="Arial" w:cs="Arial" w:eastAsia="Arial" w:hAnsi="Arial"/>
          <w:sz w:val="16"/>
          <w:szCs w:val="16"/>
          <w:b w:val="1"/>
          <w:bCs w:val="1"/>
          <w:color w:val="auto"/>
        </w:rPr>
        <w:t>Company SEC Documents</w:t>
      </w:r>
      <w:r>
        <w:rPr>
          <w:rFonts w:ascii="Arial" w:cs="Arial" w:eastAsia="Arial" w:hAnsi="Arial"/>
          <w:sz w:val="16"/>
          <w:szCs w:val="16"/>
          <w:color w:val="auto"/>
        </w:rPr>
        <w:t>”). As of their respective SEC filing dates, the Company SEC Documents complied in all material respects with the requirements of the Securities Act, the Exchange Act or the Sarbanes-Oxley Act of 2002 (and the regulations promulgated thereunder), as the case may be, applicable to such Company SEC Documents, and none of the Company SEC Documents as of such respective dates (or, if amended prior to the date hereof, the date of the filing of such amendment, with respect to the disclosures that are amended) contained any untrue statement of a material fact or omitted to state a material fact required to be stated therein or necessary in order to make the statements therein, in light of the circumstances under which they were made, not misleading. As of the date hereof, (i) the Company is eligible to file a registration statement on Form S-3, (ii) none of the Company’s subsidiaries is required to file any documents with the SEC, (iii) there are no outstanding or unresolved comments in comment letters from the SEC staff with respect to any of the Company SEC Documents and (iv) to the knowledge of the Company, none of the Company SEC Documents is the subject of ongoing SEC review, outstanding SEC comment or outstanding SEC investigation.</w:t>
      </w:r>
    </w:p>
    <w:p>
      <w:pPr>
        <w:spacing w:after="0" w:line="17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      The consolidated financial statements of the Company (including all related notes or schedules) included or incorporated by reference in the Company SEC Documents (i) complied as to form, as of their respective dates of filing with the SEC in all material respects with the published rules and regulations of the SEC with respect thereto, (ii) have been prepared in accordance with GAAP (except, in the case of unaudited quarterly statements, as permitted by Form 10-Q of the SEC or other rules and regulations of the SEC) applied on a consistent basis during the periods involved (except (x) as may be indicated in the notes thereto or (y) as permitted by Regulation S-X), and (iii) fairly present in all material respects the consolidated financial position of the Company and its subsidiaries as of the dates thereof and the consolidated results of their operations and cash flows for the periods shown (subject, in the case of unaudited quarterly financial statements, to normal year-end adjustments).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6" w:name="page47"/>
    <w:bookmarkEnd w:id="46"/>
    <w:p>
      <w:pPr>
        <w:ind w:right="20" w:firstLine="648"/>
        <w:spacing w:after="0" w:line="271" w:lineRule="auto"/>
        <w:rPr>
          <w:sz w:val="20"/>
          <w:szCs w:val="20"/>
          <w:color w:val="auto"/>
        </w:rPr>
      </w:pPr>
      <w:r>
        <w:rPr>
          <w:rFonts w:ascii="Arial" w:cs="Arial" w:eastAsia="Arial" w:hAnsi="Arial"/>
          <w:sz w:val="17"/>
          <w:szCs w:val="17"/>
          <w:color w:val="auto"/>
        </w:rPr>
        <w:t>(c)      The Company has established and maintains disclosure controls and procedures and a system of internal controls over financial reporting (as such terms are defined in paragraphs (e) and (f), respectively, of Rule 13a-15 under the Exchange Act) as required by Rule 13a-15 under the Exchange Act. Since the end of the Company’s most recent audited fiscal year, neither the Company nor, to the knowledge of the Company, the Company’s independent registered public accounting firm has identified or been made aware of “material weaknesses” (as defined by the Public Company Accounting Oversight Board) in the design or operation of the Company’s internal controls over and procedures relating to financial reporting which would reasonably be expected to adversely affect in any material respect the Company’s ability to record, process, summarize and report financial data, in each case which has not been subsequently remediated. As of the date hereof, the Company is in compliance in all material respects with the applicable listing requirements and corporate governance rules and regulations of Nasdaq.</w:t>
      </w:r>
    </w:p>
    <w:p>
      <w:pPr>
        <w:spacing w:after="0" w:line="17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Section 3.09.     </w:t>
      </w:r>
      <w:r>
        <w:rPr>
          <w:rFonts w:ascii="Arial" w:cs="Arial" w:eastAsia="Arial" w:hAnsi="Arial"/>
          <w:sz w:val="18"/>
          <w:szCs w:val="18"/>
          <w:i w:val="1"/>
          <w:iCs w:val="1"/>
          <w:color w:val="auto"/>
        </w:rPr>
        <w:t>No Other Investor Representations or Warranties</w:t>
      </w:r>
      <w:r>
        <w:rPr>
          <w:rFonts w:ascii="Arial" w:cs="Arial" w:eastAsia="Arial" w:hAnsi="Arial"/>
          <w:sz w:val="18"/>
          <w:szCs w:val="18"/>
          <w:color w:val="auto"/>
        </w:rPr>
        <w:t>. Except for the representations and warranties expressly set forth in Article 4 hereof, the Investor hereby acknowledges that neither the Investor nor any of its Affiliates or Representatives, nor any other Person, has made or is making any other express or implied representation or warranty with respect to the Investor.</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3.10.     </w:t>
      </w:r>
      <w:r>
        <w:rPr>
          <w:rFonts w:ascii="Arial" w:cs="Arial" w:eastAsia="Arial" w:hAnsi="Arial"/>
          <w:sz w:val="18"/>
          <w:szCs w:val="18"/>
          <w:i w:val="1"/>
          <w:iCs w:val="1"/>
          <w:color w:val="auto"/>
        </w:rPr>
        <w:t>No Other Company Representations or Warranties</w:t>
      </w:r>
      <w:r>
        <w:rPr>
          <w:rFonts w:ascii="Arial" w:cs="Arial" w:eastAsia="Arial" w:hAnsi="Arial"/>
          <w:sz w:val="18"/>
          <w:szCs w:val="18"/>
          <w:color w:val="auto"/>
        </w:rPr>
        <w:t>. Except for the representations and warranties made by the Company in this Article 3, neither the Company, any of its Affiliates nor any other Person acting on its behalf makes any other express or implied representation or warranty with respect to its capital stock, the Company or any of its subsidiaries or their respective businesses, operations, properties, assets, liabilities, condition (financial or otherwise) or prospects, and the Investor acknowledges the foregoing.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 the</w:t>
      </w:r>
      <w:r>
        <w:rPr>
          <w:rFonts w:ascii="Arial" w:cs="Arial" w:eastAsia="Arial" w:hAnsi="Arial"/>
          <w:sz w:val="18"/>
          <w:szCs w:val="18"/>
          <w:color w:val="auto"/>
        </w:rPr>
        <w:t xml:space="preserve"> I</w:t>
      </w:r>
      <w:r>
        <w:rPr>
          <w:rFonts w:ascii="Arial" w:cs="Arial" w:eastAsia="Arial" w:hAnsi="Arial"/>
          <w:sz w:val="12"/>
          <w:szCs w:val="12"/>
          <w:color w:val="auto"/>
        </w:rPr>
        <w:t>nvestor</w:t>
      </w:r>
    </w:p>
    <w:p>
      <w:pPr>
        <w:spacing w:after="0" w:line="21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Investor represents and warrants to the Company, as of the date hereof and as of the Closing Date (except to the extent made only as of a specified date, in which case such representation and warranty is made as of such date):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Section 4.01.     </w:t>
      </w:r>
      <w:r>
        <w:rPr>
          <w:rFonts w:ascii="Arial" w:cs="Arial" w:eastAsia="Arial" w:hAnsi="Arial"/>
          <w:sz w:val="18"/>
          <w:szCs w:val="18"/>
          <w:i w:val="1"/>
          <w:iCs w:val="1"/>
          <w:color w:val="auto"/>
        </w:rPr>
        <w:t>Organization; Standing</w:t>
      </w:r>
      <w:r>
        <w:rPr>
          <w:rFonts w:ascii="Arial" w:cs="Arial" w:eastAsia="Arial" w:hAnsi="Arial"/>
          <w:sz w:val="18"/>
          <w:szCs w:val="18"/>
          <w:color w:val="auto"/>
        </w:rPr>
        <w:t>. The Investor is a single shareholder limited liability company organized under the laws of the Kingdom of Saudi Arabia and has all requisite power and authority necessary to enter into and perform its obligations under this Agreement.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Section 4.02.     </w:t>
      </w:r>
      <w:r>
        <w:rPr>
          <w:rFonts w:ascii="Arial" w:cs="Arial" w:eastAsia="Arial" w:hAnsi="Arial"/>
          <w:sz w:val="16"/>
          <w:szCs w:val="16"/>
          <w:i w:val="1"/>
          <w:iCs w:val="1"/>
          <w:color w:val="auto"/>
        </w:rPr>
        <w:t>Authority; Noncontravention</w:t>
      </w:r>
      <w:r>
        <w:rPr>
          <w:rFonts w:ascii="Arial" w:cs="Arial" w:eastAsia="Arial" w:hAnsi="Arial"/>
          <w:sz w:val="16"/>
          <w:szCs w:val="16"/>
          <w:color w:val="auto"/>
        </w:rPr>
        <w:t>. (a) The Investor has all necessary power and authority to execute and deliver this Agreement and to perform its obligations hereunder. The execution, delivery and performance by the Investor of this Agreement has been duly authorized and approved by all necessary action on the part of the Investor and no further action, approval or authorization by any of its stockholders, partners, members or other equity owners, as the case may be, is necessary to authorize the execution, delivery and performance by the Investor of this Agreement. This Agreement has been duly executed and delivered by the Investor and, assuming due authorization, execution and delivery hereof by the Company, constitutes a legal, valid and binding obligation of the Investor, enforceable against the Investor in accordance with its terms, subject to the Bankruptcy and Equity Exception.</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7" w:name="page48"/>
    <w:bookmarkEnd w:id="47"/>
    <w:p>
      <w:pPr>
        <w:ind w:right="40" w:firstLine="648"/>
        <w:spacing w:after="0" w:line="254" w:lineRule="auto"/>
        <w:rPr>
          <w:sz w:val="20"/>
          <w:szCs w:val="20"/>
          <w:color w:val="auto"/>
        </w:rPr>
      </w:pPr>
      <w:r>
        <w:rPr>
          <w:rFonts w:ascii="Arial" w:cs="Arial" w:eastAsia="Arial" w:hAnsi="Arial"/>
          <w:sz w:val="18"/>
          <w:szCs w:val="18"/>
          <w:color w:val="auto"/>
        </w:rPr>
        <w:t>(b)      Neither the execution and delivery of this Agreement by the Investor, nor the performance or compliance by the Investor with any of the terms or provisions hereof, will (i) conflict with or violate any provision of the certificate or formation, operating agreement or other comparable charter or organizational documents of the Investor, or (ii) (x) violate any Law or Judgment applicable to the Investor or any of its subsidiaries, or (y) violate or constitute a default (or constitute an event which, with notice or lapse of time or both, would violate or constitute a default) under any of the terms, conditions or provisions of any Contract to which the Investor or any of its subsidiaries is a party or accelerate the Investor’s or, if applicable, any of its subsidiaries’, obligations under any such Contract, except, in the case of clause (ii),</w:t>
      </w:r>
      <w:r>
        <w:rPr>
          <w:rFonts w:ascii="Arial" w:cs="Arial" w:eastAsia="Arial" w:hAnsi="Arial"/>
          <w:sz w:val="18"/>
          <w:szCs w:val="18"/>
          <w:b w:val="1"/>
          <w:bCs w:val="1"/>
          <w:color w:val="auto"/>
        </w:rPr>
        <w:t>‎</w:t>
      </w:r>
      <w:r>
        <w:rPr>
          <w:rFonts w:ascii="Arial" w:cs="Arial" w:eastAsia="Arial" w:hAnsi="Arial"/>
          <w:sz w:val="18"/>
          <w:szCs w:val="18"/>
          <w:color w:val="auto"/>
        </w:rPr>
        <w:t xml:space="preserve"> as would not, individually or in the aggregate, reasonably be expected to have an Investor Material Adverse Effect.</w:t>
      </w:r>
    </w:p>
    <w:p>
      <w:pPr>
        <w:spacing w:after="0" w:line="19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4.03.     </w:t>
      </w:r>
      <w:r>
        <w:rPr>
          <w:rFonts w:ascii="Arial" w:cs="Arial" w:eastAsia="Arial" w:hAnsi="Arial"/>
          <w:sz w:val="18"/>
          <w:szCs w:val="18"/>
          <w:i w:val="1"/>
          <w:iCs w:val="1"/>
          <w:color w:val="auto"/>
        </w:rPr>
        <w:t>Governmental Approvals</w:t>
      </w:r>
      <w:r>
        <w:rPr>
          <w:rFonts w:ascii="Arial" w:cs="Arial" w:eastAsia="Arial" w:hAnsi="Arial"/>
          <w:sz w:val="18"/>
          <w:szCs w:val="18"/>
          <w:color w:val="auto"/>
        </w:rPr>
        <w:t>. No consent or approval of, or filing, license, permit or authorization, declaration or registration with, any Governmental Authority that would be required to be obtained or made by or on behalf of the Investor is necessary for the execution, delivery and performance of this Agreement by the Investor, other than such other consents, approvals, filings, licenses, permits, authorizations, declarations or registrations that, if not obtained, made or given, would not, individually or in the aggregate, reasonably be expected to have an Investor Material Adverse Effect.</w:t>
      </w:r>
    </w:p>
    <w:p>
      <w:pPr>
        <w:spacing w:after="0" w:line="188"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Section 4.04.     </w:t>
      </w:r>
      <w:r>
        <w:rPr>
          <w:rFonts w:ascii="Arial" w:cs="Arial" w:eastAsia="Arial" w:hAnsi="Arial"/>
          <w:sz w:val="18"/>
          <w:szCs w:val="18"/>
          <w:i w:val="1"/>
          <w:iCs w:val="1"/>
          <w:color w:val="auto"/>
        </w:rPr>
        <w:t>Brokers and Other Advisors</w:t>
      </w:r>
      <w:r>
        <w:rPr>
          <w:rFonts w:ascii="Arial" w:cs="Arial" w:eastAsia="Arial" w:hAnsi="Arial"/>
          <w:sz w:val="18"/>
          <w:szCs w:val="18"/>
          <w:color w:val="auto"/>
        </w:rPr>
        <w:t>. No broker, investment banker, financial advisor or other Person is entitled to any broker’s, finder’s, financial advisor’s or other similar fee or commission, or the reimbursement of expenses in connection with this Agreement, based upon arrangements made by or on behalf of the Investor or any of its Affiliates.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8" w:name="page49"/>
    <w:bookmarkEnd w:id="48"/>
    <w:p>
      <w:pPr>
        <w:ind w:right="60" w:firstLine="648"/>
        <w:spacing w:after="0" w:line="287" w:lineRule="auto"/>
        <w:rPr>
          <w:sz w:val="20"/>
          <w:szCs w:val="20"/>
          <w:color w:val="auto"/>
        </w:rPr>
      </w:pPr>
      <w:r>
        <w:rPr>
          <w:rFonts w:ascii="Arial" w:cs="Arial" w:eastAsia="Arial" w:hAnsi="Arial"/>
          <w:sz w:val="16"/>
          <w:szCs w:val="16"/>
          <w:color w:val="auto"/>
        </w:rPr>
        <w:t>Section 4.05.     </w:t>
      </w:r>
      <w:r>
        <w:rPr>
          <w:rFonts w:ascii="Arial" w:cs="Arial" w:eastAsia="Arial" w:hAnsi="Arial"/>
          <w:sz w:val="16"/>
          <w:szCs w:val="16"/>
          <w:i w:val="1"/>
          <w:iCs w:val="1"/>
          <w:color w:val="auto"/>
        </w:rPr>
        <w:t>Private Placement Matters</w:t>
      </w:r>
      <w:r>
        <w:rPr>
          <w:rFonts w:ascii="Arial" w:cs="Arial" w:eastAsia="Arial" w:hAnsi="Arial"/>
          <w:sz w:val="16"/>
          <w:szCs w:val="16"/>
          <w:color w:val="auto"/>
        </w:rPr>
        <w:t>. The Investor acknowledges that the offer and sale of the Placement Shares have not been registered under the Securities Act or under any state or other applicable securities Laws. The Investor (a) acknowledges that it is acquiring the Placement Shares pursuant to an exemption from registration under the Securities Act solely for investment with no intention to distribute any of the foregoing to any Person,</w:t>
      </w:r>
    </w:p>
    <w:p>
      <w:pPr>
        <w:spacing w:after="0" w:line="2" w:lineRule="exact"/>
        <w:rPr>
          <w:sz w:val="20"/>
          <w:szCs w:val="20"/>
          <w:color w:val="auto"/>
        </w:rPr>
      </w:pPr>
    </w:p>
    <w:p>
      <w:pPr>
        <w:ind w:firstLine="8"/>
        <w:spacing w:after="0" w:line="281"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will not sell, transfer, or otherwise dispose of any of the Placement Shares, except in compliance with the registration requirements or exemption provisions of the Securities Act and any other applicable securities Laws, (c) has such knowledge and experience in financial and business matters and in investments of this type that it is capable of evaluating the merits and risks of its investment in the Placement Shares and of making an informed investment decision, (d) is an institutional “accredited investor” (as that term is defined by Rule 501 of the Securities Act), and (e) (1) has been furnished with or has had access to all the information that it considers necessary or appropriate to make an informed investment decision with respect to the Placement Shares,</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(2) has had an opportunity to discuss (including by asking questions) with the Company and its Representatives the intended business and financial affairs of the Company and to obtain information necessary to verify any information furnished to it or to which it had access and (3) can bear the economic risk of (i) an investment in the Placement Shares indefinitely and (ii) a total loss in respect of such investment. The Investor has such knowledge and experience in business and financial matters so as to enable it to understand and evaluate the risks of, and form an investment decision with respect to its investment in, the Placement Shares and to protect its own interest in connection with such investment. The Investor further acknowledges that each Placement Share will constitute a “control security” and a “restricted security” under U.S. securities laws and will contain a legend to that effect in substantially the following form:</w:t>
      </w:r>
    </w:p>
    <w:p>
      <w:pPr>
        <w:spacing w:after="0" w:line="192" w:lineRule="exact"/>
        <w:rPr>
          <w:sz w:val="20"/>
          <w:szCs w:val="20"/>
          <w:color w:val="auto"/>
        </w:rPr>
      </w:pPr>
    </w:p>
    <w:p>
      <w:pPr>
        <w:ind w:left="660" w:right="120"/>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8"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THESE SECURITIES ARE HELD BY A PERSON WHO IS CONSIDERED AN AFFILIATE FOR PURPOSES OF RULE 144 UNDER THE SECURITIES ACT OF 1933 (THE “ACT”). NO TRANSFER OF THESE SECURITIES OR ANY INTEREST THEREIN MAY BE MADE UNLESS THE ISSUER HAS RECEIVED AN OPINION OF COUNSEL SATISFACTORY TO IT THAT THESE SECURITIES MAY BE SOLD PURSUANT TO RULE 144 OR ANOTHER AVAILABLE EXEMPTION UNDER THE ACT AND THE RULES AND REGULATIONS THEREUNDER.”</w:t>
      </w:r>
    </w:p>
    <w:p>
      <w:pPr>
        <w:spacing w:after="0" w:line="18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Section 4.06.     </w:t>
      </w:r>
      <w:r>
        <w:rPr>
          <w:rFonts w:ascii="Arial" w:cs="Arial" w:eastAsia="Arial" w:hAnsi="Arial"/>
          <w:sz w:val="17"/>
          <w:szCs w:val="17"/>
          <w:i w:val="1"/>
          <w:iCs w:val="1"/>
          <w:color w:val="auto"/>
        </w:rPr>
        <w:t>No Other Company Representations or Warranties</w:t>
      </w:r>
      <w:r>
        <w:rPr>
          <w:rFonts w:ascii="Arial" w:cs="Arial" w:eastAsia="Arial" w:hAnsi="Arial"/>
          <w:sz w:val="17"/>
          <w:szCs w:val="17"/>
          <w:color w:val="auto"/>
        </w:rPr>
        <w:t>. Except for the representations and warranties expressly set forth in Article</w:t>
      </w:r>
      <w:r>
        <w:rPr>
          <w:rFonts w:ascii="Arial" w:cs="Arial" w:eastAsia="Arial" w:hAnsi="Arial"/>
          <w:sz w:val="17"/>
          <w:szCs w:val="17"/>
          <w:b w:val="1"/>
          <w:bCs w:val="1"/>
          <w:color w:val="auto"/>
        </w:rPr>
        <w:t>‎</w:t>
      </w:r>
      <w:r>
        <w:rPr>
          <w:rFonts w:ascii="Arial" w:cs="Arial" w:eastAsia="Arial" w:hAnsi="Arial"/>
          <w:sz w:val="17"/>
          <w:szCs w:val="17"/>
          <w:color w:val="auto"/>
        </w:rPr>
        <w:t xml:space="preserve"> 3 hereof, the Investor hereby acknowledges that neither the Company nor any of its Affiliates or Representatives, nor any other Person, has made or is making any other express or implied representation or warranty with respect to the Company or any of its subsidiaries or their respective businesses, operations, assets, liabilities, condition (financial or otherwise) or prospects. The Investor hereby acknowledges (for itself and on behalf of its Affiliates and Representatives) that it has conducted, to its satisfaction, its own independent investigation of the business, operations, assets and financial condition of the Company and its subsidiaries and, in making its determination to proceed with the transactions contemplated by this Agreement, the Investor has relied on the results of their own independent investigation.</w:t>
      </w:r>
    </w:p>
    <w:p>
      <w:pPr>
        <w:spacing w:after="0" w:line="176"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Section 4.07.     </w:t>
      </w:r>
      <w:r>
        <w:rPr>
          <w:rFonts w:ascii="Arial" w:cs="Arial" w:eastAsia="Arial" w:hAnsi="Arial"/>
          <w:sz w:val="16"/>
          <w:szCs w:val="16"/>
          <w:i w:val="1"/>
          <w:iCs w:val="1"/>
          <w:color w:val="auto"/>
        </w:rPr>
        <w:t>No Other Investor Representations or Warranties</w:t>
      </w:r>
      <w:r>
        <w:rPr>
          <w:rFonts w:ascii="Arial" w:cs="Arial" w:eastAsia="Arial" w:hAnsi="Arial"/>
          <w:sz w:val="16"/>
          <w:szCs w:val="16"/>
          <w:color w:val="auto"/>
        </w:rPr>
        <w:t>. Except for the representations and warranties expressly set forth in this Article 4, neither the Investor nor any other Person on its behalf has made or is making any other express or implied representation or warranty.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dditional</w:t>
      </w:r>
      <w:r>
        <w:rPr>
          <w:rFonts w:ascii="Arial" w:cs="Arial" w:eastAsia="Arial" w:hAnsi="Arial"/>
          <w:sz w:val="18"/>
          <w:szCs w:val="18"/>
          <w:color w:val="auto"/>
        </w:rPr>
        <w:t xml:space="preserve"> A</w:t>
      </w:r>
      <w:r>
        <w:rPr>
          <w:rFonts w:ascii="Arial" w:cs="Arial" w:eastAsia="Arial" w:hAnsi="Arial"/>
          <w:sz w:val="12"/>
          <w:szCs w:val="12"/>
          <w:color w:val="auto"/>
        </w:rPr>
        <w:t>greements</w:t>
      </w:r>
    </w:p>
    <w:p>
      <w:pPr>
        <w:spacing w:after="0" w:line="21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Section 5.01.     </w:t>
      </w:r>
      <w:r>
        <w:rPr>
          <w:rFonts w:ascii="Arial" w:cs="Arial" w:eastAsia="Arial" w:hAnsi="Arial"/>
          <w:sz w:val="17"/>
          <w:szCs w:val="17"/>
          <w:i w:val="1"/>
          <w:iCs w:val="1"/>
          <w:color w:val="auto"/>
        </w:rPr>
        <w:t>Further Action; Commercially Reasonable Efforts; Filings</w:t>
      </w:r>
      <w:r>
        <w:rPr>
          <w:rFonts w:ascii="Arial" w:cs="Arial" w:eastAsia="Arial" w:hAnsi="Arial"/>
          <w:sz w:val="17"/>
          <w:szCs w:val="17"/>
          <w:color w:val="auto"/>
        </w:rPr>
        <w:t>. (a) Subject to the terms and conditions of this Agreement, each party shall use commercially reasonable efforts to take, or cause to be taken, all actions and to do, or cause to be done, and to assist and cooperate with the other parties in doing, all things reasonably necessary, proper or advisable under applicable Law to consummate this Agreement in accordance with its terms and conditions, including (i) the obtaining of all necessary actions, waivers, registrations, permits, authorizations, orders, consents and approvals from Governmental Authorities, the expiry or early termination of any applicable waiting periods, and the making of all necessary registrations and filings (including filings with Governmental Authorities, if any) and the taking of all steps as may be reasonably necessary to obtain an approval or waiver from, or to avoid an Action by, any Governmental Authorities, (ii) the delivery of required notices to, and the obtaining of required consents or waivers from, any third parties necessary, proper or advisable to consummate this Agreement, and (iii) the execution and delivery of any additional instruments necessary to consummate this Agreement and to fully carry out the purposes of this Agreement.</w:t>
      </w:r>
    </w:p>
    <w:p>
      <w:pPr>
        <w:spacing w:after="0" w:line="18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Section 5.02.     </w:t>
      </w:r>
      <w:r>
        <w:rPr>
          <w:rFonts w:ascii="Arial" w:cs="Arial" w:eastAsia="Arial" w:hAnsi="Arial"/>
          <w:sz w:val="17"/>
          <w:szCs w:val="17"/>
          <w:i w:val="1"/>
          <w:iCs w:val="1"/>
          <w:color w:val="auto"/>
        </w:rPr>
        <w:t>Public Disclosure</w:t>
      </w:r>
      <w:r>
        <w:rPr>
          <w:rFonts w:ascii="Arial" w:cs="Arial" w:eastAsia="Arial" w:hAnsi="Arial"/>
          <w:sz w:val="17"/>
          <w:szCs w:val="17"/>
          <w:color w:val="auto"/>
        </w:rPr>
        <w:t xml:space="preserve">. The Investor and the Company shall, and shall cause their Affiliates to, consult with each other before issuing, and give each other the opportunity to review and comment upon, any press release or other public statements with respect to this Agreement, and shall not issue any such press release or make any such public statement without the consent of the other party, which shall not be unreasonably withheld, conditioned or delayed, except as such release or announcement that the Investor or the Company determines, after consultation with outside legal counsel, is required by applicable Law, Judgment, court or regulatory process or the rules and regulations of any national securities exchange or national securities quotation system. Notwithstanding the foregoing, this </w:t>
      </w:r>
      <w:r>
        <w:rPr>
          <w:rFonts w:ascii="Arial" w:cs="Arial" w:eastAsia="Arial" w:hAnsi="Arial"/>
          <w:sz w:val="17"/>
          <w:szCs w:val="17"/>
          <w:b w:val="1"/>
          <w:bCs w:val="1"/>
          <w:color w:val="auto"/>
        </w:rPr>
        <w:t>‎</w:t>
      </w:r>
      <w:r>
        <w:rPr>
          <w:rFonts w:ascii="Arial" w:cs="Arial" w:eastAsia="Arial" w:hAnsi="Arial"/>
          <w:sz w:val="17"/>
          <w:szCs w:val="17"/>
          <w:color w:val="auto"/>
        </w:rPr>
        <w:t>Section 5.02 shall not apply to any press release or other public statement made by the Company that does not contain any information relating to this Agreement that has not been previously announced or made public in accordance with the terms of this Agreement and that is made in the ordinary course of business.</w:t>
      </w:r>
    </w:p>
    <w:p>
      <w:pPr>
        <w:spacing w:after="0" w:line="17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Section 5.03.     </w:t>
      </w:r>
      <w:r>
        <w:rPr>
          <w:rFonts w:ascii="Arial" w:cs="Arial" w:eastAsia="Arial" w:hAnsi="Arial"/>
          <w:sz w:val="17"/>
          <w:szCs w:val="17"/>
          <w:i w:val="1"/>
          <w:iCs w:val="1"/>
          <w:color w:val="auto"/>
        </w:rPr>
        <w:t>Confidentiality</w:t>
      </w:r>
      <w:r>
        <w:rPr>
          <w:rFonts w:ascii="Arial" w:cs="Arial" w:eastAsia="Arial" w:hAnsi="Arial"/>
          <w:sz w:val="17"/>
          <w:szCs w:val="17"/>
          <w:color w:val="auto"/>
        </w:rPr>
        <w:t>. Confidentiality provisions of the Investor Rights Agreement shall apply with respect to any information (including oral, written and electronic information) concerning the Company, its subsidiaries or its Affiliates that may be furnished to the Investor, its Affiliates or their respective Representatives by or on behalf of the Company or any of its Representatives in connection with this Agreement.</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Section 5.04.     </w:t>
      </w:r>
      <w:r>
        <w:rPr>
          <w:rFonts w:ascii="Arial" w:cs="Arial" w:eastAsia="Arial" w:hAnsi="Arial"/>
          <w:sz w:val="18"/>
          <w:szCs w:val="18"/>
          <w:i w:val="1"/>
          <w:iCs w:val="1"/>
          <w:color w:val="auto"/>
        </w:rPr>
        <w:t>Tax Matters</w:t>
      </w:r>
      <w:r>
        <w:rPr>
          <w:rFonts w:ascii="Arial" w:cs="Arial" w:eastAsia="Arial" w:hAnsi="Arial"/>
          <w:sz w:val="18"/>
          <w:szCs w:val="18"/>
          <w:color w:val="auto"/>
        </w:rPr>
        <w:t>. The Company shall pay any and all documentary, stamp and similar issuance or transfer tax due on the issuance of the Placement Shares.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right="480" w:firstLine="648"/>
        <w:spacing w:after="0" w:line="277" w:lineRule="auto"/>
        <w:rPr>
          <w:sz w:val="20"/>
          <w:szCs w:val="20"/>
          <w:color w:val="auto"/>
        </w:rPr>
      </w:pPr>
      <w:r>
        <w:rPr>
          <w:rFonts w:ascii="Arial" w:cs="Arial" w:eastAsia="Arial" w:hAnsi="Arial"/>
          <w:sz w:val="18"/>
          <w:szCs w:val="18"/>
          <w:color w:val="auto"/>
        </w:rPr>
        <w:t>Section 5.05.     </w:t>
      </w:r>
      <w:r>
        <w:rPr>
          <w:rFonts w:ascii="Arial" w:cs="Arial" w:eastAsia="Arial" w:hAnsi="Arial"/>
          <w:sz w:val="18"/>
          <w:szCs w:val="18"/>
          <w:i w:val="1"/>
          <w:iCs w:val="1"/>
          <w:color w:val="auto"/>
        </w:rPr>
        <w:t>Delivery of Placement Shares After the Closing</w:t>
      </w:r>
      <w:r>
        <w:rPr>
          <w:rFonts w:ascii="Arial" w:cs="Arial" w:eastAsia="Arial" w:hAnsi="Arial"/>
          <w:sz w:val="18"/>
          <w:szCs w:val="18"/>
          <w:color w:val="auto"/>
        </w:rPr>
        <w:t>. The Company shall deliver, or cause to be delivered, a book-entry statement evidencing the Placement Shares within five (5) Business Days after the Closing Date.</w:t>
      </w:r>
    </w:p>
    <w:p>
      <w:pPr>
        <w:spacing w:after="0" w:line="170"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Section 5.06.     </w:t>
      </w:r>
      <w:r>
        <w:rPr>
          <w:rFonts w:ascii="Arial" w:cs="Arial" w:eastAsia="Arial" w:hAnsi="Arial"/>
          <w:sz w:val="17"/>
          <w:szCs w:val="17"/>
          <w:i w:val="1"/>
          <w:iCs w:val="1"/>
          <w:color w:val="auto"/>
        </w:rPr>
        <w:t>Market Standoff</w:t>
      </w:r>
      <w:r>
        <w:rPr>
          <w:rFonts w:ascii="Arial" w:cs="Arial" w:eastAsia="Arial" w:hAnsi="Arial"/>
          <w:sz w:val="17"/>
          <w:szCs w:val="17"/>
          <w:color w:val="auto"/>
        </w:rPr>
        <w:t>. (a) The Investor hereby agrees that, during each period beginning on the date of the Closing and ending on the date that is six (6) months after the Closing (a “</w:t>
      </w:r>
      <w:r>
        <w:rPr>
          <w:rFonts w:ascii="Arial" w:cs="Arial" w:eastAsia="Arial" w:hAnsi="Arial"/>
          <w:sz w:val="17"/>
          <w:szCs w:val="17"/>
          <w:b w:val="1"/>
          <w:bCs w:val="1"/>
          <w:color w:val="auto"/>
        </w:rPr>
        <w:t>Lock-up Period</w:t>
      </w:r>
      <w:r>
        <w:rPr>
          <w:rFonts w:ascii="Arial" w:cs="Arial" w:eastAsia="Arial" w:hAnsi="Arial"/>
          <w:sz w:val="17"/>
          <w:szCs w:val="17"/>
          <w:color w:val="auto"/>
        </w:rPr>
        <w:t>”), the Investor will not, without the prior written consent of the Company,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whether owned by the Investor as of the date hereof or hereafter acquired by the Investor or with respect to which the Investor has or hereafter acquires the power of disposition (collectively, the “</w:t>
      </w:r>
      <w:r>
        <w:rPr>
          <w:rFonts w:ascii="Arial" w:cs="Arial" w:eastAsia="Arial" w:hAnsi="Arial"/>
          <w:sz w:val="17"/>
          <w:szCs w:val="17"/>
          <w:b w:val="1"/>
          <w:bCs w:val="1"/>
          <w:color w:val="auto"/>
        </w:rPr>
        <w:t>Lock-Up Securities</w:t>
      </w:r>
      <w:r>
        <w:rPr>
          <w:rFonts w:ascii="Arial" w:cs="Arial" w:eastAsia="Arial" w:hAnsi="Arial"/>
          <w:sz w:val="17"/>
          <w:szCs w:val="17"/>
          <w:color w:val="auto"/>
        </w:rPr>
        <w:t>”),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spacing w:after="0" w:line="178" w:lineRule="exact"/>
        <w:rPr>
          <w:sz w:val="20"/>
          <w:szCs w:val="20"/>
          <w:color w:val="auto"/>
        </w:rPr>
      </w:pPr>
    </w:p>
    <w:p>
      <w:pPr>
        <w:ind w:firstLine="972"/>
        <w:spacing w:after="0" w:line="291" w:lineRule="auto"/>
        <w:rPr>
          <w:sz w:val="20"/>
          <w:szCs w:val="20"/>
          <w:color w:val="auto"/>
        </w:rPr>
      </w:pPr>
      <w:r>
        <w:rPr>
          <w:rFonts w:ascii="Arial" w:cs="Arial" w:eastAsia="Arial" w:hAnsi="Arial"/>
          <w:sz w:val="16"/>
          <w:szCs w:val="16"/>
          <w:color w:val="auto"/>
        </w:rPr>
        <w:t xml:space="preserve">(b)      Notwithstanding Section 5.06(a), and subject to the conditions below, the Investor may transfer the Lock-Up Securities without the prior written consent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of Lock-Up Securities pursuant to clauses (i) through (iv) of this Section 5.06(b),</w:t>
      </w: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donee, trustee, distributee, or transferee, as the case may be, shall agree in writing to be similarly bound during the balance of the Lock-Up Period,</w:t>
      </w:r>
    </w:p>
    <w:p>
      <w:pPr>
        <w:spacing w:after="0" w:line="32" w:lineRule="exact"/>
        <w:rPr>
          <w:rFonts w:ascii="Arial" w:cs="Arial" w:eastAsia="Arial" w:hAnsi="Arial"/>
          <w:sz w:val="16"/>
          <w:szCs w:val="16"/>
          <w:color w:val="auto"/>
        </w:rPr>
      </w:pPr>
    </w:p>
    <w:p>
      <w:pPr>
        <w:jc w:val="both"/>
        <w:ind w:right="40" w:firstLine="8"/>
        <w:spacing w:after="0" w:line="255"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such transfer shall not involve a disposition for value, (3) any required public report or filing (including filings under Section 16(a) of the Exchange Act) shall disclose the nature of such transfer and that the Lock-Up Securities remain subject to the terms set forth in this Section 5.06, and (4) the Investor does not otherwise voluntarily effect any public filing or report regarding such transfers:</w:t>
      </w:r>
    </w:p>
    <w:p>
      <w:pPr>
        <w:spacing w:after="0" w:line="189" w:lineRule="exact"/>
        <w:rPr>
          <w:rFonts w:ascii="Arial" w:cs="Arial" w:eastAsia="Arial" w:hAnsi="Arial"/>
          <w:sz w:val="18"/>
          <w:szCs w:val="18"/>
          <w:color w:val="auto"/>
        </w:rPr>
      </w:pPr>
    </w:p>
    <w:p>
      <w:pPr>
        <w:ind w:left="1200" w:hanging="220"/>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including to charitable organizations; or</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an Affiliate of the Investor;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 nominee or custodian of any Person to whom a transfer would be permissible under clauses (i) or (ii) above; or</w:t>
      </w:r>
    </w:p>
    <w:p>
      <w:pPr>
        <w:spacing w:after="0" w:line="225" w:lineRule="exact"/>
        <w:rPr>
          <w:rFonts w:ascii="Arial" w:cs="Arial" w:eastAsia="Arial" w:hAnsi="Arial"/>
          <w:sz w:val="18"/>
          <w:szCs w:val="18"/>
          <w:color w:val="auto"/>
        </w:rPr>
      </w:pPr>
    </w:p>
    <w:p>
      <w:pPr>
        <w:jc w:val="both"/>
        <w:ind w:left="980"/>
        <w:spacing w:after="0" w:line="257" w:lineRule="auto"/>
        <w:tabs>
          <w:tab w:leader="none" w:pos="1315"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pursuant to a bona fide third-party tender offer, merger, consolidation or other similar transaction that is approved by the board of directors of the Company and made to all holders of shares of the Company’s capital stock involving a Change of Control (as defined below) (including negotiating and entering into an agreement providing for any such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such tender offer, merger, consolidation or other similar transaction is not completed, the Investor’s Lock-Up Securities shall remain subject to this Section 5.06.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right="100" w:firstLine="648"/>
        <w:spacing w:after="0" w:line="281" w:lineRule="auto"/>
        <w:rPr>
          <w:sz w:val="20"/>
          <w:szCs w:val="20"/>
          <w:color w:val="auto"/>
        </w:rPr>
      </w:pPr>
      <w:r>
        <w:rPr>
          <w:rFonts w:ascii="Arial" w:cs="Arial" w:eastAsia="Arial" w:hAnsi="Arial"/>
          <w:sz w:val="17"/>
          <w:szCs w:val="17"/>
          <w:color w:val="auto"/>
        </w:rPr>
        <w:t>For purposes of Section 5.06, “</w:t>
      </w:r>
      <w:r>
        <w:rPr>
          <w:rFonts w:ascii="Arial" w:cs="Arial" w:eastAsia="Arial" w:hAnsi="Arial"/>
          <w:sz w:val="17"/>
          <w:szCs w:val="17"/>
          <w:b w:val="1"/>
          <w:bCs w:val="1"/>
          <w:color w:val="auto"/>
        </w:rPr>
        <w:t>Change of Control</w:t>
      </w:r>
      <w:r>
        <w:rPr>
          <w:rFonts w:ascii="Arial" w:cs="Arial" w:eastAsia="Arial" w:hAnsi="Arial"/>
          <w:sz w:val="17"/>
          <w:szCs w:val="17"/>
          <w:color w:val="auto"/>
        </w:rPr>
        <w:t>” means the transfer to or acquisition by (whether by tender offer, merger, consolidation, division or other similar transaction), in one transaction or a series of related transactions, a Person or group of affiliated Persons, of the Company’s voting securities if, after such transfer or acquisition, such Person or group of affiliated Persons would beneficially own (as defined in Rule 13d-3 promulgated under the Exchange Act) more than 90% of the outstanding voting securities of the Company.</w:t>
      </w:r>
    </w:p>
    <w:p>
      <w:pPr>
        <w:spacing w:after="0" w:line="16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      The Investor agrees and consents to the entry of stop transfer instructions with the Company’s transfer agent and registrar against the transfer of the Lock-Up Securities except in compliance with this Section 5.06.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 to</w:t>
      </w:r>
      <w:r>
        <w:rPr>
          <w:rFonts w:ascii="Arial" w:cs="Arial" w:eastAsia="Arial" w:hAnsi="Arial"/>
          <w:sz w:val="18"/>
          <w:szCs w:val="18"/>
          <w:color w:val="auto"/>
        </w:rPr>
        <w:t xml:space="preserve"> C</w:t>
      </w:r>
      <w:r>
        <w:rPr>
          <w:rFonts w:ascii="Arial" w:cs="Arial" w:eastAsia="Arial" w:hAnsi="Arial"/>
          <w:sz w:val="12"/>
          <w:szCs w:val="12"/>
          <w:color w:val="auto"/>
        </w:rPr>
        <w:t>losing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6.01.     </w:t>
      </w:r>
      <w:r>
        <w:rPr>
          <w:rFonts w:ascii="Arial" w:cs="Arial" w:eastAsia="Arial" w:hAnsi="Arial"/>
          <w:sz w:val="16"/>
          <w:szCs w:val="16"/>
          <w:i w:val="1"/>
          <w:iCs w:val="1"/>
          <w:color w:val="auto"/>
        </w:rPr>
        <w:t>Condition to the Obligations of the Company and the Investor</w:t>
      </w:r>
      <w:r>
        <w:rPr>
          <w:rFonts w:ascii="Arial" w:cs="Arial" w:eastAsia="Arial" w:hAnsi="Arial"/>
          <w:sz w:val="16"/>
          <w:szCs w:val="16"/>
          <w:color w:val="auto"/>
        </w:rPr>
        <w:t>. The respective obligations of each of the Company and the Investor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effect the Closing shall be subject to the satisfaction (or waiver, if permissible under applicable Law) on or prior to the Closing Date of the conditions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(a) no Judgment shall be enacted, promulgated, issued, entered, or threatened by any Governmental Authority and no applicable Law (collectively,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Restraints</w:t>
      </w:r>
      <w:r>
        <w:rPr>
          <w:rFonts w:ascii="Arial" w:cs="Arial" w:eastAsia="Arial" w:hAnsi="Arial"/>
          <w:sz w:val="16"/>
          <w:szCs w:val="16"/>
          <w:color w:val="auto"/>
        </w:rPr>
        <w:t>”) shall be in effect enjoining or otherwise prohibiting consummation of this Agreement and (b) the closing of the Public Offering as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Underwriting Agreement has occurred.</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Section 6.02.     </w:t>
      </w:r>
      <w:r>
        <w:rPr>
          <w:rFonts w:ascii="Arial" w:cs="Arial" w:eastAsia="Arial" w:hAnsi="Arial"/>
          <w:sz w:val="18"/>
          <w:szCs w:val="18"/>
          <w:i w:val="1"/>
          <w:iCs w:val="1"/>
          <w:color w:val="auto"/>
        </w:rPr>
        <w:t>Conditions to the Obligations of the Company</w:t>
      </w:r>
      <w:r>
        <w:rPr>
          <w:rFonts w:ascii="Arial" w:cs="Arial" w:eastAsia="Arial" w:hAnsi="Arial"/>
          <w:sz w:val="18"/>
          <w:szCs w:val="18"/>
          <w:color w:val="auto"/>
        </w:rPr>
        <w:t>. The obligations of the Company to effect the Closing shall be further subject to the satisfaction (or waiver, if permissible under applicable Law) on or prior to the Closing Date of the following conditions:</w:t>
      </w:r>
    </w:p>
    <w:p>
      <w:pPr>
        <w:spacing w:after="0" w:line="170"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      the representations and warranties of the Investor set forth in this Agreement shall be true and correct as of the date of this Agreement and as of the Closing Date with the same effect as though made on and as of such date (except to the extent expressly made as of an earlier date, in which case as of such earlier date); and</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(b)      the Investor shall have complied with or performed in all material respects its obligations and covenants required to be complied with or performed by it pursuant to this Agreement at or prior to such Closing.</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Section 6.03.     </w:t>
      </w:r>
      <w:r>
        <w:rPr>
          <w:rFonts w:ascii="Arial" w:cs="Arial" w:eastAsia="Arial" w:hAnsi="Arial"/>
          <w:sz w:val="18"/>
          <w:szCs w:val="18"/>
          <w:i w:val="1"/>
          <w:iCs w:val="1"/>
          <w:color w:val="auto"/>
        </w:rPr>
        <w:t>Conditions to the Obligations of the Investor</w:t>
      </w:r>
      <w:r>
        <w:rPr>
          <w:rFonts w:ascii="Arial" w:cs="Arial" w:eastAsia="Arial" w:hAnsi="Arial"/>
          <w:sz w:val="18"/>
          <w:szCs w:val="18"/>
          <w:color w:val="auto"/>
        </w:rPr>
        <w:t>. The obligations of the Investor to effect the Closing shall be further subject to the satisfaction (or waiver, if permissible under applicable Law) on or prior to the Closing Date of the following conditions: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      the representations and warranties of the Company set forth in this Agreement shall be true and correct as of the date of this Agreement and as of the Closing Date with the same effect as though made on and as of such date (except to the extent expressly made as of an earlier date, in which case as of such earlier date), except where the failure to be true and correct would not, individually or in the aggregate,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right="220" w:firstLine="648"/>
        <w:spacing w:after="0" w:line="277" w:lineRule="auto"/>
        <w:rPr>
          <w:sz w:val="20"/>
          <w:szCs w:val="20"/>
          <w:color w:val="auto"/>
        </w:rPr>
      </w:pPr>
      <w:r>
        <w:rPr>
          <w:rFonts w:ascii="Arial" w:cs="Arial" w:eastAsia="Arial" w:hAnsi="Arial"/>
          <w:sz w:val="18"/>
          <w:szCs w:val="18"/>
          <w:color w:val="auto"/>
        </w:rPr>
        <w:t>(b)      the Company shall have complied with or performed in all material respects its obligations and covenants required to be complied with or performed by it pursuant to this Agreement at or prior to the Closing;</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(c)       the Company shall have obtained any and all consents, permits, approvals, registrations and waivers necessary for consummation of the applicable Placement;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      no stop order or suspension of trading shall have been imposed by the Nasdaq, the SEC or any other Governmental Authority with respect to the public trading in the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the Common Stock shall be listed on the Nasdaq;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the Investor Rights Agreement, as amended by the IRA Amendment, shall be in full force and effect.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ermination</w:t>
      </w:r>
      <w:r>
        <w:rPr>
          <w:rFonts w:ascii="Arial" w:cs="Arial" w:eastAsia="Arial" w:hAnsi="Arial"/>
          <w:sz w:val="18"/>
          <w:szCs w:val="18"/>
          <w:color w:val="auto"/>
        </w:rPr>
        <w:t>; S</w:t>
      </w:r>
      <w:r>
        <w:rPr>
          <w:rFonts w:ascii="Arial" w:cs="Arial" w:eastAsia="Arial" w:hAnsi="Arial"/>
          <w:sz w:val="12"/>
          <w:szCs w:val="12"/>
          <w:color w:val="auto"/>
        </w:rPr>
        <w:t>urvival</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Section 7.01.     </w:t>
      </w:r>
      <w:r>
        <w:rPr>
          <w:rFonts w:ascii="Arial" w:cs="Arial" w:eastAsia="Arial" w:hAnsi="Arial"/>
          <w:sz w:val="18"/>
          <w:szCs w:val="18"/>
          <w:i w:val="1"/>
          <w:iCs w:val="1"/>
          <w:color w:val="auto"/>
        </w:rPr>
        <w:t>Termination</w:t>
      </w:r>
      <w:r>
        <w:rPr>
          <w:rFonts w:ascii="Arial" w:cs="Arial" w:eastAsia="Arial" w:hAnsi="Arial"/>
          <w:sz w:val="18"/>
          <w:szCs w:val="18"/>
          <w:color w:val="auto"/>
        </w:rPr>
        <w:t>. This Agreement will terminate automatically upon the date which the Company has sold to the Investor pursuant to this Agreement the Placement Shares. This Agreement may be terminated earlier: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by the mutual written consent of the Company and the Investor;</w:t>
      </w:r>
    </w:p>
    <w:p>
      <w:pPr>
        <w:spacing w:after="0" w:line="225"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(b)      by either the Company or the Investor if the Underwriting Agreement has been terminated in accordance with its terms following its execution (or, if the Underwriting Agreement has not been executed, if the Company provides written notice to the Investor that it does not intend to proceed with the Public Offering prior to June 15, 2023);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by either the Company or the Investor, if any Restraint enjoining or otherwise prohibiting consummation of this Agreement shall be in effect</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and shall have become final and nonappealable;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party seeking to terminate this Agreement pursuant to this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7.01(c) shall have used the required efforts to cause the conditions to Closing to be satisfied in accordance with </w:t>
      </w:r>
      <w:r>
        <w:rPr>
          <w:rFonts w:ascii="Arial" w:cs="Arial" w:eastAsia="Arial" w:hAnsi="Arial"/>
          <w:sz w:val="18"/>
          <w:szCs w:val="18"/>
          <w:b w:val="1"/>
          <w:bCs w:val="1"/>
          <w:color w:val="auto"/>
        </w:rPr>
        <w:t>‎</w:t>
      </w:r>
      <w:r>
        <w:rPr>
          <w:rFonts w:ascii="Arial" w:cs="Arial" w:eastAsia="Arial" w:hAnsi="Arial"/>
          <w:sz w:val="18"/>
          <w:szCs w:val="18"/>
          <w:color w:val="auto"/>
        </w:rPr>
        <w:t>Section 5.01;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      by the Investor, if the Company shall have breached any of its representations or warranties or failed to perform any of its covenants or</w:t>
      </w:r>
    </w:p>
    <w:p>
      <w:pPr>
        <w:spacing w:after="0" w:line="35" w:lineRule="exact"/>
        <w:rPr>
          <w:sz w:val="20"/>
          <w:szCs w:val="20"/>
          <w:color w:val="auto"/>
        </w:rPr>
      </w:pPr>
    </w:p>
    <w:p>
      <w:pPr>
        <w:jc w:val="both"/>
        <w:ind w:right="300"/>
        <w:spacing w:after="0" w:line="281" w:lineRule="auto"/>
        <w:rPr>
          <w:sz w:val="20"/>
          <w:szCs w:val="20"/>
          <w:color w:val="auto"/>
        </w:rPr>
      </w:pPr>
      <w:r>
        <w:rPr>
          <w:rFonts w:ascii="Arial" w:cs="Arial" w:eastAsia="Arial" w:hAnsi="Arial"/>
          <w:sz w:val="16"/>
          <w:szCs w:val="16"/>
          <w:color w:val="auto"/>
        </w:rPr>
        <w:t>agreements set forth in this Agreement, which breach or failure to perform (i) would give rise to the failure of a condition set forth in Section</w:t>
      </w:r>
      <w:r>
        <w:rPr>
          <w:rFonts w:ascii="Arial" w:cs="Arial" w:eastAsia="Arial" w:hAnsi="Arial"/>
          <w:sz w:val="16"/>
          <w:szCs w:val="16"/>
          <w:b w:val="1"/>
          <w:bCs w:val="1"/>
          <w:color w:val="auto"/>
        </w:rPr>
        <w:t>‎</w:t>
      </w:r>
      <w:r>
        <w:rPr>
          <w:rFonts w:ascii="Arial" w:cs="Arial" w:eastAsia="Arial" w:hAnsi="Arial"/>
          <w:sz w:val="16"/>
          <w:szCs w:val="16"/>
          <w:color w:val="auto"/>
        </w:rPr>
        <w:t xml:space="preserve"> 6.03(a) or Section 6.03(b) and (ii) shall not have been cured within thirty (30) calendar days following receipt by the Company of written notice of such breach or failure to perform from the Investor stating the Investor’s intention to terminate this Agreement pursuant to this </w:t>
      </w:r>
      <w:r>
        <w:rPr>
          <w:rFonts w:ascii="Arial" w:cs="Arial" w:eastAsia="Arial" w:hAnsi="Arial"/>
          <w:sz w:val="16"/>
          <w:szCs w:val="16"/>
          <w:b w:val="1"/>
          <w:bCs w:val="1"/>
          <w:color w:val="auto"/>
        </w:rPr>
        <w:t>‎</w:t>
      </w:r>
      <w:r>
        <w:rPr>
          <w:rFonts w:ascii="Arial" w:cs="Arial" w:eastAsia="Arial" w:hAnsi="Arial"/>
          <w:sz w:val="16"/>
          <w:szCs w:val="16"/>
          <w:color w:val="auto"/>
        </w:rPr>
        <w:t>Section 7.01(d) and the basis for such</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Investor shall not have the right to terminate this Agreement pursuant to this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7.01(d) if the Investor is then in material breach of any of its representations, warranties, covenants or agreements hereunder, which breach would give rise to the failure of any condition set forth in Section 6.02(a) or </w:t>
      </w:r>
      <w:r>
        <w:rPr>
          <w:rFonts w:ascii="Arial" w:cs="Arial" w:eastAsia="Arial" w:hAnsi="Arial"/>
          <w:sz w:val="18"/>
          <w:szCs w:val="18"/>
          <w:b w:val="1"/>
          <w:bCs w:val="1"/>
          <w:color w:val="auto"/>
        </w:rPr>
        <w:t>‎</w:t>
      </w:r>
      <w:r>
        <w:rPr>
          <w:rFonts w:ascii="Arial" w:cs="Arial" w:eastAsia="Arial" w:hAnsi="Arial"/>
          <w:sz w:val="18"/>
          <w:szCs w:val="18"/>
          <w:color w:val="auto"/>
        </w:rPr>
        <w:t>Section 6.02(b) to be satisfied; or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3" w:name="page54"/>
    <w:bookmarkEnd w:id="53"/>
    <w:p>
      <w:pPr>
        <w:ind w:left="660"/>
        <w:spacing w:after="0"/>
        <w:rPr>
          <w:sz w:val="20"/>
          <w:szCs w:val="20"/>
          <w:color w:val="auto"/>
        </w:rPr>
      </w:pPr>
      <w:r>
        <w:rPr>
          <w:rFonts w:ascii="Arial" w:cs="Arial" w:eastAsia="Arial" w:hAnsi="Arial"/>
          <w:sz w:val="16"/>
          <w:szCs w:val="16"/>
          <w:color w:val="auto"/>
        </w:rPr>
        <w:t>(e)      by the Company, if the Investor shall have breached any of its representations or warranties or failed to perform any of its covenants or</w:t>
      </w:r>
    </w:p>
    <w:p>
      <w:pPr>
        <w:spacing w:after="0" w:line="46"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agreements set forth in this Agreement, which breach or failure to perform (i) would give rise to the failure of a condition set forth in Section</w:t>
      </w:r>
      <w:r>
        <w:rPr>
          <w:rFonts w:ascii="Arial" w:cs="Arial" w:eastAsia="Arial" w:hAnsi="Arial"/>
          <w:sz w:val="16"/>
          <w:szCs w:val="16"/>
          <w:b w:val="1"/>
          <w:bCs w:val="1"/>
          <w:color w:val="auto"/>
        </w:rPr>
        <w:t>‎</w:t>
      </w:r>
      <w:r>
        <w:rPr>
          <w:rFonts w:ascii="Arial" w:cs="Arial" w:eastAsia="Arial" w:hAnsi="Arial"/>
          <w:sz w:val="16"/>
          <w:szCs w:val="16"/>
          <w:color w:val="auto"/>
        </w:rPr>
        <w:t xml:space="preserve"> 6.02(a) or Section 6.02(b) and (ii) shall not have been cured within thirty (30) calendar days following receipt by the Investor of written notice of such breach or failure to perform from the Company stating the Company’s intention to terminate this Agreement pursuant to this </w:t>
      </w:r>
      <w:r>
        <w:rPr>
          <w:rFonts w:ascii="Arial" w:cs="Arial" w:eastAsia="Arial" w:hAnsi="Arial"/>
          <w:sz w:val="16"/>
          <w:szCs w:val="16"/>
          <w:b w:val="1"/>
          <w:bCs w:val="1"/>
          <w:color w:val="auto"/>
        </w:rPr>
        <w:t>‎</w:t>
      </w:r>
      <w:r>
        <w:rPr>
          <w:rFonts w:ascii="Arial" w:cs="Arial" w:eastAsia="Arial" w:hAnsi="Arial"/>
          <w:sz w:val="16"/>
          <w:szCs w:val="16"/>
          <w:color w:val="auto"/>
        </w:rPr>
        <w:t>Section 7.01(e) and the basis for such</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not have the right to terminate this Agreement pursuant to this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7.01(e) if the Company is then in material breach of any of its representations, warranties, covenants or agreements hereunder, which breach would give rise to the failure of any condition set forth in </w:t>
      </w:r>
      <w:r>
        <w:rPr>
          <w:rFonts w:ascii="Arial" w:cs="Arial" w:eastAsia="Arial" w:hAnsi="Arial"/>
          <w:sz w:val="18"/>
          <w:szCs w:val="18"/>
          <w:b w:val="1"/>
          <w:bCs w:val="1"/>
          <w:color w:val="auto"/>
        </w:rPr>
        <w:t>‎</w:t>
      </w:r>
      <w:r>
        <w:rPr>
          <w:rFonts w:ascii="Arial" w:cs="Arial" w:eastAsia="Arial" w:hAnsi="Arial"/>
          <w:sz w:val="18"/>
          <w:szCs w:val="18"/>
          <w:color w:val="auto"/>
        </w:rPr>
        <w:t xml:space="preserve">Section 6.03(a) or </w:t>
      </w:r>
      <w:r>
        <w:rPr>
          <w:rFonts w:ascii="Arial" w:cs="Arial" w:eastAsia="Arial" w:hAnsi="Arial"/>
          <w:sz w:val="18"/>
          <w:szCs w:val="18"/>
          <w:b w:val="1"/>
          <w:bCs w:val="1"/>
          <w:color w:val="auto"/>
        </w:rPr>
        <w:t>‎</w:t>
      </w:r>
      <w:r>
        <w:rPr>
          <w:rFonts w:ascii="Arial" w:cs="Arial" w:eastAsia="Arial" w:hAnsi="Arial"/>
          <w:sz w:val="18"/>
          <w:szCs w:val="18"/>
          <w:color w:val="auto"/>
        </w:rPr>
        <w:t>Section 6.03(b) to be satisfied.</w:t>
      </w:r>
    </w:p>
    <w:p>
      <w:pPr>
        <w:spacing w:after="0" w:line="186"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Section 7.02.     </w:t>
      </w:r>
      <w:r>
        <w:rPr>
          <w:rFonts w:ascii="Arial" w:cs="Arial" w:eastAsia="Arial" w:hAnsi="Arial"/>
          <w:sz w:val="17"/>
          <w:szCs w:val="17"/>
          <w:i w:val="1"/>
          <w:iCs w:val="1"/>
          <w:color w:val="auto"/>
        </w:rPr>
        <w:t>Effect of Termination</w:t>
      </w:r>
      <w:r>
        <w:rPr>
          <w:rFonts w:ascii="Arial" w:cs="Arial" w:eastAsia="Arial" w:hAnsi="Arial"/>
          <w:sz w:val="17"/>
          <w:szCs w:val="17"/>
          <w:color w:val="auto"/>
        </w:rPr>
        <w:t xml:space="preserve">. In the event of the termination of this Agreement as provided in </w:t>
      </w:r>
      <w:r>
        <w:rPr>
          <w:rFonts w:ascii="Arial" w:cs="Arial" w:eastAsia="Arial" w:hAnsi="Arial"/>
          <w:sz w:val="17"/>
          <w:szCs w:val="17"/>
          <w:b w:val="1"/>
          <w:bCs w:val="1"/>
          <w:color w:val="auto"/>
        </w:rPr>
        <w:t>‎</w:t>
      </w:r>
      <w:r>
        <w:rPr>
          <w:rFonts w:ascii="Arial" w:cs="Arial" w:eastAsia="Arial" w:hAnsi="Arial"/>
          <w:sz w:val="17"/>
          <w:szCs w:val="17"/>
          <w:color w:val="auto"/>
        </w:rPr>
        <w:t xml:space="preserve">Section 7.01, written notice thereof shall be given to the other party, specifying the provision hereof pursuant to which such termination is made, and this Agreement shall forthwith become null and void (other than </w:t>
      </w:r>
      <w:r>
        <w:rPr>
          <w:rFonts w:ascii="Arial" w:cs="Arial" w:eastAsia="Arial" w:hAnsi="Arial"/>
          <w:sz w:val="17"/>
          <w:szCs w:val="17"/>
          <w:b w:val="1"/>
          <w:bCs w:val="1"/>
          <w:color w:val="auto"/>
        </w:rPr>
        <w:t>‎</w:t>
      </w:r>
      <w:r>
        <w:rPr>
          <w:rFonts w:ascii="Arial" w:cs="Arial" w:eastAsia="Arial" w:hAnsi="Arial"/>
          <w:sz w:val="17"/>
          <w:szCs w:val="17"/>
          <w:color w:val="auto"/>
        </w:rPr>
        <w:t xml:space="preserve">Article 1, </w:t>
      </w:r>
      <w:r>
        <w:rPr>
          <w:rFonts w:ascii="Arial" w:cs="Arial" w:eastAsia="Arial" w:hAnsi="Arial"/>
          <w:sz w:val="17"/>
          <w:szCs w:val="17"/>
          <w:b w:val="1"/>
          <w:bCs w:val="1"/>
          <w:color w:val="auto"/>
        </w:rPr>
        <w:t>‎</w:t>
      </w:r>
      <w:r>
        <w:rPr>
          <w:rFonts w:ascii="Arial" w:cs="Arial" w:eastAsia="Arial" w:hAnsi="Arial"/>
          <w:sz w:val="17"/>
          <w:szCs w:val="17"/>
          <w:color w:val="auto"/>
        </w:rPr>
        <w:t xml:space="preserve">Section 5.03, Section 5.06, this </w:t>
      </w:r>
      <w:r>
        <w:rPr>
          <w:rFonts w:ascii="Arial" w:cs="Arial" w:eastAsia="Arial" w:hAnsi="Arial"/>
          <w:sz w:val="17"/>
          <w:szCs w:val="17"/>
          <w:b w:val="1"/>
          <w:bCs w:val="1"/>
          <w:color w:val="auto"/>
        </w:rPr>
        <w:t>‎</w:t>
      </w:r>
      <w:r>
        <w:rPr>
          <w:rFonts w:ascii="Arial" w:cs="Arial" w:eastAsia="Arial" w:hAnsi="Arial"/>
          <w:sz w:val="17"/>
          <w:szCs w:val="17"/>
          <w:color w:val="auto"/>
        </w:rPr>
        <w:t xml:space="preserve">Section 7.02 and </w:t>
      </w:r>
      <w:r>
        <w:rPr>
          <w:rFonts w:ascii="Arial" w:cs="Arial" w:eastAsia="Arial" w:hAnsi="Arial"/>
          <w:sz w:val="17"/>
          <w:szCs w:val="17"/>
          <w:b w:val="1"/>
          <w:bCs w:val="1"/>
          <w:color w:val="auto"/>
        </w:rPr>
        <w:t>‎</w:t>
      </w:r>
      <w:r>
        <w:rPr>
          <w:rFonts w:ascii="Arial" w:cs="Arial" w:eastAsia="Arial" w:hAnsi="Arial"/>
          <w:sz w:val="17"/>
          <w:szCs w:val="17"/>
          <w:color w:val="auto"/>
        </w:rPr>
        <w:t>Article 8, all of which shall survive termination of this Agreement), and there shall be no liability on the part of the Investor or the Company or their respective directors, officers and Affiliates, except that no such termination shall relieve any party from liability for damages to another party resulting from a willful and material breach of this Agreement.</w:t>
      </w:r>
    </w:p>
    <w:p>
      <w:pPr>
        <w:spacing w:after="0" w:line="17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7.03.     </w:t>
      </w:r>
      <w:r>
        <w:rPr>
          <w:rFonts w:ascii="Arial" w:cs="Arial" w:eastAsia="Arial" w:hAnsi="Arial"/>
          <w:sz w:val="16"/>
          <w:szCs w:val="16"/>
          <w:i w:val="1"/>
          <w:iCs w:val="1"/>
          <w:color w:val="auto"/>
        </w:rPr>
        <w:t>Survival</w:t>
      </w:r>
      <w:r>
        <w:rPr>
          <w:rFonts w:ascii="Arial" w:cs="Arial" w:eastAsia="Arial" w:hAnsi="Arial"/>
          <w:sz w:val="16"/>
          <w:szCs w:val="16"/>
          <w:color w:val="auto"/>
        </w:rPr>
        <w:t>. Subject to Section 7.02, all of the covenants or other agreements of the parties contained in this Agreement shall survive until fully performed or fulfilled, unless and to the extent that non-compliance with such covenants or agreements is waived in writing by the party entitled to such performance. The representations and warranties made as of the Closing Date shall survive until the Closing Date and shall then expire.</w:t>
      </w:r>
    </w:p>
    <w:p>
      <w:pPr>
        <w:spacing w:after="0" w:line="2"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Notwithstanding any other provision set forth in this Agreement, the maximum liability of the Company under or relating to this Agreement to the extent relating to or arising out of any breach of the representations and warranties expressly set forth in this Agreement shall, with respect to any Placement, in no event exceed the aggregate purchase price paid by the Investor pursuant to this Agreement.</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Section 8.01.     </w:t>
      </w:r>
      <w:r>
        <w:rPr>
          <w:rFonts w:ascii="Arial" w:cs="Arial" w:eastAsia="Arial" w:hAnsi="Arial"/>
          <w:sz w:val="18"/>
          <w:szCs w:val="18"/>
          <w:i w:val="1"/>
          <w:iCs w:val="1"/>
          <w:color w:val="auto"/>
        </w:rPr>
        <w:t>Amendments; Waivers</w:t>
      </w:r>
      <w:r>
        <w:rPr>
          <w:rFonts w:ascii="Arial" w:cs="Arial" w:eastAsia="Arial" w:hAnsi="Arial"/>
          <w:sz w:val="18"/>
          <w:szCs w:val="18"/>
          <w:color w:val="auto"/>
        </w:rPr>
        <w:t>. Subject to compliance with applicable Law, this Agreement may be amended or supplemented in any and all respects by written agreement of the parties hereto.</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54" w:name="page55"/>
    <w:bookmarkEnd w:id="54"/>
    <w:p>
      <w:pPr>
        <w:ind w:firstLine="648"/>
        <w:spacing w:after="0" w:line="272" w:lineRule="auto"/>
        <w:rPr>
          <w:sz w:val="20"/>
          <w:szCs w:val="20"/>
          <w:color w:val="auto"/>
        </w:rPr>
      </w:pPr>
      <w:r>
        <w:rPr>
          <w:rFonts w:ascii="Arial" w:cs="Arial" w:eastAsia="Arial" w:hAnsi="Arial"/>
          <w:sz w:val="17"/>
          <w:szCs w:val="17"/>
          <w:color w:val="auto"/>
        </w:rPr>
        <w:t>Section 8.02.     </w:t>
      </w:r>
      <w:r>
        <w:rPr>
          <w:rFonts w:ascii="Arial" w:cs="Arial" w:eastAsia="Arial" w:hAnsi="Arial"/>
          <w:sz w:val="17"/>
          <w:szCs w:val="17"/>
          <w:i w:val="1"/>
          <w:iCs w:val="1"/>
          <w:color w:val="auto"/>
        </w:rPr>
        <w:t>Extension of Time, Waiver, Etc</w:t>
      </w:r>
      <w:r>
        <w:rPr>
          <w:rFonts w:ascii="Arial" w:cs="Arial" w:eastAsia="Arial" w:hAnsi="Arial"/>
          <w:sz w:val="17"/>
          <w:szCs w:val="17"/>
          <w:color w:val="auto"/>
        </w:rPr>
        <w:t>. The Company and the Investor may, subject to applicable Law,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Notwithstanding the foregoing, no failure or delay by the Company or the Investor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7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Section 8.03.     </w:t>
      </w:r>
      <w:r>
        <w:rPr>
          <w:rFonts w:ascii="Arial" w:cs="Arial" w:eastAsia="Arial" w:hAnsi="Arial"/>
          <w:sz w:val="18"/>
          <w:szCs w:val="18"/>
          <w:i w:val="1"/>
          <w:iCs w:val="1"/>
          <w:color w:val="auto"/>
        </w:rPr>
        <w:t>Assignment</w:t>
      </w:r>
      <w:r>
        <w:rPr>
          <w:rFonts w:ascii="Arial" w:cs="Arial" w:eastAsia="Arial" w:hAnsi="Arial"/>
          <w:sz w:val="18"/>
          <w:szCs w:val="18"/>
          <w:color w:val="auto"/>
        </w:rPr>
        <w:t>. Neither this Agreement nor any of the rights, interests or obligations hereunder shall be assigned, in whole or in part, by operation of Law or otherwise, by any of the parties hereto without the prior written consent of the other party hereto.</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Section 8.04.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one or more counterparts (including by electronic mail), each of which shall be deemed to be an original but all of which taken together shall constitute one and the same agreement, and shall become effective when one or more counterparts have been signed by each of the parties hereto (including by electronic signature) and delivered to the other parties hereto (including electronically, e.g., in PDF format).</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Section 8.05.     </w:t>
      </w:r>
      <w:r>
        <w:rPr>
          <w:rFonts w:ascii="Arial" w:cs="Arial" w:eastAsia="Arial" w:hAnsi="Arial"/>
          <w:sz w:val="18"/>
          <w:szCs w:val="18"/>
          <w:i w:val="1"/>
          <w:iCs w:val="1"/>
          <w:color w:val="auto"/>
        </w:rPr>
        <w:t>Entire Agreement; No Third-Party Beneficiaries</w:t>
      </w:r>
      <w:r>
        <w:rPr>
          <w:rFonts w:ascii="Arial" w:cs="Arial" w:eastAsia="Arial" w:hAnsi="Arial"/>
          <w:sz w:val="18"/>
          <w:szCs w:val="18"/>
          <w:color w:val="auto"/>
        </w:rPr>
        <w:t>. This Agreement constitutes the entire agreement, and supersedes all other prior agreements and understandings, both written and oral, among the parties and their Affiliates, or any of them, with respect to the subject matter hereof and thereof. No provision of this Agreement shall confer upon any Person other than the parties hereto and their permitted assigns any rights or remedies hereunder.</w:t>
      </w:r>
    </w:p>
    <w:p>
      <w:pPr>
        <w:spacing w:after="0" w:line="187"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Section 8.06.     </w:t>
      </w:r>
      <w:r>
        <w:rPr>
          <w:rFonts w:ascii="Arial" w:cs="Arial" w:eastAsia="Arial" w:hAnsi="Arial"/>
          <w:sz w:val="18"/>
          <w:szCs w:val="18"/>
          <w:i w:val="1"/>
          <w:iCs w:val="1"/>
          <w:color w:val="auto"/>
        </w:rPr>
        <w:t>Governing Law; Jurisdiction</w:t>
      </w:r>
      <w:r>
        <w:rPr>
          <w:rFonts w:ascii="Arial" w:cs="Arial" w:eastAsia="Arial" w:hAnsi="Arial"/>
          <w:sz w:val="18"/>
          <w:szCs w:val="18"/>
          <w:color w:val="auto"/>
        </w:rPr>
        <w:t>. (a) This Agreement and all matters, claims or Actions (whether at law, in equity, in Contract, in tort or otherwise) based upon, arising out of or relating to this Agreement, execution or performance of this Agreement, shall be governed by, and construed in accordance with, the internal laws of the State of New York.</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(b)      All Actions arising out of or relating to this Agreement shall be heard and determined in the courts of the State of New York located in the City and County of New York, Borough of Manhattan, or in the United States District Court for the Southern District of New York and the parties hereto hereby irrevocably submit to the exclusive jurisdiction and venue of such courts in any such Action and irrevocably waive the defense of an inconvenient forum or lack of jurisdiction to the maintenance of any such Action.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7"/>
          <w:szCs w:val="17"/>
          <w:b w:val="1"/>
          <w:bCs w:val="1"/>
          <w:color w:val="auto"/>
        </w:rPr>
        <w:t>‎</w:t>
      </w:r>
      <w:r>
        <w:rPr>
          <w:rFonts w:ascii="Arial" w:cs="Arial" w:eastAsia="Arial" w:hAnsi="Arial"/>
          <w:sz w:val="17"/>
          <w:szCs w:val="17"/>
          <w:color w:val="auto"/>
        </w:rPr>
        <w:t xml:space="preserve">Section 8.09.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in the foregoing shall restrict any party’s rights to seek any post-judgment relief regarding, or any appeal from, a final trial court judgment.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5" w:name="page56"/>
    <w:bookmarkEnd w:id="55"/>
    <w:p>
      <w:pPr>
        <w:jc w:val="both"/>
        <w:ind w:right="160" w:firstLine="648"/>
        <w:spacing w:after="0" w:line="287" w:lineRule="auto"/>
        <w:rPr>
          <w:sz w:val="20"/>
          <w:szCs w:val="20"/>
          <w:color w:val="auto"/>
        </w:rPr>
      </w:pPr>
      <w:r>
        <w:rPr>
          <w:rFonts w:ascii="Arial" w:cs="Arial" w:eastAsia="Arial" w:hAnsi="Arial"/>
          <w:sz w:val="16"/>
          <w:szCs w:val="16"/>
          <w:color w:val="auto"/>
        </w:rPr>
        <w:t>Section 8.07.     </w:t>
      </w:r>
      <w:r>
        <w:rPr>
          <w:rFonts w:ascii="Arial" w:cs="Arial" w:eastAsia="Arial" w:hAnsi="Arial"/>
          <w:sz w:val="16"/>
          <w:szCs w:val="16"/>
          <w:i w:val="1"/>
          <w:iCs w:val="1"/>
          <w:color w:val="auto"/>
        </w:rPr>
        <w:t>Specific Enforcement</w:t>
      </w:r>
      <w:r>
        <w:rPr>
          <w:rFonts w:ascii="Arial" w:cs="Arial" w:eastAsia="Arial" w:hAnsi="Arial"/>
          <w:sz w:val="16"/>
          <w:szCs w:val="16"/>
          <w:color w:val="auto"/>
        </w:rPr>
        <w:t>. The parties hereto agree that irreparable damage for which monetary relief, even if available, might not be an adequate remedy, might occur in the event that any provision of this Agreement is not performed in accordance with its specific terms or is otherwise breached, including if the parties hereto fail to take any action required of them hereunder to cause the Closing to occur, and that time is of the essence.</w:t>
      </w:r>
    </w:p>
    <w:p>
      <w:pPr>
        <w:spacing w:after="0" w:line="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Subject to the determination of a court of competent jurisdiction, the parties acknowledge and agree that (a) the parties shall be entitled to an injunction or injunctions, specific performance or other equitable relief to prevent breaches of this Agreement and to enforce specifically the terms and provisions hereof (including, for the avoidance of doubt, the right of the Company to cause any Placement to be consummated on the terms and subject to the conditions set</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forth in this Agreement) in the courts described in Section</w:t>
      </w:r>
      <w:r>
        <w:rPr>
          <w:rFonts w:ascii="Arial" w:cs="Arial" w:eastAsia="Arial" w:hAnsi="Arial"/>
          <w:sz w:val="17"/>
          <w:szCs w:val="17"/>
          <w:b w:val="1"/>
          <w:bCs w:val="1"/>
          <w:color w:val="auto"/>
        </w:rPr>
        <w:t>‎</w:t>
      </w:r>
      <w:r>
        <w:rPr>
          <w:rFonts w:ascii="Arial" w:cs="Arial" w:eastAsia="Arial" w:hAnsi="Arial"/>
          <w:sz w:val="17"/>
          <w:szCs w:val="17"/>
          <w:color w:val="auto"/>
        </w:rPr>
        <w:t xml:space="preserve"> 8.06, this being in addition to any other remedy to which they are entitled under this Agreement and (b) the right of specific enforcement is an integral part of this Agreement and without that right, neither the Company nor the Investor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7"/>
          <w:szCs w:val="17"/>
          <w:b w:val="1"/>
          <w:bCs w:val="1"/>
          <w:color w:val="auto"/>
        </w:rPr>
        <w:t>‎</w:t>
      </w:r>
      <w:r>
        <w:rPr>
          <w:rFonts w:ascii="Arial" w:cs="Arial" w:eastAsia="Arial" w:hAnsi="Arial"/>
          <w:sz w:val="17"/>
          <w:szCs w:val="17"/>
          <w:color w:val="auto"/>
        </w:rPr>
        <w:t>Section 8.07 shall not be required to provide any bond or other security in connection with any such order or injunction.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8.08.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PARTY ACKNOWLEDGES AND AGREES THAT ANY CONTROVERSY WHICH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MAY ARISE UNDER THIS AGREEMENT IS LIKELY TO INVOLVE COMPLICATED AND DIFFICULT ISSUES, AND THEREFORE IT HEREBY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IRREVOCABLY AND UNCONDITIONALLY WAIVES, TO THE FULLEST EXTENT PERMITTED BY APPLICABLE LAW, ANY RIGHT 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MAY HAVE TO A TRIAL BY JURY IN RESPECT OF ANY LITIGATION DIRECTLY OR INDIRECTLY ARISING OUT OF OR RELATING TO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EACH PARTY CERTIFIES AND ACKNOWLEDGES THAT (a) NO REPRESENTATIVE, AGENT OR ATTORNEY OF ANY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PARTY HAS REPRESENTED, EXPRESSLY OR OTHERWISE, THAT SUCH OTHER PARTY WOULD NOT, IN THE EVENT OF LITIGATION,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SEEK TO ENFORCE THE FOREGOING WAIVER, (b) IT UNDERSTANDS AND HAS CONSIDERED THE IMPLICATIONS OF SUCH WAIVER,</w:t>
      </w:r>
    </w:p>
    <w:p>
      <w:pPr>
        <w:spacing w:after="0" w:line="21"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MAKES SUCH WAIVER VOLUNTARILY AND (d) IT HAS BEEN INDUCED TO ENTER INTO THIS AGREEMENT BY, AMONG OTHER</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THINGS, THE MUTUAL WAIVER AND CERTIFICATIONS IN THIS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8.08.</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6" w:name="page57"/>
    <w:bookmarkEnd w:id="56"/>
    <w:p>
      <w:pPr>
        <w:ind w:right="80" w:firstLine="648"/>
        <w:spacing w:after="0" w:line="308" w:lineRule="auto"/>
        <w:rPr>
          <w:sz w:val="20"/>
          <w:szCs w:val="20"/>
          <w:color w:val="auto"/>
        </w:rPr>
      </w:pPr>
      <w:r>
        <w:rPr>
          <w:rFonts w:ascii="Arial" w:cs="Arial" w:eastAsia="Arial" w:hAnsi="Arial"/>
          <w:sz w:val="17"/>
          <w:szCs w:val="17"/>
          <w:color w:val="auto"/>
        </w:rPr>
        <w:t>Section 8.09.     </w:t>
      </w:r>
      <w:r>
        <w:rPr>
          <w:rFonts w:ascii="Arial" w:cs="Arial" w:eastAsia="Arial" w:hAnsi="Arial"/>
          <w:sz w:val="17"/>
          <w:szCs w:val="17"/>
          <w:i w:val="1"/>
          <w:iCs w:val="1"/>
          <w:color w:val="auto"/>
        </w:rPr>
        <w:t>Notices</w:t>
      </w:r>
      <w:r>
        <w:rPr>
          <w:rFonts w:ascii="Arial" w:cs="Arial" w:eastAsia="Arial" w:hAnsi="Arial"/>
          <w:sz w:val="17"/>
          <w:szCs w:val="17"/>
          <w:color w:val="auto"/>
        </w:rPr>
        <w:t>. All notices, requests and other communications to any party hereunder shall be in writing and shall be deemed given if delivered personally, emailed, or sent by overnight courier (providing proof of delivery) to the parties at the following addresses: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If to the Company, to it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Lucid Group,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7373 Gateway Boulevard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Newark, CA 94560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Legal@lucidmotors.com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1600 El Camino Real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Emily Roberts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emily.roberts@davispolk.com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Investor, to it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 Turki bin Abdul Aziz Al-Awal Road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6847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Riyadh 11452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Kingdom of Saudi Arabia</w:t>
      </w:r>
    </w:p>
    <w:p>
      <w:pPr>
        <w:spacing w:after="0" w:line="9"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Turqi Alnowaiser</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Yasir Alsalman</w:t>
      </w:r>
    </w:p>
    <w:p>
      <w:pPr>
        <w:spacing w:after="0" w:line="9"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talnowaiser@pif.gov.sa</w:t>
      </w:r>
    </w:p>
    <w:p>
      <w:pPr>
        <w:spacing w:after="0" w:line="9" w:lineRule="exact"/>
        <w:rPr>
          <w:sz w:val="20"/>
          <w:szCs w:val="20"/>
          <w:color w:val="auto"/>
        </w:rPr>
      </w:pPr>
    </w:p>
    <w:p>
      <w:pPr>
        <w:ind w:left="2220" w:hanging="916"/>
        <w:spacing w:after="0"/>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yalsalman@pif.gov.sa</w:t>
      </w:r>
    </w:p>
    <w:p>
      <w:pPr>
        <w:spacing w:after="0" w:line="9"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lightning.investment@pif.gov.sa</w:t>
      </w:r>
    </w:p>
    <w:p>
      <w:pPr>
        <w:spacing w:after="0" w:line="9"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lightning.legal@pif.gov.sa</w:t>
      </w:r>
    </w:p>
    <w:p>
      <w:pPr>
        <w:spacing w:after="0" w:line="9"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Intl.operations@pif.gov.sa</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Richard Birns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Stewart McDowell</w:t>
      </w:r>
    </w:p>
    <w:p>
      <w:pPr>
        <w:spacing w:after="0" w:line="9"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rbirns@gibsondunn.com</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smcdowell@gibsondunn.com</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or to such other address or email address as such party may hereafter specify in writing to the other party hereto. All such notices, requests and other communications shall be deemed received (1) on the date of actual receipt by the recipient thereof if received prior to 5:00 p.m. local time in the place of receipt and such day is a business day in the place of receipt, or (2) on the next succeeding business day in the place of receipt.</w:t>
      </w:r>
    </w:p>
    <w:p>
      <w:pPr>
        <w:spacing w:after="0" w:line="3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908" w:right="559" w:bottom="1440" w:gutter="0" w:footer="0" w:header="0"/>
        </w:sectPr>
      </w:pPr>
    </w:p>
    <w:bookmarkStart w:id="57" w:name="page58"/>
    <w:bookmarkEnd w:id="57"/>
    <w:p>
      <w:pPr>
        <w:ind w:right="160" w:firstLine="648"/>
        <w:spacing w:after="0" w:line="257" w:lineRule="auto"/>
        <w:rPr>
          <w:sz w:val="20"/>
          <w:szCs w:val="20"/>
          <w:color w:val="auto"/>
        </w:rPr>
      </w:pPr>
      <w:r>
        <w:rPr>
          <w:rFonts w:ascii="Arial" w:cs="Arial" w:eastAsia="Arial" w:hAnsi="Arial"/>
          <w:sz w:val="18"/>
          <w:szCs w:val="18"/>
          <w:color w:val="auto"/>
        </w:rPr>
        <w:t>Section 8.10.     </w:t>
      </w:r>
      <w:r>
        <w:rPr>
          <w:rFonts w:ascii="Arial" w:cs="Arial" w:eastAsia="Arial" w:hAnsi="Arial"/>
          <w:sz w:val="18"/>
          <w:szCs w:val="18"/>
          <w:i w:val="1"/>
          <w:iCs w:val="1"/>
          <w:color w:val="auto"/>
        </w:rPr>
        <w:t>Severability</w:t>
      </w:r>
      <w:r>
        <w:rPr>
          <w:rFonts w:ascii="Arial" w:cs="Arial" w:eastAsia="Arial" w:hAnsi="Arial"/>
          <w:sz w:val="18"/>
          <w:szCs w:val="18"/>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Section 8.11.     </w:t>
      </w:r>
      <w:r>
        <w:rPr>
          <w:rFonts w:ascii="Arial" w:cs="Arial" w:eastAsia="Arial" w:hAnsi="Arial"/>
          <w:sz w:val="18"/>
          <w:szCs w:val="18"/>
          <w:i w:val="1"/>
          <w:iCs w:val="1"/>
          <w:color w:val="auto"/>
        </w:rPr>
        <w:t>Expenses</w:t>
      </w:r>
      <w:r>
        <w:rPr>
          <w:rFonts w:ascii="Arial" w:cs="Arial" w:eastAsia="Arial" w:hAnsi="Arial"/>
          <w:sz w:val="18"/>
          <w:szCs w:val="18"/>
          <w:color w:val="auto"/>
        </w:rPr>
        <w:t>. Except as otherwise expressly provided herein, all costs and expenses, including fees and disbursements of counsel, financial advisors and accountants, incurred in connection with this Agreement shall be paid by the party incurring such costs and expenses, whether or not the Closing shall have occurred.</w:t>
      </w:r>
    </w:p>
    <w:p>
      <w:pPr>
        <w:spacing w:after="0" w:line="18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Section 8.12.     </w:t>
      </w:r>
      <w:r>
        <w:rPr>
          <w:rFonts w:ascii="Arial" w:cs="Arial" w:eastAsia="Arial" w:hAnsi="Arial"/>
          <w:sz w:val="17"/>
          <w:szCs w:val="17"/>
          <w:i w:val="1"/>
          <w:iCs w:val="1"/>
          <w:color w:val="auto"/>
        </w:rPr>
        <w:t>Interpretation</w:t>
      </w:r>
      <w:r>
        <w:rPr>
          <w:rFonts w:ascii="Arial" w:cs="Arial" w:eastAsia="Arial" w:hAnsi="Arial"/>
          <w:sz w:val="17"/>
          <w:szCs w:val="17"/>
          <w:color w:val="auto"/>
        </w:rPr>
        <w:t>. (a) When a reference is made in this Agreement to an Article, a Section, Exhibit or Schedule, such reference shall be to an Article of, a Section of, or an Exhibit or Schedule to, this Agreement unless otherwise indicated.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w:t>
      </w:r>
    </w:p>
    <w:p>
      <w:pPr>
        <w:spacing w:after="0" w:line="178"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(b)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IN WITNESS WHEREOF, the parties hereto have caused this Agreement to be duly executed and delivered as of the date first above written.</w:t>
      </w: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14605</wp:posOffset>
            </wp:positionV>
            <wp:extent cx="32918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Subscription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60"/>
          </w:cols>
          <w:pgMar w:left="980" w:top="908" w:right="759" w:bottom="1440" w:gutter="0" w:footer="0" w:header="0"/>
        </w:sectPr>
      </w:pPr>
    </w:p>
    <w:bookmarkStart w:id="59" w:name="page60"/>
    <w:bookmarkEnd w:id="59"/>
    <w:p>
      <w:pPr>
        <w:ind w:left="660"/>
        <w:spacing w:after="0"/>
        <w:rPr>
          <w:sz w:val="20"/>
          <w:szCs w:val="20"/>
          <w:color w:val="auto"/>
        </w:rPr>
      </w:pPr>
      <w:r>
        <w:rPr>
          <w:rFonts w:ascii="Arial" w:cs="Arial" w:eastAsia="Arial" w:hAnsi="Arial"/>
          <w:sz w:val="16"/>
          <w:szCs w:val="16"/>
          <w:color w:val="auto"/>
        </w:rPr>
        <w:t>IN WITNESS WHEREOF, the parties hereto have caused this Agreement to be duly executed and delivered as of the date set forth on Schedule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AYAR THIRD INVESTMENT COMPANY</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Turqi A. 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Turqi A. Alnowaiser</w:t>
      </w:r>
    </w:p>
    <w:p>
      <w:pPr>
        <w:spacing w:after="0" w:line="23"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18"/>
          <w:szCs w:val="18"/>
          <w:color w:val="auto"/>
        </w:rPr>
        <w:t>Title:</w:t>
        <w:tab/>
        <w:t>Authorized Manager</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Subscription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AMENDMENT NO. 2 TO INVESTOR RIGHTS AGREEMENT</w:t>
      </w:r>
    </w:p>
    <w:p>
      <w:pPr>
        <w:spacing w:after="0" w:line="22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This Amendment No. 2 (this “</w:t>
      </w:r>
      <w:r>
        <w:rPr>
          <w:rFonts w:ascii="Arial" w:cs="Arial" w:eastAsia="Arial" w:hAnsi="Arial"/>
          <w:sz w:val="18"/>
          <w:szCs w:val="18"/>
          <w:b w:val="1"/>
          <w:bCs w:val="1"/>
          <w:color w:val="auto"/>
        </w:rPr>
        <w:t>Amendment</w:t>
      </w:r>
      <w:r>
        <w:rPr>
          <w:rFonts w:ascii="Arial" w:cs="Arial" w:eastAsia="Arial" w:hAnsi="Arial"/>
          <w:sz w:val="18"/>
          <w:szCs w:val="18"/>
          <w:color w:val="auto"/>
        </w:rPr>
        <w:t>”), effective as of the date of the Subscription Agreement (as defined below), is made to that certain Investor Rights Agreement, dated as of February 22, 2021, as amended from time to time, (the “</w:t>
      </w:r>
      <w:r>
        <w:rPr>
          <w:rFonts w:ascii="Arial" w:cs="Arial" w:eastAsia="Arial" w:hAnsi="Arial"/>
          <w:sz w:val="18"/>
          <w:szCs w:val="18"/>
          <w:b w:val="1"/>
          <w:bCs w:val="1"/>
          <w:color w:val="auto"/>
        </w:rPr>
        <w:t>Agreement</w:t>
      </w:r>
      <w:r>
        <w:rPr>
          <w:rFonts w:ascii="Arial" w:cs="Arial" w:eastAsia="Arial" w:hAnsi="Arial"/>
          <w:sz w:val="18"/>
          <w:szCs w:val="18"/>
          <w:color w:val="auto"/>
        </w:rPr>
        <w:t>”), by and among (i) Churchill Capital Corp IV, a Delaware corporation (“</w:t>
      </w:r>
      <w:r>
        <w:rPr>
          <w:rFonts w:ascii="Arial" w:cs="Arial" w:eastAsia="Arial" w:hAnsi="Arial"/>
          <w:sz w:val="18"/>
          <w:szCs w:val="18"/>
          <w:b w:val="1"/>
          <w:bCs w:val="1"/>
          <w:color w:val="auto"/>
        </w:rPr>
        <w:t>PubCo</w:t>
      </w:r>
      <w:r>
        <w:rPr>
          <w:rFonts w:ascii="Arial" w:cs="Arial" w:eastAsia="Arial" w:hAnsi="Arial"/>
          <w:sz w:val="18"/>
          <w:szCs w:val="18"/>
          <w:color w:val="auto"/>
        </w:rPr>
        <w:t>”); (ii) Ayar Third Investment Company, a single shareholder limited liability company organized under the laws of the Kingdom of Saudi Arabia (“</w:t>
      </w:r>
      <w:r>
        <w:rPr>
          <w:rFonts w:ascii="Arial" w:cs="Arial" w:eastAsia="Arial" w:hAnsi="Arial"/>
          <w:sz w:val="18"/>
          <w:szCs w:val="18"/>
          <w:b w:val="1"/>
          <w:bCs w:val="1"/>
          <w:color w:val="auto"/>
        </w:rPr>
        <w:t>Ayar</w:t>
      </w:r>
      <w:r>
        <w:rPr>
          <w:rFonts w:ascii="Arial" w:cs="Arial" w:eastAsia="Arial" w:hAnsi="Arial"/>
          <w:sz w:val="18"/>
          <w:szCs w:val="18"/>
          <w:color w:val="auto"/>
        </w:rPr>
        <w:t>”); (iii) each of the Persons identified on the signature pages to the Agreement or on the signature pages to a joinder to the Agreement; and (iv) Churchill Sponsor IV LLC, a Delaware limited liability company. Unless otherwise defined herein, capitalized terms used herein shall have the meanings given to such terms in the Agreement.</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in connection with the Business Combination, PubCo changed its name to “Lucid Group, Inc.”</w:t>
      </w:r>
    </w:p>
    <w:p>
      <w:pPr>
        <w:spacing w:after="0" w:line="221" w:lineRule="exact"/>
        <w:rPr>
          <w:sz w:val="20"/>
          <w:szCs w:val="20"/>
          <w:color w:val="auto"/>
        </w:rPr>
      </w:pPr>
    </w:p>
    <w:p>
      <w:pPr>
        <w:jc w:val="both"/>
        <w:ind w:right="360" w:firstLine="324"/>
        <w:spacing w:after="0" w:line="266" w:lineRule="auto"/>
        <w:rPr>
          <w:sz w:val="20"/>
          <w:szCs w:val="20"/>
          <w:color w:val="auto"/>
        </w:rPr>
      </w:pPr>
      <w:r>
        <w:rPr>
          <w:rFonts w:ascii="Arial" w:cs="Arial" w:eastAsia="Arial" w:hAnsi="Arial"/>
          <w:sz w:val="18"/>
          <w:szCs w:val="18"/>
          <w:color w:val="auto"/>
        </w:rPr>
        <w:t>WHEREAS, as of the date hereof, PubCo entered into that certain Subscription Agreement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with Ayar, and it is a condition to the issuance and sale of the shares of Common Stock by PubCo to Ayar pursuant to the Subscription Agreement (such shares,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Placement Shares</w:t>
      </w:r>
      <w:r>
        <w:rPr>
          <w:rFonts w:ascii="Arial" w:cs="Arial" w:eastAsia="Arial" w:hAnsi="Arial"/>
          <w:sz w:val="18"/>
          <w:szCs w:val="18"/>
          <w:color w:val="auto"/>
        </w:rPr>
        <w:t>”) that the Agreement be amended as set forth in this Amendment;</w:t>
      </w:r>
    </w:p>
    <w:p>
      <w:pPr>
        <w:spacing w:after="0" w:line="18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WHEREAS, pursuant to Section 5.4(b) of the Agreement, the Agreement may be amended in whole or in part at any time with the express written consent of PubCo and the Holders holding in the aggregate more than fifty percent (50%) of the Registrable Securities Beneficially Owned by the Holders at such time.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Ayar holds more than fifty percent (50%) of the Registrable Securities Beneficially Owned by the Holders as of the date hereof.</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Ayar and PubCo amend the Agreement as set forth in this Amendment.</w:t>
      </w:r>
    </w:p>
    <w:p>
      <w:pPr>
        <w:spacing w:after="0" w:line="225"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and sufficiency of which are hereby acknowledged, all of the parties hereto mutually agree, with effect as of the date hereof, to amend the Agreement as follows:</w:t>
      </w:r>
    </w:p>
    <w:p>
      <w:pPr>
        <w:spacing w:after="0" w:line="146"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definition of “Registrable Securities” in Section 1.1 of the Agreement is amended to read:</w:t>
      </w:r>
    </w:p>
    <w:p>
      <w:pPr>
        <w:spacing w:after="0" w:line="2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(a) any shares of Common Stock, (b) any Warrants or any shares of Common Stock issued or issuable upon the exercise thereof,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and (d) with respect to Ayar only, the Placement Shares and the Second Placement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(although it shall include the shares of Common Stock issued or issuable upon the exercise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section 3.16 is added at the end of Article III, which reads: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3.16. Shelf Registration of Second Placement Shares</w:t>
      </w:r>
      <w:r>
        <w:rPr>
          <w:rFonts w:ascii="Arial" w:cs="Arial" w:eastAsia="Arial" w:hAnsi="Arial"/>
          <w:sz w:val="18"/>
          <w:szCs w:val="18"/>
          <w:color w:val="auto"/>
        </w:rPr>
        <w:t>.</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Section 3.1 Not Applicable</w:t>
      </w:r>
      <w:r>
        <w:rPr>
          <w:rFonts w:ascii="Arial" w:cs="Arial" w:eastAsia="Arial" w:hAnsi="Arial"/>
          <w:sz w:val="18"/>
          <w:szCs w:val="18"/>
          <w:color w:val="auto"/>
        </w:rPr>
        <w:t>. Section 3.1(a) of the Investor Rights Agreement shall not apply to the Second Placement Shares. Prior to the Second Shelf Registration Deadline (as defined below), Sections 3.1(b) through 3.1(d) and 3.2 through 3.15 of the Investor Rights Agreement shall not apply to the Second Placement Shares.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      </w:t>
      </w:r>
      <w:r>
        <w:rPr>
          <w:rFonts w:ascii="Arial" w:cs="Arial" w:eastAsia="Arial" w:hAnsi="Arial"/>
          <w:sz w:val="17"/>
          <w:szCs w:val="17"/>
          <w:i w:val="1"/>
          <w:iCs w:val="1"/>
          <w:color w:val="auto"/>
        </w:rPr>
        <w:t>Filing</w:t>
      </w:r>
      <w:r>
        <w:rPr>
          <w:rFonts w:ascii="Arial" w:cs="Arial" w:eastAsia="Arial" w:hAnsi="Arial"/>
          <w:sz w:val="17"/>
          <w:szCs w:val="17"/>
          <w:color w:val="auto"/>
        </w:rPr>
        <w:t>. PubCo shall use its commercially reasonable efforts to file and cause to become effective under the Securities Act within six</w:t>
      </w:r>
    </w:p>
    <w:p>
      <w:pPr>
        <w:spacing w:after="0" w:line="35" w:lineRule="exact"/>
        <w:rPr>
          <w:sz w:val="20"/>
          <w:szCs w:val="20"/>
          <w:color w:val="auto"/>
        </w:rPr>
      </w:pPr>
    </w:p>
    <w:p>
      <w:pPr>
        <w:ind w:firstLine="8"/>
        <w:spacing w:after="0" w:line="281"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months from the Closing Date (the “</w:t>
      </w:r>
      <w:r>
        <w:rPr>
          <w:rFonts w:ascii="Arial" w:cs="Arial" w:eastAsia="Arial" w:hAnsi="Arial"/>
          <w:sz w:val="16"/>
          <w:szCs w:val="16"/>
          <w:b w:val="1"/>
          <w:bCs w:val="1"/>
          <w:color w:val="auto"/>
        </w:rPr>
        <w:t>Second Shelf Registration Deadline</w:t>
      </w:r>
      <w:r>
        <w:rPr>
          <w:rFonts w:ascii="Arial" w:cs="Arial" w:eastAsia="Arial" w:hAnsi="Arial"/>
          <w:sz w:val="16"/>
          <w:szCs w:val="16"/>
          <w:color w:val="auto"/>
        </w:rPr>
        <w:t>”) a Shelf Registration Statement, or, if permitted, an amendment or a prospectus supplement to a Shelf Registration Statement then already filed, covering the resale on a delayed or continuous basis of all Second Placement Shares.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PubCo shall also use its commercially reasonable efforts to file any replacement or additional Shelf Registration Statement and use commercially reasonable efforts to cause such replacement or additional</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Shelf Registration Statement to become effective prior to the expiration of the initial Shelf Registration Statement filed pursuant to this Section</w:t>
      </w:r>
      <w:r>
        <w:rPr>
          <w:rFonts w:ascii="Arial" w:cs="Arial" w:eastAsia="Arial" w:hAnsi="Arial"/>
          <w:sz w:val="17"/>
          <w:szCs w:val="17"/>
          <w:b w:val="1"/>
          <w:bCs w:val="1"/>
          <w:color w:val="auto"/>
        </w:rPr>
        <w:t>‎</w:t>
      </w:r>
      <w:r>
        <w:rPr>
          <w:rFonts w:ascii="Arial" w:cs="Arial" w:eastAsia="Arial" w:hAnsi="Arial"/>
          <w:sz w:val="17"/>
          <w:szCs w:val="17"/>
          <w:color w:val="auto"/>
        </w:rPr>
        <w:t xml:space="preserve"> 3.16.</w:t>
      </w:r>
    </w:p>
    <w:p>
      <w:pPr>
        <w:spacing w:after="0" w:line="222"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 xml:space="preserve">Sections 5.1, 5.3, 5.4, 5.5, 5.6, 5.7, 5.13 and 5.14 of the Agreement are hereby incorporated into this Amendment, </w:t>
      </w:r>
      <w:r>
        <w:rPr>
          <w:rFonts w:ascii="Arial" w:cs="Arial" w:eastAsia="Arial" w:hAnsi="Arial"/>
          <w:sz w:val="16"/>
          <w:szCs w:val="16"/>
          <w:i w:val="1"/>
          <w:iCs w:val="1"/>
          <w:color w:val="auto"/>
        </w:rPr>
        <w:t>mutatis mutandis</w:t>
      </w:r>
      <w:r>
        <w:rPr>
          <w:rFonts w:ascii="Arial" w:cs="Arial" w:eastAsia="Arial" w:hAnsi="Arial"/>
          <w:sz w:val="16"/>
          <w:szCs w:val="16"/>
          <w:color w:val="auto"/>
        </w:rPr>
        <w:t>. Except as modified and amended herein, all other terms and provisions of the Agreement will not be amended and will remain in full force and effect.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IN WITNESS WHEREOF, the parties hereto have caused this Amendment to be duly executed and delivered as of the date first above written.</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LUCID GROUP, INC.</w:t>
      </w:r>
    </w:p>
    <w:p>
      <w:pPr>
        <w:spacing w:after="0" w:line="2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6350</wp:posOffset>
            </wp:positionV>
            <wp:extent cx="33521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280035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660" w:top="908" w:right="97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IN WITNESS WHEREOF, the parties hereto have caused this Amendment to be duly executed and delivered as of the date first above written.</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AYAR THIRD INVESTMENT COMPANY</w:t>
      </w:r>
    </w:p>
    <w:p>
      <w:pPr>
        <w:spacing w:after="0" w:line="2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6350</wp:posOffset>
            </wp:positionV>
            <wp:extent cx="33521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280035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660" w:top="908" w:right="9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SCHEDULE 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of Agreement: May 31,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Placement Shares: 265,693,703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 $6.83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INVESTOR RIGHTS AGREEMENT</w:t>
      </w:r>
    </w:p>
    <w:p>
      <w:pPr>
        <w:spacing w:after="0" w:line="22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This Amendment No. 2 (this “</w:t>
      </w:r>
      <w:r>
        <w:rPr>
          <w:rFonts w:ascii="Arial" w:cs="Arial" w:eastAsia="Arial" w:hAnsi="Arial"/>
          <w:sz w:val="18"/>
          <w:szCs w:val="18"/>
          <w:b w:val="1"/>
          <w:bCs w:val="1"/>
          <w:color w:val="auto"/>
        </w:rPr>
        <w:t>Amendment</w:t>
      </w:r>
      <w:r>
        <w:rPr>
          <w:rFonts w:ascii="Arial" w:cs="Arial" w:eastAsia="Arial" w:hAnsi="Arial"/>
          <w:sz w:val="18"/>
          <w:szCs w:val="18"/>
          <w:color w:val="auto"/>
        </w:rPr>
        <w:t>”), effective as of the date of the Subscription Agreement (as defined below), is made to that certain Investor Rights Agreement, dated as of February 22, 2021, as amended from time to time, (the “</w:t>
      </w:r>
      <w:r>
        <w:rPr>
          <w:rFonts w:ascii="Arial" w:cs="Arial" w:eastAsia="Arial" w:hAnsi="Arial"/>
          <w:sz w:val="18"/>
          <w:szCs w:val="18"/>
          <w:b w:val="1"/>
          <w:bCs w:val="1"/>
          <w:color w:val="auto"/>
        </w:rPr>
        <w:t>Agreement</w:t>
      </w:r>
      <w:r>
        <w:rPr>
          <w:rFonts w:ascii="Arial" w:cs="Arial" w:eastAsia="Arial" w:hAnsi="Arial"/>
          <w:sz w:val="18"/>
          <w:szCs w:val="18"/>
          <w:color w:val="auto"/>
        </w:rPr>
        <w:t>”), by and among (i) Churchill Capital Corp IV, a Delaware corporation (“</w:t>
      </w:r>
      <w:r>
        <w:rPr>
          <w:rFonts w:ascii="Arial" w:cs="Arial" w:eastAsia="Arial" w:hAnsi="Arial"/>
          <w:sz w:val="18"/>
          <w:szCs w:val="18"/>
          <w:b w:val="1"/>
          <w:bCs w:val="1"/>
          <w:color w:val="auto"/>
        </w:rPr>
        <w:t>PubCo</w:t>
      </w:r>
      <w:r>
        <w:rPr>
          <w:rFonts w:ascii="Arial" w:cs="Arial" w:eastAsia="Arial" w:hAnsi="Arial"/>
          <w:sz w:val="18"/>
          <w:szCs w:val="18"/>
          <w:color w:val="auto"/>
        </w:rPr>
        <w:t>”); (ii) Ayar Third Investment Company, a single shareholder limited liability company organized under the laws of the Kingdom of Saudi Arabia (“</w:t>
      </w:r>
      <w:r>
        <w:rPr>
          <w:rFonts w:ascii="Arial" w:cs="Arial" w:eastAsia="Arial" w:hAnsi="Arial"/>
          <w:sz w:val="18"/>
          <w:szCs w:val="18"/>
          <w:b w:val="1"/>
          <w:bCs w:val="1"/>
          <w:color w:val="auto"/>
        </w:rPr>
        <w:t>Ayar</w:t>
      </w:r>
      <w:r>
        <w:rPr>
          <w:rFonts w:ascii="Arial" w:cs="Arial" w:eastAsia="Arial" w:hAnsi="Arial"/>
          <w:sz w:val="18"/>
          <w:szCs w:val="18"/>
          <w:color w:val="auto"/>
        </w:rPr>
        <w:t>”); (iii) each of the Persons identified on the signature pages to the Agreement or on the signature pages to a joinder to the Agreement; and (iv) Churchill Sponsor IV LLC, a Delaware limited liability company. Unless otherwise defined herein, capitalized terms used herein shall have the meanings given to such terms in the Agreement.</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in connection with the Business Combination, PubCo changed its name to “Lucid Group, Inc.”</w:t>
      </w:r>
    </w:p>
    <w:p>
      <w:pPr>
        <w:spacing w:after="0" w:line="221" w:lineRule="exact"/>
        <w:rPr>
          <w:sz w:val="20"/>
          <w:szCs w:val="20"/>
          <w:color w:val="auto"/>
        </w:rPr>
      </w:pPr>
    </w:p>
    <w:p>
      <w:pPr>
        <w:jc w:val="both"/>
        <w:ind w:right="360" w:firstLine="324"/>
        <w:spacing w:after="0" w:line="266" w:lineRule="auto"/>
        <w:rPr>
          <w:sz w:val="20"/>
          <w:szCs w:val="20"/>
          <w:color w:val="auto"/>
        </w:rPr>
      </w:pPr>
      <w:r>
        <w:rPr>
          <w:rFonts w:ascii="Arial" w:cs="Arial" w:eastAsia="Arial" w:hAnsi="Arial"/>
          <w:sz w:val="18"/>
          <w:szCs w:val="18"/>
          <w:color w:val="auto"/>
        </w:rPr>
        <w:t>WHEREAS, as of the date hereof, PubCo entered into that certain Subscription Agreement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with Ayar, and it is a condition to the issuance and sale of the shares of Common Stock by PubCo to Ayar pursuant to the Subscription Agreement (such shares,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Placement Shares</w:t>
      </w:r>
      <w:r>
        <w:rPr>
          <w:rFonts w:ascii="Arial" w:cs="Arial" w:eastAsia="Arial" w:hAnsi="Arial"/>
          <w:sz w:val="18"/>
          <w:szCs w:val="18"/>
          <w:color w:val="auto"/>
        </w:rPr>
        <w:t>”) that the Agreement be amended as set forth in this Amendment;</w:t>
      </w:r>
    </w:p>
    <w:p>
      <w:pPr>
        <w:spacing w:after="0" w:line="18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WHEREAS, pursuant to Section 5.4(b) of the Agreement, the Agreement may be amended in whole or in part at any time with the express written consent of PubCo and the Holders holding in the aggregate more than fifty percent (50%) of the Registrable Securities Beneficially Owned by the Holders at such time.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Ayar holds more than fifty percent (50%) of the Registrable Securities Beneficially Owned by the Holders as of the date hereof.</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Ayar and PubCo amend the Agreement as set forth in this Amendment.</w:t>
      </w:r>
    </w:p>
    <w:p>
      <w:pPr>
        <w:spacing w:after="0" w:line="225"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and sufficiency of which are hereby acknowledged, all of the parties hereto mutually agree, with effect as of the date hereof, to amend the Agreement as follows:</w:t>
      </w:r>
    </w:p>
    <w:p>
      <w:pPr>
        <w:spacing w:after="0" w:line="146"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definition of “Registrable Securities” in Section 1.1 of the Agreement is amended to read:</w:t>
      </w:r>
    </w:p>
    <w:p>
      <w:pPr>
        <w:spacing w:after="0" w:line="2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(a) any shares of Common Stock, (b) any Warrants or any shares of Common Stock issued or issuable upon the exercise thereof,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and (d) with respect to Ayar only, the Placement Shares and the Second Placement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(although it shall include the shares of Common Stock issued or issuable upon the exercise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6" w:name="page67"/>
    <w:bookmarkEnd w:id="66"/>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section 3.16 is added at the end of Article III, which reads: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3.16. Shelf Registration of Second Placement Shares</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Section 3.1 Not Applicable</w:t>
      </w:r>
      <w:r>
        <w:rPr>
          <w:rFonts w:ascii="Arial" w:cs="Arial" w:eastAsia="Arial" w:hAnsi="Arial"/>
          <w:sz w:val="18"/>
          <w:szCs w:val="18"/>
          <w:color w:val="auto"/>
        </w:rPr>
        <w:t>. Section 3.1(a) of the Investor Rights Agreement shall not apply to the Second Placement Shares. Prior to the Second Shelf Registration Deadline (as defined below), Sections 3.1(b) through 3.1(d) and 3.2 through 3.15 of the Investor Rights Agreement shall not apply to the Second Placement Shares.</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Filing</w:t>
      </w:r>
      <w:r>
        <w:rPr>
          <w:rFonts w:ascii="Arial" w:cs="Arial" w:eastAsia="Arial" w:hAnsi="Arial"/>
          <w:sz w:val="16"/>
          <w:szCs w:val="16"/>
          <w:color w:val="auto"/>
        </w:rPr>
        <w:t>. PubCo shall use its commercially reasonable efforts to file and cause to become effective under the Securities Act within six (6) months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(the “</w:t>
      </w:r>
      <w:r>
        <w:rPr>
          <w:rFonts w:ascii="Arial" w:cs="Arial" w:eastAsia="Arial" w:hAnsi="Arial"/>
          <w:sz w:val="16"/>
          <w:szCs w:val="16"/>
          <w:b w:val="1"/>
          <w:bCs w:val="1"/>
          <w:color w:val="auto"/>
        </w:rPr>
        <w:t>Second Shelf Registration Deadline</w:t>
      </w:r>
      <w:r>
        <w:rPr>
          <w:rFonts w:ascii="Arial" w:cs="Arial" w:eastAsia="Arial" w:hAnsi="Arial"/>
          <w:sz w:val="16"/>
          <w:szCs w:val="16"/>
          <w:color w:val="auto"/>
        </w:rPr>
        <w:t xml:space="preserve">”) a Shelf Registration Statement, or, if permitted, an amendment or a prospectus supplement to a Shelf Registration Statement then already filed, covering the resale on a delayed or continuous basis of all Second Placement Shares.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PubCo shall also use its commercially reasonable efforts to file any replacement or additional Shelf Registration Statement and use commercially reasonable efforts to cause such replacement or additional Shelf Registration Statement to become effective prior to the expiration of the initial Shelf Registration Statement filed pursuant to this </w:t>
      </w:r>
      <w:r>
        <w:rPr>
          <w:rFonts w:ascii="Arial" w:cs="Arial" w:eastAsia="Arial" w:hAnsi="Arial"/>
          <w:sz w:val="16"/>
          <w:szCs w:val="16"/>
          <w:b w:val="1"/>
          <w:bCs w:val="1"/>
          <w:color w:val="auto"/>
        </w:rPr>
        <w:t>‎</w:t>
      </w:r>
      <w:r>
        <w:rPr>
          <w:rFonts w:ascii="Arial" w:cs="Arial" w:eastAsia="Arial" w:hAnsi="Arial"/>
          <w:sz w:val="16"/>
          <w:szCs w:val="16"/>
          <w:color w:val="auto"/>
        </w:rPr>
        <w:t>Section 3.16.</w:t>
      </w:r>
    </w:p>
    <w:p>
      <w:pPr>
        <w:spacing w:after="0" w:line="166"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 xml:space="preserve">Sections 5.1, 5.3, 5.4, 5.5, 5.6, 5.7, 5.13 and 5.14 of the Agreement are hereby incorporated into this Amendment, </w:t>
      </w:r>
      <w:r>
        <w:rPr>
          <w:rFonts w:ascii="Arial" w:cs="Arial" w:eastAsia="Arial" w:hAnsi="Arial"/>
          <w:sz w:val="16"/>
          <w:szCs w:val="16"/>
          <w:i w:val="1"/>
          <w:iCs w:val="1"/>
          <w:color w:val="auto"/>
        </w:rPr>
        <w:t>mutatis mutandis</w:t>
      </w:r>
      <w:r>
        <w:rPr>
          <w:rFonts w:ascii="Arial" w:cs="Arial" w:eastAsia="Arial" w:hAnsi="Arial"/>
          <w:sz w:val="16"/>
          <w:szCs w:val="16"/>
          <w:color w:val="auto"/>
        </w:rPr>
        <w:t>. Except as modified and amended herein, all other terms and provisions of the Agreement will not be amended and will remain in full force and effect.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IN WITNESS WHEREOF, the parties hereto have caused this Amendment to be duly executed and delivered as of the date first above written.</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14605</wp:posOffset>
            </wp:positionV>
            <wp:extent cx="33521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18"/>
          <w:szCs w:val="18"/>
          <w:color w:val="auto"/>
        </w:rPr>
        <w:t>Name:</w:t>
        <w:tab/>
        <w:t>Sherry House</w:t>
      </w:r>
    </w:p>
    <w:p>
      <w:pPr>
        <w:spacing w:after="0" w:line="9"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IRA Amendment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660" w:top="908" w:right="97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IN WITNESS WHEREOF, the parties hereto have caused this Amendment to be duly executed and delivered as of the date first above written.</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AYAR THIRD INVESTMENT COMPANY</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/s/ Turqi A. 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14605</wp:posOffset>
            </wp:positionV>
            <wp:extent cx="33521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18"/>
          <w:szCs w:val="18"/>
          <w:color w:val="auto"/>
        </w:rPr>
        <w:t>Name:</w:t>
        <w:tab/>
        <w:t>Turqi A. Alnowaiser</w:t>
      </w:r>
    </w:p>
    <w:p>
      <w:pPr>
        <w:spacing w:after="0" w:line="9"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Manager</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[Signature Page to IRA Amendment]</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60"/>
      </w:cols>
      <w:pgMar w:left="660" w:top="908"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4"/>
    </w:lvl>
  </w:abstractNum>
  <w:abstractNum w:abstractNumId="2">
    <w:nsid w:val="DED7263"/>
    <w:multiLevelType w:val="hybridMultilevel"/>
    <w:lvl w:ilvl="0">
      <w:lvlJc w:val="left"/>
      <w:lvlText w:val="%1"/>
      <w:numFmt w:val="decimal"/>
      <w:start w:val="104"/>
    </w:lvl>
  </w:abstractNum>
  <w:abstractNum w:abstractNumId="3">
    <w:nsid w:val="7FDCC233"/>
    <w:multiLevelType w:val="hybridMultilevel"/>
    <w:lvl w:ilvl="0">
      <w:lvlJc w:val="left"/>
      <w:lvlText w:val="(%1)"/>
      <w:numFmt w:val="upperLetter"/>
      <w:start w:val="1"/>
    </w:lvl>
  </w:abstractNum>
  <w:abstractNum w:abstractNumId="4">
    <w:nsid w:val="1BEFD79F"/>
    <w:multiLevelType w:val="hybridMultilevel"/>
    <w:lvl w:ilvl="0">
      <w:lvlJc w:val="left"/>
      <w:lvlText w:val="(%1)"/>
      <w:numFmt w:val="upperLetter"/>
      <w:start w:val="2"/>
    </w:lvl>
  </w:abstractNum>
  <w:abstractNum w:abstractNumId="5">
    <w:nsid w:val="41A7C4C9"/>
    <w:multiLevelType w:val="hybridMultilevel"/>
    <w:lvl w:ilvl="0">
      <w:lvlJc w:val="left"/>
      <w:lvlText w:val="(%1)"/>
      <w:numFmt w:val="upperLetter"/>
      <w:start w:val="2"/>
    </w:lvl>
  </w:abstractNum>
  <w:abstractNum w:abstractNumId="6">
    <w:nsid w:val="6B68079A"/>
    <w:multiLevelType w:val="hybridMultilevel"/>
    <w:lvl w:ilvl="0">
      <w:lvlJc w:val="left"/>
      <w:lvlText w:val="(%1)"/>
      <w:numFmt w:val="upperLetter"/>
      <w:start w:val="2"/>
    </w:lvl>
  </w:abstractNum>
  <w:abstractNum w:abstractNumId="7">
    <w:nsid w:val="4E6AFB66"/>
    <w:multiLevelType w:val="hybridMultilevel"/>
    <w:lvl w:ilvl="0">
      <w:lvlJc w:val="left"/>
      <w:lvlText w:val="(%1)"/>
      <w:numFmt w:val="lowerRoman"/>
      <w:start w:val="4"/>
    </w:lvl>
  </w:abstractNum>
  <w:abstractNum w:abstractNumId="8">
    <w:nsid w:val="25E45D32"/>
    <w:multiLevelType w:val="hybridMultilevel"/>
    <w:lvl w:ilvl="0">
      <w:lvlJc w:val="left"/>
      <w:lvlText w:val="(%1)"/>
      <w:numFmt w:val="lowerRoman"/>
      <w:start w:val="1"/>
    </w:lvl>
  </w:abstractNum>
  <w:abstractNum w:abstractNumId="9">
    <w:nsid w:val="519B500D"/>
    <w:multiLevelType w:val="hybridMultilevel"/>
    <w:lvl w:ilvl="0">
      <w:lvlJc w:val="left"/>
      <w:lvlText w:val="(%1)"/>
      <w:numFmt w:val="lowerRoman"/>
      <w:start w:val="1"/>
    </w:lvl>
  </w:abstractNum>
  <w:abstractNum w:abstractNumId="10">
    <w:nsid w:val="431BD7B7"/>
    <w:multiLevelType w:val="hybridMultilevel"/>
    <w:lvl w:ilvl="0">
      <w:lvlJc w:val="left"/>
      <w:lvlText w:val="(%1)"/>
      <w:numFmt w:val="lowerLetter"/>
      <w:start w:val="5"/>
    </w:lvl>
  </w:abstractNum>
  <w:abstractNum w:abstractNumId="11">
    <w:nsid w:val="3F2DBA31"/>
    <w:multiLevelType w:val="hybridMultilevel"/>
    <w:lvl w:ilvl="0">
      <w:lvlJc w:val="left"/>
      <w:lvlText w:val="    "/>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lvl w:ilvl="1">
      <w:lvlJc w:val="left"/>
      <w:lvlText w:val="(%2)"/>
      <w:numFmt w:val="lowerRoman"/>
      <w:start w:val="1"/>
    </w:lvl>
  </w:abstractNum>
  <w:abstractNum w:abstractNumId="14">
    <w:nsid w:val="62BBD95A"/>
    <w:multiLevelType w:val="hybridMultilevel"/>
    <w:lvl w:ilvl="0">
      <w:lvlJc w:val="left"/>
      <w:lvlText w:val="(%1)"/>
      <w:numFmt w:val="lowerRoman"/>
      <w:start w:val="2"/>
    </w:lvl>
  </w:abstractNum>
  <w:abstractNum w:abstractNumId="15">
    <w:nsid w:val="436C6125"/>
    <w:multiLevelType w:val="hybridMultilevel"/>
    <w:lvl w:ilvl="0">
      <w:lvlJc w:val="left"/>
      <w:lvlText w:val="(%1)"/>
      <w:numFmt w:val="lowerRoman"/>
      <w:start w:val="11"/>
    </w:lvl>
  </w:abstractNum>
  <w:abstractNum w:abstractNumId="16">
    <w:nsid w:val="628C895D"/>
    <w:multiLevelType w:val="hybridMultilevel"/>
    <w:lvl w:ilvl="0">
      <w:lvlJc w:val="left"/>
      <w:lvlText w:val="(%1)"/>
      <w:numFmt w:val="lowerLetter"/>
      <w:start w:val="2"/>
    </w:lvl>
  </w:abstractNum>
  <w:abstractNum w:abstractNumId="17">
    <w:nsid w:val="333AB105"/>
    <w:multiLevelType w:val="hybridMultilevel"/>
    <w:lvl w:ilvl="0">
      <w:lvlJc w:val="left"/>
      <w:lvlText w:val="(%1)"/>
      <w:numFmt w:val="decimal"/>
      <w:start w:val="1"/>
    </w:lvl>
    <w:lvl w:ilvl="1">
      <w:lvlJc w:val="left"/>
      <w:lvlText w:val="(%2)"/>
      <w:numFmt w:val="lowerRoman"/>
      <w:start w:val="1"/>
    </w:lvl>
  </w:abstractNum>
  <w:abstractNum w:abstractNumId="18">
    <w:nsid w:val="721DA317"/>
    <w:multiLevelType w:val="hybridMultilevel"/>
    <w:lvl w:ilvl="0">
      <w:lvlJc w:val="left"/>
      <w:lvlText w:val="(%1)"/>
      <w:numFmt w:val="lowerLetter"/>
      <w:start w:val="3"/>
    </w:lvl>
  </w:abstractNum>
  <w:abstractNum w:abstractNumId="19">
    <w:nsid w:val="2443A858"/>
    <w:multiLevelType w:val="hybridMultilevel"/>
    <w:lvl w:ilvl="0">
      <w:lvlJc w:val="left"/>
      <w:lvlText w:val=" "/>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2"/>
    </w:lvl>
  </w:abstractNum>
  <w:abstractNum w:abstractNumId="22">
    <w:nsid w:val="75A2A8D4"/>
    <w:multiLevelType w:val="hybridMultilevel"/>
    <w:lvl w:ilvl="0">
      <w:lvlJc w:val="left"/>
      <w:lvlText w:val="(%1)"/>
      <w:numFmt w:val="decimal"/>
      <w:start w:val="6"/>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2023-06-05T15:15:01Z</dcterms:created>
  <dcterms:modified xsi:type="dcterms:W3CDTF">2023-06-05T15:15:01Z</dcterms:modified>
</cp:coreProperties>
</file>