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70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4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4"/>
                </w:rPr>
                <w:t>Bach Eric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Lucid Group,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LCID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SVP, Product &amp; Chief Engineer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LUCID GROUP, INC.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7373 GATEWAY BOULEVARD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NEWARK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94560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147,409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2.23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3,235,647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 w:right="40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shares that have been withheld by the Issuer to satisfy tax withholding and remittance obligations in connection with the settlement of performance-based restricted stock units ("PSUs") for which service based vesting requirements have been satisfied and the time-based vesting of restricted stock units ("RSUs"). The acquisition of such PSUs and RSUs has previously been reported on Form 4s filed by the reporting person.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Bruce Wang, as attorney-in-fact for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313815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Eric Bach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339725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72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06/09/2025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40"/>
            <w:col w:w="2200"/>
          </w:cols>
          <w:pgMar w:left="440" w:top="202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872817" TargetMode="External"/><Relationship Id="rId14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2025-06-09T16:00:17Z</dcterms:created>
  <dcterms:modified xsi:type="dcterms:W3CDTF">2025-06-09T16:00:17Z</dcterms:modified>
</cp:coreProperties>
</file>