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or Amendment of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5.00% Convertible Senior Notes due 2030</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2025,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completed its previously disclosed Rule 144A private offering of $1,000,000,000 aggregate principal amount of its 5.00% Convertible Senior Notes due 2030 (the “</w:t>
      </w:r>
      <w:r>
        <w:rPr>
          <w:rFonts w:ascii="Times New Roman" w:cs="Times New Roman" w:eastAsia="Times New Roman" w:hAnsi="Times New Roman"/>
          <w:sz w:val="18"/>
          <w:szCs w:val="18"/>
          <w:b w:val="1"/>
          <w:bCs w:val="1"/>
          <w:i w:val="1"/>
          <w:iCs w:val="1"/>
          <w:color w:val="auto"/>
        </w:rPr>
        <w:t>Base Notes</w:t>
      </w:r>
      <w:r>
        <w:rPr>
          <w:rFonts w:ascii="Times New Roman" w:cs="Times New Roman" w:eastAsia="Times New Roman" w:hAnsi="Times New Roman"/>
          <w:sz w:val="18"/>
          <w:szCs w:val="18"/>
          <w:color w:val="auto"/>
        </w:rPr>
        <w:t>”) at an issue price of 100%. Lucid granted the initial purchasers an option to purchase, for settlement within a 13-day period beginning on, and including, the date Lucid first issued the Base Notes, up to an additional $100,000,000 aggregate principal amount of notes, on the same terms and conditions (the “</w:t>
      </w:r>
      <w:r>
        <w:rPr>
          <w:rFonts w:ascii="Times New Roman" w:cs="Times New Roman" w:eastAsia="Times New Roman" w:hAnsi="Times New Roman"/>
          <w:sz w:val="18"/>
          <w:szCs w:val="18"/>
          <w:b w:val="1"/>
          <w:bCs w:val="1"/>
          <w:i w:val="1"/>
          <w:iCs w:val="1"/>
          <w:color w:val="auto"/>
        </w:rPr>
        <w:t>Additional Notes</w:t>
      </w:r>
      <w:r>
        <w:rPr>
          <w:rFonts w:ascii="Times New Roman" w:cs="Times New Roman" w:eastAsia="Times New Roman" w:hAnsi="Times New Roman"/>
          <w:sz w:val="18"/>
          <w:szCs w:val="18"/>
          <w:color w:val="auto"/>
        </w:rPr>
        <w:t>” and, together with the Base Notes,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On April 3, 2025, the initial purchasers elected to exercise the option to purchase the Additional Notes in full, and a total of $1,100,000,000 aggregate principal amount of notes were issued on April 8, 2025. The notes were offered only to persons reasonably believed to be qualified institutional buyers (as defined in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pursuant to Rule 144A under the Securities 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proceeds from the offering were approximately $1,082.2 million, after deducting the initial purchasers’ discounts and commissions and estimated offering expenses, but before deducting the cost of the Capped Call Transactions (as defined below). Lucid used the net proceeds from the notes offering</w:t>
      </w:r>
    </w:p>
    <w:p>
      <w:pPr>
        <w:jc w:val="both"/>
        <w:ind w:firstLine="8"/>
        <w:spacing w:after="0" w:line="255"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the approximate $118.3 million cost of entering into the Capped Call Transactions and (ii) to fund repurchases of approximately $1,052.5 million in aggregate principal amount of its 1.25% Convertible Senior Notes due 2026 (the “2026 notes”) for approximately $935.6 million. Lucid intends to use the remaining net proceeds for general corporate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 2025, in connection with the pricing of the Base Notes, Lucid entered into privately negotiated capped call transactions (the “</w:t>
      </w:r>
      <w:r>
        <w:rPr>
          <w:rFonts w:ascii="Times New Roman" w:cs="Times New Roman" w:eastAsia="Times New Roman" w:hAnsi="Times New Roman"/>
          <w:sz w:val="18"/>
          <w:szCs w:val="18"/>
          <w:b w:val="1"/>
          <w:bCs w:val="1"/>
          <w:i w:val="1"/>
          <w:iCs w:val="1"/>
          <w:color w:val="auto"/>
        </w:rPr>
        <w:t>Base Capped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with certain of the initial purchasers of the notes or their respective affiliates and certain other financial institutions (collectively,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Counterparties</w:t>
      </w:r>
      <w:r>
        <w:rPr>
          <w:rFonts w:ascii="Times New Roman" w:cs="Times New Roman" w:eastAsia="Times New Roman" w:hAnsi="Times New Roman"/>
          <w:sz w:val="18"/>
          <w:szCs w:val="18"/>
          <w:color w:val="auto"/>
        </w:rPr>
        <w:t>”). On April 3, 2025, in connection with the initial purchasers’ exercise of their option to purchase the Additional Notes, Lucid entered into privately negotiated additional capped call transactions (the “</w:t>
      </w:r>
      <w:r>
        <w:rPr>
          <w:rFonts w:ascii="Times New Roman" w:cs="Times New Roman" w:eastAsia="Times New Roman" w:hAnsi="Times New Roman"/>
          <w:sz w:val="18"/>
          <w:szCs w:val="18"/>
          <w:b w:val="1"/>
          <w:bCs w:val="1"/>
          <w:i w:val="1"/>
          <w:iCs w:val="1"/>
          <w:color w:val="auto"/>
        </w:rPr>
        <w:t>Additional Capped Call Transactions</w:t>
      </w:r>
      <w:r>
        <w:rPr>
          <w:rFonts w:ascii="Times New Roman" w:cs="Times New Roman" w:eastAsia="Times New Roman" w:hAnsi="Times New Roman"/>
          <w:sz w:val="18"/>
          <w:szCs w:val="18"/>
          <w:color w:val="auto"/>
        </w:rPr>
        <w:t>,” and together with the Base Capped Call Transactions, the “</w:t>
      </w:r>
      <w:r>
        <w:rPr>
          <w:rFonts w:ascii="Times New Roman" w:cs="Times New Roman" w:eastAsia="Times New Roman" w:hAnsi="Times New Roman"/>
          <w:sz w:val="18"/>
          <w:szCs w:val="18"/>
          <w:b w:val="1"/>
          <w:bCs w:val="1"/>
          <w:i w:val="1"/>
          <w:iCs w:val="1"/>
          <w:color w:val="auto"/>
        </w:rPr>
        <w:t>Capped Call Transactions</w:t>
      </w:r>
      <w:r>
        <w:rPr>
          <w:rFonts w:ascii="Times New Roman" w:cs="Times New Roman" w:eastAsia="Times New Roman" w:hAnsi="Times New Roman"/>
          <w:sz w:val="18"/>
          <w:szCs w:val="18"/>
          <w:color w:val="auto"/>
        </w:rPr>
        <w:t>”) with the Counterparties. The Capped Call Transactions cover, subject to anti-dilution adjustments substantially similar to those applicable to the notes, approximately 366.67 million shares of Lucid’s Class A common stock, par value $0.0001 per share (“</w:t>
      </w:r>
      <w:r>
        <w:rPr>
          <w:rFonts w:ascii="Times New Roman" w:cs="Times New Roman" w:eastAsia="Times New Roman" w:hAnsi="Times New Roman"/>
          <w:sz w:val="18"/>
          <w:szCs w:val="18"/>
          <w:b w:val="1"/>
          <w:bCs w:val="1"/>
          <w:i w:val="1"/>
          <w:iCs w:val="1"/>
          <w:color w:val="auto"/>
        </w:rPr>
        <w:t>Lucid’s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the same number of shares of Lucid’s common stock initially underlying the notes. The Capped Call Transactions have an expiration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1, 2030.</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Capped Call Transactions are expected generally to reduce the potential dilution to Lucid’s common stock upon conversion of the notes and/or offset any cash payments that Lucid could be required to make in excess of the principal amount of any converted notes, as the case may be, in the event that the market price per share of Lucid’s common stock, as measured under the terms of the Capped Call Transactions, is greater than the strike price of the Capped Call Transactions, which initially corresponds to the initial conversion price of the notes, or approximately $3.00 per share of Lucid’s common stock, and is subject to anti-dilution adjustments substantially similar to those applicable to the conversion rate of the notes. If, however, the market price of Lucid’s common stock,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 which is initially $4.80 per share of Lucid’s common stock and is subject to customary anti-dilution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Capped Call Transactions are separate transactions, entered into by Lucid with each of the Counterparties, and are not part of the terms of the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notes will not have any rights with respect to the Capped Call Transactions.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establishing their initial hedges of the Capped Call Transactions, Lucid expects the Counterparties or their respective affiliates to enter into various derivative transactions with respect to Lucid’s common stock and/or purchase Lucid’s common stock concurrently with or shortly after the pricing of the notes. This activity could increase (or reduce the size of any decrease in) the market price of Lucid’s common stock or the notes at that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Counterparties or their respective affiliates may modify their hedge positions by entering into or unwinding various derivatives with respect to Lucid’s common stock and/or purchasing or selling Lucid’s common stock or other securities of Lucid in secondary market transactions following the pricing of the notes and prior to the maturity of the notes (and may do so in connection with any repurchase of the notes and/or during any observation period related to a conversion of notes). This activity could also cause or avoid an increase or a decrease in the market price of Lucid’s common stock or the notes, which could affect noteholders’ ability to convert the notes and, to the extent the activity occurs during any observation period related to a conversion of the notes, it could affect the number of shares and value of the consideration that noteholders will receive upon conversion of the notes.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form of the confirmation for the Capped Call Transactions entered into with each of the Counterparties is attached hereto as Exhibit 10.1 and is incorporated herein by reference. The foregoing description of the Capped Call Transactions does not purport to be complete and is qualified in its entirety by reference to such exhibit.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Lucid issued the notes under an indenture, dated as of April 8, 2025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Lucid and U.S. Bank Trust Company, National Association, as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The Indenture (which includes the Form of 5.00% Convertible Senior Notes due 2030 filed as Exhibit 4.2 hereto) is filed as Exhibit 4.1 hereto and is incorporated herein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bear interest at a rate of 5.00% per annum from and including April 8, 2025, payable semi-annually in arrears on April 1 and October 1 of each year, beginning on October 1, 2025. The notes will mature on April 1, 2030, unless earlier repurchased or redeemed by Lucid or converted in accordance with their terms prior to such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will be convertible into cash, shares of Lucid’s common stock, or a combination thereof, at Lucid’s election at an initial conversion rate of 333.3333 shares of Lucid’s common stock per $1,000 principal amount of notes, which represents an initial conversion price of approximately $3.00 per share of Lucid’s common stock. The conversion rate will be subject to adjustment upon the occurrence of certain specified events, but will not be adjusted for any accrued and unpaid interest. In addition, if a Make-Whole Fundamental Change (as defined in Section 1.01 of the Indenture) occurs, Lucid will, in certain circumstances, increase the conversion rate for any notes converted in connection with such Make-Whole Fundamental Change.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convertible at the option of the holders (in whole or in part) at any time prior to the close of business on the business day immediately preceding January 1, 2030 only under the following circumstances: (1) during any calendar quarter (and only during such calendar quarter) commencing after the calendar quarter ending on June 30, 2025, if the last reported sale price per share of Lucid’s common stock exceeds 130% of the conversion price for each of at least 20 trading days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Lucid’s common stock on such trading day and the conversion rate on such trading day;</w:t>
      </w:r>
    </w:p>
    <w:p>
      <w:pPr>
        <w:spacing w:after="0" w:line="3" w:lineRule="exact"/>
        <w:rPr>
          <w:sz w:val="20"/>
          <w:szCs w:val="20"/>
          <w:color w:val="auto"/>
        </w:rPr>
      </w:pPr>
    </w:p>
    <w:p>
      <w:pPr>
        <w:jc w:val="both"/>
        <w:ind w:firstLine="8"/>
        <w:spacing w:after="0" w:line="253"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corporate events or distributions on Lucid’s common stock as set forth in the Indenture; and (4) if Lucid calls such notes for redemption. From, and including, January 1, 2030 until the close of business on the second scheduled trading day immediately before the maturity date, holders may convert their notes at any time, regardless of the foregoing circumstances. Upon conversion, Lucid will pay or deliver, as the case may be, cash, shares of Lucid’s common stock or a combination of cash and shares of Lucid’s common stock, at Lucid’s election, in amounts determined in the manner set forth in the Indenture.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are not redeemable prior to April 6, 2028. Lucid may redeem for cash all or some portion of the notes (subject to a limitation on partial redemption), at Lucid’s option, on or after April 6, 2028 and on or before the 31st scheduled trading day immediately preceding the maturity date, if certain liquidity conditions are satisfied and the last reported sale price of Lucid’s common stock has been at least 130% of the conversion price then in effect for at least 20 trading days (whether or not consecutive) (including the trading day immediately preceding the date on which Lucid provides notice of redemption) during any 30 consecutive trading day period ending on, and including, the trading day immediately preceding the date on which Lucid provides a notice of redemption, at a redemption price equal to 100% of the principal amount of the notes to be redeemed, plus accrued and unpaid interest to, but excluding, the redemption date. No sinking fund is provided for the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If Lucid undergoes a Fundamental Change (as defined in Section 1.01 of the Indenture), except as described in the Indenture, holders may require Lucid to repurchase for cash all or part of their notes in authorized denominations at a purchase price equal to 100% of the principal amount of the notes to be repurchased, plus accrued and unpaid interest to, but excluding, the Fundamental Change repurchase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notes will be senior unsecured obligations of Lucid and will rank senior in right of payment to any of Lucid’s indebtedness that is expressly subordinated in right of payment to the notes; equal in right of payment to any of Lucid’s unsecured indebtedness that is not so subordinated; effectively subordinated to any of Lucid’s secured indebtedness to the extent of the value of the assets securing such indebtedness; and structurally subordinated to all indebtedness and other liabilities (including trade payables) of Lucid’s subsidiaries.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terms and covenants, including that upon certain events of default, including cross-acceleration to certain other indebtedness of the Company and certain of its subsidiaries, either the Trustee or the holders of not less than 25% in aggregate principal amount of the notes then outstanding may declare the unpaid principal of the notes and accrued and unpaid interest, if any, thereon immediately due and payable. In the case of certain events of bankruptcy, insolvency or reorganization relating to the Company, the principal amount of the notes together with accrued and unpaid interest, if any, thereon will automatically become and be immediately due and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not be listed on any securities exchange.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descriptions of the Indenture and the notes contained herein are qualified in their entirety by reference to the text of the Indenture and the Form of certificate representing the 5.00% Convertible Senior Notes due 2030, which are attached as Exhibits 4.1 and 4.2, respectively, to this Current Report on Form 8-K and are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Off-Balance Sheet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disclosure set forth in Item 1.01 above is incorporated by reference into this Item 3.02. The notes were issued to the initial purchasers in reliance upon Section 4(a)(2) of the Securities Act, in transactions not involving any public offering. The notes were initially resold by the initial purchasers to persons whom the initial purchasers reasonably believe are “qualified institutional buyers,” as defined in, and in accordance with, Rule 144A under the Securities Act. Any shares of Lucid’s common stock that may be issued upon conversion of the notes will be issued in reliance upon Section 3(a)(9) of the Securities Act as involving an exchange by the Company exclusively with its security holders. Initially, a maximum of 458,333,260 shares of Lucid’s common stock may be issued upon conversion of the notes, based on the initial maximum conversion rate of 416.6666 shares of Lucid’s common stock per $1,000 principal amount of notes, which is subject to customary anti-dilution adjustment provisions.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 2025, the Company issued a press release relating to the pricing of its offering of the notes to qualified institutional buyers pursuant to Rule 144A under the Securities Act. A copy of the press release is attached as Exhibit 99.1 to this Current Report on Form 8-K and is incorporated by reference into this Item 8.01.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2026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 2025, contemporaneously with the pricing of the notes, Lucid entered into privately negotiated transactions with certain holders of the 2026 notes to repurchase approximately $1,052.5 million aggregate principal amount of the 2026 notes on terms that were negotiated with each holder (each, a “</w:t>
      </w:r>
      <w:r>
        <w:rPr>
          <w:rFonts w:ascii="Times New Roman" w:cs="Times New Roman" w:eastAsia="Times New Roman" w:hAnsi="Times New Roman"/>
          <w:sz w:val="18"/>
          <w:szCs w:val="18"/>
          <w:b w:val="1"/>
          <w:bCs w:val="1"/>
          <w:i w:val="1"/>
          <w:iCs w:val="1"/>
          <w:color w:val="auto"/>
        </w:rPr>
        <w:t>note repurchase</w:t>
      </w:r>
      <w:r>
        <w:rPr>
          <w:rFonts w:ascii="Times New Roman" w:cs="Times New Roman" w:eastAsia="Times New Roman" w:hAnsi="Times New Roman"/>
          <w:sz w:val="18"/>
          <w:szCs w:val="18"/>
          <w:color w:val="auto"/>
        </w:rPr>
        <w:t>”), using approximately $935.6 million of the net proceeds of the offering of the notes. The terms of each note repurchase were individually negotiated with each holder of 2026 notes and depended on several factors, including the market price of Lucid’s common stock and the trading price of the 2026 notes at the time of each such note repurchase.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Lucid expects that holders of the 2026 notes that sell their 2026 notes to Lucid in any note repurchase transaction may enter into or unwind various derivatives with respect to Lucid’s common stock and/or purchase or sell shares of Lucid’s common stock in the market to hedge their exposure in connection with these transactions. In particular, Lucid expects that many holders of the 2026 notes employ a convertible arbitrage strategy with respect to the 2026 notes and have a hedge position with respect to Lucid’s common stock that they would close, through purchases of Lucid’s common stock and/or the entry into or unwind of economically equivalent derivatives transactions with respect to Lucid’s common stock, in connection with Lucid’s repurchase of their 2026 notes for cash. This activity could increase (or reduce the size of any decrease in) the market price of Lucid’s common stock or the notes at that time and could result in a higher effective conversion price for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Ayar Prepaid Forward Transaction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notes, Ayar Third Investment Company (“</w:t>
      </w:r>
      <w:r>
        <w:rPr>
          <w:rFonts w:ascii="Times New Roman" w:cs="Times New Roman" w:eastAsia="Times New Roman" w:hAnsi="Times New Roman"/>
          <w:sz w:val="18"/>
          <w:szCs w:val="18"/>
          <w:b w:val="1"/>
          <w:bCs w:val="1"/>
          <w:i w:val="1"/>
          <w:iCs w:val="1"/>
          <w:color w:val="auto"/>
        </w:rPr>
        <w:t>Ayar</w:t>
      </w:r>
      <w:r>
        <w:rPr>
          <w:rFonts w:ascii="Times New Roman" w:cs="Times New Roman" w:eastAsia="Times New Roman" w:hAnsi="Times New Roman"/>
          <w:sz w:val="18"/>
          <w:szCs w:val="18"/>
          <w:color w:val="auto"/>
        </w:rPr>
        <w:t>”), a wholly-owned subsidiary of the Public Investment Fund, the sovereign wealth fund of the Kingdom of Saudi Arabia, entered into a privately negotiated prepaid forward transaction (the “</w:t>
      </w:r>
      <w:r>
        <w:rPr>
          <w:rFonts w:ascii="Times New Roman" w:cs="Times New Roman" w:eastAsia="Times New Roman" w:hAnsi="Times New Roman"/>
          <w:sz w:val="18"/>
          <w:szCs w:val="18"/>
          <w:b w:val="1"/>
          <w:bCs w:val="1"/>
          <w:i w:val="1"/>
          <w:iCs w:val="1"/>
          <w:color w:val="auto"/>
        </w:rPr>
        <w:t>prepaid forward transaction</w:t>
      </w:r>
      <w:r>
        <w:rPr>
          <w:rFonts w:ascii="Times New Roman" w:cs="Times New Roman" w:eastAsia="Times New Roman" w:hAnsi="Times New Roman"/>
          <w:sz w:val="18"/>
          <w:szCs w:val="18"/>
          <w:color w:val="auto"/>
        </w:rPr>
        <w:t>”) with a forward counterparty that is an affiliate of one of the initial purchasers of the notes (the “</w:t>
      </w:r>
      <w:r>
        <w:rPr>
          <w:rFonts w:ascii="Times New Roman" w:cs="Times New Roman" w:eastAsia="Times New Roman" w:hAnsi="Times New Roman"/>
          <w:sz w:val="18"/>
          <w:szCs w:val="18"/>
          <w:b w:val="1"/>
          <w:bCs w:val="1"/>
          <w:i w:val="1"/>
          <w:iCs w:val="1"/>
          <w:color w:val="auto"/>
        </w:rPr>
        <w:t>forward counterparty</w:t>
      </w:r>
      <w:r>
        <w:rPr>
          <w:rFonts w:ascii="Times New Roman" w:cs="Times New Roman" w:eastAsia="Times New Roman" w:hAnsi="Times New Roman"/>
          <w:sz w:val="18"/>
          <w:szCs w:val="18"/>
          <w:color w:val="auto"/>
        </w:rPr>
        <w:t>”), pursuant to which Ayar will purchase approximately $430.0 million of Lucid’s common stock (based on the last reported sale price on The Nasdaq Global Select Market of $2.40 per share of Lucid’s common stock on April 2, 2025) with delivery expected to occur on or about the maturity date for the notes, subject to the ability of the forward counterparty to elect to settle all or a portion of the prepaid forward transaction early. Under the terms of the prepaid forward transaction, subject to the conditions set forth in the agreement governing the prepaid forward transaction, Ayar will have to the option to elect to physically settle or cash settle the prepaid forward transaction. Subject to the conditions set forth in the agreement governing the prepaid forward transaction, the prepaid forward transaction will be settled physically, subject to Ayar’s option to elect cash settlement of the prepaid forward transaction.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prepaid forward transaction is generally intended to facilitate privately negotiated derivative transactions, including swaps, between the forward counterparty or its affiliates and investors in the notes relating to Lucid’s common stock by which investors in the notes will hedge their investments in the notes. As a result, the prepaid forward transaction is expected to allow the investors to establish hedge positions that generally correspond to (but may be greater than) commercially reasonable initial hedges of their investment in the notes. In the event of such greater initial hedges, investors may offset such greater portion by purchasing shares of Lucid’s common stock on or shortly after the pricing date of the notes. In connection with establishing their initial hedge of the prepaid forward transaction, the forward counterparty or its affiliates may enter into one or more derivative transactions with respect to Lucid’s common stock with the investors of the notes concurrently with or after the pricing of the notes. None of Lucid, Ayar or the forward counterparty will control how investors of the notes may use such derivative transactions. Any such trades by the forward counterparty or its affiliates would be on a principal basis and without any agreement, arrangement or understanding between, or with, Ayar or Lucid on how those parties would hedge their own positions.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Ayar’s entry into the prepaid forward transaction with the forward counterparty and the entry by the forward counterparty into derivative transactions in respect of Lucid’s common stock with the investors of the notes, particularly if investors purchase shares of Lucid’s common stock on or shortly after the pricing date as described above, could have the effect of increasing (or reducing the size of any decrease in) the market price of Lucid’s common stock concurrently with, or shortly after, the pricing of the notes and effectively raising the initial conversion price of the notes.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such investors may enter into other transactions relating to Lucid’s common stock or the notes in connection with or in addition to such derivative transactions, including the purchase or sale of shares of Lucid’s common stock. As a result, the existence of the prepaid forward transaction, such derivative transactions and any related market activity could cause more purchases or sales of shares of Lucid’s common stock over the term of the prepaid forward transaction than there otherwise would have been had Ayar not entered into the prepaid forward transaction. Such purchases or sales could potentially increase (or reduce the size of any decrease in) or decrease (or reduce the size of any increase in) the market price of Lucid’s common stock and/or the price of the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The forward counterparty or its affiliates may also modify their hedge positions by entering into or unwinding one or more derivative transactions with respect to Lucid’s common stock and/or purchasing or selling shares of Lucid’s common stock or other securities of Lucid in secondary market transactions at any time following the pricing of the notes and prior to the maturity of the notes. These activities could also cause or avoid an increase or a decrease in the market price of Lucid’s common stock or the notes, which could affect the ability of noteholders to convert the notes and, to the extent the activity occurs following conversion or during any observation period related to a conversion of notes, it could affect the amount and value of the consideration that noteholders will receive upon conversion of the notes.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Lucid is not a party to the prepaid forward transaction. In connection with Ayar agreeing to enter into and fund the prepaid forward transaction, Lucid has agreed to pay a periodic cash fee to Ayar, which shall initially accrue at a rate of 0.5% per annum on the amount of prepaid forward transaction and be recalculated to reflect any early settlement of the prepaid forward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press release constitutes an offer to sell, or the solicitation of an offer to buy, the notes or the shares of Lucid’s common stock, if any, issuable upon conversion of the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0"/>
        </w:trPr>
        <w:tc>
          <w:tcPr>
            <w:tcW w:w="10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8"/>
        </w:trPr>
        <w:tc>
          <w:tcPr>
            <w:tcW w:w="10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top w:val="single" w:sz="8" w:color="auto"/>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Indenture, dated as of April 8, 2025, between Lucid Group, Inc. and U.S. Bank Trust Company, National Association, as trustee.</w:t>
            </w:r>
          </w:p>
        </w:tc>
        <w:tc>
          <w:tcPr>
            <w:tcW w:w="840" w:type="dxa"/>
            <w:vAlign w:val="bottom"/>
            <w:tcBorders>
              <w:top w:val="single" w:sz="8" w:color="auto"/>
            </w:tcBorders>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certificate representing the 5.00% Convertible Senior Notes due 2030 (included as Exhibit A to Exhibit 4.1).</w:t>
            </w:r>
          </w:p>
        </w:tc>
        <w:tc>
          <w:tcPr>
            <w:tcW w:w="1660" w:type="dxa"/>
            <w:vAlign w:val="bottom"/>
            <w:gridSpan w:val="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Form of Capped Call Confirmation.</w:t>
            </w: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April 2, 2025.</w:t>
            </w:r>
          </w:p>
        </w:tc>
        <w:tc>
          <w:tcPr>
            <w:tcW w:w="7520" w:type="dxa"/>
            <w:vAlign w:val="bottom"/>
            <w:gridSpan w:val="3"/>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280" w:hanging="5470"/>
        <w:spacing w:after="0" w:line="783"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8,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U.S. BANK TRUST COMPANY, NATIONAL ASSOCIATION</w:t>
      </w:r>
    </w:p>
    <w:p>
      <w:pPr>
        <w:spacing w:after="0" w:line="2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Dated as of April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5.00% Convertible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771525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68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7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Rules of Construction</w:t>
            </w:r>
          </w:p>
        </w:tc>
        <w:tc>
          <w:tcPr>
            <w:tcW w:w="142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41"/>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1.01. Definitions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1.02. Other Definitions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Notes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41"/>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2.01. Form, Dating and Denominations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2.02. Execution, Authentication and Delivery</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2.03. Initial Notes and Additional Notes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2.04. Method of Payment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2.05. Accrual of Interest; Defaulted Amounts; When Payment Date is Not a Business Day</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2.06. Registrar, Paying Agent and Conversion Agent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2.07. Paying Agent and Conversion Agent to Hold Property in Trust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2.08. Holder Lists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2.09. Legends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2.10. Transfers and Exchanges; Certain Transfer Restrictions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2.11. Exchange and Cancellation of Notes to Be Converted, Redeemed or Repurchased</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2.12. Replacement Notes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2.13. Registered Holders; Certain Rights with Respect to Global Notes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2.14. Cancellation</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2.15. Notes Held by the Company or its Affiliates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2.16. Temporary Notes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2.17. Outstanding Notes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2.18. Repurchases by the Company</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2.19. CUSIP and ISIN Numbers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Covenants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41"/>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3.01. Payment on Notes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3.02. Exchange Act Reports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3.03. Rule 144A Information</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3.04. Additional Interest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3.05. Compliance and Default Certificates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3.06. Stay, Extension and Usury Laws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59"/>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Repurchase and Redemption</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41"/>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4.01. No Sinking Fund</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4.02. Right of Holders to Require the Company to Repurchase Notes upon a Fundamental Change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9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4.03. Right of the Company to Redeem the Notes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Article 5</w:t>
            </w:r>
          </w:p>
        </w:tc>
        <w:tc>
          <w:tcPr>
            <w:tcW w:w="10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Conversion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441"/>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5.01. Right to Convert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5.02. Conversion Procedures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5.03. Settlement upon Conversion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5.04. Reserve and Status of Common Stock Issued upon Conversion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5.05. Adjustments to the Conversion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5.06. Voluntary Adjustments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5.07. Adjustments to the Conversion Rate in Connection with a Make-Whole Fundamental Change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5.08. Exchange in Lieu of Conversion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5.09. Effect of Common Stock Change Event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Article 6</w:t>
            </w:r>
          </w:p>
        </w:tc>
        <w:tc>
          <w:tcPr>
            <w:tcW w:w="10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41"/>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6.01. When the Company May Merge, Etc.</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6.02. Successor Entity Substituted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6.03. Exclusion for Asset Transfers with Wholly Owned Subsidiaries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59"/>
        </w:trPr>
        <w:tc>
          <w:tcPr>
            <w:tcW w:w="10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Defaults and Remedies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41"/>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7.02. Acceleration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7.03. Sole Remedy for a Failure to Report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7.04. Other Remedies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7.05. Waiver of Past Defaults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7.06. Control by Majority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7.07. Limitation on Suits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7.08. Absolute Right of Holders to Institute Suit for the Enforcement of the Right to Receive Payment and Conversion Consideration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7.09. Collection Suit by Trustee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7.10. Trustee May File Proofs of Claim</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7.11. Priorities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7.12. Undertaking for Costs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59"/>
        </w:trPr>
        <w:tc>
          <w:tcPr>
            <w:tcW w:w="10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Amendments, Supplements and Waivers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41"/>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8.01. Without the Consent of 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8.02. With the Consent of Holders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8.03. Notice of Amendments, Supplements and Waivers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8.04. Revocation, Effect and Solicitation of Consents; Special Record Dates; Etc.</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8.05. Notations and Exchanges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8.06. Trustee to Execute Supplemental Indentures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59"/>
        </w:trPr>
        <w:tc>
          <w:tcPr>
            <w:tcW w:w="10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Satisfaction and Discharge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41"/>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9.01. Termination of Company’s Obligations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9.02. Repayment to Company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0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Section 9.03. Reinstatement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41"/>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10.01. Duties of the Trustee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10.02. Rights of the Trustee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10.03. Individual Rights of the Trustee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10.04. Trustee’s Disclaimer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10.05. Notice of Defaults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10.06. Compensation and Indemnity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10.07. Replacement of the Trustee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10.08. Successor Trustee by Merger, Etc.</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10.09. Eligibility; Disqualification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5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41"/>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11.01. Notices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11.02. Delivery of Officer’s Certificate and Opinion of Counsel as to Conditions Precedent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11.03. Statements Required in Officer’s Certificate and Opinion of Counsel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11.04. Rules by the Trustee, the Registrar, the Paying Agent and the Conversion Agent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11.05. No Personal Liability of Directors, Officers, Employees and Stockholders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11.06. Governing Law; Waiver of Jury Trial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11.07. Submission to Jurisdiction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11.08. No Adverse Interpretation of Other 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11.09. Successors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11.10. Force Majeure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11.11. U.S.A. PATRIOT Act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11.12. Calculations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11.13. Severability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11.14. Counterparts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11.15. Table of Contents, Headings, Etc.</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9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Section 11.16. Withholding Taxes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91"/>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83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6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53"/>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 Form of Note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432"/>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B-1: Form of Restricted Note Legend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B1-1</w:t>
            </w:r>
          </w:p>
        </w:tc>
      </w:tr>
      <w:tr>
        <w:trPr>
          <w:trHeight w:val="432"/>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B-2: Form of Global Note Legend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B2-1</w:t>
            </w:r>
          </w:p>
        </w:tc>
      </w:tr>
      <w:tr>
        <w:trPr>
          <w:trHeight w:val="432"/>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B-3: Form of Non-Affiliate Legend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B3-1</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April 8, 2025, between Lucid Group,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U.S. Bank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party to this Indenture (as defined below) agrees as follows for the benefit of the other party and for the equal and ratable benefit of the Holders (as defined below) of the Company’s 5.00%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      DEFINITIONS; RULES OF CONSTRUCTION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xml:space="preserve">” means any interest that accrues on any Note pursuant to </w:t>
      </w:r>
      <w:r>
        <w:rPr>
          <w:rFonts w:ascii="Times New Roman" w:cs="Times New Roman" w:eastAsia="Times New Roman" w:hAnsi="Times New Roman"/>
          <w:sz w:val="18"/>
          <w:szCs w:val="18"/>
          <w:b w:val="1"/>
          <w:bCs w:val="1"/>
          <w:color w:val="auto"/>
        </w:rPr>
        <w:t>Section 3.04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as in effect on the Issue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a Note, a principal amount thereof equal to $1,000 or any integral multiple of $1,000 in excess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xml:space="preserve">” means the Person who is required to obtain bids for the Trading Price in accordance with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initial Bid Solicitation Agent on the Issue Date will be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appoint any other Person (including any of the Company’s Subsidiaries) to be the Bid Solicitation Agent at any time after the Issue Date without prior notice to the Holders.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Class A common stock, $0.0001 par value per share, of the Company, subject to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means the Person named as such in the first paragraph of this Indenture and, subject to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request or order signed on behalf of the Company by one (1) of its Officers and delivered to the Trustee.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with respect to a Note, the first Business Day on which the requirements set forth in </w:t>
      </w:r>
      <w:r>
        <w:rPr>
          <w:rFonts w:ascii="Times New Roman" w:cs="Times New Roman" w:eastAsia="Times New Roman" w:hAnsi="Times New Roman"/>
          <w:sz w:val="18"/>
          <w:szCs w:val="18"/>
          <w:b w:val="1"/>
          <w:bCs w:val="1"/>
          <w:color w:val="auto"/>
        </w:rPr>
        <w:t>Section 5.02(A)</w:t>
      </w:r>
      <w:r>
        <w:rPr>
          <w:rFonts w:ascii="Times New Roman" w:cs="Times New Roman" w:eastAsia="Times New Roman" w:hAnsi="Times New Roman"/>
          <w:sz w:val="18"/>
          <w:szCs w:val="18"/>
          <w:color w:val="auto"/>
        </w:rPr>
        <w:t xml:space="preserve"> to convert such Note are satisfied, subject to </w:t>
      </w:r>
      <w:r>
        <w:rPr>
          <w:rFonts w:ascii="Times New Roman" w:cs="Times New Roman" w:eastAsia="Times New Roman" w:hAnsi="Times New Roman"/>
          <w:sz w:val="18"/>
          <w:szCs w:val="18"/>
          <w:b w:val="1"/>
          <w:bCs w:val="1"/>
          <w:color w:val="auto"/>
        </w:rPr>
        <w:t>Section 5.03(C)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an amount equal to (A) one thousand dollars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Conversion Rate in effect at such time.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xml:space="preserve">” initially means 333.3333 shares of Common Stock per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Conversion Rate is subject to adjustment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whenever this Indenture refers to the Conversion Rate as of a particular date without setting forth a particular time on such date, such reference will be deemed to be to the Conversion Rate immediately after the Close of Business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w:t>
      </w:r>
      <w:r>
        <w:rPr>
          <w:rFonts w:ascii="Times New Roman" w:cs="Times New Roman" w:eastAsia="Times New Roman" w:hAnsi="Times New Roman"/>
          <w:sz w:val="18"/>
          <w:szCs w:val="18"/>
          <w:color w:val="auto"/>
        </w:rPr>
        <w:t>” means any share of Common Stock issued or issuable upon conversion of any Note.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Cash Amount</w:t>
      </w:r>
      <w:r>
        <w:rPr>
          <w:rFonts w:ascii="Times New Roman" w:cs="Times New Roman" w:eastAsia="Times New Roman" w:hAnsi="Times New Roman"/>
          <w:sz w:val="18"/>
          <w:szCs w:val="18"/>
          <w:color w:val="auto"/>
        </w:rPr>
        <w:t>” means, with respect to any VWAP Trading Day, the lesser of (A) the applicable Daily Maximum Cash Amount; and (B) the Daily Conversion Value for such VWAP Trading Day.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with respect to any VWAP Trading Day, one-thirtieth (1/30th) of the product of (A) the Conversion Rate on such VWAP Trading Day; and (B) the Daily VWAP per share of Common Stock on such VWAP Trading Day.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Maximum Cash Amount</w:t>
      </w:r>
      <w:r>
        <w:rPr>
          <w:rFonts w:ascii="Times New Roman" w:cs="Times New Roman" w:eastAsia="Times New Roman" w:hAnsi="Times New Roman"/>
          <w:sz w:val="18"/>
          <w:szCs w:val="18"/>
          <w:color w:val="auto"/>
        </w:rPr>
        <w:t>” means, with respect to the conversion of any Note, the quotient obtained by dividing (A) the Specified Dollar Amount applicable to such conversion by (B) thirty (30).</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Share Amount</w:t>
      </w:r>
      <w:r>
        <w:rPr>
          <w:rFonts w:ascii="Times New Roman" w:cs="Times New Roman" w:eastAsia="Times New Roman" w:hAnsi="Times New Roman"/>
          <w:sz w:val="18"/>
          <w:szCs w:val="18"/>
          <w:color w:val="auto"/>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“LCID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be any of the Initial Purchasers). The Daily VWAP will be determined without regard to after-hours trading or any other trading outside of the regular trading session.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xml:space="preserve">” means Physical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Company may, from time to time, change the Default Settlement Method by (x) sending notice of the new Default Settlement Method to the Holders, the Trustee and the Conversion Agent and (y) by disclosing the new Default Settlement Method on its website or in a Current Report on Form 8-K (or any successor form) that is filed with, or furnished to, the SEC; and (B) the Default Settlement Method will be subject to </w:t>
      </w:r>
      <w:r>
        <w:rPr>
          <w:rFonts w:ascii="Times New Roman" w:cs="Times New Roman" w:eastAsia="Times New Roman" w:hAnsi="Times New Roman"/>
          <w:sz w:val="18"/>
          <w:szCs w:val="18"/>
          <w:b w:val="1"/>
          <w:bCs w:val="1"/>
          <w:color w:val="auto"/>
        </w:rPr>
        <w:t>Section 5.03(A)(ii)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Depository Trust Company or its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Participant</w:t>
      </w:r>
      <w:r>
        <w:rPr>
          <w:rFonts w:ascii="Times New Roman" w:cs="Times New Roman" w:eastAsia="Times New Roman" w:hAnsi="Times New Roman"/>
          <w:sz w:val="18"/>
          <w:szCs w:val="18"/>
          <w:color w:val="auto"/>
        </w:rPr>
        <w:t>” means any member of, or participant in, the Depositary.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Procedures</w:t>
      </w:r>
      <w:r>
        <w:rPr>
          <w:rFonts w:ascii="Times New Roman" w:cs="Times New Roman" w:eastAsia="Times New Roman" w:hAnsi="Times New Roman"/>
          <w:sz w:val="18"/>
          <w:szCs w:val="18"/>
          <w:color w:val="auto"/>
        </w:rPr>
        <w:t>” means, with respect to any conversion, transfer, exchange or transaction involving a Global Note or any beneficial interest therein, the rules and procedures of the Depositary applicable to such conversion, transfer, exchange or transaction.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xml:space="preserve">” means any Fundamental Change with respect to which, in accordance with </w:t>
      </w:r>
      <w:r>
        <w:rPr>
          <w:rFonts w:ascii="Times New Roman" w:cs="Times New Roman" w:eastAsia="Times New Roman" w:hAnsi="Times New Roman"/>
          <w:sz w:val="18"/>
          <w:szCs w:val="18"/>
          <w:b w:val="1"/>
          <w:bCs w:val="1"/>
          <w:color w:val="auto"/>
        </w:rPr>
        <w:t>Section 4.02(I)</w:t>
      </w:r>
      <w:r>
        <w:rPr>
          <w:rFonts w:ascii="Times New Roman" w:cs="Times New Roman" w:eastAsia="Times New Roman" w:hAnsi="Times New Roman"/>
          <w:sz w:val="18"/>
          <w:szCs w:val="18"/>
          <w:color w:val="auto"/>
        </w:rPr>
        <w:t>, the Company does not offer to repurchase any Notes.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Freely Tradable</w:t>
      </w:r>
      <w:r>
        <w:rPr>
          <w:rFonts w:ascii="Times New Roman" w:cs="Times New Roman" w:eastAsia="Times New Roman" w:hAnsi="Times New Roman"/>
          <w:sz w:val="18"/>
          <w:szCs w:val="18"/>
          <w:color w:val="auto"/>
        </w:rPr>
        <w:t>” means, with respect to any security of the Company, that such security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means any of the following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a “person” or “group” (within the meaning of Section 13(d)(3) of the Exchange Act), other than the (w) Company, (x) its Wholly Owned Subsidiaries, (y) their respective employee benefit plans or (z) any Permitted Party or any “person” or “group” consisting solely of Permitted Parties, files any report with the SEC indicating that such person or group has become the direct or indirect “beneficial owner” (as defined below) of shares of the Common Stock representing more than fifty percent (50%) of the voting power of all of the Company’s then-outstanding Common Stock;</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(B)            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w:t>
      </w:r>
    </w:p>
    <w:p>
      <w:pPr>
        <w:spacing w:after="0" w:line="1" w:lineRule="exact"/>
        <w:rPr>
          <w:sz w:val="20"/>
          <w:szCs w:val="20"/>
          <w:color w:val="auto"/>
        </w:rPr>
      </w:pPr>
    </w:p>
    <w:p>
      <w:pPr>
        <w:jc w:val="both"/>
        <w:ind w:firstLine="8"/>
        <w:spacing w:after="0" w:line="251" w:lineRule="auto"/>
        <w:tabs>
          <w:tab w:leader="none" w:pos="2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Company’s stockholders approve any plan or proposal for the liquidation or dissolution of the Company; or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Common Stock ceases to be listed on any of The New York Stock Exchange, The Nasdaq Global Select Market, The Nasdaq Global Market or The Nasdaq Capital Market (or any of their respective successors);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event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will not constitute a Fundamental Change if at least ninety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 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Global Select Market, The Nasdaq Global Market or The Nasdaq Capital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transaction in which the Common Stock is replaced by the securities of another entity occurs, following completion of any related Make-Whole Fundamental Change Conversion Period (or, in the case of a transaction that would have been a Fundamental Change or a Make-Whole Fundamental Change but for the proviso to the immediately preceding paragraph, following the effective date of such transaction), references to the Company for purposes of this definition shall instead be references to such other entity.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purposes of this definition, (x) any transaction or event described in both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(without regard to the proviso in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will be deemed to occur solely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(subject to such proviso); and (y) whether a Person is a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whether shares are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and percentage beneficial ownership, will be determined in accordance with Rule 13d-3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means the date fixed for the repurchase of any Notes by the Company pursuant to a Repurchase Upon Fundamental Change.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xml:space="preserve">” means a notice (including a notice substantially in the form of the “Fundamental Change Repurchase Notice”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containing the information, or otherwise complying with the requirements, set forth in </w:t>
      </w:r>
      <w:r>
        <w:rPr>
          <w:rFonts w:ascii="Times New Roman" w:cs="Times New Roman" w:eastAsia="Times New Roman" w:hAnsi="Times New Roman"/>
          <w:sz w:val="18"/>
          <w:szCs w:val="18"/>
          <w:b w:val="1"/>
          <w:bCs w:val="1"/>
          <w:color w:val="auto"/>
        </w:rPr>
        <w:t>Section 4.02(F)(i)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4.02(F)(ii)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means the cash price payable by the Company to repurchase any Note upon its Repurchase Upon Fundamental Change, calculated pursuant to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Global Note</w:t>
      </w:r>
      <w:r>
        <w:rPr>
          <w:rFonts w:ascii="Times New Roman" w:cs="Times New Roman" w:eastAsia="Times New Roman" w:hAnsi="Times New Roman"/>
          <w:sz w:val="17"/>
          <w:szCs w:val="17"/>
          <w:color w:val="auto"/>
        </w:rPr>
        <w:t xml:space="preserve">” means a Note that is represented by a certificate substantially in the form set forth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registered in the name of the Depositary or its nominee, duly executed by the Company and authenticated by the Trustee, and deposited with the Trustee, as custodian for the Depositary.</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Note is registered on the Registrar’s books.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Initial Purchasers set forth in Schedule A to the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with respect to a Note, each April 1 and October 1 of each year, commencing on October 1, 2025 (or commencing on such other date specified in the certificate representing such Note). For the avoidance of doubt, the Maturity Date is an Interest Payment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April 8, 2025.</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Original Issue Date</w:t>
      </w:r>
      <w:r>
        <w:rPr>
          <w:rFonts w:ascii="Times New Roman" w:cs="Times New Roman" w:eastAsia="Times New Roman" w:hAnsi="Times New Roman"/>
          <w:sz w:val="18"/>
          <w:szCs w:val="18"/>
          <w:color w:val="auto"/>
        </w:rPr>
        <w:t xml:space="preserve">” means (A) with respect to any Notes issued pursuant to the Purchase Agreement (including any Notes issued pursuant to the exercise of the Shoe Option by the Initial Purchasers), and any Notes issued in exchange therefor or in substitution thereof, the later of (i) the Issue Date and (ii) the last date any Notes are originally issued pursuant to the exercise of the Shoe Option; and (B) with respect to any Notes issued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and any Notes issued in exchange therefor or in substitution thereof, either (i) the later of (x) the date such Notes are originally issued and</w:t>
      </w:r>
    </w:p>
    <w:p>
      <w:pPr>
        <w:spacing w:after="0" w:line="3" w:lineRule="exact"/>
        <w:rPr>
          <w:sz w:val="20"/>
          <w:szCs w:val="20"/>
          <w:color w:val="auto"/>
        </w:rPr>
      </w:pPr>
    </w:p>
    <w:p>
      <w:pPr>
        <w:jc w:val="both"/>
        <w:ind w:firstLine="8"/>
        <w:spacing w:after="0" w:line="255"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Liquidity Conditions</w:t>
      </w:r>
      <w:r>
        <w:rPr>
          <w:rFonts w:ascii="Times New Roman" w:cs="Times New Roman" w:eastAsia="Times New Roman" w:hAnsi="Times New Roman"/>
          <w:sz w:val="18"/>
          <w:szCs w:val="18"/>
          <w:color w:val="auto"/>
        </w:rPr>
        <w:t xml:space="preserve">” with respect to the Redemption of any Notes will be satisfied if each of the following has been satisfied as of the Redemption Notice Date for such Redemption and is reasonably expected to continue to be satisfied through at least the thirtieth (30th) calendar day after the Redemption Date for such Redemption: (A) the Company has satisfied the reporting conditions set forth in Rule 144(c) and Rule 144(i)(2) under the Securities Act; and (B) the shares of Common Stock, if any, issued or issuable upon conversion of the Notes are Freely Tradable;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Liquidity Conditions will also be deemed to be satisfied with respect to such Redemption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the Company has elected to settle all conversions of Notes with a Conversion Date that occurs during the related Redemption Conversion Period by Cash Settlement.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w:t>
      </w:r>
      <w:r>
        <w:rPr>
          <w:rFonts w:ascii="Times New Roman" w:cs="Times New Roman" w:eastAsia="Times New Roman" w:hAnsi="Times New Roman"/>
          <w:sz w:val="18"/>
          <w:szCs w:val="18"/>
          <w:color w:val="auto"/>
        </w:rPr>
        <w:t xml:space="preserve">” means (A) a Fundamental Change (determined after giving effect to the proviso immediately after </w:t>
      </w:r>
      <w:r>
        <w:rPr>
          <w:rFonts w:ascii="Times New Roman" w:cs="Times New Roman" w:eastAsia="Times New Roman" w:hAnsi="Times New Roman"/>
          <w:sz w:val="18"/>
          <w:szCs w:val="18"/>
          <w:b w:val="1"/>
          <w:bCs w:val="1"/>
          <w:color w:val="auto"/>
        </w:rPr>
        <w:t>clause</w:t>
      </w:r>
    </w:p>
    <w:p>
      <w:pPr>
        <w:spacing w:after="0" w:line="31" w:lineRule="exact"/>
        <w:rPr>
          <w:sz w:val="20"/>
          <w:szCs w:val="20"/>
          <w:color w:val="auto"/>
        </w:rPr>
      </w:pPr>
    </w:p>
    <w:p>
      <w:pPr>
        <w:jc w:val="both"/>
        <w:ind w:firstLine="8"/>
        <w:spacing w:after="0" w:line="253" w:lineRule="auto"/>
        <w:tabs>
          <w:tab w:leader="none" w:pos="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but without regard to the proviso to </w:t>
      </w:r>
      <w:r>
        <w:rPr>
          <w:rFonts w:ascii="Times New Roman" w:cs="Times New Roman" w:eastAsia="Times New Roman" w:hAnsi="Times New Roman"/>
          <w:sz w:val="18"/>
          <w:szCs w:val="18"/>
          <w:b w:val="1"/>
          <w:bCs w:val="1"/>
          <w:color w:val="auto"/>
        </w:rPr>
        <w:t>clause (B)(ii)</w:t>
      </w:r>
      <w:r>
        <w:rPr>
          <w:rFonts w:ascii="Times New Roman" w:cs="Times New Roman" w:eastAsia="Times New Roman" w:hAnsi="Times New Roman"/>
          <w:sz w:val="18"/>
          <w:szCs w:val="18"/>
          <w:color w:val="auto"/>
        </w:rPr>
        <w:t xml:space="preserve"> of such definition); or (B) the sending of a Redemption Notice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subject to</w:t>
      </w:r>
      <w:r>
        <w:rPr>
          <w:rFonts w:ascii="Times New Roman" w:cs="Times New Roman" w:eastAsia="Times New Roman" w:hAnsi="Times New Roman"/>
          <w:sz w:val="18"/>
          <w:szCs w:val="18"/>
          <w:b w:val="1"/>
          <w:bCs w:val="1"/>
          <w:color w:val="auto"/>
        </w:rPr>
        <w:t xml:space="preserve"> Section 4.03(J)</w:t>
      </w:r>
      <w:r>
        <w:rPr>
          <w:rFonts w:ascii="Times New Roman" w:cs="Times New Roman" w:eastAsia="Times New Roman" w:hAnsi="Times New Roman"/>
          <w:sz w:val="18"/>
          <w:szCs w:val="18"/>
          <w:color w:val="auto"/>
        </w:rPr>
        <w:t>, the sending of a Redemption Notice will constitute a Make-Whole Fundamental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Change only with respect to the Notes called (or deemed called pursuant to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for Redemption pursuant to such Redemption Notice and not with respect to any other Notes.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Conversion Period</w:t>
      </w:r>
      <w:r>
        <w:rPr>
          <w:rFonts w:ascii="Times New Roman" w:cs="Times New Roman" w:eastAsia="Times New Roman" w:hAnsi="Times New Roman"/>
          <w:sz w:val="18"/>
          <w:szCs w:val="18"/>
          <w:color w:val="auto"/>
        </w:rPr>
        <w:t>” has the following meaning: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in the case of a Make-Whole Fundamental Change pursuant to clause (A) of the definition thereof, the period from, and including, the Make-Whole Fundamental Change Effective Date of such Make-Whole Fundamental Change to, and including, the thirty-fifth (35th) Trading Day after such Make-Whole Fundamental Change Effective Date (or, if such Make-Whole Fundamental Change also constitutes a Fundamental Change (other than an Exempted Fundamental Change), to, but excluding, the related Fundamental Change Repurchase Date);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(B)            in the case of a Make-Whole Fundamental Change pursuant to clause (B) of the definition thereof, the related Redemption Conversion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Conversion Date for the conversion of a Note that is called (or deemed,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to be called)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Redemption occurs during the Make-Whole Fundamental Change Conversion Period for both a Make-Whole Fundamental Change occurring pursuant to </w:t>
      </w:r>
      <w:r>
        <w:rPr>
          <w:rFonts w:ascii="Times New Roman" w:cs="Times New Roman" w:eastAsia="Times New Roman" w:hAnsi="Times New Roman"/>
          <w:sz w:val="18"/>
          <w:szCs w:val="18"/>
          <w:b w:val="1"/>
          <w:bCs w:val="1"/>
          <w:color w:val="auto"/>
        </w:rPr>
        <w:t xml:space="preserve">clause (A) </w:t>
      </w:r>
      <w:r>
        <w:rPr>
          <w:rFonts w:ascii="Times New Roman" w:cs="Times New Roman" w:eastAsia="Times New Roman" w:hAnsi="Times New Roman"/>
          <w:sz w:val="18"/>
          <w:szCs w:val="18"/>
          <w:color w:val="auto"/>
        </w:rPr>
        <w:t>of the definition of “Make-Whole Fundamental Change” and a Make-Whole Fundamental Change resulting from such Redemption pursuant to</w:t>
      </w:r>
      <w:r>
        <w:rPr>
          <w:rFonts w:ascii="Times New Roman" w:cs="Times New Roman" w:eastAsia="Times New Roman" w:hAnsi="Times New Roman"/>
          <w:sz w:val="18"/>
          <w:szCs w:val="18"/>
          <w:b w:val="1"/>
          <w:bCs w:val="1"/>
          <w:color w:val="auto"/>
        </w:rPr>
        <w:t xml:space="preserve"> clause (B) </w:t>
      </w:r>
      <w:r>
        <w:rPr>
          <w:rFonts w:ascii="Times New Roman" w:cs="Times New Roman" w:eastAsia="Times New Roman" w:hAnsi="Times New Roman"/>
          <w:sz w:val="18"/>
          <w:szCs w:val="18"/>
          <w:color w:val="auto"/>
        </w:rPr>
        <w:t>of such definition, then, notwithstanding anything to the contrary in</w:t>
      </w:r>
      <w:r>
        <w:rPr>
          <w:rFonts w:ascii="Times New Roman" w:cs="Times New Roman" w:eastAsia="Times New Roman" w:hAnsi="Times New Roman"/>
          <w:sz w:val="18"/>
          <w:szCs w:val="18"/>
          <w:b w:val="1"/>
          <w:bCs w:val="1"/>
          <w:color w:val="auto"/>
        </w:rPr>
        <w:t xml:space="preserve"> Section 5.07</w:t>
      </w:r>
      <w:r>
        <w:rPr>
          <w:rFonts w:ascii="Times New Roman" w:cs="Times New Roman" w:eastAsia="Times New Roman" w:hAnsi="Times New Roman"/>
          <w:sz w:val="18"/>
          <w:szCs w:val="18"/>
          <w:color w:val="auto"/>
        </w:rPr>
        <w:t>, solely for purposes of such conversion, (x) such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Effective Date</w:t>
      </w:r>
      <w:r>
        <w:rPr>
          <w:rFonts w:ascii="Times New Roman" w:cs="Times New Roman" w:eastAsia="Times New Roman" w:hAnsi="Times New Roman"/>
          <w:sz w:val="18"/>
          <w:szCs w:val="18"/>
          <w:color w:val="auto"/>
        </w:rPr>
        <w:t xml:space="preserve">” means (A) with respect to a Make-Whole Fundamental Change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the date on which such Make-Whole Fundamental Change occurs or becomes effective; and (B) with respect to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the applicable Redemption Notice Date.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April 1, 2030.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Non-Affiliate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Agent</w:t>
      </w:r>
      <w:r>
        <w:rPr>
          <w:rFonts w:ascii="Times New Roman" w:cs="Times New Roman" w:eastAsia="Times New Roman" w:hAnsi="Times New Roman"/>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the 5.00% Convertible Senior Notes due 2030 issued by the Company pursuant to this Indenture.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xml:space="preserve">” means, with respect to any Note to be converted, (A)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below, if the Conversion Date for such Note occurs before January 1, 2030, the thirty (30) consecutive VWAP Trading Days beginning on, and including, the second (2nd) VWAP Trading Day immediately after such Conversion Date; (B) if such Conversion Date occurs during a Redemption Conversion Period, the thirty (30) consecutive VWAP Trading Days beginning on, and including, the thirty-first (31st) Scheduled Trading Day immediately before the related Redemption Date; and (C)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above, if such Conversion Date occurs on or after January 1, 2030, the thirty (30) consecutive VWAP Trading Days beginning on, and including, the thirty-first (31st) Scheduled Trading Day immediately before the Maturity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of Directors, the Chief Executive Officer, the President, the Chief Operating Officer, the Chief Financial Officer, the Treasurer, any Assistant Treasurer, the Controller, the Secretary or any Vice-President of the Company.</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that is signed on behalf of the Company by one (1) of its Officers and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xml:space="preserve">” means an opinion, from legal counsel (including an employee of, or counsel to, the Company or any of its Subsidiaries) reasonably acceptable to the Trustee, that meets the requirements of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subject to customary qualifications and exclusions.</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means Ayar Third Investment Company, the Public Investment Fund or any of their respective Affiliates. If any such Permitted Party is a natural person, “Permitted Party” shall include: (i) a Permitted Trust of such person that is solely for the benefit of (1) such person;</w:t>
      </w:r>
    </w:p>
    <w:p>
      <w:pPr>
        <w:spacing w:after="0" w:line="1" w:lineRule="exact"/>
        <w:rPr>
          <w:sz w:val="20"/>
          <w:szCs w:val="20"/>
          <w:color w:val="auto"/>
        </w:rPr>
      </w:pPr>
    </w:p>
    <w:p>
      <w:pPr>
        <w:jc w:val="both"/>
        <w:ind w:firstLine="8"/>
        <w:spacing w:after="0" w:line="255" w:lineRule="auto"/>
        <w:tabs>
          <w:tab w:leader="none" w:pos="2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Trust</w:t>
      </w:r>
      <w:r>
        <w:rPr>
          <w:rFonts w:ascii="Times New Roman" w:cs="Times New Roman" w:eastAsia="Times New Roman" w:hAnsi="Times New Roman"/>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w:t>
      </w:r>
      <w:r>
        <w:rPr>
          <w:rFonts w:ascii="Times New Roman" w:cs="Times New Roman" w:eastAsia="Times New Roman" w:hAnsi="Times New Roman"/>
          <w:sz w:val="18"/>
          <w:szCs w:val="18"/>
          <w:color w:val="auto"/>
        </w:rPr>
        <w:t xml:space="preserve">” means a Note (other than a Global Note) that is represented by a certificate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registered in the name of the Holder of such Note and duly executed by the Company and authenticated by the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April 2, 2025, between the Company and Citigroup Global Markets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BofA Securities, Inc., as representatives of the several Initial Purchasers.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means the repurchase of any Note by the Company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Conversion Period</w:t>
      </w:r>
      <w:r>
        <w:rPr>
          <w:rFonts w:ascii="Times New Roman" w:cs="Times New Roman" w:eastAsia="Times New Roman" w:hAnsi="Times New Roman"/>
          <w:sz w:val="18"/>
          <w:szCs w:val="18"/>
          <w:color w:val="auto"/>
        </w:rPr>
        <w:t>” means, with respect to any Redemption, the period from, and including, the related Redemption Notice Date until the Close of Business on the second (2nd) Scheduled Trading Day immediately before the related Redemption Date (or, if the Company fails to pay the Redemption Price due on such Redemption Date in full, until such time as the Company pays such Redemption Price in full).</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means the date fixed, pursuant to </w:t>
      </w:r>
      <w:r>
        <w:rPr>
          <w:rFonts w:ascii="Times New Roman" w:cs="Times New Roman" w:eastAsia="Times New Roman" w:hAnsi="Times New Roman"/>
          <w:sz w:val="18"/>
          <w:szCs w:val="18"/>
          <w:b w:val="1"/>
          <w:bCs w:val="1"/>
          <w:color w:val="auto"/>
        </w:rPr>
        <w:t>Section 4.03(E)</w:t>
      </w:r>
      <w:r>
        <w:rPr>
          <w:rFonts w:ascii="Times New Roman" w:cs="Times New Roman" w:eastAsia="Times New Roman" w:hAnsi="Times New Roman"/>
          <w:sz w:val="18"/>
          <w:szCs w:val="18"/>
          <w:color w:val="auto"/>
        </w:rPr>
        <w:t>, for the settlement of the repurchase of any Notes by the Company pursuant to a Redemption.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 Date</w:t>
      </w:r>
      <w:r>
        <w:rPr>
          <w:rFonts w:ascii="Times New Roman" w:cs="Times New Roman" w:eastAsia="Times New Roman" w:hAnsi="Times New Roman"/>
          <w:sz w:val="18"/>
          <w:szCs w:val="18"/>
          <w:color w:val="auto"/>
        </w:rPr>
        <w:t xml:space="preserve">” means, with respect to a Redemption, the date on which the Company sends the Redemption Notice for such Redemption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the cash price payable by the Company to redeem any Note upon its Redemption, calculated pursuant to Section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has the following meaning with respect to an Interest Payment Date: (A) if such Interest Payment Date occurs on April 1, the immediately preceding March 15; and (B) if such Interest Payment Date occurs on October 1, the immediately preceding September 15.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Repurchase Upon Fundamental Change</w:t>
      </w:r>
      <w:r>
        <w:rPr>
          <w:rFonts w:ascii="Times New Roman" w:cs="Times New Roman" w:eastAsia="Times New Roman" w:hAnsi="Times New Roman"/>
          <w:sz w:val="18"/>
          <w:szCs w:val="18"/>
          <w:color w:val="auto"/>
        </w:rPr>
        <w:t xml:space="preserve">” means the repurchase of any Note by the Company pursuant to Section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(A) any officer within the corporate trust department of the Trustee (or any successor group of the Trustee) or any other officer of the Trustee customarily performing functions similar to those performed by any of such officers; and (B) with respect to a particular corporate trust matter relating to this Indenture, any other officer to whom such matter is referred because of his or her knowledge of, and familiarity with, the particular subject and, in each case, who will have direct responsibility for the administration of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Note Legend</w:t>
      </w:r>
      <w:r>
        <w:rPr>
          <w:rFonts w:ascii="Times New Roman" w:cs="Times New Roman" w:eastAsia="Times New Roman" w:hAnsi="Times New Roman"/>
          <w:sz w:val="18"/>
          <w:szCs w:val="18"/>
          <w:color w:val="auto"/>
        </w:rPr>
        <w:t xml:space="preserve">” means a legend substantially in the form set forth in </w:t>
      </w:r>
      <w:r>
        <w:rPr>
          <w:rFonts w:ascii="Times New Roman" w:cs="Times New Roman" w:eastAsia="Times New Roman" w:hAnsi="Times New Roman"/>
          <w:sz w:val="18"/>
          <w:szCs w:val="18"/>
          <w:b w:val="1"/>
          <w:bCs w:val="1"/>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Legend</w:t>
      </w:r>
      <w:r>
        <w:rPr>
          <w:rFonts w:ascii="Times New Roman" w:cs="Times New Roman" w:eastAsia="Times New Roman" w:hAnsi="Times New Roman"/>
          <w:sz w:val="18"/>
          <w:szCs w:val="18"/>
          <w:color w:val="auto"/>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12b-25</w:t>
      </w:r>
      <w:r>
        <w:rPr>
          <w:rFonts w:ascii="Times New Roman" w:cs="Times New Roman" w:eastAsia="Times New Roman" w:hAnsi="Times New Roman"/>
          <w:sz w:val="18"/>
          <w:szCs w:val="18"/>
          <w:color w:val="auto"/>
        </w:rPr>
        <w:t>” means Rule 12b-25 under the Exchange Act (or any successor rule thereto), as the same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under the Securities Act (or any successor rule thereto), as the same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under the Securities Act (or any successor rule thereto), as the same may be amended from time to time.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means any Note or Conversion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Cash Settlement, Physical Settlement or Combination Settlement.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Shoe Option</w:t>
      </w:r>
      <w:r>
        <w:rPr>
          <w:rFonts w:ascii="Times New Roman" w:cs="Times New Roman" w:eastAsia="Times New Roman" w:hAnsi="Times New Roman"/>
          <w:sz w:val="18"/>
          <w:szCs w:val="18"/>
          <w:color w:val="auto"/>
        </w:rPr>
        <w:t>” means the Initial Purchasers’ option to purchase up to one hundred million dollars ($100,000,000) aggregate principal amount of additional Notes as provided for in the Purchase Agreement, which option was exercised in full by the Initial Purchasers for settlement on the date hereof.</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with respect to any Person, any Subsidiary of such Person that constitutes a “significant subsidiary” (as defined in Rule 1-02(w) of Regulation S-X under the Exchange Act)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 Subsidiary that meets the criteria of clause (1)(iii) of the definition thereof, but not clause (1)(i) or (1)(ii) thereof, such Subsidiary will not be deemed to be a Significant Subsidiary of such Person unless the Subsidiary’s income or loss from continuing operations before income taxes (after intercompany eliminations) for the most recently completed fiscal year prior to the date of such determination exceeds fifty million dollars ($50,000,000) (with such amount calculated pursuant to such rule). For purposes of this definition, Rule 1-02(w) of Regulation S-X refers to such rule as in effect on the Issue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Interest</w:t>
      </w:r>
      <w:r>
        <w:rPr>
          <w:rFonts w:ascii="Times New Roman" w:cs="Times New Roman" w:eastAsia="Times New Roman" w:hAnsi="Times New Roman"/>
          <w:sz w:val="18"/>
          <w:szCs w:val="18"/>
          <w:color w:val="auto"/>
        </w:rPr>
        <w:t xml:space="preserve">” means any interest that accrues on any Note pursuant to Section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with respect to the conversion of a Note to which Combination Settlement applies, the maximum cash amount per $1,000 principal amount of such Note deliverable upon such conversion (excluding cash in lieu of any fractional share of Common Stock).</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 w:cs="Times New Roman" w:eastAsia="Times New Roman" w:hAnsi="Times New Roman"/>
          <w:sz w:val="18"/>
          <w:szCs w:val="18"/>
          <w:b w:val="1"/>
          <w:bCs w:val="1"/>
          <w:color w:val="auto"/>
        </w:rPr>
        <w:t xml:space="preserve">clause (B) </w:t>
      </w:r>
      <w:r>
        <w:rPr>
          <w:rFonts w:ascii="Times New Roman" w:cs="Times New Roman" w:eastAsia="Times New Roman" w:hAnsi="Times New Roman"/>
          <w:sz w:val="18"/>
          <w:szCs w:val="18"/>
          <w:color w:val="auto"/>
        </w:rPr>
        <w:t>of the definition of “Fundamental Change,” then the Stock Price is the amount of cash paid per share of Common Stock in such Make-Whole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Change; and (B) in all other cases, the Stock Price is the average of the Last Reported Sale Prices per share of Common Stock for the five</w:t>
      </w:r>
    </w:p>
    <w:p>
      <w:pPr>
        <w:spacing w:after="0" w:line="3" w:lineRule="exact"/>
        <w:rPr>
          <w:sz w:val="20"/>
          <w:szCs w:val="20"/>
          <w:color w:val="auto"/>
        </w:rPr>
      </w:pPr>
    </w:p>
    <w:p>
      <w:pPr>
        <w:ind w:right="20" w:firstLine="8"/>
        <w:spacing w:after="0" w:line="260"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ending on, and including, the Trading Day immediately before the Make-Whole Fundamental Change Effective Date of such Make-Whole Fundamental Change.</w:t>
      </w:r>
    </w:p>
    <w:p>
      <w:pPr>
        <w:spacing w:after="0" w:line="39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Trading Day means the average of the secondary market bid quotations, expressed as a cash amount per $1,000 principal amount of Notes, obtained by the Bid Solicitation Agent for two million dollars ($2,000,000)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two million dollars ($2,000,000)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Transfer-Restricted Security</w:t>
      </w:r>
      <w:r>
        <w:rPr>
          <w:rFonts w:ascii="Times New Roman" w:cs="Times New Roman" w:eastAsia="Times New Roman" w:hAnsi="Times New Roman"/>
          <w:sz w:val="18"/>
          <w:szCs w:val="18"/>
          <w:color w:val="auto"/>
        </w:rPr>
        <w:t xml:space="preserve">” means any Security that constitutes a “restricted security” (as defined in Rule 144);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will cease to be a Transfer-Restricted Security upon the earliest to occur of the following events: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such Security is sold or otherwise transferred to a Person (other than the Company or an Affiliate of the Company or a Person that was an Affiliate of the Company in the three months immediately preceding) pursuant to a registration statement that was effective under the Securities Act at the time of such sale or transfer;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such Security is sold or otherwise transferred to a Person (other than the Company or an Affiliate of the Company or a Person that was an Affiliate of the Company in the three months immediately preceding)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under no obligation to determine whether any Security is a Transfer-Restricted Security and may conclusively rely on an Officer’s Certificate with respect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means the U.S. Trust Indenture Act of 1939,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the Person named as such in the first paragraph of this Indenture until a successor replaces it in accordance with the provisions of this Indenture and, thereafter, means such successor.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1.02.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8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Defined in</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Section</w:t>
            </w:r>
          </w:p>
        </w:tc>
      </w:tr>
      <w:tr>
        <w:trPr>
          <w:trHeight w:val="187"/>
        </w:trPr>
        <w:tc>
          <w:tcPr>
            <w:tcW w:w="87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5.07(A)</w:t>
            </w:r>
          </w:p>
        </w:tc>
        <w:tc>
          <w:tcPr>
            <w:tcW w:w="20" w:type="dxa"/>
            <w:vAlign w:val="bottom"/>
          </w:tcPr>
          <w:p>
            <w:pPr>
              <w:spacing w:after="0"/>
              <w:rPr>
                <w:sz w:val="16"/>
                <w:szCs w:val="16"/>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6.01(A)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5.03(B)</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2.05(B)</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7.01(A)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4.02(E)</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4.02(A)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5.01(C)(i)(2)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4.03(C)</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5.03(A)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4.03(G)</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2.06(B)</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7.03(A)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11.07</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5.05(A)(iii)(2)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5.05(A)(iii)(2)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6.01(A)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5.09(A)</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5.05(A)(v)</w:t>
            </w:r>
          </w:p>
        </w:tc>
      </w:tr>
      <w:tr>
        <w:trPr>
          <w:trHeight w:val="238"/>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5.01(C)(i)(2)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1.03. R</w:t>
      </w:r>
      <w:r>
        <w:rPr>
          <w:rFonts w:ascii="Times New Roman" w:cs="Times New Roman" w:eastAsia="Times New Roman" w:hAnsi="Times New Roman"/>
          <w:sz w:val="12"/>
          <w:szCs w:val="12"/>
          <w:b w:val="1"/>
          <w:bCs w:val="1"/>
          <w:color w:val="auto"/>
        </w:rPr>
        <w:t>ules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onstruction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“or” is not exclusive;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“including” means “including without limitation”;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“will” expresses a command;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(D)            the “average” of a set of numerical values refers to the arithmetic average of such numerical values;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words in the singular include the plural and in the plural include the singular, unless the context requires otherwise;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“herein,” “hereof” and other words of similar import refer to this Indenture as a whole and not to any particular Article, Section or other subdivision of this Indenture, unless the context requires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references to currency mean the lawful currency of the United States of America, unless the context requires otherwise;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the exhibits, schedules and other attachments to this Indenture are deemed to form part of this Indenture; and</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(J)            the term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when used with respect to a Note, includes any Additional Interest, Default Interest and Special Interest, unless the context requires otherwise.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2.01. 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ating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enominations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will be substantially in the form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Notes will bear the legends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and may bear notations, legends or endorsements required by law, stock exchange rule or usage or the Depositary. Each Note will be dated as of the date of its authentication.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be issuable only in registered form without interest coupons and only in Authorized Denominations.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certificate representing a Note will bear a unique registration number that is not affixed to any other certificate representing another outstanding Note.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that any provision of any Note conflicts with the provisions of this Indenture, the provisions of this Indenture will control for purposes of this Indenture and such Note.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Section 2.02. 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2"/>
          <w:szCs w:val="12"/>
          <w:b w:val="1"/>
          <w:bCs w:val="1"/>
          <w:color w:val="auto"/>
        </w:rPr>
        <w:t>uthentication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elivery</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Due Execution by the Company</w:t>
      </w:r>
      <w:r>
        <w:rPr>
          <w:rFonts w:ascii="Times New Roman" w:cs="Times New Roman" w:eastAsia="Times New Roman" w:hAnsi="Times New Roman"/>
          <w:sz w:val="18"/>
          <w:szCs w:val="18"/>
          <w:color w:val="auto"/>
        </w:rPr>
        <w:t>. At least one (1) duly authorized Officer will sign the Notes on behalf of the Company by manual, facsimile or other electronic signature. A Note’s validity will not be affected by the failure of any Officer whose signature is on any Note to hold, at the time such Note is authenticated, the same or any other office at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Authentication by the Trustee and Delivery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 w:cs="Times New Roman" w:eastAsia="Times New Roman" w:hAnsi="Times New Roman"/>
          <w:sz w:val="18"/>
          <w:szCs w:val="18"/>
          <w:b w:val="1"/>
          <w:bCs w:val="1"/>
          <w:color w:val="auto"/>
        </w:rPr>
        <w:t>Section 2.02(A)</w:t>
      </w:r>
      <w:r>
        <w:rPr>
          <w:rFonts w:ascii="Times New Roman" w:cs="Times New Roman" w:eastAsia="Times New Roman" w:hAnsi="Times New Roman"/>
          <w:sz w:val="18"/>
          <w:szCs w:val="18"/>
          <w:color w:val="auto"/>
        </w:rPr>
        <w:t>; and (3) the Company delivers a Company Order to the Trustee that (a) requests the Trustee to authenticate such Note; and (b) sets forth the name of the Holder of such Note and the date as of which such Note is to be authenticated. If such Company Order also requests the Trustee to deliver such Note to any Holder or to the Depositary, then the Trustee will promptly deliver such Note in accordance with such Company Order.</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authenticating agent was validly appointed to undertake.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I</w:t>
      </w:r>
      <w:r>
        <w:rPr>
          <w:rFonts w:ascii="Times New Roman" w:cs="Times New Roman" w:eastAsia="Times New Roman" w:hAnsi="Times New Roman"/>
          <w:sz w:val="12"/>
          <w:szCs w:val="12"/>
          <w:b w:val="1"/>
          <w:bCs w:val="1"/>
          <w:color w:val="auto"/>
        </w:rPr>
        <w:t>nitial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Initial Notes</w:t>
      </w:r>
      <w:r>
        <w:rPr>
          <w:rFonts w:ascii="Times New Roman" w:cs="Times New Roman" w:eastAsia="Times New Roman" w:hAnsi="Times New Roman"/>
          <w:sz w:val="18"/>
          <w:szCs w:val="18"/>
          <w:color w:val="auto"/>
        </w:rPr>
        <w:t xml:space="preserve">. On the Issue Date, there will be originally issued one billion one hundred million dollars ($1,100,000,000) aggregate principal amount of Notes, subject to the provisions of this Indenture (including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Notes issued pursuant to this </w:t>
      </w:r>
      <w:r>
        <w:rPr>
          <w:rFonts w:ascii="Times New Roman" w:cs="Times New Roman" w:eastAsia="Times New Roman" w:hAnsi="Times New Roman"/>
          <w:sz w:val="18"/>
          <w:szCs w:val="18"/>
          <w:b w:val="1"/>
          <w:bCs w:val="1"/>
          <w:color w:val="auto"/>
        </w:rPr>
        <w:t>Section 2.03(A)</w:t>
      </w:r>
      <w:r>
        <w:rPr>
          <w:rFonts w:ascii="Times New Roman" w:cs="Times New Roman" w:eastAsia="Times New Roman" w:hAnsi="Times New Roman"/>
          <w:sz w:val="18"/>
          <w:szCs w:val="18"/>
          <w:color w:val="auto"/>
        </w:rPr>
        <w:t>, and any Notes issued in exchange therefor or in substitution thereof, are referred to in this Indenture as the “</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xml:space="preserve">. Without the consent of any Holder, the Company may, subject to the provisions of this Indenture (including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originally issue additional Notes with the same terms as the Initial Notes (except, to the extent applicable, with respect to the date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interest begins to accrue on such additional Notes, the first Interest Payment Date of such additional Notes, the Last Original Issue Date of such additional Notes and transfer restrictions applicable to such additional Notes), which additional Notes will, subject to the foregoing, be considered to be part of the same series of, and rank equally and ratably with all other, Notes issued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such additional Notes are not fungible with other Notes issued under this Indenture for U.S. federal income tax or U.S. federal securities law purposes, then such additional Notes will be identified by one or more separate CUSIP numbers or by no CUSIP number.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Section 2.04. M</w:t>
      </w:r>
      <w:r>
        <w:rPr>
          <w:rFonts w:ascii="Times New Roman" w:cs="Times New Roman" w:eastAsia="Times New Roman" w:hAnsi="Times New Roman"/>
          <w:sz w:val="12"/>
          <w:szCs w:val="12"/>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specified in such request,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2.05. A</w:t>
      </w:r>
      <w:r>
        <w:rPr>
          <w:rFonts w:ascii="Times New Roman" w:cs="Times New Roman" w:eastAsia="Times New Roman" w:hAnsi="Times New Roman"/>
          <w:sz w:val="12"/>
          <w:szCs w:val="12"/>
          <w:b w:val="1"/>
          <w:bCs w:val="1"/>
          <w:color w:val="auto"/>
        </w:rPr>
        <w:t>ccrual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efaulted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mounts</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Accrual of Interest</w:t>
      </w:r>
      <w:r>
        <w:rPr>
          <w:rFonts w:ascii="Times New Roman" w:cs="Times New Roman" w:eastAsia="Times New Roman" w:hAnsi="Times New Roman"/>
          <w:sz w:val="18"/>
          <w:szCs w:val="18"/>
          <w:color w:val="auto"/>
        </w:rPr>
        <w:t>. Each Note will accrue interest at a rate per annum equal to 5.00%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plus any Default Interest, Additional Interest and Special Interest that may accrue pursuant to </w:t>
      </w:r>
      <w:r>
        <w:rPr>
          <w:rFonts w:ascii="Times New Roman" w:cs="Times New Roman" w:eastAsia="Times New Roman" w:hAnsi="Times New Roman"/>
          <w:sz w:val="18"/>
          <w:szCs w:val="18"/>
          <w:b w:val="1"/>
          <w:bCs w:val="1"/>
          <w:color w:val="auto"/>
        </w:rPr>
        <w:t>Sections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7.03</w:t>
      </w:r>
      <w:r>
        <w:rPr>
          <w:rFonts w:ascii="Times New Roman" w:cs="Times New Roman" w:eastAsia="Times New Roman" w:hAnsi="Times New Roman"/>
          <w:sz w:val="18"/>
          <w:szCs w:val="18"/>
          <w:color w:val="auto"/>
        </w:rPr>
        <w:t>, respectively. Stated Interest on each Note will</w:t>
      </w:r>
    </w:p>
    <w:p>
      <w:pPr>
        <w:spacing w:after="0" w:line="1" w:lineRule="exact"/>
        <w:rPr>
          <w:sz w:val="20"/>
          <w:szCs w:val="20"/>
          <w:color w:val="auto"/>
        </w:rPr>
      </w:pPr>
    </w:p>
    <w:p>
      <w:pPr>
        <w:jc w:val="both"/>
        <w:ind w:firstLine="8"/>
        <w:spacing w:after="0" w:line="252"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5.02(D) </w:t>
      </w:r>
      <w:r>
        <w:rPr>
          <w:rFonts w:ascii="Times New Roman" w:cs="Times New Roman" w:eastAsia="Times New Roman" w:hAnsi="Times New Roman"/>
          <w:sz w:val="18"/>
          <w:szCs w:val="18"/>
          <w:color w:val="auto"/>
        </w:rPr>
        <w:t>(but without duplication of any payment of interest), payable semi-annually in arrears on each Interest Payment Date, beginning on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Defaulted Amounts</w:t>
      </w:r>
      <w:r>
        <w:rPr>
          <w:rFonts w:ascii="Times New Roman" w:cs="Times New Roman" w:eastAsia="Times New Roman" w:hAnsi="Times New Roman"/>
          <w:sz w:val="17"/>
          <w:szCs w:val="17"/>
          <w:color w:val="auto"/>
        </w:rPr>
        <w:t>. If the Company fails to pay any amount (a “</w:t>
      </w:r>
      <w:r>
        <w:rPr>
          <w:rFonts w:ascii="Times New Roman" w:cs="Times New Roman" w:eastAsia="Times New Roman" w:hAnsi="Times New Roman"/>
          <w:sz w:val="17"/>
          <w:szCs w:val="17"/>
          <w:b w:val="1"/>
          <w:bCs w:val="1"/>
          <w:color w:val="auto"/>
        </w:rPr>
        <w:t>Defaulted Amount</w:t>
      </w:r>
      <w:r>
        <w:rPr>
          <w:rFonts w:ascii="Times New Roman" w:cs="Times New Roman" w:eastAsia="Times New Roman" w:hAnsi="Times New Roman"/>
          <w:sz w:val="17"/>
          <w:szCs w:val="17"/>
          <w:color w:val="auto"/>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 w:cs="Times New Roman" w:eastAsia="Times New Roman" w:hAnsi="Times New Roman"/>
          <w:sz w:val="17"/>
          <w:szCs w:val="17"/>
          <w:b w:val="1"/>
          <w:bCs w:val="1"/>
          <w:color w:val="auto"/>
        </w:rPr>
        <w:t>Default Interest</w:t>
      </w:r>
      <w:r>
        <w:rPr>
          <w:rFonts w:ascii="Times New Roman" w:cs="Times New Roman" w:eastAsia="Times New Roman" w:hAnsi="Times New Roman"/>
          <w:sz w:val="17"/>
          <w:szCs w:val="17"/>
          <w:color w:val="auto"/>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 For the avoidance of doubt, if any Defaulted Amounts, together with any Default Interest thereon, are paid to Holders in accordance with the terms of this Indenture prior to (i) the expiration of any applicable grace period with</w:t>
      </w:r>
    </w:p>
    <w:p>
      <w:pPr>
        <w:spacing w:after="0" w:line="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respect to the Default in the relevant payment as set forth in </w:t>
      </w:r>
      <w:r>
        <w:rPr>
          <w:rFonts w:ascii="Times New Roman" w:cs="Times New Roman" w:eastAsia="Times New Roman" w:hAnsi="Times New Roman"/>
          <w:sz w:val="18"/>
          <w:szCs w:val="18"/>
          <w:b w:val="1"/>
          <w:bCs w:val="1"/>
          <w:color w:val="auto"/>
        </w:rPr>
        <w:t>Section‎ 7.01</w:t>
      </w:r>
      <w:r>
        <w:rPr>
          <w:rFonts w:ascii="Times New Roman" w:cs="Times New Roman" w:eastAsia="Times New Roman" w:hAnsi="Times New Roman"/>
          <w:sz w:val="18"/>
          <w:szCs w:val="18"/>
          <w:color w:val="auto"/>
        </w:rPr>
        <w:t xml:space="preserve"> or (ii) if later, the delivery of any notice of acceleration pursuant to </w:t>
      </w:r>
      <w:r>
        <w:rPr>
          <w:rFonts w:ascii="Times New Roman" w:cs="Times New Roman" w:eastAsia="Times New Roman" w:hAnsi="Times New Roman"/>
          <w:sz w:val="18"/>
          <w:szCs w:val="18"/>
          <w:b w:val="1"/>
          <w:bCs w:val="1"/>
          <w:color w:val="auto"/>
        </w:rPr>
        <w:t xml:space="preserve">Section 7.02(B) </w:t>
      </w:r>
      <w:r>
        <w:rPr>
          <w:rFonts w:ascii="Times New Roman" w:cs="Times New Roman" w:eastAsia="Times New Roman" w:hAnsi="Times New Roman"/>
          <w:sz w:val="18"/>
          <w:szCs w:val="18"/>
          <w:color w:val="auto"/>
        </w:rPr>
        <w:t>with respect to the Event of Default relating to such Default in the relevant payment, such Default or Event of Default pursuant to</w:t>
      </w:r>
      <w:r>
        <w:rPr>
          <w:rFonts w:ascii="Times New Roman" w:cs="Times New Roman" w:eastAsia="Times New Roman" w:hAnsi="Times New Roman"/>
          <w:sz w:val="18"/>
          <w:szCs w:val="18"/>
          <w:b w:val="1"/>
          <w:bCs w:val="1"/>
          <w:color w:val="auto"/>
        </w:rPr>
        <w:t xml:space="preserve"> Section 7.02(B) </w:t>
      </w:r>
      <w:r>
        <w:rPr>
          <w:rFonts w:ascii="Times New Roman" w:cs="Times New Roman" w:eastAsia="Times New Roman" w:hAnsi="Times New Roman"/>
          <w:sz w:val="18"/>
          <w:szCs w:val="18"/>
          <w:color w:val="auto"/>
        </w:rPr>
        <w:t>shall be deemed cured and the Notes shall not be subject to acceleration pursuant to</w:t>
      </w:r>
      <w:r>
        <w:rPr>
          <w:rFonts w:ascii="Times New Roman" w:cs="Times New Roman" w:eastAsia="Times New Roman" w:hAnsi="Times New Roman"/>
          <w:sz w:val="18"/>
          <w:szCs w:val="18"/>
          <w:b w:val="1"/>
          <w:bCs w:val="1"/>
          <w:color w:val="auto"/>
        </w:rPr>
        <w:t xml:space="preserve"> ‎Section 7.02 </w:t>
      </w:r>
      <w:r>
        <w:rPr>
          <w:rFonts w:ascii="Times New Roman" w:cs="Times New Roman" w:eastAsia="Times New Roman" w:hAnsi="Times New Roman"/>
          <w:sz w:val="18"/>
          <w:szCs w:val="18"/>
          <w:color w:val="auto"/>
        </w:rPr>
        <w:t>on account of such Default or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w:t>
      </w:r>
    </w:p>
    <w:p>
      <w:pPr>
        <w:spacing w:after="0" w:line="4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a Note as provided in this Indenture is not a 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2.06. R</w:t>
      </w:r>
      <w:r>
        <w:rPr>
          <w:rFonts w:ascii="Times New Roman" w:cs="Times New Roman" w:eastAsia="Times New Roman" w:hAnsi="Times New Roman"/>
          <w:sz w:val="12"/>
          <w:szCs w:val="12"/>
          <w:b w:val="1"/>
          <w:bCs w:val="1"/>
          <w:color w:val="auto"/>
        </w:rPr>
        <w:t>egistrar</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maintain (i) an office or agency in the continental United States where Notes may be presented for registration of transfer or for exchange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(ii) an office or agency in the continental United States where Notes may be presented for payment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(iii) an office or agency in the continental United States where Notes may be presented for conversion (the “</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If the Company fails to maintain a Registrar, Paying Agent or Conversion Agent, then the Trustee will act as such and will be entitled to receive compensation therefor in accordance with this Indenture and any other agreement between the Trustee and the Company. For the avoidance of doubt, the Company or any of its Subsidiaries may act as Registrar, Paying Agent or Conversion Agent without prior notice to Holders. Any notice to be given to the Paying Agent or the Conversion Agent under this Indenture shall be deemed delivered to such agent if the Trustee is acting as such agent and such notice has been provided to the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Duties of the Registrar</w:t>
      </w:r>
      <w:r>
        <w:rPr>
          <w:rFonts w:ascii="Times New Roman" w:cs="Times New Roman" w:eastAsia="Times New Roman" w:hAnsi="Times New Roman"/>
          <w:sz w:val="18"/>
          <w:szCs w:val="18"/>
          <w:color w:val="auto"/>
        </w:rPr>
        <w:t>. The Registrar will keep a record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Co-Agents; Company’s Right to Appoint Successor Registrars, Paying Agents and Conversion Agents</w:t>
      </w:r>
      <w:r>
        <w:rPr>
          <w:rFonts w:ascii="Times New Roman" w:cs="Times New Roman" w:eastAsia="Times New Roman" w:hAnsi="Times New Roman"/>
          <w:sz w:val="18"/>
          <w:szCs w:val="18"/>
          <w:color w:val="auto"/>
        </w:rPr>
        <w:t xml:space="preserve">. The Company may appoint one or more co-Registrars, co-Paying Agents and co-Conversion Agents, each of whom will be deemed to be a Registrar, Paying Agent or Conversion Agent, as applicable, under this Indenture. Subject to </w:t>
      </w:r>
      <w:r>
        <w:rPr>
          <w:rFonts w:ascii="Times New Roman" w:cs="Times New Roman" w:eastAsia="Times New Roman" w:hAnsi="Times New Roman"/>
          <w:sz w:val="18"/>
          <w:szCs w:val="18"/>
          <w:b w:val="1"/>
          <w:bCs w:val="1"/>
          <w:color w:val="auto"/>
        </w:rPr>
        <w:t>Section 2.06(A)</w:t>
      </w:r>
      <w:r>
        <w:rPr>
          <w:rFonts w:ascii="Times New Roman" w:cs="Times New Roman" w:eastAsia="Times New Roman" w:hAnsi="Times New Roman"/>
          <w:sz w:val="18"/>
          <w:szCs w:val="18"/>
          <w:color w:val="auto"/>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Initial Appointments</w:t>
      </w:r>
      <w:r>
        <w:rPr>
          <w:rFonts w:ascii="Times New Roman" w:cs="Times New Roman" w:eastAsia="Times New Roman" w:hAnsi="Times New Roman"/>
          <w:sz w:val="18"/>
          <w:szCs w:val="18"/>
          <w:color w:val="auto"/>
        </w:rPr>
        <w:t>. The Company appoints the Trustee as (and the Trustee’s office in the continental United States as the location of) the initial Paying Agent, the initial Registrar and the initial Conversion Agent.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2.07. 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to</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roperty 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w:t>
      </w:r>
    </w:p>
    <w:p>
      <w:pPr>
        <w:jc w:val="both"/>
        <w:ind w:firstLine="8"/>
        <w:spacing w:after="0" w:line="251" w:lineRule="auto"/>
        <w:tabs>
          <w:tab w:leader="none" w:pos="2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with respect to the Company (or with respect to any Subsidiary of the Company acting as Paying Agent or Conversion Agent), the Trustee will serve as the Paying Agent or Conversion Agent, as applicable, for the Notes.</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Section 2.08. H</w:t>
      </w:r>
      <w:r>
        <w:rPr>
          <w:rFonts w:ascii="Times New Roman" w:cs="Times New Roman" w:eastAsia="Times New Roman" w:hAnsi="Times New Roman"/>
          <w:sz w:val="12"/>
          <w:szCs w:val="12"/>
          <w:b w:val="1"/>
          <w:bCs w:val="1"/>
          <w:color w:val="auto"/>
        </w:rPr>
        <w:t>older</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is not the Registrar,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L</w:t>
      </w:r>
      <w:r>
        <w:rPr>
          <w:rFonts w:ascii="Times New Roman" w:cs="Times New Roman" w:eastAsia="Times New Roman" w:hAnsi="Times New Roman"/>
          <w:sz w:val="12"/>
          <w:szCs w:val="12"/>
          <w:b w:val="1"/>
          <w:bCs w:val="1"/>
          <w:color w:val="auto"/>
        </w:rPr>
        <w:t>egends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the Global Note Legend (or any similar legend, not inconsistent with this Indenture, required by the Depositary for such Global Note).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Non-Affiliate Legend</w:t>
      </w:r>
      <w:r>
        <w:rPr>
          <w:rFonts w:ascii="Times New Roman" w:cs="Times New Roman" w:eastAsia="Times New Roman" w:hAnsi="Times New Roman"/>
          <w:sz w:val="18"/>
          <w:szCs w:val="18"/>
          <w:color w:val="auto"/>
        </w:rPr>
        <w:t>. Each Note will bear the Non-Affiliate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Restricted Note Legend</w:t>
      </w:r>
      <w:r>
        <w:rPr>
          <w:rFonts w:ascii="Times New Roman" w:cs="Times New Roman" w:eastAsia="Times New Roman" w:hAnsi="Times New Roman"/>
          <w:sz w:val="18"/>
          <w:szCs w:val="18"/>
          <w:color w:val="auto"/>
        </w:rPr>
        <w:t>. Subject to the other provisions of this Indenture,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each Note that is a Transfer-Restricted Security will bear the Restricted Note Legend; and</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if a Note is issued in exchange for, in substitution of, or to effect a partial conversion of, another Note (such other Note being referred to as the “old Note” for purposes of this </w:t>
      </w:r>
      <w:r>
        <w:rPr>
          <w:rFonts w:ascii="Times New Roman" w:cs="Times New Roman" w:eastAsia="Times New Roman" w:hAnsi="Times New Roman"/>
          <w:sz w:val="18"/>
          <w:szCs w:val="18"/>
          <w:b w:val="1"/>
          <w:bCs w:val="1"/>
          <w:color w:val="auto"/>
        </w:rPr>
        <w:t>Section 2.09(C)(ii)</w:t>
      </w:r>
      <w:r>
        <w:rPr>
          <w:rFonts w:ascii="Times New Roman" w:cs="Times New Roman" w:eastAsia="Times New Roman" w:hAnsi="Times New Roman"/>
          <w:sz w:val="18"/>
          <w:szCs w:val="18"/>
          <w:color w:val="auto"/>
        </w:rPr>
        <w:t xml:space="preserve">), including pursuant to Section </w:t>
      </w:r>
      <w:r>
        <w:rPr>
          <w:rFonts w:ascii="Times New Roman" w:cs="Times New Roman" w:eastAsia="Times New Roman" w:hAnsi="Times New Roman"/>
          <w:sz w:val="18"/>
          <w:szCs w:val="18"/>
          <w:b w:val="1"/>
          <w:bCs w:val="1"/>
          <w:color w:val="auto"/>
        </w:rPr>
        <w:t>2.10(B)</w:t>
      </w:r>
      <w:r>
        <w:rPr>
          <w:rFonts w:ascii="Times New Roman" w:cs="Times New Roman" w:eastAsia="Times New Roman" w:hAnsi="Times New Roman"/>
          <w:sz w:val="18"/>
          <w:szCs w:val="18"/>
          <w:color w:val="auto"/>
        </w:rPr>
        <w:t>, 2.10</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color w:val="auto"/>
        </w:rPr>
        <w:t xml:space="preserve">, then such Note will bear the Restricted Note Legend if such old Note bore the Restricted Note Legend at the time of such exchange or substitution, or on the related Conversion Date with respect to such conversion,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Note need not bear the Restricted Note Legend if such Note does not constitute a Transfer-Restricted Security immediately after such exchange or substitution, or as of such Conversion Date, as applicable.</w:t>
      </w:r>
    </w:p>
    <w:p>
      <w:pPr>
        <w:spacing w:after="0" w:line="18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Other Legends</w:t>
      </w:r>
      <w:r>
        <w:rPr>
          <w:rFonts w:ascii="Times New Roman" w:cs="Times New Roman" w:eastAsia="Times New Roman" w:hAnsi="Times New Roman"/>
          <w:sz w:val="18"/>
          <w:szCs w:val="18"/>
          <w:color w:val="auto"/>
        </w:rPr>
        <w:t>. A Note may bear any other legend or text, not inconsistent with this Indenture, as may be required by applicable law or by any securities exchange or automated quotation system on which such Note is traded or quoted.</w:t>
      </w:r>
    </w:p>
    <w:p>
      <w:pPr>
        <w:spacing w:after="0" w:line="15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Acknowledgment and Agreement by the Holders</w:t>
      </w:r>
      <w:r>
        <w:rPr>
          <w:rFonts w:ascii="Times New Roman" w:cs="Times New Roman" w:eastAsia="Times New Roman" w:hAnsi="Times New Roman"/>
          <w:sz w:val="18"/>
          <w:szCs w:val="18"/>
          <w:color w:val="auto"/>
        </w:rPr>
        <w:t xml:space="preserve">. A Holder’s acceptance of any Note bearing any legend required by this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will constitute such Holder’s acknowledgment of, and agreement to comply with, the restrictions set forth in such legend.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Restricted Stock Legend</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Conversion Share need not bear the Restricted Stock Legend if the Company determines, in its reasonable discretion,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Share need not bear the Restricted Stock Legend.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(ii)            Notwithstanding anything to the contrary in this </w:t>
      </w:r>
      <w:r>
        <w:rPr>
          <w:rFonts w:ascii="Times New Roman" w:cs="Times New Roman" w:eastAsia="Times New Roman" w:hAnsi="Times New Roman"/>
          <w:sz w:val="18"/>
          <w:szCs w:val="18"/>
          <w:b w:val="1"/>
          <w:bCs w:val="1"/>
          <w:color w:val="auto"/>
        </w:rPr>
        <w:t>Section 2.09(F)</w:t>
      </w:r>
      <w:r>
        <w:rPr>
          <w:rFonts w:ascii="Times New Roman" w:cs="Times New Roman" w:eastAsia="Times New Roman" w:hAnsi="Times New Roman"/>
          <w:sz w:val="18"/>
          <w:szCs w:val="18"/>
          <w:color w:val="auto"/>
        </w:rPr>
        <w:t xml:space="preserve">, a Conversion Share need not bear a Restricted Stock Legend if such Conversion Share is issued in an uncertificated form that does not permit affixing legends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Company takes measures (including the assignment thereto of a “restricted” CUSIP number) that it reasonably deems appropriate to enforce the transfer restrictions referred to in the Restricted Stock Legend.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T</w:t>
      </w:r>
      <w:r>
        <w:rPr>
          <w:rFonts w:ascii="Times New Roman" w:cs="Times New Roman" w:eastAsia="Times New Roman" w:hAnsi="Times New Roman"/>
          <w:sz w:val="12"/>
          <w:szCs w:val="12"/>
          <w:b w:val="1"/>
          <w:bCs w:val="1"/>
          <w:color w:val="auto"/>
        </w:rPr>
        <w:t>ransfers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ransfer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estrictions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Provisions Applicable to All Transfers and Exchanges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60" w:firstLine="648"/>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Subject to this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Physical Notes and beneficial interests in Global Notes may be transferred or exchanged from time to time and the Registrar will record each such transfer or exchange in the Register.</w:t>
      </w:r>
    </w:p>
    <w:p>
      <w:pPr>
        <w:spacing w:after="0" w:line="15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Transferred and Exchanged Notes Remain Valid Obligations of the Company</w:t>
      </w:r>
      <w:r>
        <w:rPr>
          <w:rFonts w:ascii="Times New Roman" w:cs="Times New Roman" w:eastAsia="Times New Roman" w:hAnsi="Times New Roman"/>
          <w:sz w:val="18"/>
          <w:szCs w:val="18"/>
          <w:color w:val="auto"/>
        </w:rPr>
        <w:t xml:space="preserve">. Each Note issued upon transfer or exchange of any other Note (such other Note being referred to as the “old Note” for purposes of this </w:t>
      </w:r>
      <w:r>
        <w:rPr>
          <w:rFonts w:ascii="Times New Roman" w:cs="Times New Roman" w:eastAsia="Times New Roman" w:hAnsi="Times New Roman"/>
          <w:sz w:val="18"/>
          <w:szCs w:val="18"/>
          <w:b w:val="1"/>
          <w:bCs w:val="1"/>
          <w:color w:val="auto"/>
        </w:rPr>
        <w:t>Section 2.10(A)(ii)</w:t>
      </w:r>
      <w:r>
        <w:rPr>
          <w:rFonts w:ascii="Times New Roman" w:cs="Times New Roman" w:eastAsia="Times New Roman" w:hAnsi="Times New Roman"/>
          <w:sz w:val="18"/>
          <w:szCs w:val="18"/>
          <w:color w:val="auto"/>
        </w:rPr>
        <w:t>) or portion thereof in accordance with this Indenture will be the valid obligation of the Company, evidencing the same indebtedness, and entitled to the same benefits under this Indenture, as such old Note or portion thereof, as applicable.</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No Services Charge; Transfer Taxes</w:t>
      </w:r>
      <w:r>
        <w:rPr>
          <w:rFonts w:ascii="Times New Roman" w:cs="Times New Roman" w:eastAsia="Times New Roman" w:hAnsi="Times New Roman"/>
          <w:sz w:val="18"/>
          <w:szCs w:val="18"/>
          <w:color w:val="auto"/>
        </w:rPr>
        <w:t xml:space="preserve">. 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8.05</w:t>
      </w:r>
      <w:r>
        <w:rPr>
          <w:rFonts w:ascii="Times New Roman" w:cs="Times New Roman" w:eastAsia="Times New Roman" w:hAnsi="Times New Roman"/>
          <w:sz w:val="18"/>
          <w:szCs w:val="18"/>
          <w:color w:val="auto"/>
        </w:rPr>
        <w:t xml:space="preserve"> not involving any transfer.</w:t>
      </w:r>
    </w:p>
    <w:p>
      <w:pPr>
        <w:spacing w:after="0" w:line="180" w:lineRule="exact"/>
        <w:rPr>
          <w:sz w:val="20"/>
          <w:szCs w:val="20"/>
          <w:color w:val="auto"/>
        </w:rPr>
      </w:pPr>
    </w:p>
    <w:p>
      <w:pPr>
        <w:jc w:val="both"/>
        <w:ind w:left="660" w:firstLine="648"/>
        <w:spacing w:after="0" w:line="315" w:lineRule="auto"/>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i w:val="1"/>
          <w:iCs w:val="1"/>
          <w:color w:val="auto"/>
        </w:rPr>
        <w:t>Transfers and Exchanges Must Be in Authorized Denominations</w:t>
      </w:r>
      <w:r>
        <w:rPr>
          <w:rFonts w:ascii="Times New Roman" w:cs="Times New Roman" w:eastAsia="Times New Roman" w:hAnsi="Times New Roman"/>
          <w:sz w:val="17"/>
          <w:szCs w:val="17"/>
          <w:color w:val="auto"/>
        </w:rPr>
        <w:t>. Notwithstanding anything to the contrary in this Indenture or the Notes, a Note may not be transferred or exchanged in part unless the portion to be so transferred or exchanged is in an Authorized Denomination.</w:t>
      </w:r>
    </w:p>
    <w:p>
      <w:pPr>
        <w:spacing w:after="0" w:line="13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spacing w:after="0" w:line="180"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xml:space="preserve">. Each Note issued upon transfer of, or in exchange for, another Note will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i w:val="1"/>
          <w:iCs w:val="1"/>
          <w:color w:val="auto"/>
        </w:rPr>
        <w:t>Settlement of Transfers and Exchanges</w:t>
      </w:r>
      <w:r>
        <w:rPr>
          <w:rFonts w:ascii="Times New Roman" w:cs="Times New Roman" w:eastAsia="Times New Roman" w:hAnsi="Times New Roman"/>
          <w:sz w:val="18"/>
          <w:szCs w:val="18"/>
          <w:color w:val="auto"/>
        </w:rPr>
        <w:t>.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xml:space="preserve">. For the avoidance of doubt, and subject to the terms of this Indenture, as used in this </w:t>
      </w:r>
      <w:r>
        <w:rPr>
          <w:rFonts w:ascii="Times New Roman" w:cs="Times New Roman" w:eastAsia="Times New Roman" w:hAnsi="Times New Roman"/>
          <w:sz w:val="18"/>
          <w:szCs w:val="18"/>
          <w:b w:val="1"/>
          <w:bCs w:val="1"/>
          <w:color w:val="auto"/>
        </w:rPr>
        <w:t>Section 2.10</w:t>
      </w:r>
      <w:r>
        <w:rPr>
          <w:rFonts w:ascii="Times New Roman" w:cs="Times New Roman" w:eastAsia="Times New Roman" w:hAnsi="Times New Roman"/>
          <w:sz w:val="18"/>
          <w:szCs w:val="18"/>
          <w:color w:val="auto"/>
        </w:rPr>
        <w:t>, an “exchange” of a Global Note or a Physical Note includes (x) an exchange effected for the sole purpose of removing any Restricted Note Legend affixed to such Global Note or Physical Note; and (y) if such Global Note or Physical Note is identified by a “restricted” CUSIP number, an exchange effected for the sole purpose of causing such Global Note or Physical Note to be identified by an “unrestricted” CUSIP number.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(ix)            Neither the Trustee nor any Note Agent will have any responsibility for any action taken or not taken by the Depositary.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Transfers and Exchanges of Global Notes.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Certain Restrictions</w:t>
      </w:r>
      <w:r>
        <w:rPr>
          <w:rFonts w:ascii="Times New Roman" w:cs="Times New Roman" w:eastAsia="Times New Roman" w:hAnsi="Times New Roman"/>
          <w:sz w:val="18"/>
          <w:szCs w:val="18"/>
          <w:color w:val="auto"/>
        </w:rPr>
        <w:t xml:space="preserve">.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Global Note will be exchanged, pursuant to customary procedures, for one or more Physical Notes if:</w:t>
      </w:r>
    </w:p>
    <w:p>
      <w:pPr>
        <w:spacing w:after="0" w:line="18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(1)            (x)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(2)            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spacing w:after="0" w:line="176"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(3)            the Company, in its sole discretion, permits the exchange of any beneficial interest in such Global Note for one or more Physical Notes at the request of the owner of such beneficial interest.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i w:val="1"/>
          <w:iCs w:val="1"/>
          <w:color w:val="auto"/>
        </w:rPr>
        <w:t>Effecting Transfers and Exchanges</w:t>
      </w:r>
      <w:r>
        <w:rPr>
          <w:rFonts w:ascii="Times New Roman" w:cs="Times New Roman" w:eastAsia="Times New Roman" w:hAnsi="Times New Roman"/>
          <w:sz w:val="17"/>
          <w:szCs w:val="17"/>
          <w:color w:val="auto"/>
        </w:rPr>
        <w:t>. Upon satisfaction of the requirements of this Indenture to effect a transfer or exchange of any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(or any portion thereof):</w:t>
      </w:r>
    </w:p>
    <w:p>
      <w:pPr>
        <w:spacing w:after="0" w:line="207"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to cancel such Global Note pursuant to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32" w:name="page33"/>
    <w:bookmarkEnd w:id="32"/>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(2)            if required to effect such transfer or exchange, then the Trustee will reflect any resulting increase of the principal amount of any other Global Note by notation on the “Schedule of Exchanges of Interests in the Global Note” forming part of such other Global Note;</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            if required to effect such transfer or exchange,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Global Note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            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one or more Physical Notes that (x) are in Authorized Denominations and have an aggregate principal amount equal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amount of such Global Note to be so exchanged; (y) are registered in such name(s) as the Depositary specifies (or as otherwise determined pursuant to customary procedures);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Compliance with Depositary Procedures</w:t>
      </w:r>
      <w:r>
        <w:rPr>
          <w:rFonts w:ascii="Times New Roman" w:cs="Times New Roman" w:eastAsia="Times New Roman" w:hAnsi="Times New Roman"/>
          <w:sz w:val="18"/>
          <w:szCs w:val="18"/>
          <w:color w:val="auto"/>
        </w:rPr>
        <w:t>. Each transfer or exchange of a beneficial interest in any Global Note will be made in accordance with the Depositary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Transfers and Exchanges of Physical Notes.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Requirements for Transfers and Exchanges</w:t>
      </w:r>
      <w:r>
        <w:rPr>
          <w:rFonts w:ascii="Times New Roman" w:cs="Times New Roman" w:eastAsia="Times New Roman" w:hAnsi="Times New Roman"/>
          <w:sz w:val="18"/>
          <w:szCs w:val="18"/>
          <w:color w:val="auto"/>
        </w:rPr>
        <w:t xml:space="preserve">. Subject to this Section </w:t>
      </w:r>
      <w:r>
        <w:rPr>
          <w:rFonts w:ascii="Times New Roman" w:cs="Times New Roman" w:eastAsia="Times New Roman" w:hAnsi="Times New Roman"/>
          <w:sz w:val="18"/>
          <w:szCs w:val="18"/>
          <w:b w:val="1"/>
          <w:bCs w:val="1"/>
          <w:color w:val="auto"/>
        </w:rPr>
        <w:t>2.10</w:t>
      </w:r>
      <w:r>
        <w:rPr>
          <w:rFonts w:ascii="Times New Roman" w:cs="Times New Roman" w:eastAsia="Times New Roman" w:hAnsi="Times New Roman"/>
          <w:sz w:val="18"/>
          <w:szCs w:val="18"/>
          <w:color w:val="auto"/>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effect any such transfer or exchange, such Holder must:</w:t>
      </w:r>
    </w:p>
    <w:p>
      <w:pPr>
        <w:spacing w:after="0" w:line="186"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(1)            surrender such Physical Note to be transferred or exchanged to the office of the Registrar, together with any endorsements or transfer instruments reasonably required by the Company, the Trustee or the Registrar; and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            deliver such certificates, documentation or evidence as may be required pursuant to </w:t>
      </w:r>
      <w:r>
        <w:rPr>
          <w:rFonts w:ascii="Times New Roman" w:cs="Times New Roman" w:eastAsia="Times New Roman" w:hAnsi="Times New Roman"/>
          <w:sz w:val="18"/>
          <w:szCs w:val="18"/>
          <w:b w:val="1"/>
          <w:bCs w:val="1"/>
          <w:color w:val="auto"/>
        </w:rPr>
        <w:t>Section 2.10(D)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3" w:name="page34"/>
    <w:bookmarkEnd w:id="3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Effecting Transfers and Exchanges</w:t>
      </w:r>
      <w:r>
        <w:rPr>
          <w:rFonts w:ascii="Times New Roman" w:cs="Times New Roman" w:eastAsia="Times New Roman" w:hAnsi="Times New Roman"/>
          <w:sz w:val="18"/>
          <w:szCs w:val="18"/>
          <w:color w:val="auto"/>
        </w:rPr>
        <w:t xml:space="preserve">. Upon the satisfaction of the requirements of this Indenture to effect a transfer or exchange of any Physical Note (such Physical Note being referred to as the “old Physical Note” for purposes of this </w:t>
      </w:r>
      <w:r>
        <w:rPr>
          <w:rFonts w:ascii="Times New Roman" w:cs="Times New Roman" w:eastAsia="Times New Roman" w:hAnsi="Times New Roman"/>
          <w:sz w:val="18"/>
          <w:szCs w:val="18"/>
          <w:b w:val="1"/>
          <w:bCs w:val="1"/>
          <w:color w:val="auto"/>
        </w:rPr>
        <w:t>Section 2.10(C)(ii)</w:t>
      </w:r>
      <w:r>
        <w:rPr>
          <w:rFonts w:ascii="Times New Roman" w:cs="Times New Roman" w:eastAsia="Times New Roman" w:hAnsi="Times New Roman"/>
          <w:sz w:val="18"/>
          <w:szCs w:val="18"/>
          <w:color w:val="auto"/>
        </w:rPr>
        <w:t>) of a Holder (or any portion of such old Physical Note in an Authorized Denomination):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            such old Physical Note will be promptly cancelled pursuant to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            if such old Physical Note is to be so transferred or exchanged only in part,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old Physical Note not to be so transferred or exchanged;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in the case of a transfer:</w:t>
      </w:r>
    </w:p>
    <w:p>
      <w:pPr>
        <w:spacing w:after="0" w:line="22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transfer cannot be so effected by notation on one or more existing Global Notes (whether because no Global Notes bearing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Global Notes that (x) are in Authorized Denominations and have an aggregate principal amount equal to the principal amount to be so transferred; and (y)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19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 and</w:t>
      </w:r>
    </w:p>
    <w:p>
      <w:pPr>
        <w:spacing w:after="0" w:line="39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34" w:name="page35"/>
    <w:bookmarkEnd w:id="34"/>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            in the case of an exchange,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Requirement to Deliver Documentation and Other Evidence</w:t>
      </w:r>
      <w:r>
        <w:rPr>
          <w:rFonts w:ascii="Times New Roman" w:cs="Times New Roman" w:eastAsia="Times New Roman" w:hAnsi="Times New Roman"/>
          <w:sz w:val="18"/>
          <w:szCs w:val="18"/>
          <w:color w:val="auto"/>
        </w:rPr>
        <w:t>. If a Holder of any Note that is identified by a “restricted” CUSIP number or that bears a Restricted Note Legend or is a Transfer-Restricted Security requests to:</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cause such Note to be identified by an “unrestricted” CUSIP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remove such Restricted Note Legend;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register the transfer of such Note to the name of another Person,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the Trustee and the Registrar may reasonably require in order for the Company to determine that such identification, removal or transfer, as applicable, complies with the Securities Act and other applicable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without limiting </w:t>
      </w:r>
      <w:r>
        <w:rPr>
          <w:rFonts w:ascii="Times New Roman" w:cs="Times New Roman" w:eastAsia="Times New Roman" w:hAnsi="Times New Roman"/>
          <w:sz w:val="18"/>
          <w:szCs w:val="18"/>
          <w:b w:val="1"/>
          <w:bCs w:val="1"/>
          <w:color w:val="auto"/>
        </w:rPr>
        <w:t>Section 2.10(E)</w:t>
      </w:r>
      <w:r>
        <w:rPr>
          <w:rFonts w:ascii="Times New Roman" w:cs="Times New Roman" w:eastAsia="Times New Roman" w:hAnsi="Times New Roman"/>
          <w:sz w:val="18"/>
          <w:szCs w:val="18"/>
          <w:color w:val="auto"/>
        </w:rPr>
        <w:t xml:space="preserve">, no such certificates, documentation or evidence (other than a written request in the form contemplated by </w:t>
      </w:r>
      <w:r>
        <w:rPr>
          <w:rFonts w:ascii="Times New Roman" w:cs="Times New Roman" w:eastAsia="Times New Roman" w:hAnsi="Times New Roman"/>
          <w:sz w:val="18"/>
          <w:szCs w:val="18"/>
          <w:b w:val="1"/>
          <w:bCs w:val="1"/>
          <w:color w:val="auto"/>
        </w:rPr>
        <w:t>Section 2.10(E)</w:t>
      </w:r>
      <w:r>
        <w:rPr>
          <w:rFonts w:ascii="Times New Roman" w:cs="Times New Roman" w:eastAsia="Times New Roman" w:hAnsi="Times New Roman"/>
          <w:sz w:val="18"/>
          <w:szCs w:val="18"/>
          <w:color w:val="auto"/>
        </w:rPr>
        <w:t>) need be so delivered on or after the date that is six (6) months after the Last Original Issue Date of such Note if the requirements of Rule 144(c) and (i) are then satisfied with respect to the Company (and neither the Trustee nor the Registrar will have any responsibility or liability for determining whether such requirements have been satisfied).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Certain De-Legending Procedures</w:t>
      </w:r>
      <w:r>
        <w:rPr>
          <w:rFonts w:ascii="Times New Roman" w:cs="Times New Roman" w:eastAsia="Times New Roman" w:hAnsi="Times New Roman"/>
          <w:sz w:val="18"/>
          <w:szCs w:val="18"/>
          <w:color w:val="auto"/>
        </w:rPr>
        <w:t>. If a Holder of any Note or share of Common Stock issued upon conversion of any Note, or an owner of a beneficial interest in any Global Note, or in a global certificate representing any share of Common Stock issued upon conversion of any Note, transfers such Note or share in compliance with Rule 144 and delivers to the Company a written request in customary form (including a certification that it is not, and has not been at any time during the preceding three (3) months, an Affiliate of the Company) to reissue such Note or share without a Restricted Note Legend or Restricted Stock Legend, as applicable, then the Company will cause the same to occur (and, if applicable, cause such Note or share to thereafter be represented by an “unrestricted” CUSIP or ISIN number in the facilities of the related depositary), and will use its commercially reasonable efforts to cause the same to occur within two (2) Trading Days of such request.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Transfers of Notes Subject to Redemption, Repurchase or Conversion</w:t>
      </w:r>
      <w:r>
        <w:rPr>
          <w:rFonts w:ascii="Times New Roman" w:cs="Times New Roman" w:eastAsia="Times New Roman" w:hAnsi="Times New Roman"/>
          <w:sz w:val="18"/>
          <w:szCs w:val="18"/>
          <w:color w:val="auto"/>
        </w:rPr>
        <w:t xml:space="preserve">. Notwithstanding anything to the contrary in 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Section 2.11. E</w:t>
      </w:r>
      <w:r>
        <w:rPr>
          <w:rFonts w:ascii="Times New Roman" w:cs="Times New Roman" w:eastAsia="Times New Roman" w:hAnsi="Times New Roman"/>
          <w:sz w:val="12"/>
          <w:szCs w:val="12"/>
          <w:b w:val="1"/>
          <w:bCs w:val="1"/>
          <w:color w:val="auto"/>
        </w:rPr>
        <w:t>xchange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ancellation of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onverted</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edeemed or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epurchased</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Partial Conversions, Redemptions and Repurchases of Physical Notes</w:t>
      </w:r>
      <w:r>
        <w:rPr>
          <w:rFonts w:ascii="Times New Roman" w:cs="Times New Roman" w:eastAsia="Times New Roman" w:hAnsi="Times New Roman"/>
          <w:sz w:val="18"/>
          <w:szCs w:val="18"/>
          <w:color w:val="auto"/>
        </w:rPr>
        <w:t xml:space="preserve">. If only a portion of a Physical Note of a Holder is to be converted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or Redemption, then, as soon as reasonably practicable after such Physical Note is surrendered for such conversion, Redemption or repurchase, the Company will cause such Physical Note to be exchanged, pursuant and subject to </w:t>
      </w:r>
      <w:r>
        <w:rPr>
          <w:rFonts w:ascii="Times New Roman" w:cs="Times New Roman" w:eastAsia="Times New Roman" w:hAnsi="Times New Roman"/>
          <w:sz w:val="18"/>
          <w:szCs w:val="18"/>
          <w:b w:val="1"/>
          <w:bCs w:val="1"/>
          <w:color w:val="auto"/>
        </w:rPr>
        <w:t>Section 2.10(C)</w:t>
      </w:r>
      <w:r>
        <w:rPr>
          <w:rFonts w:ascii="Times New Roman" w:cs="Times New Roman" w:eastAsia="Times New Roman" w:hAnsi="Times New Roman"/>
          <w:sz w:val="18"/>
          <w:szCs w:val="18"/>
          <w:color w:val="auto"/>
        </w:rPr>
        <w:t xml:space="preserve">, for (i) one or more Physical Notes that are in Authorized Denominations and have an aggregate principal amount equal to the principal amount of such Physical Note that is not to be so converted, redeemed or repurchased, as applicable, and deliver such Physical Note(s) to such Holder; and (ii) a Physical Note having a principal amount equal to the principal amount to be so converted, redeemed or repurchased, as applicable, which Physical Note will be converted, redeemed or repurchased, as applicable, pursuant to the terms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Physical Note referred to in this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need not be issued at any time after which such principal amount subject to such conversion, Redemption or repurchase, as applicable, is deemed to cease to be outstanding pursuant to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Cancellation of Converted, Redeemed and Repurchased Notes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xml:space="preserve">. If a Physical Note (or any portion thereof that has not theretofore been exchanged pursuant to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xml:space="preserve">) of a Holder is to be converted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repurchased pursuant to a Repurchase Upon Fundamental Change or Redemption, then, promptly after the later of the time such Physical Note (or such portion) is deemed to cease to be outstanding pursuant to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xml:space="preserve"> and the time such Physical Note is surrendered for such conversion or repurchase, as applicable, (1) such Physical Note will be cancelled pursuant to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 and (2) in the case of a partial conversion, Redemption or repurchase, the Company will issue, execute and deliver to such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one or more Physical Notes that (x) are in Authorized Denominations and have an aggregate principal amount equal to the principal amount of such Physical Note that is not to be so converted, redeemed or repurchased; (y) are registered in the name of such Holder; and (z) bear each legend, if any, required by </w:t>
      </w:r>
      <w:r>
        <w:rPr>
          <w:rFonts w:ascii="Times New Roman" w:cs="Times New Roman" w:eastAsia="Times New Roman" w:hAnsi="Times New Roman"/>
          <w:sz w:val="18"/>
          <w:szCs w:val="18"/>
          <w:b w:val="1"/>
          <w:bCs w:val="1"/>
          <w:color w:val="auto"/>
        </w:rPr>
        <w:t>Section 2.09</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xml:space="preserve">. If a Global Note (or any portion thereof) is to be converted pursuant to Article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or repurchased pursuant to a Repurchase Upon Fundamental Change or subject to Redemption, then, promptly after the time such Note (or such portion) is deemed to cease to be outstanding pursuant to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xml:space="preserve">, the Trustee will reflect a decrease of the principal amount of such Global Note in an amount equal to the principal amount of such Global Note to be so converted, redeemed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Section 2.12. R</w:t>
      </w:r>
      <w:r>
        <w:rPr>
          <w:rFonts w:ascii="Times New Roman" w:cs="Times New Roman" w:eastAsia="Times New Roman" w:hAnsi="Times New Roman"/>
          <w:sz w:val="12"/>
          <w:szCs w:val="12"/>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satisfactory to the Company and the Trustee, as applicable, to protect the Company and the Trustee and that is reasonably satisfactory to the Trustee to protect from any loss that any of them may suffer if such Note is replaced.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Every replacement Note issued pursuant to this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xml:space="preserve"> will be an additional obligation of the Company and will be entitled to all of the benefits of this Indenture equally and ratably with all other Notes issued under this Indenture, whether or not the lost, destroyed or wrongfully taken Note will at any time be enforceable by anyone.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2.13.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with</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espect to</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lobal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Except to the extent rights under this Indenture are expressly granted to owners of beneficial interests of Notes, 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2.14. C</w:t>
      </w:r>
      <w:r>
        <w:rPr>
          <w:rFonts w:ascii="Times New Roman" w:cs="Times New Roman" w:eastAsia="Times New Roman" w:hAnsi="Times New Roman"/>
          <w:sz w:val="12"/>
          <w:szCs w:val="12"/>
          <w:b w:val="1"/>
          <w:bCs w:val="1"/>
          <w:color w:val="auto"/>
        </w:rPr>
        <w:t>ancellation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 the Company may not originally issue new Notes to replace Notes that it has paid or that have been cancelled upon transfer, exchange, payment or conversion.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Section 2.15.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eld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or its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ffiliates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xml:space="preserve">, in determining whether the Holders of the required aggregate principal amount of Notes have concurred in any direction, waiver or consent or other action under this Indenture, Notes owned by the Company or any of its Affiliates will be deemed not to be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determining whether the Trustee is protected in relying on any such direction, waiver or consent or other action under this Indenture, only Notes that a Responsible Officer of the Trustee knows are so owned will be so disregarded.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2.16. T</w:t>
      </w:r>
      <w:r>
        <w:rPr>
          <w:rFonts w:ascii="Times New Roman" w:cs="Times New Roman" w:eastAsia="Times New Roman" w:hAnsi="Times New Roman"/>
          <w:sz w:val="12"/>
          <w:szCs w:val="12"/>
          <w:b w:val="1"/>
          <w:bCs w:val="1"/>
          <w:color w:val="auto"/>
        </w:rPr>
        <w:t>emporary</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Until definitive Notes are ready for delivery, the Company may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definitive Notes in exchange for temporary Notes. Until so exchanged, each temporary Note will in all respects be entitled to the same benefits under this Indenture as definitive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2.17. O</w:t>
      </w:r>
      <w:r>
        <w:rPr>
          <w:rFonts w:ascii="Times New Roman" w:cs="Times New Roman" w:eastAsia="Times New Roman" w:hAnsi="Times New Roman"/>
          <w:sz w:val="12"/>
          <w:szCs w:val="12"/>
          <w:b w:val="1"/>
          <w:bCs w:val="1"/>
          <w:color w:val="auto"/>
        </w:rPr>
        <w:t>utstanding</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 xml:space="preserve">; (ii) assigned a principal amount of zero by notation on the “Schedule of Exchanges of Interests in the Global Note” forming part of any a Global Note representing such Note; (iii) paid in full (including upon conversion) in accordance with this Indenture; (iv) deemed to cease to be outstanding to the extent provided in, and subject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xml:space="preserve">; or (v) deemed not to be outstanding pursuant to </w:t>
      </w:r>
      <w:r>
        <w:rPr>
          <w:rFonts w:ascii="Times New Roman" w:cs="Times New Roman" w:eastAsia="Times New Roman" w:hAnsi="Times New Roman"/>
          <w:sz w:val="18"/>
          <w:szCs w:val="18"/>
          <w:b w:val="1"/>
          <w:bCs w:val="1"/>
          <w:color w:val="auto"/>
        </w:rPr>
        <w:t>Section 2.15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Replaced Notes</w:t>
      </w:r>
      <w:r>
        <w:rPr>
          <w:rFonts w:ascii="Times New Roman" w:cs="Times New Roman" w:eastAsia="Times New Roman" w:hAnsi="Times New Roman"/>
          <w:sz w:val="18"/>
          <w:szCs w:val="18"/>
          <w:color w:val="auto"/>
        </w:rPr>
        <w:t xml:space="preserve">. If a Note is replaced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then such Note will cease to be outstanding at the time of its replacement, unless the Trustee and the Company receive proof reasonably satisfactory to them that such Note is held by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purchaser” under applicable law.</w:t>
      </w:r>
    </w:p>
    <w:p>
      <w:pPr>
        <w:spacing w:after="0" w:line="1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Maturing Notes and Notes Called for Redemption or Subject to Repurchase</w:t>
      </w:r>
      <w:r>
        <w:rPr>
          <w:rFonts w:ascii="Times New Roman" w:cs="Times New Roman" w:eastAsia="Times New Roman" w:hAnsi="Times New Roman"/>
          <w:sz w:val="18"/>
          <w:szCs w:val="18"/>
          <w:color w:val="auto"/>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4.03(E)4.03(F)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Notes to Be Converted</w:t>
      </w:r>
      <w:r>
        <w:rPr>
          <w:rFonts w:ascii="Times New Roman" w:cs="Times New Roman" w:eastAsia="Times New Roman" w:hAnsi="Times New Roman"/>
          <w:sz w:val="18"/>
          <w:szCs w:val="18"/>
          <w:color w:val="auto"/>
        </w:rPr>
        <w:t xml:space="preserve">.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upon such conversion) be deemed to cease to be outstanding, except to the extent provided in</w:t>
      </w:r>
      <w:r>
        <w:rPr>
          <w:rFonts w:ascii="Times New Roman" w:cs="Times New Roman" w:eastAsia="Times New Roman" w:hAnsi="Times New Roman"/>
          <w:sz w:val="18"/>
          <w:szCs w:val="18"/>
          <w:b w:val="1"/>
          <w:bCs w:val="1"/>
          <w:color w:val="auto"/>
        </w:rPr>
        <w:t xml:space="preserve"> Section 5.02(D) </w:t>
      </w:r>
      <w:r>
        <w:rPr>
          <w:rFonts w:ascii="Times New Roman" w:cs="Times New Roman" w:eastAsia="Times New Roman" w:hAnsi="Times New Roman"/>
          <w:sz w:val="18"/>
          <w:szCs w:val="18"/>
          <w:color w:val="auto"/>
        </w:rPr>
        <w:t>or Section</w:t>
      </w:r>
      <w:r>
        <w:rPr>
          <w:rFonts w:ascii="Times New Roman" w:cs="Times New Roman" w:eastAsia="Times New Roman" w:hAnsi="Times New Roman"/>
          <w:sz w:val="18"/>
          <w:szCs w:val="18"/>
          <w:b w:val="1"/>
          <w:bCs w:val="1"/>
          <w:color w:val="auto"/>
        </w:rPr>
        <w:t xml:space="preserve"> 5.08</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Cessation of Accrual of Interest</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b w:val="1"/>
          <w:bCs w:val="1"/>
          <w:color w:val="auto"/>
        </w:rPr>
        <w:t>Sections 4.02(D)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4.03(F)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xml:space="preserve">, interest will cease to accrue on each Note from, and including, the date that such Note is deemed, pursuant to this </w:t>
      </w:r>
      <w:r>
        <w:rPr>
          <w:rFonts w:ascii="Times New Roman" w:cs="Times New Roman" w:eastAsia="Times New Roman" w:hAnsi="Times New Roman"/>
          <w:sz w:val="18"/>
          <w:szCs w:val="18"/>
          <w:b w:val="1"/>
          <w:bCs w:val="1"/>
          <w:color w:val="auto"/>
        </w:rPr>
        <w:t>Section 2.17</w:t>
      </w:r>
      <w:r>
        <w:rPr>
          <w:rFonts w:ascii="Times New Roman" w:cs="Times New Roman" w:eastAsia="Times New Roman" w:hAnsi="Times New Roman"/>
          <w:sz w:val="18"/>
          <w:szCs w:val="18"/>
          <w:color w:val="auto"/>
        </w:rPr>
        <w:t>, to cease to be outstanding, unless there occurs a default in the payment or delivery of any cash or other property due on such Note.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2.18. R</w:t>
      </w:r>
      <w:r>
        <w:rPr>
          <w:rFonts w:ascii="Times New Roman" w:cs="Times New Roman" w:eastAsia="Times New Roman" w:hAnsi="Times New Roman"/>
          <w:sz w:val="12"/>
          <w:szCs w:val="12"/>
          <w:b w:val="1"/>
          <w:bCs w:val="1"/>
          <w:color w:val="auto"/>
        </w:rPr>
        <w:t>epurchases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color w:val="auto"/>
        </w:rPr>
        <w:t xml:space="preserve">, the Company may, directly or indirectly, from time to time, repurchase Notes in open market purchases or in negotiated transactions or otherwise, without delivering prior notice to Holders. Any Notes repurchased by the Company pursuant to this </w:t>
      </w:r>
      <w:r>
        <w:rPr>
          <w:rFonts w:ascii="Times New Roman" w:cs="Times New Roman" w:eastAsia="Times New Roman" w:hAnsi="Times New Roman"/>
          <w:sz w:val="18"/>
          <w:szCs w:val="18"/>
          <w:b w:val="1"/>
          <w:bCs w:val="1"/>
          <w:color w:val="auto"/>
        </w:rPr>
        <w:t xml:space="preserve">Section 2.18 </w:t>
      </w:r>
      <w:r>
        <w:rPr>
          <w:rFonts w:ascii="Times New Roman" w:cs="Times New Roman" w:eastAsia="Times New Roman" w:hAnsi="Times New Roman"/>
          <w:sz w:val="18"/>
          <w:szCs w:val="18"/>
          <w:color w:val="auto"/>
        </w:rPr>
        <w:t>shall be considered outstanding under this Indenture (except as set forth in Section</w:t>
      </w:r>
      <w:r>
        <w:rPr>
          <w:rFonts w:ascii="Times New Roman" w:cs="Times New Roman" w:eastAsia="Times New Roman" w:hAnsi="Times New Roman"/>
          <w:sz w:val="18"/>
          <w:szCs w:val="18"/>
          <w:b w:val="1"/>
          <w:bCs w:val="1"/>
          <w:color w:val="auto"/>
        </w:rPr>
        <w:t xml:space="preserve"> 2.15</w:t>
      </w:r>
      <w:r>
        <w:rPr>
          <w:rFonts w:ascii="Times New Roman" w:cs="Times New Roman" w:eastAsia="Times New Roman" w:hAnsi="Times New Roman"/>
          <w:sz w:val="18"/>
          <w:szCs w:val="18"/>
          <w:color w:val="auto"/>
        </w:rPr>
        <w:t>) unless and until such time the Company surrenders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Notes to the Trustee for cancellation and, upon receipt thereof, the Trustee shall cancel all Notes so surrendered in accordance with Section </w:t>
      </w:r>
      <w:r>
        <w:rPr>
          <w:rFonts w:ascii="Times New Roman" w:cs="Times New Roman" w:eastAsia="Times New Roman" w:hAnsi="Times New Roman"/>
          <w:sz w:val="18"/>
          <w:szCs w:val="18"/>
          <w:b w:val="1"/>
          <w:bCs w:val="1"/>
          <w:color w:val="auto"/>
        </w:rPr>
        <w:t>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2.19. CUSIP </w:t>
      </w:r>
      <w:r>
        <w:rPr>
          <w:rFonts w:ascii="Times New Roman" w:cs="Times New Roman" w:eastAsia="Times New Roman" w:hAnsi="Times New Roman"/>
          <w:sz w:val="12"/>
          <w:szCs w:val="12"/>
          <w:b w:val="1"/>
          <w:bCs w:val="1"/>
          <w:color w:val="auto"/>
        </w:rPr>
        <w:t>and</w:t>
      </w:r>
      <w:r>
        <w:rPr>
          <w:rFonts w:ascii="Times New Roman" w:cs="Times New Roman" w:eastAsia="Times New Roman" w:hAnsi="Times New Roman"/>
          <w:sz w:val="18"/>
          <w:szCs w:val="18"/>
          <w:b w:val="1"/>
          <w:bCs w:val="1"/>
          <w:color w:val="auto"/>
        </w:rPr>
        <w:t xml:space="preserve"> ISIN N</w:t>
      </w:r>
      <w:r>
        <w:rPr>
          <w:rFonts w:ascii="Times New Roman" w:cs="Times New Roman" w:eastAsia="Times New Roman" w:hAnsi="Times New Roman"/>
          <w:sz w:val="12"/>
          <w:szCs w:val="12"/>
          <w:b w:val="1"/>
          <w:bCs w:val="1"/>
          <w:color w:val="auto"/>
        </w:rPr>
        <w:t>umbers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of this Indenture, the Company may use one or more CUSIP or ISIN numbers to identify any of the Notes, and, if so, the Company and the Trustee will use such CUSIP or ISIN number(s) in notices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P</w:t>
      </w:r>
      <w:r>
        <w:rPr>
          <w:rFonts w:ascii="Times New Roman" w:cs="Times New Roman" w:eastAsia="Times New Roman" w:hAnsi="Times New Roman"/>
          <w:sz w:val="12"/>
          <w:szCs w:val="12"/>
          <w:b w:val="1"/>
          <w:bCs w:val="1"/>
          <w:color w:val="auto"/>
        </w:rPr>
        <w:t>ayment on</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pay or cause to be paid all the principal of, the Fundamental Change Repurchase Price and Redemption Price for, interest on, and other amounts due with respect to, the Notes on the dates and in the manner set forth in this Indenture.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Deposit of Funds</w:t>
      </w:r>
      <w:r>
        <w:rPr>
          <w:rFonts w:ascii="Times New Roman" w:cs="Times New Roman" w:eastAsia="Times New Roman" w:hAnsi="Times New Roman"/>
          <w:sz w:val="18"/>
          <w:szCs w:val="18"/>
          <w:color w:val="auto"/>
        </w:rPr>
        <w:t>. Before 11:00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any money not required for such purpose.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Section 3.02.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The Company will send to the Trustee copies of all reports that the Company is required to file with the SEC pursuant to Section 13(a) or 15(d) of the Exchange Act (other than current reports on Form 8-K (or any successor form)) within fifteen (15) calendar days after the date that the Company is required to file the same (after giving effect to all applicable grace periods under the Exchange Act, including any grace period provided by Rule 12b-25 (which grace period, for the avoidance of doubt, shall be deemed applicable whether or not the Company checks the box in the relevant Rule 12b-25 filing indicating the Company expects to file such report within the applicable Rule 12b-25 grace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Company will provide to such Holder a copy of any report that the Company has sent the Trustee pursuant to this Section </w:t>
      </w:r>
      <w:r>
        <w:rPr>
          <w:rFonts w:ascii="Times New Roman" w:cs="Times New Roman" w:eastAsia="Times New Roman" w:hAnsi="Times New Roman"/>
          <w:sz w:val="18"/>
          <w:szCs w:val="18"/>
          <w:b w:val="1"/>
          <w:bCs w:val="1"/>
          <w:color w:val="auto"/>
        </w:rPr>
        <w:t>3.02(A)</w:t>
      </w:r>
      <w:r>
        <w:rPr>
          <w:rFonts w:ascii="Times New Roman" w:cs="Times New Roman" w:eastAsia="Times New Roman" w:hAnsi="Times New Roman"/>
          <w:sz w:val="18"/>
          <w:szCs w:val="18"/>
          <w:color w:val="auto"/>
        </w:rPr>
        <w:t>, other than a report that is deemed to be sent to the Trustee pursuant to the preceding sentence.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xml:space="preserve">. The Trustee will not be responsible for determining whether the Company has filed any material via the EDGAR system (or such successor) or for the timeliness of its content. The sending or filing of reports, information and documents pursuant to Section </w:t>
      </w:r>
      <w:r>
        <w:rPr>
          <w:rFonts w:ascii="Times New Roman" w:cs="Times New Roman" w:eastAsia="Times New Roman" w:hAnsi="Times New Roman"/>
          <w:sz w:val="18"/>
          <w:szCs w:val="18"/>
          <w:b w:val="1"/>
          <w:bCs w:val="1"/>
          <w:color w:val="auto"/>
        </w:rPr>
        <w:t>3.02(A)</w:t>
      </w:r>
      <w:r>
        <w:rPr>
          <w:rFonts w:ascii="Times New Roman" w:cs="Times New Roman" w:eastAsia="Times New Roman" w:hAnsi="Times New Roman"/>
          <w:sz w:val="18"/>
          <w:szCs w:val="18"/>
          <w:color w:val="auto"/>
        </w:rPr>
        <w:t xml:space="preserve"> is for informational purposes only and the information and the Trustee’s receipt of the foregoing will not be deemed to constitute actual or constructive notice to the Trustee of any information contained, or determinable from information contained, therein, including the Company’s compliance with any of its covenants under this Indenture (as to which the Trustee is entitled to rely exclusively on an Officer’s Certificate). The Trustee will have no obligation whatsoever to monitor or confirm, on a continuing basis or otherwise, the Company’s compliance with its covenants under this Indenture or with respect to any reports or other documents filed with the SEC via the EDGAR system (or any successor thereto) or any other website, or to participate in any conference calls.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3.03. R</w:t>
      </w:r>
      <w:r>
        <w:rPr>
          <w:rFonts w:ascii="Times New Roman" w:cs="Times New Roman" w:eastAsia="Times New Roman" w:hAnsi="Times New Roman"/>
          <w:sz w:val="12"/>
          <w:szCs w:val="12"/>
          <w:b w:val="1"/>
          <w:bCs w:val="1"/>
          <w:color w:val="auto"/>
        </w:rPr>
        <w:t>ule</w:t>
      </w:r>
      <w:r>
        <w:rPr>
          <w:rFonts w:ascii="Times New Roman" w:cs="Times New Roman" w:eastAsia="Times New Roman" w:hAnsi="Times New Roman"/>
          <w:sz w:val="18"/>
          <w:szCs w:val="18"/>
          <w:b w:val="1"/>
          <w:bCs w:val="1"/>
          <w:color w:val="auto"/>
        </w:rPr>
        <w:t xml:space="preserve"> 144A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Section 3.04. 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Accrual of Additional Interest</w:t>
      </w:r>
      <w:r>
        <w:rPr>
          <w:rFonts w:ascii="Times New Roman" w:cs="Times New Roman" w:eastAsia="Times New Roman" w:hAnsi="Times New Roman"/>
          <w:sz w:val="18"/>
          <w:szCs w:val="18"/>
          <w:color w:val="auto"/>
        </w:rPr>
        <w:t>. If, on any day occurring on or after six (6) months after the Last Original Issue Date of any Note,</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the Company has not satisfied the reporting conditions set forth in Rule 144(c) and Rule 144(i)(2) under the Securities Act;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such Note is not otherwise Freely Tradable,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Additional Interest will accrue on such Note for such day.</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Amount and Payment of Additional Interest</w:t>
      </w:r>
      <w:r>
        <w:rPr>
          <w:rFonts w:ascii="Times New Roman" w:cs="Times New Roman" w:eastAsia="Times New Roman" w:hAnsi="Times New Roman"/>
          <w:sz w:val="18"/>
          <w:szCs w:val="18"/>
          <w:color w:val="auto"/>
        </w:rPr>
        <w:t xml:space="preserve">. Any Additional Interest that accrues on a Note pursuant to Section </w:t>
      </w:r>
      <w:r>
        <w:rPr>
          <w:rFonts w:ascii="Times New Roman" w:cs="Times New Roman" w:eastAsia="Times New Roman" w:hAnsi="Times New Roman"/>
          <w:sz w:val="18"/>
          <w:szCs w:val="18"/>
          <w:b w:val="1"/>
          <w:bCs w:val="1"/>
          <w:color w:val="auto"/>
        </w:rPr>
        <w:t>3.04(A)</w:t>
      </w:r>
      <w:r>
        <w:rPr>
          <w:rFonts w:ascii="Times New Roman" w:cs="Times New Roman" w:eastAsia="Times New Roman" w:hAnsi="Times New Roman"/>
          <w:sz w:val="18"/>
          <w:szCs w:val="18"/>
          <w:color w:val="auto"/>
        </w:rPr>
        <w:t xml:space="preserve"> will be payable on the same dates and in the same manner as the Stated Interest on such Note and will accrue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will Additional Interest, together with any Special Interest, accrue on any day on a Note at a combined rate per annum that exceeds one percent (1.00%).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Notice of Accrual of Additional Interest; Trustee’s Disclaimer</w:t>
      </w:r>
      <w:r>
        <w:rPr>
          <w:rFonts w:ascii="Times New Roman" w:cs="Times New Roman" w:eastAsia="Times New Roman" w:hAnsi="Times New Roman"/>
          <w:sz w:val="18"/>
          <w:szCs w:val="18"/>
          <w:color w:val="auto"/>
        </w:rPr>
        <w:t>. The Company will send written notice to the Holder of each Note, and to the 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Sole Remedy</w:t>
      </w:r>
      <w:r>
        <w:rPr>
          <w:rFonts w:ascii="Times New Roman" w:cs="Times New Roman" w:eastAsia="Times New Roman" w:hAnsi="Times New Roman"/>
          <w:sz w:val="18"/>
          <w:szCs w:val="18"/>
          <w:color w:val="auto"/>
        </w:rPr>
        <w:t>. The accrual of Additional Interest will be the sole remedy available to Holders under this Indenture for the failure of their Notes to become Freely Tradable.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3.05. C</w:t>
      </w:r>
      <w:r>
        <w:rPr>
          <w:rFonts w:ascii="Times New Roman" w:cs="Times New Roman" w:eastAsia="Times New Roman" w:hAnsi="Times New Roman"/>
          <w:sz w:val="12"/>
          <w:szCs w:val="12"/>
          <w:b w:val="1"/>
          <w:bCs w:val="1"/>
          <w:color w:val="auto"/>
        </w:rPr>
        <w:t>ompliance and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Annual Compliance Certificate</w:t>
      </w:r>
      <w:r>
        <w:rPr>
          <w:rFonts w:ascii="Times New Roman" w:cs="Times New Roman" w:eastAsia="Times New Roman" w:hAnsi="Times New Roman"/>
          <w:sz w:val="18"/>
          <w:szCs w:val="18"/>
          <w:color w:val="auto"/>
        </w:rPr>
        <w:t>. Within ninety (90) days after December 31, 2025 and each fiscal year of the Company ending thereafter,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w:t>
      </w:r>
    </w:p>
    <w:p>
      <w:pPr>
        <w:spacing w:after="0" w:line="1" w:lineRule="exact"/>
        <w:rPr>
          <w:sz w:val="20"/>
          <w:szCs w:val="20"/>
          <w:color w:val="auto"/>
        </w:rPr>
      </w:pPr>
    </w:p>
    <w:p>
      <w:pPr>
        <w:ind w:right="20" w:firstLine="8"/>
        <w:spacing w:after="0" w:line="260"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to such signatory’s knowledge, a Default or Event of Default has occurred and is continuing (and, if so, describing all such Defaults or Events of Default and what action the Company is taking or proposes to take with respect thereto).</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Default Certificate</w:t>
      </w:r>
      <w:r>
        <w:rPr>
          <w:rFonts w:ascii="Times New Roman" w:cs="Times New Roman" w:eastAsia="Times New Roman" w:hAnsi="Times New Roman"/>
          <w:sz w:val="18"/>
          <w:szCs w:val="18"/>
          <w:color w:val="auto"/>
        </w:rPr>
        <w:t xml:space="preserve">. If a Default or Event of Default occurs, then the Company will, within thirty (30) days after the Company obtains knowledge of the occurrence thereof, deliver an Officer’s Certificate to the Trustee describing the same and what action the Company is taking or proposes to take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not be required to deliver such Officer’s Certificate if the Default or Event of Default has been cured (or deemed cured) or waived prior to the date that such notice is due.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Section 3.06. S</w:t>
      </w:r>
      <w:r>
        <w:rPr>
          <w:rFonts w:ascii="Times New Roman" w:cs="Times New Roman" w:eastAsia="Times New Roman" w:hAnsi="Times New Roman"/>
          <w:sz w:val="12"/>
          <w:szCs w:val="12"/>
          <w:b w:val="1"/>
          <w:bCs w:val="1"/>
          <w:color w:val="auto"/>
        </w:rPr>
        <w:t>tay</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xtension and</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sury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      REPURCHASE AND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inking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sinking fund is required to be provided for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4.02. R</w:t>
      </w:r>
      <w:r>
        <w:rPr>
          <w:rFonts w:ascii="Times New Roman" w:cs="Times New Roman" w:eastAsia="Times New Roman" w:hAnsi="Times New Roman"/>
          <w:sz w:val="12"/>
          <w:szCs w:val="12"/>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epurchase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 upon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Right of Holders to Require the Company to Repurchase Notes Upon a Fundamental Change</w:t>
      </w:r>
      <w:r>
        <w:rPr>
          <w:rFonts w:ascii="Times New Roman" w:cs="Times New Roman" w:eastAsia="Times New Roman" w:hAnsi="Times New Roman"/>
          <w:sz w:val="18"/>
          <w:szCs w:val="18"/>
          <w:color w:val="auto"/>
        </w:rPr>
        <w:t xml:space="preserve">. Subject to the other terms of this Section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if a Fundamental Change occurs, then each Holder will have the right (the “</w:t>
      </w:r>
      <w:r>
        <w:rPr>
          <w:rFonts w:ascii="Times New Roman" w:cs="Times New Roman" w:eastAsia="Times New Roman" w:hAnsi="Times New Roman"/>
          <w:sz w:val="18"/>
          <w:szCs w:val="18"/>
          <w:b w:val="1"/>
          <w:bCs w:val="1"/>
          <w:color w:val="auto"/>
        </w:rPr>
        <w:t>Fundamental Change Repurchase Right</w:t>
      </w:r>
      <w:r>
        <w:rPr>
          <w:rFonts w:ascii="Times New Roman" w:cs="Times New Roman" w:eastAsia="Times New Roman" w:hAnsi="Times New Roman"/>
          <w:sz w:val="18"/>
          <w:szCs w:val="18"/>
          <w:color w:val="auto"/>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Repurchase Prohibited in Certain Circumstances</w:t>
      </w:r>
      <w:r>
        <w:rPr>
          <w:rFonts w:ascii="Times New Roman" w:cs="Times New Roman" w:eastAsia="Times New Roman" w:hAnsi="Times New Roman"/>
          <w:sz w:val="18"/>
          <w:szCs w:val="18"/>
          <w:color w:val="auto"/>
        </w:rPr>
        <w:t xml:space="preserve">.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 interest pursuant to the proviso to the first sentence of Section </w:t>
      </w:r>
      <w:r>
        <w:rPr>
          <w:rFonts w:ascii="Times New Roman" w:cs="Times New Roman" w:eastAsia="Times New Roman" w:hAnsi="Times New Roman"/>
          <w:sz w:val="18"/>
          <w:szCs w:val="18"/>
          <w:b w:val="1"/>
          <w:bCs w:val="1"/>
          <w:color w:val="auto"/>
        </w:rPr>
        <w:t>4.02(D)</w:t>
      </w:r>
      <w:r>
        <w:rPr>
          <w:rFonts w:ascii="Times New Roman" w:cs="Times New Roman" w:eastAsia="Times New Roman" w:hAnsi="Times New Roman"/>
          <w:sz w:val="18"/>
          <w:szCs w:val="18"/>
          <w:color w:val="auto"/>
        </w:rPr>
        <w:t xml:space="preserve">, on such Fundamental Change Repurchase Date), then (i) the Company may not repurchase any Notes pursuant to this Section </w:t>
      </w:r>
      <w:r>
        <w:rPr>
          <w:rFonts w:ascii="Times New Roman" w:cs="Times New Roman" w:eastAsia="Times New Roman" w:hAnsi="Times New Roman"/>
          <w:sz w:val="18"/>
          <w:szCs w:val="18"/>
          <w:b w:val="1"/>
          <w:bCs w:val="1"/>
          <w:color w:val="auto"/>
        </w:rPr>
        <w:t>4.02</w:t>
      </w:r>
      <w:r>
        <w:rPr>
          <w:rFonts w:ascii="Times New Roman" w:cs="Times New Roman" w:eastAsia="Times New Roman" w:hAnsi="Times New Roman"/>
          <w:sz w:val="18"/>
          <w:szCs w:val="18"/>
          <w:color w:val="auto"/>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Fundamental Change Repurchase Date</w:t>
      </w:r>
      <w:r>
        <w:rPr>
          <w:rFonts w:ascii="Times New Roman" w:cs="Times New Roman" w:eastAsia="Times New Roman" w:hAnsi="Times New Roman"/>
          <w:sz w:val="18"/>
          <w:szCs w:val="18"/>
          <w:color w:val="auto"/>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Section </w:t>
      </w:r>
      <w:r>
        <w:rPr>
          <w:rFonts w:ascii="Times New Roman" w:cs="Times New Roman" w:eastAsia="Times New Roman" w:hAnsi="Times New Roman"/>
          <w:sz w:val="18"/>
          <w:szCs w:val="18"/>
          <w:b w:val="1"/>
          <w:bCs w:val="1"/>
          <w:color w:val="auto"/>
        </w:rPr>
        <w:t>4.02(E)</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Fundamental Change Repurchase Price</w:t>
      </w:r>
      <w:r>
        <w:rPr>
          <w:rFonts w:ascii="Times New Roman" w:cs="Times New Roman" w:eastAsia="Times New Roman" w:hAnsi="Times New Roman"/>
          <w:sz w:val="18"/>
          <w:szCs w:val="18"/>
          <w:color w:val="auto"/>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Change Repurchase Price will include interest on Notes to be repurchased from, and including, such Interest Payment Date to, but excluding, such Fundamental Change Repurchase Date.</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Fundamental Change Notice</w:t>
      </w:r>
      <w:r>
        <w:rPr>
          <w:rFonts w:ascii="Times New Roman" w:cs="Times New Roman" w:eastAsia="Times New Roman" w:hAnsi="Times New Roman"/>
          <w:sz w:val="18"/>
          <w:szCs w:val="18"/>
          <w:color w:val="auto"/>
        </w:rPr>
        <w:t>. On or before the twentieth (20th) calendar day after the effective date of a Fundamental Change, the Company will send to each Holder in writing, with a copy to the Trustee, the Paying Agent and the Conversion Agent a notice of such Fundamental Change (a “</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Fundamental Change Notice must state: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briefly, the events causing such Fundamental Change;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effective date of such Fundamental Change;</w:t>
      </w:r>
    </w:p>
    <w:p>
      <w:pPr>
        <w:spacing w:after="0" w:line="221"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(iii)           the procedures that a Holder must follow to require the Company to repurchase its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including the deadline for exercising the Fundamental Change Repurchase Right and the procedures for submitting and withdrawing a Fundamental Change Repurchase Notice;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the Fundamental Change Repurchase Date for such Fundamental Change;</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4.02(D));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the name and address of the Paying Agent and the Conversion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         the Conversion Rate in effect on the date of such Fundamental Change Notice and a description and quantification of any adjustments to the Conversion Rate that may result from such Fundamental Change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(viii)        that Notes for which a Fundamental Change Repurchase Notice has been duly tendered and not duly withdrawn must be delivered to the Paying Agent for the Holder thereof to be entitled to receive the Fundamental Change Repurchase Price;</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(ix)           that Notes (or any portion thereof) that are subject to a Fundamental Change Repurchase Notice that has been duly tendered may be converted only if such Fundamental Change Repurchase Notice is withdrawn in accordance with this Indenture;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the CUSIP and ISIN numbers, if any, of the Notes.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Procedures to Exercise the Fundamental Change Repurchase Right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Delivery of Fundamental Change Repurchase Notice and Notes to Be Repurchased</w:t>
      </w:r>
      <w:r>
        <w:rPr>
          <w:rFonts w:ascii="Times New Roman" w:cs="Times New Roman" w:eastAsia="Times New Roman" w:hAnsi="Times New Roman"/>
          <w:sz w:val="18"/>
          <w:szCs w:val="18"/>
          <w:color w:val="auto"/>
        </w:rPr>
        <w:t>. To exercise its Fundamental Change Repurchase Right for a Note following a Fundamental Change, the Holder thereof must deliver to the Paying Agent:</w:t>
      </w:r>
    </w:p>
    <w:p>
      <w:pPr>
        <w:spacing w:after="0" w:line="160" w:lineRule="exact"/>
        <w:rPr>
          <w:sz w:val="20"/>
          <w:szCs w:val="20"/>
          <w:color w:val="auto"/>
        </w:rPr>
      </w:pPr>
    </w:p>
    <w:p>
      <w:pPr>
        <w:jc w:val="both"/>
        <w:ind w:left="1300" w:right="20" w:firstLine="648"/>
        <w:spacing w:after="0" w:line="266" w:lineRule="auto"/>
        <w:rPr>
          <w:sz w:val="20"/>
          <w:szCs w:val="20"/>
          <w:color w:val="auto"/>
        </w:rPr>
      </w:pPr>
      <w:r>
        <w:rPr>
          <w:rFonts w:ascii="Times New Roman" w:cs="Times New Roman" w:eastAsia="Times New Roman" w:hAnsi="Times New Roman"/>
          <w:sz w:val="18"/>
          <w:szCs w:val="18"/>
          <w:color w:val="auto"/>
        </w:rPr>
        <w:t>(1)            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(2)            such Note, duly endorsed for transfer (if such Note is a Physical Note) or by book-entry transfer (if such Note is a Global</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Paying Agent will promptly deliver to the Company a copy of each Fundamental Change Repurchase Notice that it receives.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(ii)            </w:t>
      </w:r>
      <w:r>
        <w:rPr>
          <w:rFonts w:ascii="Times New Roman" w:cs="Times New Roman" w:eastAsia="Times New Roman" w:hAnsi="Times New Roman"/>
          <w:sz w:val="17"/>
          <w:szCs w:val="17"/>
          <w:i w:val="1"/>
          <w:iCs w:val="1"/>
          <w:color w:val="auto"/>
        </w:rPr>
        <w:t>Contents of Fundamental Change Repurchase Notices</w:t>
      </w:r>
      <w:r>
        <w:rPr>
          <w:rFonts w:ascii="Times New Roman" w:cs="Times New Roman" w:eastAsia="Times New Roman" w:hAnsi="Times New Roman"/>
          <w:sz w:val="17"/>
          <w:szCs w:val="17"/>
          <w:color w:val="auto"/>
        </w:rPr>
        <w:t>. Each Fundamental Change Repurchase Notice with respect to a Note must</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if such Note is a Physical Note, the certificate number of such Note;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the principal amount of such Note to be repurchased, which must be an Authorized Denomination;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that such Holder is exercising its Fundamental Change Repurchase Right with respect to such principal amount of such</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Fundamental Change Repurchase Notice must comply with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Procedures (and any such Fundamental Change Repurchase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Withdrawal of Fundamental Change Repurchase Notice</w:t>
      </w:r>
      <w:r>
        <w:rPr>
          <w:rFonts w:ascii="Times New Roman" w:cs="Times New Roman" w:eastAsia="Times New Roman" w:hAnsi="Times New Roman"/>
          <w:sz w:val="18"/>
          <w:szCs w:val="18"/>
          <w:color w:val="auto"/>
        </w:rPr>
        <w:t>.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spacing w:after="0" w:line="1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if such Note is a Physical Note, the certificate number of such Note;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the principal amount of such Note to be withdrawn, which must be an Authorized Denomination; and</w:t>
      </w:r>
    </w:p>
    <w:p>
      <w:pPr>
        <w:spacing w:after="0" w:line="225" w:lineRule="exact"/>
        <w:rPr>
          <w:sz w:val="20"/>
          <w:szCs w:val="20"/>
          <w:color w:val="auto"/>
        </w:rPr>
      </w:pPr>
    </w:p>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(3)            the principal amount of such Note, if any, that remains subject to such Fundamental Change Repurchase Notice, which must be an Authorized Denomination;</w:t>
      </w:r>
    </w:p>
    <w:p>
      <w:pPr>
        <w:spacing w:after="0" w:line="160"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Note is a Global Note, then such withdrawal notice must comply with the Depositary Procedures (and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withdrawal notice delivered in compliance with the Depositary Procedures will be deemed to satisfy the requirements of this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 w:cs="Times New Roman" w:eastAsia="Times New Roman" w:hAnsi="Times New Roman"/>
          <w:sz w:val="18"/>
          <w:szCs w:val="18"/>
          <w:b w:val="1"/>
          <w:bCs w:val="1"/>
          <w:color w:val="auto"/>
        </w:rPr>
        <w:t>Section 2.11</w:t>
      </w:r>
      <w:r>
        <w:rPr>
          <w:rFonts w:ascii="Times New Roman" w:cs="Times New Roman" w:eastAsia="Times New Roman" w:hAnsi="Times New Roman"/>
          <w:sz w:val="18"/>
          <w:szCs w:val="18"/>
          <w:color w:val="auto"/>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 in accordance with the Depositary Procedures).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Payment of the Fundamental Change Repurchase Price</w:t>
      </w:r>
      <w:r>
        <w:rPr>
          <w:rFonts w:ascii="Times New Roman" w:cs="Times New Roman" w:eastAsia="Times New Roman" w:hAnsi="Times New Roman"/>
          <w:sz w:val="18"/>
          <w:szCs w:val="18"/>
          <w:color w:val="auto"/>
        </w:rPr>
        <w:t xml:space="preserve">. Without limiting the Company’s obligation to deposit the Fundamental Change Repurchase Price within the time proscribed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the first sentence of </w:t>
      </w:r>
      <w:r>
        <w:rPr>
          <w:rFonts w:ascii="Times New Roman" w:cs="Times New Roman" w:eastAsia="Times New Roman" w:hAnsi="Times New Roman"/>
          <w:sz w:val="18"/>
          <w:szCs w:val="18"/>
          <w:b w:val="1"/>
          <w:bCs w:val="1"/>
          <w:color w:val="auto"/>
        </w:rPr>
        <w:t xml:space="preserve">Section 4.02(D) </w:t>
      </w:r>
      <w:r>
        <w:rPr>
          <w:rFonts w:ascii="Times New Roman" w:cs="Times New Roman" w:eastAsia="Times New Roman" w:hAnsi="Times New Roman"/>
          <w:sz w:val="18"/>
          <w:szCs w:val="18"/>
          <w:color w:val="auto"/>
        </w:rPr>
        <w:t>on any Note to be repurchased pursuant to a Repurchase Upon Fundamental Change must be paid pursuant to such proviso regardless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whether such Note is delivered or such Depositary Procedures are complied with pursuant to the first sentence of this </w:t>
      </w:r>
      <w:r>
        <w:rPr>
          <w:rFonts w:ascii="Times New Roman" w:cs="Times New Roman" w:eastAsia="Times New Roman" w:hAnsi="Times New Roman"/>
          <w:sz w:val="18"/>
          <w:szCs w:val="18"/>
          <w:b w:val="1"/>
          <w:bCs w:val="1"/>
          <w:color w:val="auto"/>
        </w:rPr>
        <w:t>Section 4.02(G)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Third Party May Conduct Repurchase Offer In Lieu of the Company</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the Company will be deemed to satisfy its obligations under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if one or more third parties conduct any Repurchase Upon Fundamental Change and related offer to repurchase Notes otherwise required by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in the same manner</w:t>
      </w:r>
      <w:r>
        <w:rPr>
          <w:rFonts w:ascii="Times New Roman" w:cs="Times New Roman" w:eastAsia="Times New Roman" w:hAnsi="Times New Roman"/>
          <w:sz w:val="18"/>
          <w:szCs w:val="18"/>
          <w:color w:val="231F20"/>
        </w:rPr>
        <w:t>, at the same time and otherwise in compliance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requirements for an offer made by the Company as provided in this </w:t>
      </w:r>
      <w:r>
        <w:rPr>
          <w:rFonts w:ascii="Times New Roman" w:cs="Times New Roman" w:eastAsia="Times New Roman" w:hAnsi="Times New Roman"/>
          <w:sz w:val="18"/>
          <w:szCs w:val="18"/>
          <w:b w:val="1"/>
          <w:bCs w:val="1"/>
          <w:color w:val="000000"/>
        </w:rPr>
        <w:t>Section 4.02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that would have satisfied the requirements of this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000000"/>
        </w:rPr>
        <w:t>Section 4.02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conducted directly by the Company.</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No Requirement to Conduct an Offer to Repurchase Notes if the Fundamental Change Results in the Notes Becoming Convertible into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 of Cash Exceeding the Fundamental Change Repurchase Price</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the Company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 be required to send a Fundamental Change Notice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 xml:space="preserve">, or offer to repurchase or repurchase any Notes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in connection with a Common Stock Change Event that constitutes a Fundamental Change pursuant to</w:t>
      </w:r>
      <w:r>
        <w:rPr>
          <w:rFonts w:ascii="Times New Roman" w:cs="Times New Roman" w:eastAsia="Times New Roman" w:hAnsi="Times New Roman"/>
          <w:sz w:val="18"/>
          <w:szCs w:val="18"/>
          <w:b w:val="1"/>
          <w:bCs w:val="1"/>
          <w:color w:val="auto"/>
        </w:rPr>
        <w:t xml:space="preserve"> clause (B)(ii) </w:t>
      </w:r>
      <w:r>
        <w:rPr>
          <w:rFonts w:ascii="Times New Roman" w:cs="Times New Roman" w:eastAsia="Times New Roman" w:hAnsi="Times New Roman"/>
          <w:sz w:val="18"/>
          <w:szCs w:val="18"/>
          <w:color w:val="auto"/>
        </w:rPr>
        <w:t>of the definition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(regardless of whether such Common Stock Change Event also constitutes a Fundamental Change pursuant to any other clause of such definition), if (i) the Reference Property of such Common Stock Change Event consists entirely of cash in U.S. dollars; (ii) immediately after such Fundamental Change, the Notes become convertible, pursuant to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into consideration that consists solely of U.S. dollars in an amount per $1,000 aggregate principal amount of Notes that equals or exceeds the Fundamental Change Repurchase Price per $1,000 aggregate principal amount of Notes (calculated assuming that the same includes the maximum amount of accrued interest payable as part of the related Fundamental Change Repurchase Price); and (iii) the Company timely sends the notice relating to such Fundamental Change required pursuant to </w:t>
      </w:r>
      <w:r>
        <w:rPr>
          <w:rFonts w:ascii="Times New Roman" w:cs="Times New Roman" w:eastAsia="Times New Roman" w:hAnsi="Times New Roman"/>
          <w:sz w:val="18"/>
          <w:szCs w:val="18"/>
          <w:b w:val="1"/>
          <w:bCs w:val="1"/>
          <w:color w:val="auto"/>
        </w:rPr>
        <w:t>Section 5.01(C)(i)(3)(b)</w:t>
      </w:r>
      <w:r>
        <w:rPr>
          <w:rFonts w:ascii="Times New Roman" w:cs="Times New Roman" w:eastAsia="Times New Roman" w:hAnsi="Times New Roman"/>
          <w:sz w:val="18"/>
          <w:szCs w:val="18"/>
          <w:color w:val="auto"/>
        </w:rPr>
        <w:t xml:space="preserve">, and includes, in such notice, a statement that the Company is relying on this Section </w:t>
      </w:r>
      <w:r>
        <w:rPr>
          <w:rFonts w:ascii="Times New Roman" w:cs="Times New Roman" w:eastAsia="Times New Roman" w:hAnsi="Times New Roman"/>
          <w:sz w:val="18"/>
          <w:szCs w:val="18"/>
          <w:b w:val="1"/>
          <w:bCs w:val="1"/>
          <w:color w:val="auto"/>
        </w:rPr>
        <w:t>4.02(I)</w:t>
      </w:r>
      <w:r>
        <w:rPr>
          <w:rFonts w:ascii="Times New Roman" w:cs="Times New Roman" w:eastAsia="Times New Roman" w:hAnsi="Times New Roman"/>
          <w:sz w:val="18"/>
          <w:szCs w:val="18"/>
          <w:color w:val="auto"/>
        </w:rPr>
        <w:t xml:space="preserve">. For the avoidance of doubt, the maximum amount of accrued interest referred to in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above will be determined (x) by assuming that the Fundamental Change Repurchase Date occurs on the latest possible date permitted for the applicable Fundamental Change pursuant to </w:t>
      </w:r>
      <w:r>
        <w:rPr>
          <w:rFonts w:ascii="Times New Roman" w:cs="Times New Roman" w:eastAsia="Times New Roman" w:hAnsi="Times New Roman"/>
          <w:sz w:val="18"/>
          <w:szCs w:val="18"/>
          <w:b w:val="1"/>
          <w:bCs w:val="1"/>
          <w:color w:val="auto"/>
        </w:rPr>
        <w:t>Section 4.02(E)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4.02(C)</w:t>
      </w:r>
      <w:r>
        <w:rPr>
          <w:rFonts w:ascii="Times New Roman" w:cs="Times New Roman" w:eastAsia="Times New Roman" w:hAnsi="Times New Roman"/>
          <w:sz w:val="18"/>
          <w:szCs w:val="18"/>
          <w:color w:val="auto"/>
        </w:rPr>
        <w:t xml:space="preserve">; and (y) without regard to the proviso in the first sentence of </w:t>
      </w:r>
      <w:r>
        <w:rPr>
          <w:rFonts w:ascii="Times New Roman" w:cs="Times New Roman" w:eastAsia="Times New Roman" w:hAnsi="Times New Roman"/>
          <w:sz w:val="18"/>
          <w:szCs w:val="18"/>
          <w:b w:val="1"/>
          <w:bCs w:val="1"/>
          <w:color w:val="auto"/>
        </w:rPr>
        <w:t>Section 4.02(D)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Compliance with Applicable Securities Laws</w:t>
      </w:r>
      <w:r>
        <w:rPr>
          <w:rFonts w:ascii="Times New Roman" w:cs="Times New Roman" w:eastAsia="Times New Roman" w:hAnsi="Times New Roman"/>
          <w:sz w:val="18"/>
          <w:szCs w:val="18"/>
          <w:color w:val="auto"/>
        </w:rPr>
        <w:t xml:space="preserve">. To the extent applicable, the Company will comply, in all material respects, with all U.S.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that the Company’s obligations pursuant to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conflict with any law or regulation that is applicable to the Company and enacted after the Issue Date, the Company’s compliance with such law or regulation will not be considered to be a Default of such obligations; rather, the Company will be deemed to be in compliance with such obligations if the Company complies with its obligation to effect Repurchases Upon a Fundamental Change in accordance with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modified as necessary by the Company in good faith to permit compliance with such law or regulation.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Repurchase in Part</w:t>
      </w:r>
      <w:r>
        <w:rPr>
          <w:rFonts w:ascii="Times New Roman" w:cs="Times New Roman" w:eastAsia="Times New Roman" w:hAnsi="Times New Roman"/>
          <w:sz w:val="18"/>
          <w:szCs w:val="18"/>
          <w:color w:val="auto"/>
        </w:rPr>
        <w:t xml:space="preserve">. Subject to the terms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Notes may be repurchased pursuant to a Repurchase Upon Fundamental Change in part, but only in Authorized Denominations. Provisions of this </w:t>
      </w:r>
      <w:r>
        <w:rPr>
          <w:rFonts w:ascii="Times New Roman" w:cs="Times New Roman" w:eastAsia="Times New Roman" w:hAnsi="Times New Roman"/>
          <w:sz w:val="18"/>
          <w:szCs w:val="18"/>
          <w:b w:val="1"/>
          <w:bCs w:val="1"/>
          <w:color w:val="auto"/>
        </w:rPr>
        <w:t>Section 4.02</w:t>
      </w:r>
      <w:r>
        <w:rPr>
          <w:rFonts w:ascii="Times New Roman" w:cs="Times New Roman" w:eastAsia="Times New Roman" w:hAnsi="Times New Roman"/>
          <w:sz w:val="18"/>
          <w:szCs w:val="18"/>
          <w:color w:val="auto"/>
        </w:rPr>
        <w:t xml:space="preserve"> applying to the repurchase of a Note in whole will equally apply to the repurchase of a permitted portion of a Note.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4.03. R</w:t>
      </w:r>
      <w:r>
        <w:rPr>
          <w:rFonts w:ascii="Times New Roman" w:cs="Times New Roman" w:eastAsia="Times New Roman" w:hAnsi="Times New Roman"/>
          <w:sz w:val="12"/>
          <w:szCs w:val="12"/>
          <w:b w:val="1"/>
          <w:bCs w:val="1"/>
          <w:color w:val="auto"/>
        </w:rPr>
        <w:t>ight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edeem the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No Right to Redeem Before April 6, 2028</w:t>
      </w:r>
      <w:r>
        <w:rPr>
          <w:rFonts w:ascii="Times New Roman" w:cs="Times New Roman" w:eastAsia="Times New Roman" w:hAnsi="Times New Roman"/>
          <w:sz w:val="18"/>
          <w:szCs w:val="18"/>
          <w:color w:val="auto"/>
        </w:rPr>
        <w:t>. The Company may not redeem the Notes at its option at any time before April 6, 2028.</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Right to Redeem the Notes on or After April 6, 2028</w:t>
      </w:r>
      <w:r>
        <w:rPr>
          <w:rFonts w:ascii="Times New Roman" w:cs="Times New Roman" w:eastAsia="Times New Roman" w:hAnsi="Times New Roman"/>
          <w:sz w:val="18"/>
          <w:szCs w:val="18"/>
          <w:color w:val="auto"/>
        </w:rPr>
        <w:t xml:space="preserve">. Subject to the terms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the Company has the right, at its election, to redeem all, or any portion (subject to the Partial Redemption Limitation set forth in </w:t>
      </w:r>
      <w:r>
        <w:rPr>
          <w:rFonts w:ascii="Times New Roman" w:cs="Times New Roman" w:eastAsia="Times New Roman" w:hAnsi="Times New Roman"/>
          <w:sz w:val="18"/>
          <w:szCs w:val="18"/>
          <w:b w:val="1"/>
          <w:bCs w:val="1"/>
          <w:color w:val="auto"/>
        </w:rPr>
        <w:t>Section 4.03(C)</w:t>
      </w:r>
      <w:r>
        <w:rPr>
          <w:rFonts w:ascii="Times New Roman" w:cs="Times New Roman" w:eastAsia="Times New Roman" w:hAnsi="Times New Roman"/>
          <w:sz w:val="18"/>
          <w:szCs w:val="18"/>
          <w:color w:val="auto"/>
        </w:rPr>
        <w:t xml:space="preserve">) in an Authorized Denomination, of the Notes, at any time, and from time to time, on a Redemption Date on or after April 6, 2028 and on or before the thirty-first (31st) Scheduled Trading Day immediately before the Maturity Date, for a cash purchase price equal to the Redemption Price, but only if (1) the Last Reported Sale Price per share of Common Stock exceeds one hundred and thirty percent (130%) of the Conversion Price on (i) each of at least twenty (20) Trading Days (whether or not consecutive) during the thirty (30) consecutive Trading Days ending on, and including, the Trading Day immediately before the Redemption Notice Date for such Redemption; and (ii) the Trading Day immediately before such Redemption Notice Date; and (2) the Liquidity Conditions have been satisfied. For the avoidance of doubt, the calling of any Notes for Redemption will constitute a Make-Whole Fundamental Change with respect to that Note pursuant to </w:t>
      </w:r>
      <w:r>
        <w:rPr>
          <w:rFonts w:ascii="Times New Roman" w:cs="Times New Roman" w:eastAsia="Times New Roman" w:hAnsi="Times New Roman"/>
          <w:sz w:val="18"/>
          <w:szCs w:val="18"/>
          <w:b w:val="1"/>
          <w:bCs w:val="1"/>
          <w:color w:val="auto"/>
        </w:rPr>
        <w:t xml:space="preserve">clause (B) </w:t>
      </w:r>
      <w:r>
        <w:rPr>
          <w:rFonts w:ascii="Times New Roman" w:cs="Times New Roman" w:eastAsia="Times New Roman" w:hAnsi="Times New Roman"/>
          <w:sz w:val="18"/>
          <w:szCs w:val="18"/>
          <w:color w:val="auto"/>
        </w:rPr>
        <w:t>of the definition thereof.</w:t>
      </w:r>
    </w:p>
    <w:p>
      <w:pPr>
        <w:spacing w:after="0" w:line="1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Partial Redemption Limitation</w:t>
      </w:r>
      <w:r>
        <w:rPr>
          <w:rFonts w:ascii="Times New Roman" w:cs="Times New Roman" w:eastAsia="Times New Roman" w:hAnsi="Times New Roman"/>
          <w:sz w:val="18"/>
          <w:szCs w:val="18"/>
          <w:color w:val="auto"/>
        </w:rPr>
        <w:t>. If the Company elects to redeem fewer than all of the outstanding Notes, at least one hundred fifty million dollars ($150,000,000) aggregate principal amount of Notes must be outstanding and not subject to Redemption as of the Redemption Notice Date for such Redemption (such requirement, the “</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Redemption Prohibited in Certain Circumstances</w:t>
      </w:r>
      <w:r>
        <w:rPr>
          <w:rFonts w:ascii="Times New Roman" w:cs="Times New Roman" w:eastAsia="Times New Roman" w:hAnsi="Times New Roman"/>
          <w:sz w:val="18"/>
          <w:szCs w:val="18"/>
          <w:color w:val="auto"/>
        </w:rPr>
        <w:t xml:space="preserve">. If the principal amount of the Notes has been accelerated and such acceleration has not been rescinded on or before the Redemption Date (including a rescission as a result of the payment of the related Redemption Price, and any related interest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on such Redemption Date), then (i) the Company may not call for Redemption or otherwise redeem any Notes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xml:space="preserve">. The Redemption Date for any Redemption will be a day of the Company’s choosing that is no more than fifty five (55), nor less than thirty five (35), Scheduled Trading Days after the Redemption Notice Date for such Redemption and that is, as of such Redemption Notice Date, scheduled to be a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the Company has elected to settle all conversions for Notes called for Redemption with a Conversion Date that occurs during the related Redemption Conversion Period by Physical Settlement, then the Company may instead elect to choose a Redemption Date that is a Business Day no more than sixty (60), nor less than ten (10), calendar days after such Redemption Notice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 w:cs="Times New Roman" w:eastAsia="Times New Roman" w:hAnsi="Times New Roman"/>
          <w:sz w:val="18"/>
          <w:szCs w:val="18"/>
          <w:b w:val="1"/>
          <w:bCs w:val="1"/>
          <w:color w:val="auto"/>
        </w:rPr>
        <w:t>Section 2.05(C)</w:t>
      </w:r>
      <w:r>
        <w:rPr>
          <w:rFonts w:ascii="Times New Roman" w:cs="Times New Roman" w:eastAsia="Times New Roman" w:hAnsi="Times New Roman"/>
          <w:sz w:val="18"/>
          <w:szCs w:val="18"/>
          <w:color w:val="auto"/>
        </w:rPr>
        <w:t>, on the next Business Day to Holders as of the Close of Business on the immediately preceding Regular Record Date; and (y) the Redemption Price will include interest on Notes to be redeemed from, and including, such Interest Payment Date.</w:t>
      </w:r>
    </w:p>
    <w:p>
      <w:pPr>
        <w:spacing w:after="0" w:line="19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Redemption Notice</w:t>
      </w:r>
      <w:r>
        <w:rPr>
          <w:rFonts w:ascii="Times New Roman" w:cs="Times New Roman" w:eastAsia="Times New Roman" w:hAnsi="Times New Roman"/>
          <w:sz w:val="18"/>
          <w:szCs w:val="18"/>
          <w:color w:val="auto"/>
        </w:rPr>
        <w:t>. To call any Notes for Redemption, the Company must send to each Holder of such Notes, the Trustee, the Conversion Agent and the Paying Agent a written notice of such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Redemption Notice must state: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that such Notes have been called for Redemption, briefly describing the Company’s Redemption right under this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the Redemption Date for such Redemption;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the name and address of the Paying Agent and the Conversion Agent;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            that Notes called for Redemption may be converted at any time before the Close of Business on the second (2nd) Scheduled Trading Day immediately before the Redemption Date (or, if the Company fails to pay the Redemption Price due on such Redemption Date in full, at any time until such time as the Company pays such Redemption Price in full);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8" w:name="page49"/>
    <w:bookmarkEnd w:id="48"/>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           the Conversion Rate in effect on the Redemption Notice Date for such Redemption and a description and quantification of any adjustments to the Conversion Rate that may result from such Redemption (including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(vii)         the Settlement Method that will apply to all conversions of Notes with a Conversion Date that occurs during the related Redemption Conversion Period;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the CUSIP and ISIN numbers, if any, of the Notes.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or before the Redemption Notice Date, the Company will send a copy of such Redemption Notice to the Trustee, the Conversion Agent and the Paying Agent. At the Company’s written request, the Trustee will give the Redemption Notice in the Company’s name and at its expense, provided that the Company delivers to the Trustee, at least five Business Days in the case of Physical Notes and five calendar days in the case of Global Notes prior to the Redemption Notice Date (unless the Trustee agrees to a shorter period), an Officer’s Certificate requesting that the Trustee give such notice and setting forth the information to be stated in such notice as provided in this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Selection, Conversion and Transfer of Notes to Be Redeemed in Part</w:t>
      </w:r>
      <w:r>
        <w:rPr>
          <w:rFonts w:ascii="Times New Roman" w:cs="Times New Roman" w:eastAsia="Times New Roman" w:hAnsi="Times New Roman"/>
          <w:sz w:val="18"/>
          <w:szCs w:val="18"/>
          <w:color w:val="auto"/>
        </w:rPr>
        <w:t>. If less than all Notes then outstanding are called for Redemption,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Notes to be redeemed will be selected by the Company as follows: (1) in the case of Global Notes, in accordance with the Depositary Procedures; and (2) in the case of Physical Notes, pro rata, by lot or by such other method the Company considers fair and appropriate;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if only a portion of a Note is subject to Redemption and such Note is converted in part, then the converted portion of such Note will be deemed to be from the portion of such Note that was subject to Redemption, subject to, in the case of any Global Note, the Depositary Procedures.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Payment of the Redemption Price</w:t>
      </w:r>
      <w:r>
        <w:rPr>
          <w:rFonts w:ascii="Times New Roman" w:cs="Times New Roman" w:eastAsia="Times New Roman" w:hAnsi="Times New Roman"/>
          <w:sz w:val="18"/>
          <w:szCs w:val="18"/>
          <w:color w:val="auto"/>
        </w:rPr>
        <w:t xml:space="preserve">. Without limiting the Company’s obligation to deposit the Redemption Price by the time proscribed by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 the Company will cause the Redemption Price for a Note (or portion thereof) subject to Redemption to be paid to the Holder thereof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the applicable Redemption Date. For the avoidance of doubt, interest payable pursuant to the proviso to the first sentence of </w:t>
      </w:r>
      <w:r>
        <w:rPr>
          <w:rFonts w:ascii="Times New Roman" w:cs="Times New Roman" w:eastAsia="Times New Roman" w:hAnsi="Times New Roman"/>
          <w:sz w:val="18"/>
          <w:szCs w:val="18"/>
          <w:b w:val="1"/>
          <w:bCs w:val="1"/>
          <w:color w:val="auto"/>
        </w:rPr>
        <w:t>Section 4.03(F)</w:t>
      </w:r>
      <w:r>
        <w:rPr>
          <w:rFonts w:ascii="Times New Roman" w:cs="Times New Roman" w:eastAsia="Times New Roman" w:hAnsi="Times New Roman"/>
          <w:sz w:val="18"/>
          <w:szCs w:val="18"/>
          <w:color w:val="auto"/>
        </w:rPr>
        <w:t xml:space="preserve"> on any Note (or portion thereof) subject to Redemption must be paid pursuant to such proviso.</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Special Provisions for Partial Calls</w:t>
      </w:r>
      <w:r>
        <w:rPr>
          <w:rFonts w:ascii="Times New Roman" w:cs="Times New Roman" w:eastAsia="Times New Roman" w:hAnsi="Times New Roman"/>
          <w:sz w:val="18"/>
          <w:szCs w:val="18"/>
          <w:color w:val="auto"/>
        </w:rPr>
        <w:t xml:space="preserve">. If the Company elects to redeem less than all of the outstanding Notes pursuant to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and the Holder of any Note, or any owner of a beneficial interest in any Global Note, is reasonably not able to determine, before the Close of Business on the thirty-second (32nd) Scheduled Trading Day (or, if, in accordance with </w:t>
      </w:r>
      <w:r>
        <w:rPr>
          <w:rFonts w:ascii="Times New Roman" w:cs="Times New Roman" w:eastAsia="Times New Roman" w:hAnsi="Times New Roman"/>
          <w:sz w:val="18"/>
          <w:szCs w:val="18"/>
          <w:b w:val="1"/>
          <w:bCs w:val="1"/>
          <w:color w:val="auto"/>
        </w:rPr>
        <w:t>Section 5.03(A)(i)(3)</w:t>
      </w:r>
      <w:r>
        <w:rPr>
          <w:rFonts w:ascii="Times New Roman" w:cs="Times New Roman" w:eastAsia="Times New Roman" w:hAnsi="Times New Roman"/>
          <w:sz w:val="18"/>
          <w:szCs w:val="18"/>
          <w:color w:val="auto"/>
        </w:rPr>
        <w:t xml:space="preserve">, the Company has elected to settle all conversions of Notes with a Conversion Date that occurs during the related Redemption Conversion Period, the tenth (10th) calendar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during the related Redemption Conversion Period, and each such conversion will be deemed to be of a Note called for Redemption for purposes of this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Sections</w:t>
      </w:r>
      <w:r>
        <w:rPr>
          <w:rFonts w:ascii="Times New Roman" w:cs="Times New Roman" w:eastAsia="Times New Roman" w:hAnsi="Times New Roman"/>
          <w:sz w:val="18"/>
          <w:szCs w:val="18"/>
          <w:color w:val="auto"/>
        </w:rPr>
        <w:t xml:space="preserve"> 5.01</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(i)(4) </w:t>
      </w:r>
      <w:r>
        <w:rPr>
          <w:rFonts w:ascii="Times New Roman" w:cs="Times New Roman" w:eastAsia="Times New Roman" w:hAnsi="Times New Roman"/>
          <w:sz w:val="18"/>
          <w:szCs w:val="18"/>
          <w:color w:val="auto"/>
        </w:rPr>
        <w:t>and 5.07 and the definition of “Make-Whole Fundamental Change”. The Trustee will have no obligation to make any determination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the foregoing. For the avoidance of doubt, each reference in this Indenture or the Notes to (x) any Note that is called for Redemption (or similar language) includes any Note that is deemed to be called for Redemption pursuant to this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xml:space="preserve">; and (y) any Note that is not called for Redemption (or similar language) excludes any Note that is deemed to be called for Redemption pursuant to this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Article 5      CONVERSION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R</w:t>
      </w:r>
      <w:r>
        <w:rPr>
          <w:rFonts w:ascii="Times New Roman" w:cs="Times New Roman" w:eastAsia="Times New Roman" w:hAnsi="Times New Roman"/>
          <w:sz w:val="12"/>
          <w:szCs w:val="12"/>
          <w:b w:val="1"/>
          <w:bCs w:val="1"/>
          <w:color w:val="auto"/>
        </w:rPr>
        <w:t>ight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each Holder may, at its option, convert such Holder’s Notes into Conversion Consideration.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 Subject to the terms of this Indenture, Notes may be converted in part, but only in Authorized Denominations.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of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applying to the conversion of a Note in whole will equally apply to conversions of a permitted portion of a Note.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When Notes May Be Converted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Section 5.01(C)(ii)</w:t>
      </w:r>
      <w:r>
        <w:rPr>
          <w:rFonts w:ascii="Times New Roman" w:cs="Times New Roman" w:eastAsia="Times New Roman" w:hAnsi="Times New Roman"/>
          <w:sz w:val="18"/>
          <w:szCs w:val="18"/>
          <w:color w:val="auto"/>
        </w:rPr>
        <w:t>, a Note may be converted only in the following circumstances:</w:t>
      </w:r>
    </w:p>
    <w:p>
      <w:pPr>
        <w:spacing w:after="0" w:line="227"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Conversion upon Satisfaction of Sale Price Condition</w:t>
      </w:r>
      <w:r>
        <w:rPr>
          <w:rFonts w:ascii="Times New Roman" w:cs="Times New Roman" w:eastAsia="Times New Roman" w:hAnsi="Times New Roman"/>
          <w:sz w:val="18"/>
          <w:szCs w:val="18"/>
          <w:color w:val="auto"/>
        </w:rPr>
        <w:t>. Before the Close of Business on the Business Day immediately before January 1, 2030, a Holder may convert its Notes during any calendar quarter (and only during such calendar quarter) commencing after the calendar quarter ending on June 30, 2025,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spacing w:after="0" w:line="183"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Conversion upon Satisfaction of Note Trading Price Condition</w:t>
      </w:r>
      <w:r>
        <w:rPr>
          <w:rFonts w:ascii="Times New Roman" w:cs="Times New Roman" w:eastAsia="Times New Roman" w:hAnsi="Times New Roman"/>
          <w:sz w:val="18"/>
          <w:szCs w:val="18"/>
          <w:color w:val="auto"/>
        </w:rPr>
        <w:t>. Before the Close of Business on the Business Day immediately before January 1, 2030, a Holder may convert its Notes during the five (5) consecutive Business Days immediately after any ten (10) consecutive Trading Day period (such ten (10) consecutive Trading Day period, the “</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if the Trading Price per $1,000 principal amount of Notes, as determined following a request by a Holder in accordance with the procedures set forth below, for each Trading Day of 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 w:cs="Times New Roman" w:eastAsia="Times New Roman" w:hAnsi="Times New Roman"/>
          <w:sz w:val="18"/>
          <w:szCs w:val="18"/>
          <w:b w:val="1"/>
          <w:bCs w:val="1"/>
          <w:color w:val="auto"/>
        </w:rPr>
        <w:t>Trading Price Condition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 xml:space="preserve">The Trading Price will be determined by the Bid Solicitation Agent pursuant to this </w:t>
      </w:r>
      <w:r>
        <w:rPr>
          <w:rFonts w:ascii="Times New Roman" w:cs="Times New Roman" w:eastAsia="Times New Roman" w:hAnsi="Times New Roman"/>
          <w:sz w:val="18"/>
          <w:szCs w:val="18"/>
          <w:b w:val="1"/>
          <w:bCs w:val="1"/>
          <w:color w:val="auto"/>
        </w:rPr>
        <w:t>Section 5.01(C)(i)(2)</w:t>
      </w:r>
      <w:r>
        <w:rPr>
          <w:rFonts w:ascii="Times New Roman" w:cs="Times New Roman" w:eastAsia="Times New Roman" w:hAnsi="Times New Roman"/>
          <w:sz w:val="18"/>
          <w:szCs w:val="18"/>
          <w:color w:val="auto"/>
        </w:rPr>
        <w:t xml:space="preserve">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(or Holders) of at least five million dollars ($5,000,000) in aggregate principal amount of Notes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The Company will select the institutions to provide bids to the Bid Solicitation Agent and will instruct such institutions to provide bids to the Bid Solicitation Agent in accordance with the definition of “Trading Price.”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spacing w:after="0" w:line="19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Conversion upon Specified Corporate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40" w:right="20"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Certain Distributions</w:t>
      </w:r>
      <w:r>
        <w:rPr>
          <w:rFonts w:ascii="Times New Roman" w:cs="Times New Roman" w:eastAsia="Times New Roman" w:hAnsi="Times New Roman"/>
          <w:sz w:val="18"/>
          <w:szCs w:val="18"/>
          <w:color w:val="auto"/>
        </w:rPr>
        <w:t>. If, before the Close of Business on the Business Day immediately before January 1, 2030, the Company elects to:</w:t>
      </w:r>
    </w:p>
    <w:p>
      <w:pPr>
        <w:spacing w:after="0" w:line="160" w:lineRule="exact"/>
        <w:rPr>
          <w:sz w:val="20"/>
          <w:szCs w:val="20"/>
          <w:color w:val="auto"/>
        </w:rPr>
      </w:pPr>
    </w:p>
    <w:p>
      <w:pPr>
        <w:jc w:val="both"/>
        <w:ind w:left="14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upon their separation from the Common Stock or upon the occurrence of such triggering event) entitling them, for a period of not more than sixty (60) calendar days after the date such distribution is announced,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or</w:t>
      </w:r>
    </w:p>
    <w:p>
      <w:pPr>
        <w:spacing w:after="0" w:line="200" w:lineRule="exact"/>
        <w:rPr>
          <w:sz w:val="20"/>
          <w:szCs w:val="20"/>
          <w:color w:val="auto"/>
        </w:rPr>
      </w:pPr>
    </w:p>
    <w:p>
      <w:pPr>
        <w:spacing w:after="0" w:line="20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1" w:name="page52"/>
    <w:bookmarkEnd w:id="51"/>
    <w:p>
      <w:pPr>
        <w:jc w:val="both"/>
        <w:ind w:left="1480" w:firstLine="648"/>
        <w:spacing w:after="0" w:line="261" w:lineRule="auto"/>
        <w:rPr>
          <w:sz w:val="20"/>
          <w:szCs w:val="20"/>
          <w:color w:val="auto"/>
        </w:rPr>
      </w:pPr>
      <w:r>
        <w:rPr>
          <w:rFonts w:ascii="Times New Roman" w:cs="Times New Roman" w:eastAsia="Times New Roman" w:hAnsi="Times New Roman"/>
          <w:sz w:val="18"/>
          <w:szCs w:val="18"/>
          <w:color w:val="auto"/>
        </w:rPr>
        <w:t>(II)            distribute, to all or substantially all holders of Common Stock, assets or securities of the Company or rights to purchase the Company’s securities, which distribution per share of Common Stock has a value, as reasonably determined by the Company in good faith, exceeding ten percent (10%) of the Last Reported Sale Price per share of Common Stock on the Trading Day immediately before the date such distribution is announced,</w:t>
      </w:r>
    </w:p>
    <w:p>
      <w:pPr>
        <w:spacing w:after="0" w:line="180" w:lineRule="exact"/>
        <w:rPr>
          <w:sz w:val="20"/>
          <w:szCs w:val="20"/>
          <w:color w:val="auto"/>
        </w:rPr>
      </w:pPr>
    </w:p>
    <w:p>
      <w:pPr>
        <w:jc w:val="both"/>
        <w:ind w:left="840"/>
        <w:spacing w:after="0" w:line="251" w:lineRule="auto"/>
        <w:rPr>
          <w:sz w:val="20"/>
          <w:szCs w:val="20"/>
          <w:color w:val="auto"/>
        </w:rPr>
      </w:pPr>
      <w:r>
        <w:rPr>
          <w:rFonts w:ascii="Times New Roman" w:cs="Times New Roman" w:eastAsia="Times New Roman" w:hAnsi="Times New Roman"/>
          <w:sz w:val="18"/>
          <w:szCs w:val="18"/>
          <w:color w:val="auto"/>
        </w:rPr>
        <w:t xml:space="preserve">then, in either case, (x) the Company will send notice of such distribution, and of the related right to convert Notes, to Holders, the Trustee and the Conversion Agent at least thirty five (35) Scheduled Trading Days before the Ex-Dividend Date for such distribution (or, if later in the case of any such separation of rights issued pursuant to a stockholder rights plan or the occurrence of any such triggering event under a stockholder rights plan, no later than the Business Day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Notes will not become convertible pursuant to clause (y) above (but the Company will be required to send notice of such distribution pursuant to clause (x) above) on account of such distribution if each Holder participates, at the same time and on the same terms as holders of Common Stock, and solely by virtue of being a Holder, in such distribution without having to convert such Holder’s Notes and as if such Holder held a number of shares of Common Stock equal to the product of (i) the Conversion Rate in effect on the record date for such distribution; and (ii) the aggregate principal amount (expressed in thousands) of Notes held by such Holder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the Company is then otherwise permitted to settle conversions of Notes by Physical Settlement (and, for the avoidance of doubt, the Company has not elected another Settlement Method to apply, including pursuant to </w:t>
      </w:r>
      <w:r>
        <w:rPr>
          <w:rFonts w:ascii="Times New Roman" w:cs="Times New Roman" w:eastAsia="Times New Roman" w:hAnsi="Times New Roman"/>
          <w:sz w:val="18"/>
          <w:szCs w:val="18"/>
          <w:b w:val="1"/>
          <w:bCs w:val="1"/>
          <w:color w:val="auto"/>
        </w:rPr>
        <w:t>Section 5.03(A)(i)(1)</w:t>
      </w:r>
      <w:r>
        <w:rPr>
          <w:rFonts w:ascii="Times New Roman" w:cs="Times New Roman" w:eastAsia="Times New Roman" w:hAnsi="Times New Roman"/>
          <w:sz w:val="18"/>
          <w:szCs w:val="18"/>
          <w:color w:val="auto"/>
        </w:rPr>
        <w:t>), then the Company may instead elect to provide such notice at least ten</w:t>
      </w:r>
    </w:p>
    <w:p>
      <w:pPr>
        <w:spacing w:after="0" w:line="11" w:lineRule="exact"/>
        <w:rPr>
          <w:sz w:val="20"/>
          <w:szCs w:val="20"/>
          <w:color w:val="auto"/>
        </w:rPr>
      </w:pPr>
    </w:p>
    <w:p>
      <w:pPr>
        <w:jc w:val="both"/>
        <w:ind w:left="840" w:hanging="8"/>
        <w:spacing w:after="0" w:line="253" w:lineRule="auto"/>
        <w:tabs>
          <w:tab w:leader="none" w:pos="12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Trading Days before such Ex-Dividend Date, in which case (x) the Company must settle all conversions of Notes with a Conversion Date occurring on or after the date the Company provides such notice and on or before the Business Day immediately before the Ex-Dividend Date for such distribution (or any earlier announcement by the Company that such distribution will not take place) by Physical Settlement; and (y) such notice must state that all such conversions will be settled by Physical Settlement.</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2" w:name="page53"/>
    <w:bookmarkEnd w:id="52"/>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Certain Corporate Events</w:t>
      </w:r>
      <w:r>
        <w:rPr>
          <w:rFonts w:ascii="Times New Roman" w:cs="Times New Roman" w:eastAsia="Times New Roman" w:hAnsi="Times New Roman"/>
          <w:sz w:val="18"/>
          <w:szCs w:val="18"/>
          <w:color w:val="auto"/>
        </w:rPr>
        <w:t xml:space="preserve">. If a Fundamental Change, Make-Whole Fundamental Change (other than a Make-Whole Fundamental Change pursuant to </w:t>
      </w:r>
      <w:r>
        <w:rPr>
          <w:rFonts w:ascii="Times New Roman" w:cs="Times New Roman" w:eastAsia="Times New Roman" w:hAnsi="Times New Roman"/>
          <w:sz w:val="18"/>
          <w:szCs w:val="18"/>
          <w:b w:val="1"/>
          <w:bCs w:val="1"/>
          <w:color w:val="auto"/>
        </w:rPr>
        <w:t>clause (B)</w:t>
      </w:r>
      <w:r>
        <w:rPr>
          <w:rFonts w:ascii="Times New Roman" w:cs="Times New Roman" w:eastAsia="Times New Roman" w:hAnsi="Times New Roman"/>
          <w:sz w:val="18"/>
          <w:szCs w:val="18"/>
          <w:color w:val="auto"/>
        </w:rPr>
        <w:t xml:space="preserve"> of the definition thereof) or Common Stock Change Event occurs (other than a merger or other business combination transaction that is effected solely to change the Company’s jurisdiction of incorporation and that does not constitute a Fundamental Change or a Make-Whole Fundamental Change), then, in each case, Holders may convert their Notes at any time from, and including, the effective date of such transaction or event to, and including, the thirty fifth (35th) Trading Day after such effective date (or, if such transaction or event also constitutes a Fundamental Change (other than an Exempted Fundamental Change), to, but excluding, the related Fundamental Change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does not provide the notice referred to in the immediately following sentence by the Business Day after such effective date, then the last day on which the Notes are convertible pursuant to this sentence will be extended by the number of Business Days from, and including, the Business Day after such effective date to, but excluding, the date the Company provides such notice. No later than the Business Day after such effective date, the Company will send written notice to the Holders, the Trustee and the Conversion Agent of such transaction or event, such effective date and the related right to convert Notes.</w:t>
      </w:r>
    </w:p>
    <w:p>
      <w:pPr>
        <w:spacing w:after="0" w:line="187" w:lineRule="exact"/>
        <w:rPr>
          <w:sz w:val="20"/>
          <w:szCs w:val="20"/>
          <w:color w:val="auto"/>
        </w:rPr>
      </w:pPr>
    </w:p>
    <w:p>
      <w:pPr>
        <w:jc w:val="both"/>
        <w:ind w:left="640" w:firstLine="648"/>
        <w:spacing w:after="0" w:line="267"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Conversion upon Redemption</w:t>
      </w:r>
      <w:r>
        <w:rPr>
          <w:rFonts w:ascii="Times New Roman" w:cs="Times New Roman" w:eastAsia="Times New Roman" w:hAnsi="Times New Roman"/>
          <w:sz w:val="18"/>
          <w:szCs w:val="18"/>
          <w:color w:val="auto"/>
        </w:rPr>
        <w:t xml:space="preserve">. If the Company calls any Note for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xml:space="preserve"> before the Close of Business on the Business Day immediately before January 1, 2030, then the Holder of such Note may convert such Note at any time during the related Redemption Conversion Period.</w:t>
      </w:r>
    </w:p>
    <w:p>
      <w:pPr>
        <w:spacing w:after="0" w:line="173" w:lineRule="exact"/>
        <w:rPr>
          <w:sz w:val="20"/>
          <w:szCs w:val="20"/>
          <w:color w:val="auto"/>
        </w:rPr>
      </w:pPr>
    </w:p>
    <w:p>
      <w:pPr>
        <w:jc w:val="both"/>
        <w:ind w:left="640" w:firstLine="648"/>
        <w:spacing w:after="0" w:line="267"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Conversions During Free Convertibility Period</w:t>
      </w:r>
      <w:r>
        <w:rPr>
          <w:rFonts w:ascii="Times New Roman" w:cs="Times New Roman" w:eastAsia="Times New Roman" w:hAnsi="Times New Roman"/>
          <w:sz w:val="18"/>
          <w:szCs w:val="18"/>
          <w:color w:val="auto"/>
        </w:rPr>
        <w:t xml:space="preserve">. On or after January 1, 2030, a Holder may convert its Notes at any time until the Close of Business on the second (2nd) Scheduled Trading Day immediately before the Maturity Date regardless of the conditions set forth in </w:t>
      </w:r>
      <w:r>
        <w:rPr>
          <w:rFonts w:ascii="Times New Roman" w:cs="Times New Roman" w:eastAsia="Times New Roman" w:hAnsi="Times New Roman"/>
          <w:sz w:val="18"/>
          <w:szCs w:val="18"/>
          <w:b w:val="1"/>
          <w:bCs w:val="1"/>
          <w:color w:val="auto"/>
        </w:rPr>
        <w:t>sub-paragraphs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Notes may become convertible pursuant to any one or more of the preceding sub-paragraphs of this </w:t>
      </w:r>
      <w:r>
        <w:rPr>
          <w:rFonts w:ascii="Times New Roman" w:cs="Times New Roman" w:eastAsia="Times New Roman" w:hAnsi="Times New Roman"/>
          <w:sz w:val="18"/>
          <w:szCs w:val="18"/>
          <w:b w:val="1"/>
          <w:bCs w:val="1"/>
          <w:color w:val="auto"/>
        </w:rPr>
        <w:t xml:space="preserve">Section 5.01(C)(i) </w:t>
      </w:r>
      <w:r>
        <w:rPr>
          <w:rFonts w:ascii="Times New Roman" w:cs="Times New Roman" w:eastAsia="Times New Roman" w:hAnsi="Times New Roman"/>
          <w:sz w:val="18"/>
          <w:szCs w:val="18"/>
          <w:color w:val="auto"/>
        </w:rPr>
        <w:t>and the Notes ceasing to be convertible pursuant to a particular sub-paragraph of this</w:t>
      </w:r>
      <w:r>
        <w:rPr>
          <w:rFonts w:ascii="Times New Roman" w:cs="Times New Roman" w:eastAsia="Times New Roman" w:hAnsi="Times New Roman"/>
          <w:sz w:val="18"/>
          <w:szCs w:val="18"/>
          <w:b w:val="1"/>
          <w:bCs w:val="1"/>
          <w:color w:val="auto"/>
        </w:rPr>
        <w:t xml:space="preserve"> Section 5.01(C)(i) </w:t>
      </w:r>
      <w:r>
        <w:rPr>
          <w:rFonts w:ascii="Times New Roman" w:cs="Times New Roman" w:eastAsia="Times New Roman" w:hAnsi="Times New Roman"/>
          <w:sz w:val="18"/>
          <w:szCs w:val="18"/>
          <w:color w:val="auto"/>
        </w:rPr>
        <w:t>will not preclude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Notes from being convertible pursuant to any other sub-paragraph of this </w:t>
      </w:r>
      <w:r>
        <w:rPr>
          <w:rFonts w:ascii="Times New Roman" w:cs="Times New Roman" w:eastAsia="Times New Roman" w:hAnsi="Times New Roman"/>
          <w:sz w:val="18"/>
          <w:szCs w:val="18"/>
          <w:b w:val="1"/>
          <w:bCs w:val="1"/>
          <w:color w:val="auto"/>
        </w:rPr>
        <w:t>Section 5.01(C)(i)</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Limitations and Closed Periods</w:t>
      </w:r>
      <w:r>
        <w:rPr>
          <w:rFonts w:ascii="Times New Roman" w:cs="Times New Roman" w:eastAsia="Times New Roman" w:hAnsi="Times New Roman"/>
          <w:sz w:val="18"/>
          <w:szCs w:val="18"/>
          <w:color w:val="auto"/>
        </w:rPr>
        <w:t>. Notwithstanding anything to the contrary in this Indenture or the Notes:</w:t>
      </w:r>
    </w:p>
    <w:p>
      <w:pPr>
        <w:spacing w:after="0" w:line="200" w:lineRule="exact"/>
        <w:rPr>
          <w:sz w:val="20"/>
          <w:szCs w:val="20"/>
          <w:color w:val="auto"/>
        </w:rPr>
      </w:pPr>
    </w:p>
    <w:p>
      <w:pPr>
        <w:spacing w:after="0" w:line="2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53" w:name="page54"/>
    <w:bookmarkEnd w:id="53"/>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            Notes may be surrendered for conversion during a period where the Notes are convertible pursuant to </w:t>
      </w:r>
      <w:r>
        <w:rPr>
          <w:rFonts w:ascii="Times New Roman" w:cs="Times New Roman" w:eastAsia="Times New Roman" w:hAnsi="Times New Roman"/>
          <w:sz w:val="18"/>
          <w:szCs w:val="18"/>
          <w:b w:val="1"/>
          <w:bCs w:val="1"/>
          <w:color w:val="auto"/>
        </w:rPr>
        <w:t xml:space="preserve">Section 5.01(C) </w:t>
      </w:r>
      <w:r>
        <w:rPr>
          <w:rFonts w:ascii="Times New Roman" w:cs="Times New Roman" w:eastAsia="Times New Roman" w:hAnsi="Times New Roman"/>
          <w:sz w:val="18"/>
          <w:szCs w:val="18"/>
          <w:color w:val="auto"/>
        </w:rPr>
        <w:t>only after the Open of Business and before the Close of Business on a Business Day;</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(2)            in no event may any Note be converted after the Close of Business on the second (2nd) Scheduled Trading Day immediately before the Maturity Date;</w:t>
      </w:r>
    </w:p>
    <w:p>
      <w:pPr>
        <w:spacing w:after="0" w:line="158"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            if the Company calls any Note for Redemption pursuant to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then the Holder of such Note may not convert such Note after the Close of Business on the second (2nd) Scheduled Trading Day immediately before the applicable Redemption Date, except to the extent the Company fails to pay the Redemption Price for such Note in accordance with this Indenture; and</w:t>
      </w:r>
    </w:p>
    <w:p>
      <w:pPr>
        <w:spacing w:after="0" w:line="171" w:lineRule="exact"/>
        <w:rPr>
          <w:sz w:val="20"/>
          <w:szCs w:val="20"/>
          <w:color w:val="auto"/>
        </w:rPr>
      </w:pPr>
    </w:p>
    <w:p>
      <w:pPr>
        <w:jc w:val="both"/>
        <w:ind w:left="13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(4)            if a Fundamental Change Repurchase Notice is validly delivered pursuant to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with respect to any Note, then such Note may not be converted, except to the extent (a) such Note is not subject to such notice; (b) such notice is withdrawn in accordance with </w:t>
      </w:r>
      <w:r>
        <w:rPr>
          <w:rFonts w:ascii="Times New Roman" w:cs="Times New Roman" w:eastAsia="Times New Roman" w:hAnsi="Times New Roman"/>
          <w:sz w:val="18"/>
          <w:szCs w:val="18"/>
          <w:b w:val="1"/>
          <w:bCs w:val="1"/>
          <w:color w:val="auto"/>
        </w:rPr>
        <w:t>Section 4.02(F)</w:t>
      </w:r>
      <w:r>
        <w:rPr>
          <w:rFonts w:ascii="Times New Roman" w:cs="Times New Roman" w:eastAsia="Times New Roman" w:hAnsi="Times New Roman"/>
          <w:sz w:val="18"/>
          <w:szCs w:val="18"/>
          <w:color w:val="auto"/>
        </w:rPr>
        <w:t xml:space="preserve">; or (c) the Company fails to pay the Fundamental Change Repurchase Price for such Note in accordance with this Indenture (or a third party fails to make such payment in lieu of the Company in accordance with </w:t>
      </w:r>
      <w:r>
        <w:rPr>
          <w:rFonts w:ascii="Times New Roman" w:cs="Times New Roman" w:eastAsia="Times New Roman" w:hAnsi="Times New Roman"/>
          <w:sz w:val="18"/>
          <w:szCs w:val="18"/>
          <w:b w:val="1"/>
          <w:bCs w:val="1"/>
          <w:color w:val="auto"/>
        </w:rPr>
        <w:t>Section 4.02(H)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xml:space="preserve">. To convert a beneficial interest in a Global Note that is convertible pursuant to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xml:space="preserve">, the owner of such beneficial interest must (1) comply with the Depositary Procedures for converting such beneficial interest (at which time such conversion will become irrevocable); and (2)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Physical Notes</w:t>
      </w:r>
      <w:r>
        <w:rPr>
          <w:rFonts w:ascii="Times New Roman" w:cs="Times New Roman" w:eastAsia="Times New Roman" w:hAnsi="Times New Roman"/>
          <w:sz w:val="18"/>
          <w:szCs w:val="18"/>
          <w:color w:val="auto"/>
        </w:rPr>
        <w:t xml:space="preserve">. To convert all or a portion of a Physical Note that is convertible pursuant to </w:t>
      </w:r>
      <w:r>
        <w:rPr>
          <w:rFonts w:ascii="Times New Roman" w:cs="Times New Roman" w:eastAsia="Times New Roman" w:hAnsi="Times New Roman"/>
          <w:sz w:val="18"/>
          <w:szCs w:val="18"/>
          <w:b w:val="1"/>
          <w:bCs w:val="1"/>
          <w:color w:val="auto"/>
        </w:rPr>
        <w:t>Section 5.01(C)</w:t>
      </w:r>
      <w:r>
        <w:rPr>
          <w:rFonts w:ascii="Times New Roman" w:cs="Times New Roman" w:eastAsia="Times New Roman" w:hAnsi="Times New Roman"/>
          <w:sz w:val="18"/>
          <w:szCs w:val="18"/>
          <w:color w:val="auto"/>
        </w:rPr>
        <w:t>,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w:t>
      </w:r>
    </w:p>
    <w:p>
      <w:pPr>
        <w:ind w:left="660" w:right="20" w:hanging="4"/>
        <w:spacing w:after="0" w:line="260" w:lineRule="auto"/>
        <w:tabs>
          <w:tab w:leader="none" w:pos="9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any endorsements and transfer documents that the Company or the Conversion Agent may require; and (4) pay any amounts due pursuant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5.02(E)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Effect of Converting a Note</w:t>
      </w:r>
      <w:r>
        <w:rPr>
          <w:rFonts w:ascii="Times New Roman" w:cs="Times New Roman" w:eastAsia="Times New Roman" w:hAnsi="Times New Roman"/>
          <w:sz w:val="18"/>
          <w:szCs w:val="18"/>
          <w:color w:val="auto"/>
        </w:rPr>
        <w:t xml:space="preserve">. At the Close of Business on the Conversion Date for a Note (or any portion thereof) to be converted, such Note (or such portion) will (unless there occurs a Default in the delivery of the Conversion Consideration or interest due, pursuant to </w:t>
      </w:r>
      <w:r>
        <w:rPr>
          <w:rFonts w:ascii="Times New Roman" w:cs="Times New Roman" w:eastAsia="Times New Roman" w:hAnsi="Times New Roman"/>
          <w:sz w:val="18"/>
          <w:szCs w:val="18"/>
          <w:b w:val="1"/>
          <w:bCs w:val="1"/>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5.02(D)</w:t>
      </w:r>
      <w:r>
        <w:rPr>
          <w:rFonts w:ascii="Times New Roman" w:cs="Times New Roman" w:eastAsia="Times New Roman" w:hAnsi="Times New Roman"/>
          <w:sz w:val="18"/>
          <w:szCs w:val="18"/>
          <w:color w:val="auto"/>
        </w:rPr>
        <w:t xml:space="preserve">, as the case may be,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 of Common Stock is issuable upon conversion of any Note will be deemed to become the holder of record of such share as of the Close of Business on (i) the Conversion Date for such conversion, in the case of Physical Settlement; or (ii) the last VWAP Trading Day of the Observation Period for such conversion, in the case of Combination Settlement.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Interest Payable upon Conversion in Certain Circumstances</w:t>
      </w:r>
      <w:r>
        <w:rPr>
          <w:rFonts w:ascii="Times New Roman" w:cs="Times New Roman" w:eastAsia="Times New Roman" w:hAnsi="Times New Roman"/>
          <w:sz w:val="18"/>
          <w:szCs w:val="18"/>
          <w:color w:val="auto"/>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 w:cs="Times New Roman" w:eastAsia="Times New Roman" w:hAnsi="Times New Roman"/>
          <w:sz w:val="18"/>
          <w:szCs w:val="18"/>
          <w:b w:val="1"/>
          <w:bCs w:val="1"/>
          <w:color w:val="auto"/>
        </w:rPr>
        <w:t xml:space="preserve">clause (i) </w:t>
      </w:r>
      <w:r>
        <w:rPr>
          <w:rFonts w:ascii="Times New Roman" w:cs="Times New Roman" w:eastAsia="Times New Roman" w:hAnsi="Times New Roman"/>
          <w:sz w:val="18"/>
          <w:szCs w:val="18"/>
          <w:color w:val="auto"/>
        </w:rPr>
        <w:t>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 surrendering such Note for conversion need not deliver such cash (w) if such Note is called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deemed, pursuant to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xml:space="preserve">, to be called) for Redemption and the Company has specified a Redemption Date that is after such Regular Record Date and on or before the second Business Day immediately after such Interest Payment Date; (x) if such Conversion Date occurs after the Regular Record Date immediately before the Maturity Date; (y) if the Company has specified a Fundamental Change Repurchase Date that is after such Regular Record Date and on or before the Business Day immediately after such Interest Payment Date; or (z) to the extent of any overdue interest or interest that has accrued on any overdue interest. For the avoidance of doubt, as a result of, and without limiting the generality of, the foregoing, if (i) a Note is converted with a Conversion Date that is after the Regular Record Date immediately before the Maturity Date, (ii) a Note is called (or deemed called) for Redemption and the Company has specified a Redemption Date that is after a Regular Record Date and on or before the second Business Day immediately after the next Interest Payment Date or (iii) the Company has specified a Fundamental Change Repurchase Date that is after a Regular Record Date and on or before the Business Day immediately after the next Interest Payment Date, then the Company will pay, as provided above, the interest that would have accrued on such Note to, but excluding, the Maturity Date or other applicable Interest Payment Date regardless of whether the Holder has converted its Notes after such Regular Record Date, and such converting Holder will not be required to make a corresponding cash payment pursuant to the first sentence of this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For the avoidance of doubt, if the Conversion Date of a Note to be converted is on an Interest Payment Date, then the Holder of such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Taxes and Duties</w:t>
      </w:r>
      <w:r>
        <w:rPr>
          <w:rFonts w:ascii="Times New Roman" w:cs="Times New Roman" w:eastAsia="Times New Roman" w:hAnsi="Times New Roman"/>
          <w:sz w:val="18"/>
          <w:szCs w:val="18"/>
          <w:color w:val="auto"/>
        </w:rPr>
        <w:t xml:space="preserve">. If a Holder converts a Note, the Company will pay any documentary, stamp or similar issue or transfer tax or duty due on the issue or delivery of any shares of Common Stock upon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tax or duty is due because such Holder requested such shares to be registered in a name other than such Holder’s name, then such Holder will pay such tax or duty and, until having received a sum sufficient to pay such tax or duty, the Conversion Agent may refuse to deliver any such shares to be issued in a name other than that of such Holder.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Conversion Agent to Notify Company of Conversions</w:t>
      </w:r>
      <w:r>
        <w:rPr>
          <w:rFonts w:ascii="Times New Roman" w:cs="Times New Roman" w:eastAsia="Times New Roman" w:hAnsi="Times New Roman"/>
          <w:sz w:val="18"/>
          <w:szCs w:val="18"/>
          <w:color w:val="auto"/>
        </w:rPr>
        <w:t>. If any Note is submitted for conversion to the Conversion Agent or the Conversion Agent receives any notice of conversion with respect to a Note, then the Conversion Agent will promptly (and, in any event, no later than the date the Conversion Agent receives such Note or notice if received prior to the Close of Business on such date) notify the Company and the Trustee of such occurrence, together with any other information reasonably requested by the Company, and will cooperate with the Company to determine the Conversion Date for such Note.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5.03. S</w:t>
      </w:r>
      <w:r>
        <w:rPr>
          <w:rFonts w:ascii="Times New Roman" w:cs="Times New Roman" w:eastAsia="Times New Roman" w:hAnsi="Times New Roman"/>
          <w:sz w:val="12"/>
          <w:szCs w:val="12"/>
          <w:b w:val="1"/>
          <w:bCs w:val="1"/>
          <w:color w:val="auto"/>
        </w:rPr>
        <w:t>ettlement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Settlement Method</w:t>
      </w:r>
      <w:r>
        <w:rPr>
          <w:rFonts w:ascii="Times New Roman" w:cs="Times New Roman" w:eastAsia="Times New Roman" w:hAnsi="Times New Roman"/>
          <w:sz w:val="18"/>
          <w:szCs w:val="18"/>
          <w:color w:val="auto"/>
        </w:rPr>
        <w:t xml:space="preserve">. Upon the conversion of any Note, the Company will settle such conversion by paying or delivering, as applicable and as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either (x) shares of Common Stock, together, if applicable, with cash in lieu of fractional shares as provided in </w:t>
      </w:r>
      <w:r>
        <w:rPr>
          <w:rFonts w:ascii="Times New Roman" w:cs="Times New Roman" w:eastAsia="Times New Roman" w:hAnsi="Times New Roman"/>
          <w:sz w:val="18"/>
          <w:szCs w:val="18"/>
          <w:b w:val="1"/>
          <w:bCs w:val="1"/>
          <w:color w:val="auto"/>
        </w:rPr>
        <w:t xml:space="preserve">Section 5.03(B)(i)(1)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(y) solely cash as provided in</w:t>
      </w:r>
      <w:r>
        <w:rPr>
          <w:rFonts w:ascii="Times New Roman" w:cs="Times New Roman" w:eastAsia="Times New Roman" w:hAnsi="Times New Roman"/>
          <w:sz w:val="18"/>
          <w:szCs w:val="18"/>
          <w:b w:val="1"/>
          <w:bCs w:val="1"/>
          <w:color w:val="auto"/>
        </w:rPr>
        <w:t xml:space="preserve"> Section 5.03(B)(i)(2)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or (z) a combination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shares of Common Stock, together, if applicable, with cash in lieu of fractional shares as provided in </w:t>
      </w:r>
      <w:r>
        <w:rPr>
          <w:rFonts w:ascii="Times New Roman" w:cs="Times New Roman" w:eastAsia="Times New Roman" w:hAnsi="Times New Roman"/>
          <w:sz w:val="18"/>
          <w:szCs w:val="18"/>
          <w:b w:val="1"/>
          <w:bCs w:val="1"/>
          <w:color w:val="auto"/>
        </w:rPr>
        <w:t>Section 5.03(B)(i)(3)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The Company’s Right to Elect Settlement Method</w:t>
      </w:r>
      <w:r>
        <w:rPr>
          <w:rFonts w:ascii="Times New Roman" w:cs="Times New Roman" w:eastAsia="Times New Roman" w:hAnsi="Times New Roman"/>
          <w:sz w:val="18"/>
          <w:szCs w:val="18"/>
          <w:color w:val="auto"/>
        </w:rPr>
        <w:t xml:space="preserve">. The Company will have the right to elect the Settlement Method applicable to any conversion of a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41" w:lineRule="exact"/>
        <w:rPr>
          <w:sz w:val="20"/>
          <w:szCs w:val="20"/>
          <w:color w:val="auto"/>
        </w:rPr>
      </w:pPr>
    </w:p>
    <w:p>
      <w:pPr>
        <w:jc w:val="both"/>
        <w:ind w:left="1300" w:firstLine="648"/>
        <w:spacing w:after="0" w:line="271" w:lineRule="auto"/>
        <w:rPr>
          <w:sz w:val="20"/>
          <w:szCs w:val="20"/>
          <w:color w:val="auto"/>
        </w:rPr>
      </w:pPr>
      <w:r>
        <w:rPr>
          <w:rFonts w:ascii="Times New Roman" w:cs="Times New Roman" w:eastAsia="Times New Roman" w:hAnsi="Times New Roman"/>
          <w:sz w:val="18"/>
          <w:szCs w:val="18"/>
          <w:color w:val="auto"/>
        </w:rPr>
        <w:t xml:space="preserve">(1)            subject to </w:t>
      </w:r>
      <w:r>
        <w:rPr>
          <w:rFonts w:ascii="Times New Roman" w:cs="Times New Roman" w:eastAsia="Times New Roman" w:hAnsi="Times New Roman"/>
          <w:sz w:val="18"/>
          <w:szCs w:val="18"/>
          <w:b w:val="1"/>
          <w:bCs w:val="1"/>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b w:val="1"/>
          <w:bCs w:val="1"/>
          <w:i w:val="1"/>
          <w:iCs w:val="1"/>
          <w:color w:val="auto"/>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below, all conversions of Notes with a Conversion Date that occurs on or after January 1, 2030 will be settled using the same Settlement Method, and the Company will send written notice of such Settlement Method to Holders, the Trustee and the Conversion Agent no later than the Open of Business on January 1, 2030;</w:t>
      </w:r>
    </w:p>
    <w:p>
      <w:pPr>
        <w:spacing w:after="0" w:line="168" w:lineRule="exact"/>
        <w:rPr>
          <w:sz w:val="20"/>
          <w:szCs w:val="20"/>
          <w:color w:val="auto"/>
        </w:rPr>
      </w:pPr>
    </w:p>
    <w:p>
      <w:pPr>
        <w:jc w:val="both"/>
        <w:ind w:left="13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            subject to </w:t>
      </w:r>
      <w:r>
        <w:rPr>
          <w:rFonts w:ascii="Times New Roman" w:cs="Times New Roman" w:eastAsia="Times New Roman" w:hAnsi="Times New Roman"/>
          <w:sz w:val="18"/>
          <w:szCs w:val="18"/>
          <w:b w:val="1"/>
          <w:bCs w:val="1"/>
          <w:color w:val="auto"/>
        </w:rPr>
        <w:t>clause (3)</w:t>
      </w:r>
      <w:r>
        <w:rPr>
          <w:rFonts w:ascii="Times New Roman" w:cs="Times New Roman" w:eastAsia="Times New Roman" w:hAnsi="Times New Roman"/>
          <w:sz w:val="18"/>
          <w:szCs w:val="18"/>
          <w:color w:val="auto"/>
        </w:rPr>
        <w:t xml:space="preserve"> below, if the Company elects a Settlement Method with respect to the conversion of any Note whose Conversion Date occurs before January 1, 2030, then the Company will send notice of such Settlement Method to the Holder of such Note, the Trustee and the Conversion Agent (if other than the Trustee) no later than the Close of Business on the Business Day immediately after such Conversion Date;</w:t>
      </w:r>
    </w:p>
    <w:p>
      <w:pPr>
        <w:spacing w:after="0" w:line="180"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(3)            if any Notes are called for Redemption, then (a) the Company will specify, in the related Redemption Notice sent pursuant to </w:t>
      </w:r>
      <w:r>
        <w:rPr>
          <w:rFonts w:ascii="Times New Roman" w:cs="Times New Roman" w:eastAsia="Times New Roman" w:hAnsi="Times New Roman"/>
          <w:sz w:val="18"/>
          <w:szCs w:val="18"/>
          <w:b w:val="1"/>
          <w:bCs w:val="1"/>
          <w:color w:val="auto"/>
        </w:rPr>
        <w:t>Section 4.03(G)</w:t>
      </w:r>
      <w:r>
        <w:rPr>
          <w:rFonts w:ascii="Times New Roman" w:cs="Times New Roman" w:eastAsia="Times New Roman" w:hAnsi="Times New Roman"/>
          <w:sz w:val="18"/>
          <w:szCs w:val="18"/>
          <w:color w:val="auto"/>
        </w:rPr>
        <w:t xml:space="preserve">, the Settlement Method that will apply to all conversions of Notes with a Conversion Date that occurs during the related Redemption Conversion Period; and (b) if such Redemption Date occurs on or after January 1, 2030, then such Settlement Method must be the same Settlement Method that,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applies to all conversions of Notes with a Conversion Date that occurs on or after January 1, 2030;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 xml:space="preserve">(4)            the Company will use the same Settlement Method for all conversions of Notes with the same Conversion Date (and, for the avoidance of doubt, the Company will not be obligated to use the same Settlement Method with respect to conversions of Notes with different Conversion Dates, except as provided in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above);</w:t>
      </w:r>
    </w:p>
    <w:p>
      <w:pPr>
        <w:spacing w:after="0" w:line="176" w:lineRule="exact"/>
        <w:rPr>
          <w:sz w:val="20"/>
          <w:szCs w:val="20"/>
          <w:color w:val="auto"/>
        </w:rPr>
      </w:pPr>
    </w:p>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(5)            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 and</w:t>
      </w:r>
    </w:p>
    <w:p>
      <w:pPr>
        <w:spacing w:after="0" w:line="176" w:lineRule="exact"/>
        <w:rPr>
          <w:sz w:val="20"/>
          <w:szCs w:val="20"/>
          <w:color w:val="auto"/>
        </w:rPr>
      </w:pPr>
    </w:p>
    <w:p>
      <w:pPr>
        <w:jc w:val="both"/>
        <w:ind w:left="644" w:firstLine="648"/>
        <w:spacing w:after="0" w:line="261" w:lineRule="auto"/>
        <w:rPr>
          <w:sz w:val="20"/>
          <w:szCs w:val="20"/>
          <w:color w:val="auto"/>
        </w:rPr>
      </w:pPr>
      <w:r>
        <w:rPr>
          <w:rFonts w:ascii="Times New Roman" w:cs="Times New Roman" w:eastAsia="Times New Roman" w:hAnsi="Times New Roman"/>
          <w:sz w:val="18"/>
          <w:szCs w:val="18"/>
          <w:color w:val="auto"/>
        </w:rPr>
        <w:t>(6)            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 and</w:t>
      </w:r>
    </w:p>
    <w:p>
      <w:pPr>
        <w:spacing w:after="0" w:line="176" w:lineRule="exact"/>
        <w:rPr>
          <w:sz w:val="20"/>
          <w:szCs w:val="20"/>
          <w:color w:val="auto"/>
        </w:rPr>
      </w:pPr>
    </w:p>
    <w:p>
      <w:pPr>
        <w:jc w:val="both"/>
        <w:ind w:left="644" w:firstLine="648"/>
        <w:spacing w:after="0" w:line="286" w:lineRule="auto"/>
        <w:rPr>
          <w:sz w:val="20"/>
          <w:szCs w:val="20"/>
          <w:color w:val="auto"/>
        </w:rPr>
      </w:pPr>
      <w:r>
        <w:rPr>
          <w:rFonts w:ascii="Times New Roman" w:cs="Times New Roman" w:eastAsia="Times New Roman" w:hAnsi="Times New Roman"/>
          <w:sz w:val="18"/>
          <w:szCs w:val="18"/>
          <w:color w:val="auto"/>
        </w:rPr>
        <w:t xml:space="preserve">(7)            the Settlement Method will be subject to </w:t>
      </w:r>
      <w:r>
        <w:rPr>
          <w:rFonts w:ascii="Times New Roman" w:cs="Times New Roman" w:eastAsia="Times New Roman" w:hAnsi="Times New Roman"/>
          <w:sz w:val="18"/>
          <w:szCs w:val="18"/>
          <w:b w:val="1"/>
          <w:bCs w:val="1"/>
          <w:color w:val="auto"/>
        </w:rPr>
        <w:t>Sections 4.03(E)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5.09(A)(iv)(2)5.09(A)(2)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5.01(C)(i)(3)(a)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5.07(D)</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The Company’s Right to Irrevocably Fix the Settlement Method</w:t>
      </w:r>
      <w:r>
        <w:rPr>
          <w:rFonts w:ascii="Times New Roman" w:cs="Times New Roman" w:eastAsia="Times New Roman" w:hAnsi="Times New Roman"/>
          <w:sz w:val="18"/>
          <w:szCs w:val="18"/>
          <w:color w:val="auto"/>
        </w:rPr>
        <w:t>. The Company will have the right, exercisable at its election by</w:t>
      </w:r>
    </w:p>
    <w:p>
      <w:pPr>
        <w:spacing w:after="0" w:line="29" w:lineRule="exact"/>
        <w:rPr>
          <w:sz w:val="20"/>
          <w:szCs w:val="20"/>
          <w:color w:val="auto"/>
        </w:rPr>
      </w:pPr>
    </w:p>
    <w:p>
      <w:pPr>
        <w:jc w:val="both"/>
        <w:ind w:left="4" w:hanging="4"/>
        <w:spacing w:after="0" w:line="250" w:lineRule="auto"/>
        <w:tabs>
          <w:tab w:leader="none" w:pos="2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sending notice of such exercise to the Holders (with a copy to the Trustee and the Conversion Agent) and (y) disclosing such exercise on the Company’s website or in a Current Report on Form 8-K (or any successor form) filed with, or furnished to, the SEC,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Settlement Method so elected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or the Settlement Method(s) remaining after any elimination pursuant to </w:t>
      </w:r>
      <w:r>
        <w:rPr>
          <w:rFonts w:ascii="Times New Roman" w:cs="Times New Roman" w:eastAsia="Times New Roman" w:hAnsi="Times New Roman"/>
          <w:sz w:val="18"/>
          <w:szCs w:val="18"/>
          <w:b w:val="1"/>
          <w:bCs w:val="1"/>
          <w:color w:val="auto"/>
        </w:rPr>
        <w:t>clause (2)</w:t>
      </w:r>
      <w:r>
        <w:rPr>
          <w:rFonts w:ascii="Times New Roman" w:cs="Times New Roman" w:eastAsia="Times New Roman" w:hAnsi="Times New Roman"/>
          <w:sz w:val="18"/>
          <w:szCs w:val="18"/>
          <w:color w:val="auto"/>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Such notice, if sent, must set forth the Settlement Method so elected, or the Settlement Method(s) so eliminated, as applicable, and expressly state that the election is irrevocable and applicable to all conversions of Notes with a Conversion Date that occurs on or after the date such notice is sent to Holders. Upon any such irrevocable election pursuant to </w:t>
      </w:r>
      <w:r>
        <w:rPr>
          <w:rFonts w:ascii="Times New Roman" w:cs="Times New Roman" w:eastAsia="Times New Roman" w:hAnsi="Times New Roman"/>
          <w:sz w:val="18"/>
          <w:szCs w:val="18"/>
          <w:b w:val="1"/>
          <w:bCs w:val="1"/>
          <w:color w:val="auto"/>
        </w:rPr>
        <w:t>clause (1)</w:t>
      </w:r>
      <w:r>
        <w:rPr>
          <w:rFonts w:ascii="Times New Roman" w:cs="Times New Roman" w:eastAsia="Times New Roman" w:hAnsi="Times New Roman"/>
          <w:sz w:val="18"/>
          <w:szCs w:val="18"/>
          <w:color w:val="auto"/>
        </w:rPr>
        <w:t xml:space="preserve"> above, the Default Settlement Method will automatically be deemed to be set to the Settlement Method so elected; and upon any such irrevocable election pursuant to </w:t>
      </w:r>
      <w:r>
        <w:rPr>
          <w:rFonts w:ascii="Times New Roman" w:cs="Times New Roman" w:eastAsia="Times New Roman" w:hAnsi="Times New Roman"/>
          <w:sz w:val="18"/>
          <w:szCs w:val="18"/>
          <w:b w:val="1"/>
          <w:bCs w:val="1"/>
          <w:color w:val="auto"/>
        </w:rPr>
        <w:t>clause</w:t>
      </w:r>
    </w:p>
    <w:p>
      <w:pPr>
        <w:spacing w:after="0" w:line="4" w:lineRule="exact"/>
        <w:rPr>
          <w:rFonts w:ascii="Times New Roman" w:cs="Times New Roman" w:eastAsia="Times New Roman" w:hAnsi="Times New Roman"/>
          <w:sz w:val="18"/>
          <w:szCs w:val="18"/>
          <w:color w:val="auto"/>
        </w:rPr>
      </w:pPr>
    </w:p>
    <w:p>
      <w:pPr>
        <w:jc w:val="both"/>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above, the Company will, if needed, simultaneously change the Default Settlement Method to a Settlement Method that is consistent with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irrevocable election. Notwithstanding anything to the contrary in the preceding sentences of this paragraph, no such change in the Default Settlement Method or irrevocable election will affect any Settlement Method theretofore elected (or deemed to be elected) with respect to any Note pursuant to this Indenture (including pursuant to this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 xml:space="preserve">). For the avoidance of doubt, such an irrevocable election, if made, will be effective without the need to amend this Indenture or the Notes, including pursuant to </w:t>
      </w:r>
      <w:r>
        <w:rPr>
          <w:rFonts w:ascii="Times New Roman" w:cs="Times New Roman" w:eastAsia="Times New Roman" w:hAnsi="Times New Roman"/>
          <w:sz w:val="18"/>
          <w:szCs w:val="18"/>
          <w:b w:val="1"/>
          <w:bCs w:val="1"/>
          <w:color w:val="auto"/>
        </w:rPr>
        <w:t>Section 8.01(G)</w:t>
      </w:r>
      <w:r>
        <w:rPr>
          <w:rFonts w:ascii="Times New Roman" w:cs="Times New Roman" w:eastAsia="Times New Roman" w:hAnsi="Times New Roman"/>
          <w:sz w:val="18"/>
          <w:szCs w:val="18"/>
          <w:color w:val="auto"/>
        </w:rPr>
        <w:t xml:space="preserve"> (it being understood, however, that the Company may nonetheless choose to execute such an amendment at its option).</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Conversion Consideration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Sections 5.03(B)(ii)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5.03(B)(iii)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5.09(A)(2)</w:t>
      </w:r>
      <w:r>
        <w:rPr>
          <w:rFonts w:ascii="Times New Roman" w:cs="Times New Roman" w:eastAsia="Times New Roman" w:hAnsi="Times New Roman"/>
          <w:sz w:val="18"/>
          <w:szCs w:val="18"/>
          <w:color w:val="auto"/>
        </w:rPr>
        <w:t>, the type and amount of consideration (the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due in respect of each $1,000 principal amount of a Note to be converted will be as follows:</w:t>
      </w:r>
    </w:p>
    <w:p>
      <w:pPr>
        <w:spacing w:after="0" w:line="159"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(1)            if Physical Settlement applies to such conversion, a number of shares of Common Stock equal to the Conversion Rate in effect on the Conversion Date for such conversion;</w:t>
      </w:r>
    </w:p>
    <w:p>
      <w:pPr>
        <w:spacing w:after="0" w:line="162"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(2)            if Cash Settlement applies to such conversion, cash in an amount equal to the sum of the Daily Conversion Values for each VWAP Trading Day in the Observation Period for such conversion; or</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(3)            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xml:space="preserve">. If Physical Settlement or Combination Settlement applies to the conversion of any Note and the number of shares of Common Stock deliverable pursuant to </w:t>
      </w:r>
      <w:r>
        <w:rPr>
          <w:rFonts w:ascii="Times New Roman" w:cs="Times New Roman" w:eastAsia="Times New Roman" w:hAnsi="Times New Roman"/>
          <w:sz w:val="18"/>
          <w:szCs w:val="18"/>
          <w:b w:val="1"/>
          <w:bCs w:val="1"/>
          <w:color w:val="auto"/>
        </w:rPr>
        <w:t>Section 5.03(B)(i)</w:t>
      </w:r>
      <w:r>
        <w:rPr>
          <w:rFonts w:ascii="Times New Roman" w:cs="Times New Roman" w:eastAsia="Times New Roman" w:hAnsi="Times New Roman"/>
          <w:sz w:val="18"/>
          <w:szCs w:val="18"/>
          <w:color w:val="auto"/>
        </w:rPr>
        <w:t xml:space="preserve">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(x) the Daily VWAP on the applicable Conversion Date for such conversion (or, if such Conversion Date is not a VWAP Trading Day, the immediately preceding VWAP Trading Day), in the case of Physical Settlement; or (y) the Daily VWAP on the last VWAP Trading Day of the Observation Period for such conversion, in the case of Combination Settlement.</w:t>
      </w:r>
    </w:p>
    <w:p>
      <w:pPr>
        <w:spacing w:after="0" w:line="183"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7"/>
          <w:szCs w:val="17"/>
          <w:color w:val="auto"/>
        </w:rPr>
        <w:t>(iii)           </w:t>
      </w:r>
      <w:r>
        <w:rPr>
          <w:rFonts w:ascii="Times New Roman" w:cs="Times New Roman" w:eastAsia="Times New Roman" w:hAnsi="Times New Roman"/>
          <w:sz w:val="17"/>
          <w:szCs w:val="17"/>
          <w:i w:val="1"/>
          <w:iCs w:val="1"/>
          <w:color w:val="auto"/>
        </w:rPr>
        <w:t>Conversion of Multiple Notes by a Single Holder</w:t>
      </w:r>
      <w:r>
        <w:rPr>
          <w:rFonts w:ascii="Times New Roman" w:cs="Times New Roman" w:eastAsia="Times New Roman" w:hAnsi="Times New Roman"/>
          <w:sz w:val="17"/>
          <w:szCs w:val="17"/>
          <w:color w:val="auto"/>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spacing w:after="0" w:line="1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Notice of Calculation of Conversion Consideration</w:t>
      </w:r>
      <w:r>
        <w:rPr>
          <w:rFonts w:ascii="Times New Roman" w:cs="Times New Roman" w:eastAsia="Times New Roman" w:hAnsi="Times New Roman"/>
          <w:sz w:val="18"/>
          <w:szCs w:val="18"/>
          <w:color w:val="auto"/>
        </w:rPr>
        <w:t>. If Cash Settlement or Combination Settlement applies to the conversion of any Note, then the Company will determine the Conversion Consideration due thereupon promptly following the last VWAP Trading Day of the applicable Observation Period and will promptly thereafter send notice to the Trustee and the Conversion Agent of the same and the calculation thereof in reasonable detail. Neither the Trustee, the Conversion Agent nor the Paying Agent will have any duty to make any such determination.</w:t>
      </w: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58" w:name="page59"/>
    <w:bookmarkEnd w:id="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b w:val="1"/>
          <w:bCs w:val="1"/>
          <w:color w:val="auto"/>
        </w:rPr>
        <w:t>Sections 5.05(D)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5.07(D)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5.09</w:t>
      </w:r>
      <w:r>
        <w:rPr>
          <w:rFonts w:ascii="Times New Roman" w:cs="Times New Roman" w:eastAsia="Times New Roman" w:hAnsi="Times New Roman"/>
          <w:sz w:val="18"/>
          <w:szCs w:val="18"/>
          <w:color w:val="auto"/>
        </w:rPr>
        <w:t xml:space="preserve">, the Company will pay or deliver, as applicable, the Conversion Consideration due upon the conversion of any Note to the Holder as follows: (i) if Cash Settlement or Combination Settlement applies to such conversion, on or before the second (2nd) Business Day immediately after the last VWAP Trading Day of the Observation Period for such conversion; and (ii) if Physical Settlement applies to such conversion, on or before the second (2nd) Business Day immediately after the Conversion Date for such conversion;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Physical Settlement applies to the conversion of any Note with a Conversion Date that is after the Regular Record Date immediately before the Maturity Date, then, solely for purposes of such conversion, (x) the Company will pay or deliver, as applicable, the Conversion Consideration due upon such conversion no later than the Maturity Date (or, if the Maturity Date is not a Business Day, the next Business Day); and (y) the Conversion Date will instead be deemed to be the second (2nd) Business Day immediately before the Maturity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Deemed Payment of Principal and Interest; Settlement of Accrued Interest Notwithstanding Conversion</w:t>
      </w:r>
      <w:r>
        <w:rPr>
          <w:rFonts w:ascii="Times New Roman" w:cs="Times New Roman" w:eastAsia="Times New Roman" w:hAnsi="Times New Roman"/>
          <w:sz w:val="18"/>
          <w:szCs w:val="18"/>
          <w:color w:val="auto"/>
        </w:rPr>
        <w:t xml:space="preserve">. If a Holder converts a Note, then the Company will not adjust the Conversion Rate to account for any accrued and unpaid interest on such Note, and,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xml:space="preserve">, any accrued and unpaid interest on a converted Note will be deemed to be paid in full rather than cancelled, extinguished or forfeited. In addition, subject to </w:t>
      </w:r>
      <w:r>
        <w:rPr>
          <w:rFonts w:ascii="Times New Roman" w:cs="Times New Roman" w:eastAsia="Times New Roman" w:hAnsi="Times New Roman"/>
          <w:sz w:val="18"/>
          <w:szCs w:val="18"/>
          <w:b w:val="1"/>
          <w:bCs w:val="1"/>
          <w:color w:val="auto"/>
        </w:rPr>
        <w:t>Section 5.02(D)</w:t>
      </w:r>
      <w:r>
        <w:rPr>
          <w:rFonts w:ascii="Times New Roman" w:cs="Times New Roman" w:eastAsia="Times New Roman" w:hAnsi="Times New Roman"/>
          <w:sz w:val="18"/>
          <w:szCs w:val="18"/>
          <w:color w:val="auto"/>
        </w:rPr>
        <w:t>, if the Conversion Consideration for a Note consists of both cash and shares of Common Stock, then accrued and unpaid interest that is deemed to be paid therewith will be deemed to be paid first out of such cash.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5.04. R</w:t>
      </w:r>
      <w:r>
        <w:rPr>
          <w:rFonts w:ascii="Times New Roman" w:cs="Times New Roman" w:eastAsia="Times New Roman" w:hAnsi="Times New Roman"/>
          <w:sz w:val="12"/>
          <w:szCs w:val="12"/>
          <w:b w:val="1"/>
          <w:bCs w:val="1"/>
          <w:color w:val="auto"/>
        </w:rPr>
        <w:t>eserve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tatus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ssued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Stock Reserve</w:t>
      </w:r>
      <w:r>
        <w:rPr>
          <w:rFonts w:ascii="Times New Roman" w:cs="Times New Roman" w:eastAsia="Times New Roman" w:hAnsi="Times New Roman"/>
          <w:sz w:val="18"/>
          <w:szCs w:val="18"/>
          <w:color w:val="auto"/>
        </w:rPr>
        <w:t>. At all times when any Notes are outstanding, the Company will reserve, out of its authorized, unreserved and not outstanding shares of Common Stock, a number of shares of Common Stock sufficient to permit the conversion of all then-outstanding Notes, assuming</w:t>
      </w:r>
    </w:p>
    <w:p>
      <w:pPr>
        <w:jc w:val="both"/>
        <w:ind w:firstLine="8"/>
        <w:spacing w:after="0" w:line="253" w:lineRule="auto"/>
        <w:tabs>
          <w:tab w:leader="none" w:pos="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Physical Settlement will apply to such conversion; and (y) the Conversion Rate is increased by the maximum amount pursuant to which the Conversion Rate may be increased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xml:space="preserve">. Each Conversion Share, if any, delivered upon conversion of any Note will be a newly issued or treasury share (except that any Conversion Share delivered by a designated financial institution pursuant to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xml:space="preserve"> need not be a newly issued or treasury share) and will be duly and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use commercially reasonable efforts to cause each Conversion Share, when delivered upon conversion of any Note, to be admitted for listing on such exchange or quotation on such system.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Section 5.05. A</w:t>
      </w:r>
      <w:r>
        <w:rPr>
          <w:rFonts w:ascii="Times New Roman" w:cs="Times New Roman" w:eastAsia="Times New Roman" w:hAnsi="Times New Roman"/>
          <w:sz w:val="12"/>
          <w:szCs w:val="12"/>
          <w:b w:val="1"/>
          <w:bCs w:val="1"/>
          <w:color w:val="auto"/>
        </w:rPr>
        <w:t>djustments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Events Requiring an Adjustment to the Conversion Rate</w:t>
      </w:r>
      <w:r>
        <w:rPr>
          <w:rFonts w:ascii="Times New Roman" w:cs="Times New Roman" w:eastAsia="Times New Roman" w:hAnsi="Times New Roman"/>
          <w:sz w:val="18"/>
          <w:szCs w:val="18"/>
          <w:color w:val="auto"/>
        </w:rPr>
        <w:t>. The Conversion Rate will be adjusted from time to time as follows: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Stock Dividends, Splits and Combinations</w:t>
      </w:r>
      <w:r>
        <w:rPr>
          <w:rFonts w:ascii="Times New Roman" w:cs="Times New Roman" w:eastAsia="Times New Roman" w:hAnsi="Times New Roman"/>
          <w:sz w:val="18"/>
          <w:szCs w:val="18"/>
          <w:color w:val="auto"/>
        </w:rPr>
        <w:t xml:space="preserve">. If the Company issues solely shares of Common Stock as a 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127000</wp:posOffset>
            </wp:positionV>
            <wp:extent cx="1191260" cy="445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912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956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w:t>
            </w:r>
          </w:p>
        </w:tc>
      </w:tr>
      <w:tr>
        <w:trPr>
          <w:trHeight w:val="211"/>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 or immediately before the Open of Business on the effective date of such stock split or stock combination, as</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463"/>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 or effective date, as applicable;</w:t>
            </w: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Open of Business on such Ex-Dividend Date or</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effective date, as applicable, without giving effect to such dividend, distribution, stock split or stock combination; and</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stock split or</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combination.</w:t>
            </w:r>
          </w:p>
        </w:tc>
      </w:tr>
    </w:tbl>
    <w:p>
      <w:pPr>
        <w:spacing w:after="0" w:line="189"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 xml:space="preserve">If any dividend or distribution of the type described in this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is declared, but not so paid, then the Conversion Rate will be readjusted, effective as of the date the Board of Directors determines not to pay such dividend or distribution, to the Conversion Rate that would then be in effect had such dividend or distribution not been declared.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Rights, Options and Warrants</w:t>
      </w:r>
      <w:r>
        <w:rPr>
          <w:rFonts w:ascii="Times New Roman" w:cs="Times New Roman" w:eastAsia="Times New Roman" w:hAnsi="Times New Roman"/>
          <w:sz w:val="18"/>
          <w:szCs w:val="18"/>
          <w:color w:val="auto"/>
        </w:rPr>
        <w:t xml:space="preserve">. If the Company distributes, to all or substantially all holders of Common Stock, rights, options or warrants (other than rights issued or otherwise distributed pursuant to a stockholder rights plan, as to which </w:t>
      </w:r>
      <w:r>
        <w:rPr>
          <w:rFonts w:ascii="Times New Roman" w:cs="Times New Roman" w:eastAsia="Times New Roman" w:hAnsi="Times New Roman"/>
          <w:sz w:val="18"/>
          <w:szCs w:val="18"/>
          <w:b w:val="1"/>
          <w:bCs w:val="1"/>
          <w:color w:val="auto"/>
        </w:rPr>
        <w:t>Sections 5.05(A)(iii)(1)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5.05(F) </w:t>
      </w:r>
      <w:r>
        <w:rPr>
          <w:rFonts w:ascii="Times New Roman" w:cs="Times New Roman" w:eastAsia="Times New Roman" w:hAnsi="Times New Roman"/>
          <w:sz w:val="18"/>
          <w:szCs w:val="18"/>
          <w:color w:val="auto"/>
        </w:rPr>
        <w:t>will apply) entitling such holders, for a period of not more than sixty (60) calendar days after the date such distribution is announced,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128270</wp:posOffset>
            </wp:positionV>
            <wp:extent cx="1320165" cy="462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01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9060" w:type="dxa"/>
            <w:vAlign w:val="bottom"/>
          </w:tcPr>
          <w:p>
            <w:pPr>
              <w:spacing w:after="0"/>
              <w:rPr>
                <w:sz w:val="20"/>
                <w:szCs w:val="20"/>
                <w:color w:val="auto"/>
              </w:rPr>
            </w:pPr>
          </w:p>
        </w:tc>
      </w:tr>
      <w:tr>
        <w:trPr>
          <w:trHeight w:val="463"/>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distribution;</w:t>
            </w:r>
          </w:p>
        </w:tc>
      </w:tr>
      <w:tr>
        <w:trPr>
          <w:trHeight w:val="445"/>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15"/>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before the Open of Business on such Ex-Dividend Date;</w:t>
            </w:r>
          </w:p>
        </w:tc>
      </w:tr>
    </w:tbl>
    <w:p>
      <w:pPr>
        <w:spacing w:after="0" w:line="198" w:lineRule="exact"/>
        <w:rPr>
          <w:sz w:val="20"/>
          <w:szCs w:val="20"/>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total number of shares of Common Stock issuable pursuant to such rights, options or warrants; and</w:t>
      </w:r>
    </w:p>
    <w:p>
      <w:pPr>
        <w:spacing w:after="0" w:line="225" w:lineRule="exact"/>
        <w:rPr>
          <w:sz w:val="20"/>
          <w:szCs w:val="20"/>
          <w:color w:val="auto"/>
        </w:rPr>
      </w:pPr>
    </w:p>
    <w:p>
      <w:pPr>
        <w:ind w:left="1304" w:hanging="1304"/>
        <w:spacing w:after="0" w:line="266" w:lineRule="auto"/>
        <w:tabs>
          <w:tab w:leader="none" w:pos="656"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p>
      <w:pPr>
        <w:spacing w:after="0" w:line="17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options or warrants. To the extent such rights, options or warrants are not so distributed, the Conversion Rate will be readjusted to the Conversion Rate that would then be in effect had the Ex-Dividend Date for the distribution of such rights, options or warrants not occurred.</w:t>
      </w:r>
    </w:p>
    <w:p>
      <w:pPr>
        <w:spacing w:after="0" w:line="183"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5.05(A)(ii)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5.01(C)(i)(3)(a)(I)</w:t>
      </w:r>
      <w:r>
        <w:rPr>
          <w:rFonts w:ascii="Times New Roman" w:cs="Times New Roman" w:eastAsia="Times New Roman" w:hAnsi="Times New Roman"/>
          <w:sz w:val="18"/>
          <w:szCs w:val="18"/>
          <w:color w:val="auto"/>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Company in good faith.</w:t>
      </w:r>
    </w:p>
    <w:p>
      <w:pPr>
        <w:spacing w:after="0" w:line="200" w:lineRule="exact"/>
        <w:rPr>
          <w:sz w:val="20"/>
          <w:szCs w:val="20"/>
          <w:color w:val="auto"/>
        </w:rPr>
      </w:pPr>
    </w:p>
    <w:p>
      <w:pPr>
        <w:spacing w:after="0" w:line="202"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61" w:name="page62"/>
    <w:bookmarkEnd w:id="61"/>
    <w:p>
      <w:pPr>
        <w:ind w:left="18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Spin-Offs and Other Distributed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67"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Distributions Other than Spin-Offs</w:t>
      </w:r>
      <w:r>
        <w:rPr>
          <w:rFonts w:ascii="Times New Roman" w:cs="Times New Roman" w:eastAsia="Times New Roman" w:hAnsi="Times New Roman"/>
          <w:sz w:val="18"/>
          <w:szCs w:val="18"/>
          <w:color w:val="auto"/>
        </w:rPr>
        <w:t>. If the Company distributes shares of its Capital Stock, evidences of its indebtedness or other assets or property of the Company, or rights, options or warrants to acquire Capital Stock of the Company or other securities, to all or substantially all holders of the Common Stock, excluding:</w:t>
      </w:r>
    </w:p>
    <w:p>
      <w:pPr>
        <w:spacing w:after="0" w:line="175"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(u)            dividends, distributions, rights, options or warrants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Section </w:t>
      </w:r>
      <w:r>
        <w:rPr>
          <w:rFonts w:ascii="Times New Roman" w:cs="Times New Roman" w:eastAsia="Times New Roman" w:hAnsi="Times New Roman"/>
          <w:sz w:val="18"/>
          <w:szCs w:val="18"/>
          <w:b w:val="1"/>
          <w:bCs w:val="1"/>
          <w:color w:val="auto"/>
        </w:rPr>
        <w:t>5.05(A)(i)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5.05(A)(ii)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            dividends or distributions paid exclusively in cash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5.05(A)(iv)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            rights issued or otherwise distributed pursuant to a stockholder rights plan, except to the extent provided in </w:t>
      </w:r>
      <w:r>
        <w:rPr>
          <w:rFonts w:ascii="Times New Roman" w:cs="Times New Roman" w:eastAsia="Times New Roman" w:hAnsi="Times New Roman"/>
          <w:sz w:val="18"/>
          <w:szCs w:val="18"/>
          <w:b w:val="1"/>
          <w:bCs w:val="1"/>
          <w:color w:val="auto"/>
        </w:rPr>
        <w:t>Section 5.05(F)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Spin-Offs for which an adjustment to the Conversion Rate is required (or would be required without regard to </w:t>
      </w:r>
      <w:r>
        <w:rPr>
          <w:rFonts w:ascii="Times New Roman" w:cs="Times New Roman" w:eastAsia="Times New Roman" w:hAnsi="Times New Roman"/>
          <w:sz w:val="18"/>
          <w:szCs w:val="18"/>
          <w:b w:val="1"/>
          <w:bCs w:val="1"/>
          <w:color w:val="auto"/>
        </w:rPr>
        <w:t>Section 5.05(C)</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5.05(A)(iii)(2)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(y)            a distribution solely pursuant to a tender offer or exchange offer for shares of Common Stock, as to which </w:t>
      </w:r>
      <w:r>
        <w:rPr>
          <w:rFonts w:ascii="Times New Roman" w:cs="Times New Roman" w:eastAsia="Times New Roman" w:hAnsi="Times New Roman"/>
          <w:sz w:val="18"/>
          <w:szCs w:val="18"/>
          <w:b w:val="1"/>
          <w:bCs w:val="1"/>
          <w:color w:val="auto"/>
        </w:rPr>
        <w:t xml:space="preserve">Section 5.05(A)(v) </w:t>
      </w:r>
      <w:r>
        <w:rPr>
          <w:rFonts w:ascii="Times New Roman" w:cs="Times New Roman" w:eastAsia="Times New Roman" w:hAnsi="Times New Roman"/>
          <w:sz w:val="18"/>
          <w:szCs w:val="18"/>
          <w:color w:val="auto"/>
        </w:rPr>
        <w:t>will apply; and</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(z)            a distribution solely pursuant to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154305</wp:posOffset>
            </wp:positionV>
            <wp:extent cx="1499870" cy="403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9987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w:t>
      </w:r>
    </w:p>
    <w:p>
      <w:pPr>
        <w:spacing w:after="0" w:line="200" w:lineRule="exact"/>
        <w:rPr>
          <w:sz w:val="20"/>
          <w:szCs w:val="20"/>
          <w:color w:val="auto"/>
        </w:rPr>
      </w:pPr>
    </w:p>
    <w:p>
      <w:pPr>
        <w:spacing w:after="0" w:line="24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62" w:name="page63"/>
    <w:bookmarkEnd w:id="62"/>
    <w:tbl>
      <w:tblPr>
        <w:tblLayout w:type="fixed"/>
        <w:tblInd w:w="180" w:type="dxa"/>
        <w:tblCellMar>
          <w:top w:w="0" w:type="dxa"/>
          <w:left w:w="0" w:type="dxa"/>
          <w:bottom w:w="0" w:type="dxa"/>
          <w:right w:w="0" w:type="dxa"/>
        </w:tblCellMar>
      </w:tblPr>
      <w:tr>
        <w:trPr>
          <w:trHeight w:val="39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distribution;</w:t>
            </w:r>
          </w:p>
        </w:tc>
      </w:tr>
      <w:tr>
        <w:trPr>
          <w:trHeight w:val="446"/>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97"/>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for the ten (10) consecutive Trading Days</w:t>
            </w:r>
          </w:p>
        </w:tc>
      </w:tr>
      <w:tr>
        <w:trPr>
          <w:trHeight w:val="234"/>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ending on, and including, the Trading Day immediately before such Ex-Dividend Date; and</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FMV</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fair market value (as determined by the Company in good faith), as of such Ex-Dividend Date, of the shares of</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Stock, evidences of indebtedness, assets, property, rights, options or warrants distributed per share of Common</w:t>
            </w:r>
          </w:p>
        </w:tc>
      </w:tr>
      <w:tr>
        <w:trPr>
          <w:trHeight w:val="234"/>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pursuant to such distribution;</w:t>
            </w:r>
          </w:p>
        </w:tc>
      </w:tr>
    </w:tbl>
    <w:p>
      <w:pPr>
        <w:spacing w:after="0" w:line="196"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FMV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receive, for each $1,000 principal amount of Notes held by such Holder on the record date for such distribution, at the same time and on the same terms as holders of Common Stock, without having to convert its Notes,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spacing w:after="0" w:line="18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To the extent such distribution is not so paid or made, the Conversion Rate will be readjusted to the Conversion Rate that would then be in effect had the adjustment been made on the basis of only the distribution, if any, actually made or paid.</w:t>
      </w:r>
    </w:p>
    <w:p>
      <w:pPr>
        <w:spacing w:after="0" w:line="160" w:lineRule="exact"/>
        <w:rPr>
          <w:sz w:val="20"/>
          <w:szCs w:val="20"/>
          <w:color w:val="auto"/>
        </w:rPr>
      </w:pPr>
    </w:p>
    <w:p>
      <w:pPr>
        <w:jc w:val="both"/>
        <w:ind w:left="180" w:firstLine="648"/>
        <w:spacing w:after="0" w:line="257"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Spin-Offs</w:t>
      </w:r>
      <w:r>
        <w:rPr>
          <w:rFonts w:ascii="Times New Roman" w:cs="Times New Roman" w:eastAsia="Times New Roman" w:hAnsi="Times New Roman"/>
          <w:sz w:val="18"/>
          <w:szCs w:val="18"/>
          <w:color w:val="auto"/>
        </w:rPr>
        <w:t xml:space="preserve">. If the Company distributes or dividends shares of Capital Stock of any class or series, or similar equity interests, of or relating to an Affiliate, a Subsidiary or other business unit of the Company to all or substantially all holders of the Common Stock (other than solely pursuant to (x) a Common Stock Change Event, as to which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will apply; or (y) a tender offer or exchange offer for shares of Common Stock, as to which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xml:space="preserve"> will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128270</wp:posOffset>
            </wp:positionV>
            <wp:extent cx="1534160" cy="419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3416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w:t>
      </w:r>
    </w:p>
    <w:p>
      <w:pPr>
        <w:spacing w:after="0" w:line="200" w:lineRule="exact"/>
        <w:rPr>
          <w:sz w:val="20"/>
          <w:szCs w:val="20"/>
          <w:color w:val="auto"/>
        </w:rPr>
      </w:pPr>
    </w:p>
    <w:p>
      <w:pPr>
        <w:spacing w:after="0" w:line="24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73" w:right="339" w:bottom="1440" w:gutter="0" w:footer="0" w:header="0"/>
        </w:sectPr>
      </w:pPr>
    </w:p>
    <w:bookmarkStart w:id="63" w:name="page64"/>
    <w:bookmarkEnd w:id="63"/>
    <w:tbl>
      <w:tblPr>
        <w:tblLayout w:type="fixed"/>
        <w:tblInd w:w="640" w:type="dxa"/>
        <w:tblCellMar>
          <w:top w:w="0" w:type="dxa"/>
          <w:left w:w="0" w:type="dxa"/>
          <w:bottom w:w="0" w:type="dxa"/>
          <w:right w:w="0" w:type="dxa"/>
        </w:tblCellMar>
      </w:tblPr>
      <w:tr>
        <w:trPr>
          <w:trHeight w:val="352"/>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Spin-Off</w:t>
            </w:r>
          </w:p>
        </w:tc>
      </w:tr>
      <w:tr>
        <w:trPr>
          <w:trHeight w:val="234"/>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Period for such Spin-Off;</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the Conversion Rate in effect immediately after the Close of Business on the last Trading Day of the Spin-Off Valuation</w:t>
            </w:r>
          </w:p>
        </w:tc>
      </w:tr>
      <w:tr>
        <w:trPr>
          <w:trHeight w:val="234"/>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Period;</w:t>
            </w:r>
          </w:p>
        </w:tc>
      </w:tr>
      <w:tr>
        <w:trPr>
          <w:trHeight w:val="405"/>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FMV</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product of (x) the average of the Last Reported Sale Prices per share or unit of the Capital Stock or equity interests</w:t>
            </w:r>
          </w:p>
        </w:tc>
      </w:tr>
      <w:tr>
        <w:trPr>
          <w:trHeight w:val="220"/>
        </w:trPr>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distributed in such Spin-Off over the ten (10) consecutive Trading Day period (the “</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beginning on, and including, the Ex-Dividend Date for such Spin-Off (such average to be determined as if references to</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in the definitions of Last Reported Sale Price, Trading Day and Market Disruption Event were instead</w:t>
            </w:r>
          </w:p>
        </w:tc>
      </w:tr>
      <w:tr>
        <w:trPr>
          <w:trHeight w:val="216"/>
        </w:trPr>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references to such Capital Stock or equity interests); and (y) the number of shares or units of such Capital Stock or</w:t>
            </w:r>
          </w:p>
        </w:tc>
      </w:tr>
      <w:tr>
        <w:trPr>
          <w:trHeight w:val="234"/>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interests distributed per share of Common Stock in such Spin-Off; and</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for each Trading Day in the Spin-Off</w:t>
            </w:r>
          </w:p>
        </w:tc>
      </w:tr>
      <w:tr>
        <w:trPr>
          <w:trHeight w:val="234"/>
        </w:trPr>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Period.</w:t>
            </w:r>
          </w:p>
        </w:tc>
      </w:tr>
    </w:tbl>
    <w:p>
      <w:pPr>
        <w:spacing w:after="0" w:line="19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(i) if any VWAP Trading Day of the Observation Period for a Note whose conversion will be settled pursuant to Cash Settlement or Combination Settlement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 and (ii) if the Conversion Date for a Note whose conversion will be settled pursuant to Physical Settlement occurs during the Spin-Off Valuation Period for such Spin-Off, then, solely for purposes of determining the Conversion Consideration for such conversion, such Spin-Off Valuation Period will be deemed to consist of the Trading Days occurring in the period from, and including, the Ex-Dividend Date for such Spin-Off to, and including, such Conversion Date.</w:t>
      </w:r>
    </w:p>
    <w:p>
      <w:pPr>
        <w:spacing w:after="0" w:line="188" w:lineRule="exact"/>
        <w:rPr>
          <w:sz w:val="20"/>
          <w:szCs w:val="20"/>
          <w:color w:val="auto"/>
        </w:rPr>
      </w:pPr>
    </w:p>
    <w:p>
      <w:pPr>
        <w:jc w:val="both"/>
        <w:ind w:left="640"/>
        <w:spacing w:after="0" w:line="268" w:lineRule="auto"/>
        <w:rPr>
          <w:sz w:val="20"/>
          <w:szCs w:val="20"/>
          <w:color w:val="auto"/>
        </w:rPr>
      </w:pPr>
      <w:r>
        <w:rPr>
          <w:rFonts w:ascii="Times New Roman" w:cs="Times New Roman" w:eastAsia="Times New Roman" w:hAnsi="Times New Roman"/>
          <w:sz w:val="18"/>
          <w:szCs w:val="18"/>
          <w:color w:val="auto"/>
        </w:rPr>
        <w:t xml:space="preserve">To the extent any dividend or distribution of the type set forth in this </w:t>
      </w:r>
      <w:r>
        <w:rPr>
          <w:rFonts w:ascii="Times New Roman" w:cs="Times New Roman" w:eastAsia="Times New Roman" w:hAnsi="Times New Roman"/>
          <w:sz w:val="18"/>
          <w:szCs w:val="18"/>
          <w:b w:val="1"/>
          <w:bCs w:val="1"/>
          <w:color w:val="auto"/>
        </w:rPr>
        <w:t>Section 5.05(A)(iii)(2)</w:t>
      </w:r>
      <w:r>
        <w:rPr>
          <w:rFonts w:ascii="Times New Roman" w:cs="Times New Roman" w:eastAsia="Times New Roman" w:hAnsi="Times New Roman"/>
          <w:sz w:val="18"/>
          <w:szCs w:val="18"/>
          <w:color w:val="auto"/>
        </w:rPr>
        <w:t xml:space="preserve"> is declared but not made or paid, the Conversion Rate will be readjusted to the Conversion Rate that would then be in effect had the adjustment been made on the basis of only the dividend or distribution, if any, actually made or paid.</w:t>
      </w:r>
    </w:p>
    <w:p>
      <w:pPr>
        <w:spacing w:after="0" w:line="17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Cash Dividends or Distributions</w:t>
      </w:r>
      <w:r>
        <w:rPr>
          <w:rFonts w:ascii="Times New Roman" w:cs="Times New Roman" w:eastAsia="Times New Roman" w:hAnsi="Times New Roman"/>
          <w:sz w:val="18"/>
          <w:szCs w:val="18"/>
          <w:color w:val="auto"/>
        </w:rPr>
        <w:t>. If any cash dividend or distribution is made to all or substantially all holders of Common Stock, then the Conversion Rate will be increased based on the following formula:</w:t>
      </w:r>
    </w:p>
    <w:p>
      <w:pPr>
        <w:spacing w:after="0" w:line="37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773" w:right="339" w:bottom="1440" w:gutter="0" w:footer="0" w:header="0"/>
        </w:sectPr>
      </w:pPr>
    </w:p>
    <w:bookmarkStart w:id="64" w:name="page65"/>
    <w:bookmarkEnd w:id="64"/>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586105</wp:posOffset>
            </wp:positionV>
            <wp:extent cx="1345565" cy="436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345565" cy="436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954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Open of Business on the Ex-Dividend Date for such dividend or</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w:t>
            </w:r>
          </w:p>
        </w:tc>
      </w:tr>
      <w:tr>
        <w:trPr>
          <w:trHeight w:val="458"/>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415"/>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Last Reported Sale Price per share of Common Stock on the Trading Day immediately before such Ex-Dividend Date; and</w:t>
            </w:r>
          </w:p>
        </w:tc>
      </w:tr>
    </w:tbl>
    <w:p>
      <w:pPr>
        <w:spacing w:after="0" w:line="198" w:lineRule="exact"/>
        <w:rPr>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cash amount distributed per share of Common Stock in such dividend or distribution;</w:t>
      </w:r>
    </w:p>
    <w:p>
      <w:pPr>
        <w:spacing w:after="0" w:line="223"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w:t>
      </w:r>
      <w:r>
        <w:rPr>
          <w:rFonts w:ascii="Times New Roman" w:cs="Times New Roman" w:eastAsia="Times New Roman" w:hAnsi="Times New Roman"/>
          <w:sz w:val="18"/>
          <w:szCs w:val="18"/>
          <w:i w:val="1"/>
          <w:iCs w:val="1"/>
          <w:color w:val="auto"/>
        </w:rPr>
        <w:t xml:space="preserve"> D </w:t>
      </w:r>
      <w:r>
        <w:rPr>
          <w:rFonts w:ascii="Times New Roman" w:cs="Times New Roman" w:eastAsia="Times New Roman" w:hAnsi="Times New Roman"/>
          <w:sz w:val="18"/>
          <w:szCs w:val="18"/>
          <w:color w:val="auto"/>
        </w:rPr>
        <w:t>is equal to or greater than</w:t>
      </w:r>
      <w:r>
        <w:rPr>
          <w:rFonts w:ascii="Times New Roman" w:cs="Times New Roman" w:eastAsia="Times New Roman" w:hAnsi="Times New Roman"/>
          <w:sz w:val="18"/>
          <w:szCs w:val="18"/>
          <w:i w:val="1"/>
          <w:iCs w:val="1"/>
          <w:color w:val="auto"/>
        </w:rPr>
        <w:t xml:space="preserve"> SP</w:t>
      </w:r>
      <w:r>
        <w:rPr>
          <w:rFonts w:ascii="Times New Roman" w:cs="Times New Roman" w:eastAsia="Times New Roman" w:hAnsi="Times New Roman"/>
          <w:sz w:val="18"/>
          <w:szCs w:val="18"/>
          <w:color w:val="auto"/>
        </w:rPr>
        <w:t>, then, in lieu of the foregoing adjustment to the Conversion Rate, each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for each $1,000 principal amount of Notes held by such Holder on the record date for such dividend or distribution, at the same time and on the same terms as holders of Common Stock, without having to convert its Notes, the amount of cash that such Holder would have received if such Holder had owned, on such record date, a number of shares of Common Stock equal to the Conversion Rate in effect on such record date.</w:t>
      </w:r>
    </w:p>
    <w:p>
      <w:pPr>
        <w:spacing w:after="0" w:line="182" w:lineRule="exact"/>
        <w:rPr>
          <w:sz w:val="20"/>
          <w:szCs w:val="20"/>
          <w:color w:val="auto"/>
        </w:rPr>
      </w:pPr>
    </w:p>
    <w:p>
      <w:pPr>
        <w:jc w:val="both"/>
        <w:ind w:left="4"/>
        <w:spacing w:after="0" w:line="282" w:lineRule="auto"/>
        <w:rPr>
          <w:sz w:val="20"/>
          <w:szCs w:val="20"/>
          <w:color w:val="auto"/>
        </w:rPr>
      </w:pPr>
      <w:r>
        <w:rPr>
          <w:rFonts w:ascii="Times New Roman" w:cs="Times New Roman" w:eastAsia="Times New Roman" w:hAnsi="Times New Roman"/>
          <w:sz w:val="18"/>
          <w:szCs w:val="18"/>
          <w:color w:val="auto"/>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spacing w:after="0" w:line="160"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Tender Offers or Exchange Offers</w:t>
      </w:r>
      <w:r>
        <w:rPr>
          <w:rFonts w:ascii="Times New Roman" w:cs="Times New Roman" w:eastAsia="Times New Roman" w:hAnsi="Times New Roman"/>
          <w:sz w:val="18"/>
          <w:szCs w:val="18"/>
          <w:color w:val="auto"/>
        </w:rPr>
        <w:t>. If the Company or any of its Subsidiaries makes a payment in respect of a tender offer or exchange offer for shares of Common Stock (other than solely pursuant to an odd-lot tender offer pursuant to Rule 13e-4(h)(5) under the Exchange Act (or any successor rule)), and the value (determined as of the Expiration Time by the Company in good faith) of the cash and other consideration paid per share of Common Stock in such tender or exchange offer exceeds the Last Reported Sale Price per share of Common Stock on the Trading Day immediately after the last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on which tenders or exchanges may be made pursuant to such tender or exchange offer (as it may be amended), then the Conversion Rate will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128270</wp:posOffset>
            </wp:positionV>
            <wp:extent cx="1663065" cy="4540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6306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956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before the Close of Business on the last Trading Day of the Tender/Exchange Offer</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Period for such tender or exchange offer;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Conversion Rate in effect immediately after the Close of Business on the last Trading Day of the Tender/Exchange Offer</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Valuation Period;</w:t>
            </w:r>
          </w:p>
        </w:tc>
      </w:tr>
      <w:tr>
        <w:trPr>
          <w:trHeight w:val="409"/>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aggregate value, as of the time such tender or exchange offer expires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of all cash and other</w:t>
            </w:r>
          </w:p>
        </w:tc>
      </w:tr>
      <w:tr>
        <w:trPr>
          <w:trHeight w:val="216"/>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consideration paid for shares of Common Stock purchased or exchanged in such tender or exchange offer (such aggregate value</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be determined, other than with respect to cash, by the Company in good faith);</w:t>
            </w:r>
          </w:p>
        </w:tc>
      </w:tr>
      <w:tr>
        <w:trPr>
          <w:trHeight w:val="418"/>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before the Expiration Time (including all shares of Common</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OS</w:t>
            </w:r>
            <w:r>
              <w:rPr>
                <w:rFonts w:ascii="Times New Roman" w:cs="Times New Roman" w:eastAsia="Times New Roman" w:hAnsi="Times New Roman"/>
                <w:sz w:val="29"/>
                <w:szCs w:val="29"/>
                <w:i w:val="1"/>
                <w:iCs w:val="1"/>
                <w:color w:val="auto"/>
                <w:vertAlign w:val="subscript"/>
              </w:rPr>
              <w:t>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Expiration Time (excluding all shares of Common</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accepted for purchase or exchange in such tender or exchange offer); and</w:t>
            </w:r>
          </w:p>
        </w:tc>
      </w:tr>
      <w:tr>
        <w:trPr>
          <w:trHeight w:val="405"/>
        </w:trPr>
        <w:tc>
          <w:tcPr>
            <w:tcW w:w="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average of the Last Reported Sale Prices per share of Common Stock over the ten (10) consecutive Trading Day period (the</w:t>
            </w:r>
          </w:p>
        </w:tc>
      </w:tr>
      <w:tr>
        <w:trPr>
          <w:trHeight w:val="220"/>
        </w:trPr>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Tender/Exchange Offer Valuation Period</w:t>
            </w:r>
            <w:r>
              <w:rPr>
                <w:rFonts w:ascii="Times New Roman" w:cs="Times New Roman" w:eastAsia="Times New Roman" w:hAnsi="Times New Roman"/>
                <w:sz w:val="18"/>
                <w:szCs w:val="18"/>
                <w:color w:val="auto"/>
              </w:rPr>
              <w:t>”) beginning on, and including, the Trading Day immediately after the Expiration</w:t>
            </w:r>
          </w:p>
        </w:tc>
      </w:tr>
      <w:tr>
        <w:trPr>
          <w:trHeight w:val="234"/>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Conversion Rate will in no event be adjusted down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except to the extent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immediately following paragraph. Notwithstanding anything to the contrary in this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 if any VWAP Trading Day of the Observation Period for a Note whose conversion will be settled pursuant to Cash Settlement or Combination Settlement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after the Expiration Date for such tender or exchange offer to, and including, such VWAP Trading Day; and (ii) if the Conversion Date for a Note whose conversion will be settled pursuant to Physical Settlement occurs during the Tender/Exchange Offer Valuation Period for such tender or exchange offer, then, solely for purposes of determining the Conversion Consideration for such conversion, such Tender/Exchange Offer Valuation Period will be deemed to consist of the Trading Days occurring in the period from, and including, the Trading Day immediately after the Expiration Date to, and including, such Conversion 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spacing w:after="0" w:line="3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Adjustments in Certain Cases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Where Holders Participate in the Transaction or Event Without Conversion</w:t>
      </w:r>
      <w:r>
        <w:rPr>
          <w:rFonts w:ascii="Times New Roman" w:cs="Times New Roman" w:eastAsia="Times New Roman" w:hAnsi="Times New Roman"/>
          <w:sz w:val="18"/>
          <w:szCs w:val="18"/>
          <w:color w:val="auto"/>
        </w:rPr>
        <w:t xml:space="preserve">. Notwithstanding anything to the contrary in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Company will not be obligated to adjust the Conversion Rate on account of a transaction or other event otherwise requiring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adjustment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(other than a stock split or combination of the type set forth in </w:t>
      </w:r>
      <w:r>
        <w:rPr>
          <w:rFonts w:ascii="Times New Roman" w:cs="Times New Roman" w:eastAsia="Times New Roman" w:hAnsi="Times New Roman"/>
          <w:sz w:val="18"/>
          <w:szCs w:val="18"/>
          <w:b w:val="1"/>
          <w:bCs w:val="1"/>
          <w:color w:val="auto"/>
        </w:rPr>
        <w:t>Section 5.05(A)(i)</w:t>
      </w:r>
      <w:r>
        <w:rPr>
          <w:rFonts w:ascii="Times New Roman" w:cs="Times New Roman" w:eastAsia="Times New Roman" w:hAnsi="Times New Roman"/>
          <w:sz w:val="18"/>
          <w:szCs w:val="18"/>
          <w:color w:val="auto"/>
        </w:rPr>
        <w:t xml:space="preserve"> or a tender or exchange offer of the type set forth in </w:t>
      </w:r>
      <w:r>
        <w:rPr>
          <w:rFonts w:ascii="Times New Roman" w:cs="Times New Roman" w:eastAsia="Times New Roman" w:hAnsi="Times New Roman"/>
          <w:sz w:val="18"/>
          <w:szCs w:val="18"/>
          <w:b w:val="1"/>
          <w:bCs w:val="1"/>
          <w:color w:val="auto"/>
        </w:rPr>
        <w:t>Section 5.05(A)(v)</w:t>
      </w:r>
      <w:r>
        <w:rPr>
          <w:rFonts w:ascii="Times New Roman" w:cs="Times New Roman" w:eastAsia="Times New Roman" w:hAnsi="Times New Roman"/>
          <w:sz w:val="18"/>
          <w:szCs w:val="18"/>
          <w:color w:val="auto"/>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Certain Events</w:t>
      </w:r>
      <w:r>
        <w:rPr>
          <w:rFonts w:ascii="Times New Roman" w:cs="Times New Roman" w:eastAsia="Times New Roman" w:hAnsi="Times New Roman"/>
          <w:sz w:val="18"/>
          <w:szCs w:val="18"/>
          <w:color w:val="auto"/>
        </w:rPr>
        <w:t xml:space="preserve">. The Company will not be required to adjust the Conversion Rate except as provided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xml:space="preserve">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Without limiting the foregoing, the Company will not be obligated to adjust the Conversion Rate on account of:</w:t>
      </w:r>
    </w:p>
    <w:p>
      <w:pPr>
        <w:spacing w:after="0" w:line="203" w:lineRule="exact"/>
        <w:rPr>
          <w:sz w:val="20"/>
          <w:szCs w:val="20"/>
          <w:color w:val="auto"/>
        </w:rPr>
      </w:pPr>
    </w:p>
    <w:p>
      <w:pPr>
        <w:jc w:val="both"/>
        <w:ind w:left="6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            except as otherwise provided in </w:t>
      </w:r>
      <w:r>
        <w:rPr>
          <w:rFonts w:ascii="Times New Roman" w:cs="Times New Roman" w:eastAsia="Times New Roman" w:hAnsi="Times New Roman"/>
          <w:sz w:val="18"/>
          <w:szCs w:val="18"/>
          <w:b w:val="1"/>
          <w:bCs w:val="1"/>
          <w:color w:val="auto"/>
        </w:rPr>
        <w:t>Section 5.05</w:t>
      </w:r>
      <w:r>
        <w:rPr>
          <w:rFonts w:ascii="Times New Roman" w:cs="Times New Roman" w:eastAsia="Times New Roman" w:hAnsi="Times New Roman"/>
          <w:sz w:val="18"/>
          <w:szCs w:val="18"/>
          <w:color w:val="auto"/>
        </w:rPr>
        <w:t>, the sale of shares of Common Stock for a purchase price that is less than the market price per share of Common Stock or less than the Conversion Price;</w:t>
      </w:r>
    </w:p>
    <w:p>
      <w:pPr>
        <w:spacing w:after="0" w:line="159"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(2)            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(3)            the issuance of any shares of Common Stock or options or rights to purchase shares of Common Stock pursuant to any present or future employee, director or consultant benefit plan or program of, or assumed by, the Company or any of its Subsidiaries;</w:t>
      </w:r>
    </w:p>
    <w:p>
      <w:pPr>
        <w:spacing w:after="0" w:line="162"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(4)            the issuance of any shares of Common Stock pursuant to any option, warrant, right or convertible or exchangeable security of the Company outstanding as of the Issue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solely a change in the par value of the Common Stock;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accrued and unpaid interest on the Notes.</w:t>
      </w:r>
    </w:p>
    <w:p>
      <w:pPr>
        <w:spacing w:after="0" w:line="200" w:lineRule="exact"/>
        <w:rPr>
          <w:sz w:val="20"/>
          <w:szCs w:val="20"/>
          <w:color w:val="auto"/>
        </w:rPr>
      </w:pPr>
    </w:p>
    <w:p>
      <w:pPr>
        <w:spacing w:after="0" w:line="24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67" w:name="page68"/>
    <w:bookmarkEnd w:id="6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Adjustment Deferral</w:t>
      </w:r>
      <w:r>
        <w:rPr>
          <w:rFonts w:ascii="Times New Roman" w:cs="Times New Roman" w:eastAsia="Times New Roman" w:hAnsi="Times New Roman"/>
          <w:sz w:val="18"/>
          <w:szCs w:val="18"/>
          <w:color w:val="auto"/>
        </w:rPr>
        <w:t xml:space="preserve">. If an adjustment to the Conversion Rate otherwise required by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would result in a change of less than one percent (1%) to the Conversion Rate, then, 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the Company may, at its election, defer such adjustment, except that all such deferred adjustments must be given effect immediately upon the earliest of the following: (i) when all such deferred adjustments would result in an aggregate change of at least one percent (1%) to the Conversion Rate; (ii) the Conversion Date of, or any VWAP Trading Day of an Observation Period for, any Note; (iii) the effective date of a Fundamental Change or a Make-Whole Fundamental Change Effective Date; (iv) any Redemption Notice Date; and (v) January 1, 2030.</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Adjustments Not Yet Effective</w:t>
      </w:r>
      <w:r>
        <w:rPr>
          <w:rFonts w:ascii="Times New Roman" w:cs="Times New Roman" w:eastAsia="Times New Roman" w:hAnsi="Times New Roman"/>
          <w:sz w:val="18"/>
          <w:szCs w:val="18"/>
          <w:color w:val="auto"/>
        </w:rPr>
        <w:t>. Notwithstanding anything to the contrary in this Indenture or the Notes, if:</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Note is to be converted pursuant to Physical Settlement or Combination Settlement;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the record date, effective date or Expiration Time for any event that requires an adjustment to the Conversion Rate pursuant to </w:t>
      </w:r>
      <w:r>
        <w:rPr>
          <w:rFonts w:ascii="Times New Roman" w:cs="Times New Roman" w:eastAsia="Times New Roman" w:hAnsi="Times New Roman"/>
          <w:sz w:val="18"/>
          <w:szCs w:val="18"/>
          <w:b w:val="1"/>
          <w:bCs w:val="1"/>
          <w:color w:val="auto"/>
        </w:rPr>
        <w:t xml:space="preserve">Section 5.05(A) </w:t>
      </w:r>
      <w:r>
        <w:rPr>
          <w:rFonts w:ascii="Times New Roman" w:cs="Times New Roman" w:eastAsia="Times New Roman" w:hAnsi="Times New Roman"/>
          <w:sz w:val="18"/>
          <w:szCs w:val="18"/>
          <w:color w:val="auto"/>
        </w:rPr>
        <w:t>has occurred on or before the Conversion Date for such conversion (in the case of Physical Settlement) or on or before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VWAP Trading Day in the Observation Period for such conversion (in the case of Combination Settlement), but an adjustment to the Conversion Rate for such event has not yet become effective as of such Conversion Date or VWAP Trading Day, as applicable;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the Conversion Consideration due upon such conversion (in the case of Physical Settlement) includes any whole shares of Common Stock or due in respect of such VWAP Trading Day (in the case of Combination Settlement) includes any whole or fractional shares of Common Stock;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such shares are not entitled to participate in such event (because they were not held on the related record date or otherwise),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solely for purposes of such conversion, the Company will, without duplication, give effect to such adjustment on such Conversion Date (in the case of Physical Settlement) or such VWAP Trading Day (in the case of Combination Settlement).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determination date.</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Conversion Rate Adjustments where Converting Holders Participate in the Relevant Transaction or Event</w:t>
      </w:r>
      <w:r>
        <w:rPr>
          <w:rFonts w:ascii="Times New Roman" w:cs="Times New Roman" w:eastAsia="Times New Roman" w:hAnsi="Times New Roman"/>
          <w:sz w:val="18"/>
          <w:szCs w:val="18"/>
          <w:color w:val="auto"/>
        </w:rPr>
        <w:t>. Notwithstanding anything to the contrary in this Indenture or the Notes, if:</w:t>
      </w:r>
    </w:p>
    <w:p>
      <w:pPr>
        <w:spacing w:after="0" w:line="16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a Conversion Rate adjustment for any dividend or distribution becomes effective on any Ex-Dividend Date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18"/>
          <w:szCs w:val="18"/>
          <w:color w:val="auto"/>
        </w:rPr>
        <w:t>(ii)            a Note is to be converted pursuant to Physical Settlement or Combination Settlement;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the Conversion Date for such conversion (in the case of Physical Settlement) or any VWAP Trading Day in the Observation Period for such conversion (in the case of Combination Settlement) occurs on or after such Ex-Dividend Date and on or before the related record date;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the Conversion Consideration due upon such conversion (in the case of Physical Settlement) includes any whole shares of Common Stock or due in respect of such VWAP Trading Day (in the case of Combination Settlement) includes any whole or fractional shares of Common Stock, in each case based on a Conversion Rate that is adjusted for such dividend or distribution; and</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(v)            such shares would be entitled to participate in such dividend or distribution (including pursuant to </w:t>
      </w:r>
      <w:r>
        <w:rPr>
          <w:rFonts w:ascii="Times New Roman" w:cs="Times New Roman" w:eastAsia="Times New Roman" w:hAnsi="Times New Roman"/>
          <w:sz w:val="18"/>
          <w:szCs w:val="18"/>
          <w:b w:val="1"/>
          <w:bCs w:val="1"/>
          <w:color w:val="auto"/>
        </w:rPr>
        <w:t>Section 5.02(C)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then (x) in the case of Physical Settlement, such Conversion Rate adjustment will not be given effect for such conversion and the shares of Common Stock issuable upon such conversion based on such unadjusted Conversion Rate will not be entitled to participate in such dividend or distribution, but there will be added, to the consideration otherwise due upon such conversion, the same kind and amount of consideration that would have been delivered in such dividend or distribution with respect to such shares of Common Stock had such shares been entitled to participate in such dividend or distribution; and</w:t>
      </w:r>
    </w:p>
    <w:p>
      <w:pPr>
        <w:spacing w:after="0" w:line="3" w:lineRule="exact"/>
        <w:rPr>
          <w:sz w:val="20"/>
          <w:szCs w:val="20"/>
          <w:color w:val="auto"/>
        </w:rPr>
      </w:pPr>
    </w:p>
    <w:p>
      <w:pPr>
        <w:jc w:val="both"/>
        <w:ind w:firstLine="8"/>
        <w:spacing w:after="0" w:line="255" w:lineRule="auto"/>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Combination Settlement,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Stockholder Rights Plans</w:t>
      </w:r>
      <w:r>
        <w:rPr>
          <w:rFonts w:ascii="Times New Roman" w:cs="Times New Roman" w:eastAsia="Times New Roman" w:hAnsi="Times New Roman"/>
          <w:sz w:val="18"/>
          <w:szCs w:val="18"/>
          <w:color w:val="auto"/>
        </w:rPr>
        <w:t xml:space="preserve">. If any shares of Common Stock are to be issued upon conversion of any Note and, at the time of such 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 w:cs="Times New Roman" w:eastAsia="Times New Roman" w:hAnsi="Times New Roman"/>
          <w:sz w:val="18"/>
          <w:szCs w:val="18"/>
          <w:b w:val="1"/>
          <w:bCs w:val="1"/>
          <w:color w:val="auto"/>
        </w:rPr>
        <w:t>Section 5.05(A)(iii)(1)</w:t>
      </w:r>
      <w:r>
        <w:rPr>
          <w:rFonts w:ascii="Times New Roman" w:cs="Times New Roman" w:eastAsia="Times New Roman" w:hAnsi="Times New Roman"/>
          <w:sz w:val="18"/>
          <w:szCs w:val="18"/>
          <w:color w:val="auto"/>
        </w:rPr>
        <w:t xml:space="preserve"> on account of such separation as if, at the time of such separation, the Company had made a distribution of the type referred to in such Section to all holders of the Common Stock, subject to readjustment in accordance with such Section if such rights expire, terminate or are redeemed.</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Limitation on Effecting Transactions Resulting in Certain Adjustments</w:t>
      </w:r>
      <w:r>
        <w:rPr>
          <w:rFonts w:ascii="Times New Roman" w:cs="Times New Roman" w:eastAsia="Times New Roman" w:hAnsi="Times New Roman"/>
          <w:sz w:val="18"/>
          <w:szCs w:val="18"/>
          <w:color w:val="auto"/>
        </w:rPr>
        <w:t xml:space="preserve">. The Company will not engage in or be a party to any transaction or event that would require the Conversion Rate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to an amount that would result in the Conversion Price per share of Common Stock being less than the par value per share of Common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Equitable Adjustments to Prices</w:t>
      </w:r>
      <w:r>
        <w:rPr>
          <w:rFonts w:ascii="Times New Roman" w:cs="Times New Roman" w:eastAsia="Times New Roman" w:hAnsi="Times New Roman"/>
          <w:sz w:val="18"/>
          <w:szCs w:val="18"/>
          <w:color w:val="auto"/>
        </w:rPr>
        <w:t>. Whenever any provision of this Indenture requires the Company to calculate the Last Reported Sale Prices, the Daily VWAPs, the Daily Conversion Values, the Daily Cash Amounts or the Daily Share Amounts over a period of multiple days (including over an Observation Period and the period, if any, for determining the Stock Price for purposes of a Make-Whole Fundamental Change), the Company will, acting in good faith and in a commercially reasonable manner, make appropriate adjustments, if any, to each to account for any adjustment to the Conversion Rate that becomes effective, or any event requiring an adjustment to the Conversion Rate where the Ex-Dividend Date, effective date, or Expiration Date of the event occurs, at any time during such period.</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Calculation of Number of Outstanding Shares of Common Stock</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number of 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Calculations</w:t>
      </w:r>
      <w:r>
        <w:rPr>
          <w:rFonts w:ascii="Times New Roman" w:cs="Times New Roman" w:eastAsia="Times New Roman" w:hAnsi="Times New Roman"/>
          <w:sz w:val="18"/>
          <w:szCs w:val="18"/>
          <w:color w:val="auto"/>
        </w:rPr>
        <w:t>. All calculations with respect to the Conversion Rate and adjustments thereto will be made to the nearest 1/10,000th of a share of Common Stock (with 5/100,000ths rounded upward).</w:t>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Notice of Conversion Rate Adjustments</w:t>
      </w:r>
      <w:r>
        <w:rPr>
          <w:rFonts w:ascii="Times New Roman" w:cs="Times New Roman" w:eastAsia="Times New Roman" w:hAnsi="Times New Roman"/>
          <w:sz w:val="18"/>
          <w:szCs w:val="18"/>
          <w:color w:val="auto"/>
        </w:rPr>
        <w:t xml:space="preserve">. Upon the effectiveness of any adjustment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5.06. V</w:t>
      </w:r>
      <w:r>
        <w:rPr>
          <w:rFonts w:ascii="Times New Roman" w:cs="Times New Roman" w:eastAsia="Times New Roman" w:hAnsi="Times New Roman"/>
          <w:sz w:val="12"/>
          <w:szCs w:val="12"/>
          <w:b w:val="1"/>
          <w:bCs w:val="1"/>
          <w:color w:val="auto"/>
        </w:rPr>
        <w:t>oluntary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djustments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Generally</w:t>
      </w:r>
      <w:r>
        <w:rPr>
          <w:rFonts w:ascii="Times New Roman" w:cs="Times New Roman" w:eastAsia="Times New Roman" w:hAnsi="Times New Roman"/>
          <w:sz w:val="17"/>
          <w:szCs w:val="17"/>
          <w:color w:val="auto"/>
        </w:rPr>
        <w:t>. To the extent permitted by law and applicable stock exchange rules, the Company, from time to time, may (but is not required to) increase the Conversion Rate by any amount if (i) the Board of Directors determines that such increase is either (x) in the best interest of the Company; or</w:t>
      </w:r>
    </w:p>
    <w:p>
      <w:pPr>
        <w:spacing w:after="0" w:line="1" w:lineRule="exact"/>
        <w:rPr>
          <w:sz w:val="20"/>
          <w:szCs w:val="20"/>
          <w:color w:val="auto"/>
        </w:rPr>
      </w:pPr>
    </w:p>
    <w:p>
      <w:pPr>
        <w:jc w:val="both"/>
        <w:ind w:firstLine="8"/>
        <w:spacing w:after="0" w:line="255"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advisable to avoid or diminish any income tax imposed on holders of Common Stock or rights to purchase Common Stock as a result of any dividend or distribution of shares (or rights to acquire shares) of Common Stock or any similar event; and (ii) such increase is irrevocably in effect for a period of at least twenty (20) Business Days.</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Voluntary Increases</w:t>
      </w:r>
      <w:r>
        <w:rPr>
          <w:rFonts w:ascii="Times New Roman" w:cs="Times New Roman" w:eastAsia="Times New Roman" w:hAnsi="Times New Roman"/>
          <w:sz w:val="18"/>
          <w:szCs w:val="18"/>
          <w:color w:val="auto"/>
        </w:rPr>
        <w:t xml:space="preserve">. If the Board of Directors determines to increase the Conversion Rate pursuant to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xml:space="preserve">, then, no later than the first Business Day of the related twenty (20) Business Day period referred to in </w:t>
      </w:r>
      <w:r>
        <w:rPr>
          <w:rFonts w:ascii="Times New Roman" w:cs="Times New Roman" w:eastAsia="Times New Roman" w:hAnsi="Times New Roman"/>
          <w:sz w:val="18"/>
          <w:szCs w:val="18"/>
          <w:b w:val="1"/>
          <w:bCs w:val="1"/>
          <w:color w:val="auto"/>
        </w:rPr>
        <w:t>Section 5.06(A)</w:t>
      </w:r>
      <w:r>
        <w:rPr>
          <w:rFonts w:ascii="Times New Roman" w:cs="Times New Roman" w:eastAsia="Times New Roman" w:hAnsi="Times New Roman"/>
          <w:sz w:val="18"/>
          <w:szCs w:val="18"/>
          <w:color w:val="auto"/>
        </w:rPr>
        <w:t>, the Company will send notice to each Holder, the Trustee and the Conversion Agent of such increase, the amount thereof and the period during which such increase will be in effect.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Section 5.07. A</w:t>
      </w:r>
      <w:r>
        <w:rPr>
          <w:rFonts w:ascii="Times New Roman" w:cs="Times New Roman" w:eastAsia="Times New Roman" w:hAnsi="Times New Roman"/>
          <w:sz w:val="12"/>
          <w:szCs w:val="12"/>
          <w:b w:val="1"/>
          <w:bCs w:val="1"/>
          <w:color w:val="auto"/>
        </w:rPr>
        <w:t>djustments to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ate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onnection with 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ake</w:t>
      </w: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hole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undamental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If a Make-Whole Fundamental Change occurs and the Conversion Date for the conversion of a Note occurs during the related Make-Whole Fundamental Change Conversion Period, then, subject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the Conversion Rate applicable to such conversion will be increased by a number of shares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set forth in the table below corresponding (after interpolation as provided in, and subject to, the provisions below) to the Make-Whole Fundamental Change Effective Date and the Stock Price of such Make-Whole Fundamental Change: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Make-Whole</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w w:val="98"/>
              </w:rPr>
              <w:t>Stock Price</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14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Fundamental</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Change Effective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Date</w:t>
            </w: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$2.40</w:t>
            </w:r>
          </w:p>
        </w:tc>
        <w:tc>
          <w:tcPr>
            <w:tcW w:w="22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$2.60</w:t>
            </w:r>
          </w:p>
        </w:tc>
        <w:tc>
          <w:tcPr>
            <w:tcW w:w="22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$2.80</w:t>
            </w:r>
          </w:p>
        </w:tc>
        <w:tc>
          <w:tcPr>
            <w:tcW w:w="22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$3.00</w:t>
            </w:r>
          </w:p>
        </w:tc>
        <w:tc>
          <w:tcPr>
            <w:tcW w:w="22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$3.45</w:t>
            </w:r>
          </w:p>
        </w:tc>
        <w:tc>
          <w:tcPr>
            <w:tcW w:w="220" w:type="dxa"/>
            <w:vAlign w:val="bottom"/>
          </w:tcPr>
          <w:p>
            <w:pPr>
              <w:spacing w:after="0"/>
              <w:rPr>
                <w:sz w:val="15"/>
                <w:szCs w:val="15"/>
                <w:color w:val="auto"/>
              </w:rPr>
            </w:pP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$3.90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$5.00</w:t>
            </w:r>
          </w:p>
        </w:tc>
        <w:tc>
          <w:tcPr>
            <w:tcW w:w="220" w:type="dxa"/>
            <w:vAlign w:val="bottom"/>
          </w:tcPr>
          <w:p>
            <w:pPr>
              <w:spacing w:after="0"/>
              <w:rPr>
                <w:sz w:val="15"/>
                <w:szCs w:val="15"/>
                <w:color w:val="auto"/>
              </w:rPr>
            </w:pPr>
          </w:p>
        </w:tc>
        <w:tc>
          <w:tcPr>
            <w:tcW w:w="6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$7.50</w:t>
            </w:r>
          </w:p>
        </w:tc>
        <w:tc>
          <w:tcPr>
            <w:tcW w:w="20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$10.00</w:t>
            </w:r>
          </w:p>
        </w:tc>
        <w:tc>
          <w:tcPr>
            <w:tcW w:w="22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$15.00</w:t>
            </w:r>
          </w:p>
        </w:tc>
        <w:tc>
          <w:tcPr>
            <w:tcW w:w="22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$20.00</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4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April 8, 2025</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83.3333</w:t>
            </w: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83.3333</w:t>
            </w: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73.8643</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65.6733</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51.6754</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41.7949</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26.9760</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12.5640</w:t>
            </w: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89"/>
              </w:rPr>
              <w:t>6.6930</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w w:val="89"/>
              </w:rPr>
              <w:t>1.9907</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0.4110</w:t>
            </w: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April 1, 2026</w:t>
            </w: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83.3333</w:t>
            </w: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82.0192</w:t>
            </w: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71.5750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63.0167</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48.6406</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38.7436</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24.3960</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11.1453</w:t>
            </w:r>
          </w:p>
        </w:tc>
        <w:tc>
          <w:tcPr>
            <w:tcW w:w="88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5.9220</w:t>
            </w:r>
          </w:p>
        </w:tc>
        <w:tc>
          <w:tcPr>
            <w:tcW w:w="88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1.7500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0.3450</w:t>
            </w:r>
          </w:p>
        </w:tc>
        <w:tc>
          <w:tcPr>
            <w:tcW w:w="5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35"/>
        </w:trPr>
        <w:tc>
          <w:tcPr>
            <w:tcW w:w="1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April 1, 2027</w:t>
            </w: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83.3333</w:t>
            </w: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78.4577</w:t>
            </w: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67.3250</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58.3433</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43.6493</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33.9000</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20.5200</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9.1400</w:t>
            </w:r>
          </w:p>
        </w:tc>
        <w:tc>
          <w:tcPr>
            <w:tcW w:w="8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4.8550</w:t>
            </w:r>
          </w:p>
        </w:tc>
        <w:tc>
          <w:tcPr>
            <w:tcW w:w="8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1.4133</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0.2395</w:t>
            </w: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April 1, 2028</w:t>
            </w: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83.3333</w:t>
            </w: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73.1846</w:t>
            </w: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60.9607</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51.3367</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36.2406</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26.8590</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15.1920</w:t>
            </w:r>
          </w:p>
        </w:tc>
        <w:tc>
          <w:tcPr>
            <w:tcW w:w="8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6.6107</w:t>
            </w:r>
          </w:p>
        </w:tc>
        <w:tc>
          <w:tcPr>
            <w:tcW w:w="88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3.5590</w:t>
            </w:r>
          </w:p>
        </w:tc>
        <w:tc>
          <w:tcPr>
            <w:tcW w:w="88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1.0280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0.1315</w:t>
            </w:r>
          </w:p>
        </w:tc>
        <w:tc>
          <w:tcPr>
            <w:tcW w:w="5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35"/>
        </w:trPr>
        <w:tc>
          <w:tcPr>
            <w:tcW w:w="1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April 1, 2029</w:t>
            </w: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83.3333</w:t>
            </w: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64.6308</w:t>
            </w: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50.3071</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39.5533</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24.1826</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16.0256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8.0040</w:t>
            </w:r>
          </w:p>
        </w:tc>
        <w:tc>
          <w:tcPr>
            <w:tcW w:w="8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3.5507</w:t>
            </w:r>
          </w:p>
        </w:tc>
        <w:tc>
          <w:tcPr>
            <w:tcW w:w="8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1.9850</w:t>
            </w:r>
          </w:p>
        </w:tc>
        <w:tc>
          <w:tcPr>
            <w:tcW w:w="8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3"/>
                <w:szCs w:val="13"/>
                <w:color w:val="auto"/>
              </w:rPr>
              <w:t>0.5680</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0.0310</w:t>
            </w:r>
          </w:p>
        </w:tc>
        <w:tc>
          <w:tcPr>
            <w:tcW w:w="5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r>
        <w:trPr>
          <w:trHeight w:val="164"/>
        </w:trPr>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1, 2030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83.3333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51.2821</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23.8096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0.0000</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0.0000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0.0000</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0.0000</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0.0000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0.0000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0.0000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such Make-Whole Fundamental Change Effective Date or Stock Price is not set forth in the table above, then:</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if such Stock Price is between two Stock Prices in the table above or the Make-Whole Fundamental Change Effective Date is between two dates in the table above, then the number of Additional Shares will be determined by straight-line interpolation between the numbers of Additional Shares set forth for the higher and lower Stock Prices in the table above or the earlier and later dates in the table above, based on a 365- or 366-day year, as applicable; and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if the Stock Price is greater than $25.00 (subject to adjustment in the same manner as the Stock Prices set forth in the column headings of the table above are adjusted pursuant to </w:t>
      </w:r>
      <w:r>
        <w:rPr>
          <w:rFonts w:ascii="Times New Roman" w:cs="Times New Roman" w:eastAsia="Times New Roman" w:hAnsi="Times New Roman"/>
          <w:sz w:val="18"/>
          <w:szCs w:val="18"/>
          <w:b w:val="1"/>
          <w:bCs w:val="1"/>
          <w:color w:val="auto"/>
        </w:rPr>
        <w:t>Section 5.07(B)</w:t>
      </w:r>
      <w:r>
        <w:rPr>
          <w:rFonts w:ascii="Times New Roman" w:cs="Times New Roman" w:eastAsia="Times New Roman" w:hAnsi="Times New Roman"/>
          <w:sz w:val="18"/>
          <w:szCs w:val="18"/>
          <w:color w:val="auto"/>
        </w:rPr>
        <w:t>), or less than $2.40 (subject to adjustment in the same manner), per share, then no Additional Shares will be added to the Conversion Rate.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in no event will the Conversion Rate be increased to an amount that exceeds 416.6666 shares of Common Stock per $1,000 principal amount of Notes, which amount is subject to adjustment in the same manner as, and at the same time and for the same events for which, the Conversion Rate is required to be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but subject to </w:t>
      </w:r>
      <w:r>
        <w:rPr>
          <w:rFonts w:ascii="Times New Roman" w:cs="Times New Roman" w:eastAsia="Times New Roman" w:hAnsi="Times New Roman"/>
          <w:sz w:val="18"/>
          <w:szCs w:val="18"/>
          <w:b w:val="1"/>
          <w:bCs w:val="1"/>
          <w:color w:val="auto"/>
        </w:rPr>
        <w:t>Section 4.03(J)</w:t>
      </w:r>
      <w:r>
        <w:rPr>
          <w:rFonts w:ascii="Times New Roman" w:cs="Times New Roman" w:eastAsia="Times New Roman" w:hAnsi="Times New Roman"/>
          <w:sz w:val="18"/>
          <w:szCs w:val="18"/>
          <w:color w:val="auto"/>
        </w:rPr>
        <w:t xml:space="preserve">,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xml:space="preserve"> on account of such Redemption Notice.</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Adjustment of Stock Prices and Number of Additional Shares</w:t>
      </w:r>
      <w:r>
        <w:rPr>
          <w:rFonts w:ascii="Times New Roman" w:cs="Times New Roman" w:eastAsia="Times New Roman" w:hAnsi="Times New Roman"/>
          <w:sz w:val="18"/>
          <w:szCs w:val="18"/>
          <w:color w:val="auto"/>
        </w:rPr>
        <w:t xml:space="preserve">. The Stock Prices in the first row (that is, the column headers) of the table set 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Price is adjusted as a result of the operation of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The numbers of Additional Shares in the table set forth in </w:t>
      </w:r>
      <w:r>
        <w:rPr>
          <w:rFonts w:ascii="Times New Roman" w:cs="Times New Roman" w:eastAsia="Times New Roman" w:hAnsi="Times New Roman"/>
          <w:sz w:val="18"/>
          <w:szCs w:val="18"/>
          <w:b w:val="1"/>
          <w:bCs w:val="1"/>
          <w:color w:val="auto"/>
        </w:rPr>
        <w:t>Section 5.07(A)</w:t>
      </w:r>
      <w:r>
        <w:rPr>
          <w:rFonts w:ascii="Times New Roman" w:cs="Times New Roman" w:eastAsia="Times New Roman" w:hAnsi="Times New Roman"/>
          <w:sz w:val="18"/>
          <w:szCs w:val="18"/>
          <w:color w:val="auto"/>
        </w:rPr>
        <w:t xml:space="preserve"> will be adjusted in the same manner as, and at the same time and for the same events for which, the Conversion Rate is adjusted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ind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Notice of the Occurrence of a Make-Whole Fundamental Change</w:t>
      </w:r>
      <w:r>
        <w:rPr>
          <w:rFonts w:ascii="Times New Roman" w:cs="Times New Roman" w:eastAsia="Times New Roman" w:hAnsi="Times New Roman"/>
          <w:sz w:val="18"/>
          <w:szCs w:val="18"/>
          <w:color w:val="auto"/>
        </w:rPr>
        <w:t xml:space="preserve">. The Company will notify the Holders, the Trustee and the Conversion Agent of each Make-Whole Fundamental Change occurring pursuant to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of the definition thereof in accordance with Section </w:t>
      </w:r>
      <w:r>
        <w:rPr>
          <w:rFonts w:ascii="Times New Roman" w:cs="Times New Roman" w:eastAsia="Times New Roman" w:hAnsi="Times New Roman"/>
          <w:sz w:val="18"/>
          <w:szCs w:val="18"/>
          <w:b w:val="1"/>
          <w:bCs w:val="1"/>
          <w:color w:val="auto"/>
        </w:rPr>
        <w:t>5.01(C)(i)(3)(b)</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02" w:right="339" w:bottom="1440" w:gutter="0" w:footer="0" w:header="0"/>
        </w:sectPr>
      </w:pP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Settlement of Cash Make-Whole Fundamental Changes</w:t>
      </w:r>
      <w:r>
        <w:rPr>
          <w:rFonts w:ascii="Times New Roman" w:cs="Times New Roman" w:eastAsia="Times New Roman" w:hAnsi="Times New Roman"/>
          <w:sz w:val="18"/>
          <w:szCs w:val="18"/>
          <w:color w:val="auto"/>
        </w:rPr>
        <w:t>. For the avoidance of doubt, if holders of Common connection with a Common Stock Change Event that also constitutes a Make-Whole Fundamental Change, then, pursuant to Notes will thereafter be settled no later than the second (2nd) Business Day after the relevant Conversion Date.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firstLine="15"/>
        <w:spacing w:after="0" w:line="282" w:lineRule="auto"/>
        <w:rPr>
          <w:sz w:val="20"/>
          <w:szCs w:val="20"/>
          <w:color w:val="auto"/>
        </w:rPr>
      </w:pPr>
      <w:r>
        <w:rPr>
          <w:rFonts w:ascii="Times New Roman" w:cs="Times New Roman" w:eastAsia="Times New Roman" w:hAnsi="Times New Roman"/>
          <w:sz w:val="18"/>
          <w:szCs w:val="18"/>
          <w:color w:val="auto"/>
        </w:rPr>
        <w:t xml:space="preserve">Stock receive solely cash in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conversions of</w:t>
      </w:r>
    </w:p>
    <w:p>
      <w:pPr>
        <w:spacing w:after="0" w:line="373" w:lineRule="exact"/>
        <w:rPr>
          <w:sz w:val="20"/>
          <w:szCs w:val="20"/>
          <w:color w:val="auto"/>
        </w:rPr>
      </w:pPr>
    </w:p>
    <w:p>
      <w:pPr>
        <w:sectPr>
          <w:pgSz w:w="11900" w:h="16838" w:orient="portrait"/>
          <w:cols w:equalWidth="0" w:num="2">
            <w:col w:w="9100" w:space="60"/>
            <w:col w:w="2080"/>
          </w:cols>
          <w:pgMar w:left="320" w:top="90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Section 5.08. E</w:t>
      </w:r>
      <w:r>
        <w:rPr>
          <w:rFonts w:ascii="Times New Roman" w:cs="Times New Roman" w:eastAsia="Times New Roman" w:hAnsi="Times New Roman"/>
          <w:sz w:val="12"/>
          <w:szCs w:val="12"/>
          <w:b w:val="1"/>
          <w:bCs w:val="1"/>
          <w:color w:val="auto"/>
        </w:rPr>
        <w:t>xchange in</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ieu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and subject to the terms of this </w:t>
      </w:r>
      <w:r>
        <w:rPr>
          <w:rFonts w:ascii="Times New Roman" w:cs="Times New Roman" w:eastAsia="Times New Roman" w:hAnsi="Times New Roman"/>
          <w:sz w:val="18"/>
          <w:szCs w:val="18"/>
          <w:b w:val="1"/>
          <w:bCs w:val="1"/>
          <w:color w:val="auto"/>
        </w:rPr>
        <w:t>Section 5.08</w:t>
      </w:r>
      <w:r>
        <w:rPr>
          <w:rFonts w:ascii="Times New Roman" w:cs="Times New Roman" w:eastAsia="Times New Roman" w:hAnsi="Times New Roman"/>
          <w:sz w:val="18"/>
          <w:szCs w:val="18"/>
          <w:color w:val="auto"/>
        </w:rPr>
        <w:t>, if a Note is submitted for conversion, the Company may elect to arrange to have such Note exchanged in lieu of conversion by a financial institution designated by the Company. To make such election, the Company must send written notice of such election to the Holder of such Note, the Trustee and the Conversion Agent before the Close of Business on the Business Day immediately following the Conversion Date for such Note. If the Company has made such election, then: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no later than the Business Day immediately following such Conversion Date, the Company must deliver (or cause the Conversion Agent to deliver) such Note, together with delivery instructions for the Conversion Consideration due upon such conversion (including wire instructions, if applicable), to a financial institution designated by the Company that has agreed to pay and/or deliver such Conversion Consideration (or such other amount agreed to by the Holder and the financial institution) in the manner and at the time the Company would have had to pay and/or deliver the same pursuant to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if such Note is a Global Note, then (i) such designated institution will send written confirmation to the Conversion Agent promptly after wiring the cash Conversion Consideration, if any, and delivering any other Conversion Consideration (or such other consideration agreed to by the Holder and the financial institution), due upon such conversion to the Holder of such Note; and (ii) the Conversion Agent will as soon as reasonably practicable thereafter contact such Holder’s custodian with the Depositary to confirm receipt of the same;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such Note will not cease to be outstanding by reason of such exchange in lieu of conversion;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such financial institution does not accept such Note or fails to timely deliver the Conversion Consideration (or such other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agreed to by the Holder and the financial institution) as set forth in </w:t>
      </w:r>
      <w:r>
        <w:rPr>
          <w:rFonts w:ascii="Times New Roman" w:cs="Times New Roman" w:eastAsia="Times New Roman" w:hAnsi="Times New Roman"/>
          <w:sz w:val="18"/>
          <w:szCs w:val="18"/>
          <w:b w:val="1"/>
          <w:bCs w:val="1"/>
          <w:color w:val="auto"/>
        </w:rPr>
        <w:t>Section 5.08(A)</w:t>
      </w:r>
      <w:r>
        <w:rPr>
          <w:rFonts w:ascii="Times New Roman" w:cs="Times New Roman" w:eastAsia="Times New Roman" w:hAnsi="Times New Roman"/>
          <w:sz w:val="18"/>
          <w:szCs w:val="18"/>
          <w:color w:val="auto"/>
        </w:rPr>
        <w:t xml:space="preserve">, then the Company will be responsible for delivering the Conversion Consideration in the manner and at the time provided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as if the Company had not elected to make an exchange in lieu of conversion. The Conversion Agent will be entitled to conclusively rely upon the Company’s instruction in connection with effecting such exchange election and will have no liability in respect of such exchange election.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Section 5.09. E</w:t>
      </w:r>
      <w:r>
        <w:rPr>
          <w:rFonts w:ascii="Times New Roman" w:cs="Times New Roman" w:eastAsia="Times New Roman" w:hAnsi="Times New Roman"/>
          <w:sz w:val="12"/>
          <w:szCs w:val="12"/>
          <w:b w:val="1"/>
          <w:bCs w:val="1"/>
          <w:color w:val="auto"/>
        </w:rPr>
        <w:t>ffect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 any:</w:t>
      </w:r>
    </w:p>
    <w:p>
      <w:pPr>
        <w:spacing w:after="0" w:line="22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consolidation, merger, combination or binding or statutory share exchange involving the Company;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sale, lease or other transfer of all or substantially all of the assets of the Company and its Subsidiaries, taken as a whole, to any Person;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other similar event,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as a result of which, the Common Stock is converted into, or is exchanged for, or represents solely the right to receive, other securities, cash or other property,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cash or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then, notwithstanding anything to the contrary in this Indenture or the Notes,</w:t>
      </w:r>
    </w:p>
    <w:p>
      <w:pPr>
        <w:spacing w:after="0" w:line="183"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            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(or in any related definitions) were instead a reference to the same number of Reference Property Units; (II) for purposes of </w:t>
      </w:r>
      <w:r>
        <w:rPr>
          <w:rFonts w:ascii="Times New Roman" w:cs="Times New Roman" w:eastAsia="Times New Roman" w:hAnsi="Times New Roman"/>
          <w:sz w:val="18"/>
          <w:szCs w:val="18"/>
          <w:b w:val="1"/>
          <w:bCs w:val="1"/>
          <w:color w:val="auto"/>
        </w:rPr>
        <w:t>Section 4.03</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references to “Common Stock” and the Company’s “common equity” will be deemed to mean the common equity, if any, forming part of such Reference Property;</w:t>
      </w:r>
    </w:p>
    <w:p>
      <w:pPr>
        <w:spacing w:after="0" w:line="189"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            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 w:cs="Times New Roman" w:eastAsia="Times New Roman" w:hAnsi="Times New Roman"/>
          <w:sz w:val="18"/>
          <w:szCs w:val="18"/>
          <w:b w:val="1"/>
          <w:bCs w:val="1"/>
          <w:color w:val="auto"/>
        </w:rPr>
        <w:t>Section 5.07</w:t>
      </w:r>
      <w:r>
        <w:rPr>
          <w:rFonts w:ascii="Times New Roman" w:cs="Times New Roman" w:eastAsia="Times New Roman" w:hAnsi="Times New Roman"/>
          <w:sz w:val="18"/>
          <w:szCs w:val="18"/>
          <w:color w:val="auto"/>
        </w:rPr>
        <w:t>, if applicable); and (y) the amount of cash constituting such Reference Property Unit; and (II) the Company will settle each such conversion no later than the second (2nd) Business Day after the relevant Conversion Date;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(3)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the Trustee and the Conversion Agent (if other than the Trustee) in writing of such weighted average as soon as practicable after such determination is made.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At or before the effective time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to the Trustee a supplemental indenture pursuant to </w:t>
      </w:r>
      <w:r>
        <w:rPr>
          <w:rFonts w:ascii="Times New Roman" w:cs="Times New Roman" w:eastAsia="Times New Roman" w:hAnsi="Times New Roman"/>
          <w:sz w:val="18"/>
          <w:szCs w:val="18"/>
          <w:b w:val="1"/>
          <w:bCs w:val="1"/>
          <w:color w:val="auto"/>
        </w:rPr>
        <w:t>Section 8.01(F)</w:t>
      </w:r>
      <w:r>
        <w:rPr>
          <w:rFonts w:ascii="Times New Roman" w:cs="Times New Roman" w:eastAsia="Times New Roman" w:hAnsi="Times New Roman"/>
          <w:sz w:val="18"/>
          <w:szCs w:val="18"/>
          <w:color w:val="auto"/>
        </w:rPr>
        <w:t>, which supplemental indenture will (x) provide for subsequent conversions of Notes in the manner set forth in this</w:t>
      </w:r>
      <w:r>
        <w:rPr>
          <w:rFonts w:ascii="Times New Roman" w:cs="Times New Roman" w:eastAsia="Times New Roman" w:hAnsi="Times New Roman"/>
          <w:sz w:val="18"/>
          <w:szCs w:val="18"/>
          <w:b w:val="1"/>
          <w:bCs w:val="1"/>
          <w:color w:val="auto"/>
        </w:rPr>
        <w:t xml:space="preserve"> Section 5.09</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3" w:lineRule="auto"/>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subsequent adjustments to the Conversion Rate pursuant to </w:t>
      </w:r>
      <w:r>
        <w:rPr>
          <w:rFonts w:ascii="Times New Roman" w:cs="Times New Roman" w:eastAsia="Times New Roman" w:hAnsi="Times New Roman"/>
          <w:sz w:val="18"/>
          <w:szCs w:val="18"/>
          <w:b w:val="1"/>
          <w:bCs w:val="1"/>
          <w:color w:val="auto"/>
        </w:rPr>
        <w:t>Section 5.05(A)</w:t>
      </w:r>
      <w:r>
        <w:rPr>
          <w:rFonts w:ascii="Times New Roman" w:cs="Times New Roman" w:eastAsia="Times New Roman" w:hAnsi="Times New Roman"/>
          <w:sz w:val="18"/>
          <w:szCs w:val="18"/>
          <w:color w:val="auto"/>
        </w:rPr>
        <w:t xml:space="preserve"> in a manner consistent with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and (z) contain such other provisions, if any, that the Company reasonably determines are appropriate to preserve the economic interests of the Holders and to give effect to the provisions of this </w:t>
      </w:r>
      <w:r>
        <w:rPr>
          <w:rFonts w:ascii="Times New Roman" w:cs="Times New Roman" w:eastAsia="Times New Roman" w:hAnsi="Times New Roman"/>
          <w:sz w:val="18"/>
          <w:szCs w:val="18"/>
          <w:b w:val="1"/>
          <w:bCs w:val="1"/>
          <w:color w:val="auto"/>
        </w:rPr>
        <w:t>Section 5.09(A)</w:t>
      </w:r>
      <w:r>
        <w:rPr>
          <w:rFonts w:ascii="Times New Roman" w:cs="Times New Roman" w:eastAsia="Times New Roman" w:hAnsi="Times New Roman"/>
          <w:sz w:val="18"/>
          <w:szCs w:val="18"/>
          <w:color w:val="auto"/>
        </w:rPr>
        <w:t>. If the Reference Property includes shares of stock or other securities or assets (other than cash) of a Person other than the Successor Person, then such other Person will also execute such supplemental indenture and such supplemental indenture will contain such additional provisions, if any, that the Company reasonably determines are appropriate to preserve the economic interests of the Holders.</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Common Stock Change Events</w:t>
      </w:r>
      <w:r>
        <w:rPr>
          <w:rFonts w:ascii="Times New Roman" w:cs="Times New Roman" w:eastAsia="Times New Roman" w:hAnsi="Times New Roman"/>
          <w:sz w:val="18"/>
          <w:szCs w:val="18"/>
          <w:color w:val="auto"/>
        </w:rPr>
        <w:t>. The Company will provide notice of each Common Stock Change Event to Holders, the Trustee and the Conversion Agent no later than the Business Day after the effective date of such Common Stock Change Event.</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xml:space="preserve">. The Company will not become a party to any Common Stock Change Event unless its terms are consistent with this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Article 6      SUCCESSORS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W</w:t>
      </w:r>
      <w:r>
        <w:rPr>
          <w:rFonts w:ascii="Times New Roman" w:cs="Times New Roman" w:eastAsia="Times New Roman" w:hAnsi="Times New Roman"/>
          <w:sz w:val="12"/>
          <w:szCs w:val="12"/>
          <w:b w:val="1"/>
          <w:bCs w:val="1"/>
          <w:color w:val="auto"/>
        </w:rPr>
        <w:t>hen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the resulting, surviving or transferee Person either (x) is the Company or (y) if not the Company, is a corporation (or, if such Business Combination Event is an Exempted Fundamental Change, is a corporation, limited liability company, limited partnership or other similar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xml:space="preserve">”) duly organized and existing under the laws of the United States of America, any State thereof or the District of Columbia that expressly assumes (by executing and delivering to the Trustee, at or before the effective time of such Business Combination Event, a supplemental indenture pursuant to </w:t>
      </w:r>
      <w:r>
        <w:rPr>
          <w:rFonts w:ascii="Times New Roman" w:cs="Times New Roman" w:eastAsia="Times New Roman" w:hAnsi="Times New Roman"/>
          <w:sz w:val="18"/>
          <w:szCs w:val="18"/>
          <w:b w:val="1"/>
          <w:bCs w:val="1"/>
          <w:color w:val="auto"/>
        </w:rPr>
        <w:t>Section 8.01(E)</w:t>
      </w:r>
      <w:r>
        <w:rPr>
          <w:rFonts w:ascii="Times New Roman" w:cs="Times New Roman" w:eastAsia="Times New Roman" w:hAnsi="Times New Roman"/>
          <w:sz w:val="18"/>
          <w:szCs w:val="18"/>
          <w:color w:val="auto"/>
        </w:rPr>
        <w:t>) all of the Company’s obligations under this Indenture and the Notes; and</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immediately after giving effect to such Business Combination Event, no Default or Event of Default will have occurred and be continuing.</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Delivery of Officer’s Certificate and Opinion of Counsel to the Trustee</w:t>
      </w:r>
      <w:r>
        <w:rPr>
          <w:rFonts w:ascii="Times New Roman" w:cs="Times New Roman" w:eastAsia="Times New Roman" w:hAnsi="Times New Roman"/>
          <w:sz w:val="18"/>
          <w:szCs w:val="18"/>
          <w:color w:val="auto"/>
        </w:rPr>
        <w:t xml:space="preserve">.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 w:cs="Times New Roman" w:eastAsia="Times New Roman" w:hAnsi="Times New Roman"/>
          <w:sz w:val="18"/>
          <w:szCs w:val="18"/>
          <w:b w:val="1"/>
          <w:bCs w:val="1"/>
          <w:color w:val="auto"/>
        </w:rPr>
        <w:t>Section 6.01(A)</w:t>
      </w:r>
      <w:r>
        <w:rPr>
          <w:rFonts w:ascii="Times New Roman" w:cs="Times New Roman" w:eastAsia="Times New Roman" w:hAnsi="Times New Roman"/>
          <w:sz w:val="18"/>
          <w:szCs w:val="18"/>
          <w:color w:val="auto"/>
        </w:rPr>
        <w:t>; and (ii) all conditions precedent to such Business Combination Event provided in this Indenture have been satisfied.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6.02. S</w:t>
      </w:r>
      <w:r>
        <w:rPr>
          <w:rFonts w:ascii="Times New Roman" w:cs="Times New Roman" w:eastAsia="Times New Roman" w:hAnsi="Times New Roman"/>
          <w:sz w:val="12"/>
          <w:szCs w:val="12"/>
          <w:b w:val="1"/>
          <w:bCs w:val="1"/>
          <w:color w:val="auto"/>
        </w:rPr>
        <w:t>uccessor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ntity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ubstituted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At the effective time of any Business Combination Event that complies with </w:t>
      </w:r>
      <w:r>
        <w:rPr>
          <w:rFonts w:ascii="Times New Roman" w:cs="Times New Roman" w:eastAsia="Times New Roman" w:hAnsi="Times New Roman"/>
          <w:sz w:val="18"/>
          <w:szCs w:val="18"/>
          <w:b w:val="1"/>
          <w:bCs w:val="1"/>
          <w:color w:val="auto"/>
        </w:rPr>
        <w:t>Section 6.01</w:t>
      </w:r>
      <w:r>
        <w:rPr>
          <w:rFonts w:ascii="Times New Roman" w:cs="Times New Roman" w:eastAsia="Times New Roman" w:hAnsi="Times New Roman"/>
          <w:sz w:val="18"/>
          <w:szCs w:val="18"/>
          <w:color w:val="auto"/>
        </w:rPr>
        <w:t>, the Successor Entity (if not the Company) will succeed to, and may exercise every right and power of, the Company under this Indenture and the Notes with the same effect as if such Successor Entity had been named as the Company in this Indenture and the Notes, and, except in the case of a lease, the predecessor Company will be discharged from its obligations under this Indenture and the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6.03. E</w:t>
      </w:r>
      <w:r>
        <w:rPr>
          <w:rFonts w:ascii="Times New Roman" w:cs="Times New Roman" w:eastAsia="Times New Roman" w:hAnsi="Times New Roman"/>
          <w:sz w:val="12"/>
          <w:szCs w:val="12"/>
          <w:b w:val="1"/>
          <w:bCs w:val="1"/>
          <w:color w:val="auto"/>
        </w:rPr>
        <w:t>xclusion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sset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ransfers with</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holly</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ubsidiaries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Article 6</w:t>
      </w:r>
      <w:r>
        <w:rPr>
          <w:rFonts w:ascii="Times New Roman" w:cs="Times New Roman" w:eastAsia="Times New Roman" w:hAnsi="Times New Roman"/>
          <w:sz w:val="18"/>
          <w:szCs w:val="18"/>
          <w:color w:val="auto"/>
        </w:rPr>
        <w:t xml:space="preserve"> will not apply to any transfer of assets between or among the Company and any one or more of its Wholly Owned Subsidiaries not effected by merger or consolidation.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Article 7      DEFAULTS AND REMEDIES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E</w:t>
      </w:r>
      <w:r>
        <w:rPr>
          <w:rFonts w:ascii="Times New Roman" w:cs="Times New Roman" w:eastAsia="Times New Roman" w:hAnsi="Times New Roman"/>
          <w:sz w:val="12"/>
          <w:szCs w:val="12"/>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Definition of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22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            a default in the payment when due (whether at maturity, upon Redemption, Repurchase Upon Fundamental Change or otherwise) of the principal of, or the Redemption Price or Fundamental Change Repurchase Price for, any Note;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 default for thirty (30) consecutive days in the payment when due of interest on any Note;</w:t>
      </w:r>
    </w:p>
    <w:p>
      <w:pPr>
        <w:spacing w:after="0" w:line="225"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the Company’s failure to deliver, when required by this Indenture, (x) a Fundamental Change Notice, or (y) a notice pursuant to </w:t>
      </w:r>
      <w:r>
        <w:rPr>
          <w:rFonts w:ascii="Times New Roman" w:cs="Times New Roman" w:eastAsia="Times New Roman" w:hAnsi="Times New Roman"/>
          <w:sz w:val="18"/>
          <w:szCs w:val="18"/>
          <w:b w:val="1"/>
          <w:bCs w:val="1"/>
          <w:color w:val="auto"/>
        </w:rPr>
        <w:t>Section 5.01(C)(i)(3)</w:t>
      </w:r>
      <w:r>
        <w:rPr>
          <w:rFonts w:ascii="Times New Roman" w:cs="Times New Roman" w:eastAsia="Times New Roman" w:hAnsi="Times New Roman"/>
          <w:sz w:val="18"/>
          <w:szCs w:val="18"/>
          <w:color w:val="auto"/>
        </w:rPr>
        <w:t>, or (z) a notice of a Make-Whole Fundamental Change (other than a Make-Whole Fundamental Change pursuant to</w:t>
      </w:r>
      <w:r>
        <w:rPr>
          <w:rFonts w:ascii="Times New Roman" w:cs="Times New Roman" w:eastAsia="Times New Roman" w:hAnsi="Times New Roman"/>
          <w:sz w:val="18"/>
          <w:szCs w:val="18"/>
          <w:b w:val="1"/>
          <w:bCs w:val="1"/>
          <w:color w:val="auto"/>
        </w:rPr>
        <w:t xml:space="preserve"> clause</w:t>
      </w:r>
    </w:p>
    <w:p>
      <w:pPr>
        <w:ind w:left="660" w:hanging="4"/>
        <w:spacing w:after="0" w:line="260" w:lineRule="auto"/>
        <w:tabs>
          <w:tab w:leader="none" w:pos="94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pursuant to the provisions referred to in </w:t>
      </w:r>
      <w:r>
        <w:rPr>
          <w:rFonts w:ascii="Times New Roman" w:cs="Times New Roman" w:eastAsia="Times New Roman" w:hAnsi="Times New Roman"/>
          <w:sz w:val="18"/>
          <w:szCs w:val="18"/>
          <w:b w:val="1"/>
          <w:bCs w:val="1"/>
          <w:color w:val="auto"/>
        </w:rPr>
        <w:t>Section 5.07(C)</w:t>
      </w:r>
      <w:r>
        <w:rPr>
          <w:rFonts w:ascii="Times New Roman" w:cs="Times New Roman" w:eastAsia="Times New Roman" w:hAnsi="Times New Roman"/>
          <w:sz w:val="18"/>
          <w:szCs w:val="18"/>
          <w:color w:val="auto"/>
        </w:rPr>
        <w:t xml:space="preserve">, and, in the case of </w:t>
      </w:r>
      <w:r>
        <w:rPr>
          <w:rFonts w:ascii="Times New Roman" w:cs="Times New Roman" w:eastAsia="Times New Roman" w:hAnsi="Times New Roman"/>
          <w:sz w:val="18"/>
          <w:szCs w:val="18"/>
          <w:b w:val="1"/>
          <w:bCs w:val="1"/>
          <w:color w:val="auto"/>
        </w:rPr>
        <w:t>clause (x)</w:t>
      </w:r>
      <w:r>
        <w:rPr>
          <w:rFonts w:ascii="Times New Roman" w:cs="Times New Roman" w:eastAsia="Times New Roman" w:hAnsi="Times New Roman"/>
          <w:sz w:val="18"/>
          <w:szCs w:val="18"/>
          <w:color w:val="auto"/>
        </w:rPr>
        <w:t xml:space="preserve"> only, such failure is not cured within five (5) days after its occurrence;</w:t>
      </w:r>
    </w:p>
    <w:p>
      <w:pPr>
        <w:spacing w:after="0" w:line="177" w:lineRule="exact"/>
        <w:rPr>
          <w:sz w:val="20"/>
          <w:szCs w:val="20"/>
          <w:color w:val="auto"/>
        </w:rPr>
      </w:pPr>
    </w:p>
    <w:p>
      <w:pPr>
        <w:jc w:val="both"/>
        <w:ind w:left="660"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(iv)            a default in the Company’s obligation to convert a Note in accordance with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the exercise of the conversion right with respect thereto, if such default is not cured within five (5) days after its occurrence;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(v)            a default in the Company’s obligations under Article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           a default in any of the Company’s obligations or agreements under this Indenture or the Notes (other than a default set forth in </w:t>
      </w:r>
      <w:r>
        <w:rPr>
          <w:rFonts w:ascii="Times New Roman" w:cs="Times New Roman" w:eastAsia="Times New Roman" w:hAnsi="Times New Roman"/>
          <w:sz w:val="18"/>
          <w:szCs w:val="18"/>
          <w:b w:val="1"/>
          <w:bCs w:val="1"/>
          <w:color w:val="auto"/>
        </w:rPr>
        <w:t xml:space="preserve">clause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b w:val="1"/>
          <w:bCs w:val="1"/>
          <w:color w:val="auto"/>
        </w:rPr>
        <w:t xml:space="preserve"> Section 7.01(A)</w:t>
      </w:r>
      <w:r>
        <w:rPr>
          <w:rFonts w:ascii="Times New Roman" w:cs="Times New Roman" w:eastAsia="Times New Roman" w:hAnsi="Times New Roman"/>
          <w:sz w:val="18"/>
          <w:szCs w:val="18"/>
          <w:color w:val="auto"/>
        </w:rPr>
        <w:t>) where such default is not cured or waived within sixty (60) days after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(vii)           a default by the Company or any of its Significant Subsidiaries with respect to any one or more mortgages, agreements or other instruments under which there is outstanding, or by which there is secured or evidenced, any indebtedness for money borrowed of at least two hundred million dollars ($200,000,000) (or its foreign currency equivalent) in the aggregate of the Company or any of its Significant Subsidiaries, whether such indebtedness exists as of the Issue Date or is thereafter created, where such default:</w:t>
      </w:r>
    </w:p>
    <w:p>
      <w:pPr>
        <w:spacing w:after="0" w:line="180"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(1)            constitutes a failure to pay the principal of such indebtedness when due and payable at its stated maturity, upon required repurchase, upon declaration of acceleration or otherwise, in each case after the expiration of any applicable grace period;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left="1960"/>
        <w:spacing w:after="0"/>
        <w:rPr>
          <w:sz w:val="20"/>
          <w:szCs w:val="20"/>
          <w:color w:val="auto"/>
        </w:rPr>
      </w:pPr>
      <w:r>
        <w:rPr>
          <w:rFonts w:ascii="Times New Roman" w:cs="Times New Roman" w:eastAsia="Times New Roman" w:hAnsi="Times New Roman"/>
          <w:sz w:val="18"/>
          <w:szCs w:val="18"/>
          <w:color w:val="auto"/>
        </w:rPr>
        <w:t>(2)            results in such indebtedness becoming or being declared due and payable before its stated maturity,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the Company or any of its Significant Subsidiaries, pursuant to or within the meaning of any Bankruptcy Law, either: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commences a voluntary case or proceeding;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            consents to the entry of an order for relief against it in an involuntary case or proceeding;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consents to the appointment of a custodian of it or for any substantial part of its property;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            makes a general assignment for the benefit of its creditors;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            takes any comparable action under any foreign Bankruptcy Law;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            generally is not paying its debts as they become due;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a court of competent jurisdiction enters an order or decree under any Bankruptcy Law that either: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is for relief against the Company or any of its Significant Subsidiaries in an involuntary case or proceeding;</w:t>
      </w:r>
    </w:p>
    <w:p>
      <w:pPr>
        <w:spacing w:after="0" w:line="225"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(2)            appoints a custodian of the Company or any of its Significant Subsidiaries, or for any substantial part of the property of the Company or any of its Significant Subsidiaries;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            orders the winding up or liquidation of the Company or any of its Significant Subsidiaries;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            grants any similar relief under any foreign Bankruptcy Law,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7.01(A)(ix)</w:t>
      </w:r>
      <w:r>
        <w:rPr>
          <w:rFonts w:ascii="Times New Roman" w:cs="Times New Roman" w:eastAsia="Times New Roman" w:hAnsi="Times New Roman"/>
          <w:sz w:val="18"/>
          <w:szCs w:val="18"/>
          <w:color w:val="auto"/>
        </w:rPr>
        <w:t>, such order or decree remains unstayed and in effect for at least sixty (60) days.</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Cause Irrelevant</w:t>
      </w:r>
      <w:r>
        <w:rPr>
          <w:rFonts w:ascii="Times New Roman" w:cs="Times New Roman" w:eastAsia="Times New Roman" w:hAnsi="Times New Roman"/>
          <w:sz w:val="18"/>
          <w:szCs w:val="18"/>
          <w:color w:val="auto"/>
        </w:rPr>
        <w:t xml:space="preserve">. Each of the events set forth in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Section 7.02. A</w:t>
      </w:r>
      <w:r>
        <w:rPr>
          <w:rFonts w:ascii="Times New Roman" w:cs="Times New Roman" w:eastAsia="Times New Roman" w:hAnsi="Times New Roman"/>
          <w:sz w:val="12"/>
          <w:szCs w:val="12"/>
          <w:b w:val="1"/>
          <w:bCs w:val="1"/>
          <w:color w:val="auto"/>
        </w:rPr>
        <w:t>cceleration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xml:space="preserve">. If an Event of Default set forth in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7.01(A)(ix)</w:t>
      </w:r>
      <w:r>
        <w:rPr>
          <w:rFonts w:ascii="Times New Roman" w:cs="Times New Roman" w:eastAsia="Times New Roman" w:hAnsi="Times New Roman"/>
          <w:sz w:val="18"/>
          <w:szCs w:val="18"/>
          <w:color w:val="auto"/>
        </w:rPr>
        <w:t xml:space="preserve"> occurs with 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if an Event of Default (other than an Event of Default set forth in </w:t>
      </w:r>
      <w:r>
        <w:rPr>
          <w:rFonts w:ascii="Times New Roman" w:cs="Times New Roman" w:eastAsia="Times New Roman" w:hAnsi="Times New Roman"/>
          <w:sz w:val="18"/>
          <w:szCs w:val="18"/>
          <w:b w:val="1"/>
          <w:bCs w:val="1"/>
          <w:color w:val="auto"/>
        </w:rPr>
        <w:t>Section 7.01(A)(viii)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 xml:space="preserve">7.01(A)(ix) </w:t>
      </w:r>
      <w:r>
        <w:rPr>
          <w:rFonts w:ascii="Times New Roman" w:cs="Times New Roman" w:eastAsia="Times New Roman" w:hAnsi="Times New Roman"/>
          <w:sz w:val="18"/>
          <w:szCs w:val="18"/>
          <w:color w:val="auto"/>
        </w:rPr>
        <w:t>with respect to the Company and not solely with respect to a Significant Subsidiary of the Company) occurs and is continuing, then the 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Rescission of Acceleration</w:t>
      </w:r>
      <w:r>
        <w:rPr>
          <w:rFonts w:ascii="Times New Roman" w:cs="Times New Roman" w:eastAsia="Times New Roman" w:hAnsi="Times New Roman"/>
          <w:sz w:val="18"/>
          <w:szCs w:val="18"/>
          <w:color w:val="auto"/>
        </w:rPr>
        <w:t>. Notwithstanding anything to the contrary in this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Certain Cures</w:t>
      </w:r>
      <w:r>
        <w:rPr>
          <w:rFonts w:ascii="Times New Roman" w:cs="Times New Roman" w:eastAsia="Times New Roman" w:hAnsi="Times New Roman"/>
          <w:sz w:val="18"/>
          <w:szCs w:val="18"/>
          <w:color w:val="auto"/>
        </w:rPr>
        <w:t xml:space="preserve">. For the avoidance of doubt, any failure by the Company to provide any notice under this Indenture other than as set forth in Section </w:t>
      </w:r>
      <w:r>
        <w:rPr>
          <w:rFonts w:ascii="Times New Roman" w:cs="Times New Roman" w:eastAsia="Times New Roman" w:hAnsi="Times New Roman"/>
          <w:sz w:val="18"/>
          <w:szCs w:val="18"/>
          <w:b w:val="1"/>
          <w:bCs w:val="1"/>
          <w:color w:val="auto"/>
        </w:rPr>
        <w:t>7.01(A)(iii)</w:t>
      </w:r>
      <w:r>
        <w:rPr>
          <w:rFonts w:ascii="Times New Roman" w:cs="Times New Roman" w:eastAsia="Times New Roman" w:hAnsi="Times New Roman"/>
          <w:sz w:val="18"/>
          <w:szCs w:val="18"/>
          <w:color w:val="auto"/>
        </w:rPr>
        <w:t xml:space="preserve"> shall be subject to Section </w:t>
      </w:r>
      <w:r>
        <w:rPr>
          <w:rFonts w:ascii="Times New Roman" w:cs="Times New Roman" w:eastAsia="Times New Roman" w:hAnsi="Times New Roman"/>
          <w:sz w:val="18"/>
          <w:szCs w:val="18"/>
          <w:b w:val="1"/>
          <w:bCs w:val="1"/>
          <w:color w:val="auto"/>
        </w:rPr>
        <w:t>7.01(A)(vi)</w:t>
      </w:r>
      <w:r>
        <w:rPr>
          <w:rFonts w:ascii="Times New Roman" w:cs="Times New Roman" w:eastAsia="Times New Roman" w:hAnsi="Times New Roman"/>
          <w:sz w:val="18"/>
          <w:szCs w:val="18"/>
          <w:color w:val="auto"/>
        </w:rPr>
        <w:t xml:space="preserve"> (including the sixty (60) day cure period contained therein), and any related Default or Event of Default shall be deemed cured upon delivery of such notice to the applicable recipient prior to (i) the expiration of such sixty (60) day period provided for in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or (ii) if later, the delivery of a notice of acceleration with respect to such Default or Event of Default, in each case, whether or not the events or circumstances that are the subject of such notice have already occurred at the time such notice is given.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7.03. S</w:t>
      </w:r>
      <w:r>
        <w:rPr>
          <w:rFonts w:ascii="Times New Roman" w:cs="Times New Roman" w:eastAsia="Times New Roman" w:hAnsi="Times New Roman"/>
          <w:sz w:val="12"/>
          <w:szCs w:val="12"/>
          <w:b w:val="1"/>
          <w:bCs w:val="1"/>
          <w:color w:val="auto"/>
        </w:rPr>
        <w:t>ole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emedy for a</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ailure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Notwithstanding anything to the contrary in this Indenture or the Notes, the Company may elect that the sole remedy for any Event of Default (a “</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7.01(A)(vi)</w:t>
      </w:r>
      <w:r>
        <w:rPr>
          <w:rFonts w:ascii="Times New Roman" w:cs="Times New Roman" w:eastAsia="Times New Roman" w:hAnsi="Times New Roman"/>
          <w:sz w:val="18"/>
          <w:szCs w:val="18"/>
          <w:color w:val="auto"/>
        </w:rPr>
        <w:t xml:space="preserve"> arising from the Company’s failure to comply with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 xml:space="preserve"> will, for each of the first three hundred sixty-five (365)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color w:val="auto"/>
        </w:rPr>
        <w:t>on account of the relevant Reporting Event of Default from, and including, the three hundred sixty-sixth (366th) calendar day on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Event of Default has occurred and is continuing or if the Company fails to pay any accrued and unpaid Special Interest when due; and</w:t>
      </w:r>
    </w:p>
    <w:p>
      <w:pPr>
        <w:spacing w:after="0" w:line="2" w:lineRule="exact"/>
        <w:rPr>
          <w:sz w:val="20"/>
          <w:szCs w:val="20"/>
          <w:color w:val="auto"/>
        </w:rPr>
      </w:pPr>
    </w:p>
    <w:p>
      <w:pPr>
        <w:ind w:firstLine="8"/>
        <w:spacing w:after="0" w:line="260" w:lineRule="auto"/>
        <w:tabs>
          <w:tab w:leader="none" w:pos="2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Special Interest will cease to accrue on any Notes from, and including, such three hundred sixty-sixth (366th) calendar day (it being understood that interest on any defaulted Special Interest will nonetheless accrue pursuant to </w:t>
      </w:r>
      <w:r>
        <w:rPr>
          <w:rFonts w:ascii="Times New Roman" w:cs="Times New Roman" w:eastAsia="Times New Roman" w:hAnsi="Times New Roman"/>
          <w:sz w:val="18"/>
          <w:szCs w:val="18"/>
          <w:b w:val="1"/>
          <w:bCs w:val="1"/>
          <w:color w:val="auto"/>
        </w:rPr>
        <w:t>Section 2.05(B)</w:t>
      </w:r>
      <w:r>
        <w:rPr>
          <w:rFonts w:ascii="Times New Roman" w:cs="Times New Roman" w:eastAsia="Times New Roman" w:hAnsi="Times New Roman"/>
          <w:sz w:val="18"/>
          <w:szCs w:val="18"/>
          <w:color w:val="auto"/>
        </w:rPr>
        <w:t>).</w:t>
      </w:r>
    </w:p>
    <w:p>
      <w:pPr>
        <w:spacing w:after="0" w:line="39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Amount and Payment of Special Interest</w:t>
      </w:r>
      <w:r>
        <w:rPr>
          <w:rFonts w:ascii="Times New Roman" w:cs="Times New Roman" w:eastAsia="Times New Roman" w:hAnsi="Times New Roman"/>
          <w:sz w:val="18"/>
          <w:szCs w:val="18"/>
          <w:color w:val="auto"/>
        </w:rPr>
        <w:t xml:space="preserve">. Any Special Interest that accrues on a Note pursuant to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xml:space="preserve"> will be payable on the same dates and in the same manner as the Stated Interest on such Note and will accrue at a rate per annum equal to one quarter of one percent (0.25%) of the principal amount thereof for the first one hundred eighty (180) days on which Special Interest accrues and, thereafter, at a rate per annum equal to one half of one percent (0.50%) of the principal amount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no event will Special Interest, together with any Additional Interest, accrue on any day on a Note at a combined rate per annum that exceeds one percent (1.00%). For the avoidance of doubt, any Special Interest that accrues on a Note will be in addition to the Stated Interest that accrues on such Note and, subject to the proviso of the immediately preceding sentence, in addition to any Additional Interest that accrues on such Note. If a Reporting Event of Default giving rise to the Company’s obligation to pay Special Interest pursuant to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xml:space="preserve"> initially occurs on or after the Close of Business on a Regular Record Date and prior to the Open of Business on the corresponding Interest Payment Date, the Special Interest that accrues during such period will be due on the Interest Payment Date next succeeding such corresponding Interest Payment Date, and no interest shall accrue in respect of such delay.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Notice of Election</w:t>
      </w:r>
      <w:r>
        <w:rPr>
          <w:rFonts w:ascii="Times New Roman" w:cs="Times New Roman" w:eastAsia="Times New Roman" w:hAnsi="Times New Roman"/>
          <w:sz w:val="18"/>
          <w:szCs w:val="18"/>
          <w:color w:val="auto"/>
        </w:rPr>
        <w:t xml:space="preserve">. To make the election set forth in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the Company must send to the Holders, the Trustee and the Paying Agent, before the date on which each Reporting Event of Default first occurs, a written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For the avoidance of doubt, if (x) the Company timely elects to pay Special Interest pursuant to </w:t>
      </w:r>
      <w:r>
        <w:rPr>
          <w:rFonts w:ascii="Times New Roman" w:cs="Times New Roman" w:eastAsia="Times New Roman" w:hAnsi="Times New Roman"/>
          <w:sz w:val="18"/>
          <w:szCs w:val="18"/>
          <w:b w:val="1"/>
          <w:bCs w:val="1"/>
          <w:color w:val="auto"/>
        </w:rPr>
        <w:t>Section 7.03(A)</w:t>
      </w:r>
      <w:r>
        <w:rPr>
          <w:rFonts w:ascii="Times New Roman" w:cs="Times New Roman" w:eastAsia="Times New Roman" w:hAnsi="Times New Roman"/>
          <w:sz w:val="18"/>
          <w:szCs w:val="18"/>
          <w:color w:val="auto"/>
        </w:rPr>
        <w:t xml:space="preserve"> as the sole remedy during the first three hundred sixty-five (365) calendar days after the occurrence of a Reporting Event of Default in accordance with the immediately preceding paragraph,</w:t>
      </w:r>
    </w:p>
    <w:p>
      <w:pPr>
        <w:spacing w:after="0" w:line="1" w:lineRule="exact"/>
        <w:rPr>
          <w:sz w:val="20"/>
          <w:szCs w:val="20"/>
          <w:color w:val="auto"/>
        </w:rPr>
      </w:pPr>
    </w:p>
    <w:p>
      <w:pPr>
        <w:jc w:val="both"/>
        <w:ind w:firstLine="8"/>
        <w:spacing w:after="0" w:line="252"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pays such Special Interest in accordance with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and this Indenture and (z) the Company files the delinquent reports that were required to be filed and that gave rise to the relevant Reporting Event of Default (in each case in clause (z) pursuant to the provisions set forth in Section </w:t>
      </w:r>
      <w:r>
        <w:rPr>
          <w:rFonts w:ascii="Times New Roman" w:cs="Times New Roman" w:eastAsia="Times New Roman" w:hAnsi="Times New Roman"/>
          <w:sz w:val="18"/>
          <w:szCs w:val="18"/>
          <w:b w:val="1"/>
          <w:bCs w:val="1"/>
          <w:color w:val="auto"/>
        </w:rPr>
        <w:t>3.02</w:t>
      </w:r>
      <w:r>
        <w:rPr>
          <w:rFonts w:ascii="Times New Roman" w:cs="Times New Roman" w:eastAsia="Times New Roman" w:hAnsi="Times New Roman"/>
          <w:sz w:val="18"/>
          <w:szCs w:val="18"/>
          <w:color w:val="auto"/>
        </w:rPr>
        <w:t xml:space="preserve">) prior to the three hundred sixty-sixth (366th) calendar day after the occurrence of such Reporting Event of Default (or prior to the delivery of any related notice of acceleration on or after such three hundred sixty-sixth (366th) calendar day), then the Event of Default related to such Reporting Event of Default shall be deemed cured and the Notes shall not be subject to acceleration as a result of the initial failure to comply with the Company’s obligations as set forth in </w:t>
      </w:r>
      <w:r>
        <w:rPr>
          <w:rFonts w:ascii="Times New Roman" w:cs="Times New Roman" w:eastAsia="Times New Roman" w:hAnsi="Times New Roman"/>
          <w:sz w:val="18"/>
          <w:szCs w:val="18"/>
          <w:b w:val="1"/>
          <w:bCs w:val="1"/>
          <w:color w:val="auto"/>
        </w:rPr>
        <w:t>Section 3.02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Notice to Trustee and Paying Agent; Trustee’s Disclaimer</w:t>
      </w:r>
      <w:r>
        <w:rPr>
          <w:rFonts w:ascii="Times New Roman" w:cs="Times New Roman" w:eastAsia="Times New Roman" w:hAnsi="Times New Roman"/>
          <w:sz w:val="18"/>
          <w:szCs w:val="18"/>
          <w:color w:val="auto"/>
        </w:rPr>
        <w:t>.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No Effect on Other Events of Default</w:t>
      </w:r>
      <w:r>
        <w:rPr>
          <w:rFonts w:ascii="Times New Roman" w:cs="Times New Roman" w:eastAsia="Times New Roman" w:hAnsi="Times New Roman"/>
          <w:sz w:val="18"/>
          <w:szCs w:val="18"/>
          <w:color w:val="auto"/>
        </w:rPr>
        <w:t xml:space="preserve">. No election pursuant to this </w:t>
      </w:r>
      <w:r>
        <w:rPr>
          <w:rFonts w:ascii="Times New Roman" w:cs="Times New Roman" w:eastAsia="Times New Roman" w:hAnsi="Times New Roman"/>
          <w:sz w:val="18"/>
          <w:szCs w:val="18"/>
          <w:b w:val="1"/>
          <w:bCs w:val="1"/>
          <w:color w:val="auto"/>
        </w:rPr>
        <w:t>Section 7.03</w:t>
      </w:r>
      <w:r>
        <w:rPr>
          <w:rFonts w:ascii="Times New Roman" w:cs="Times New Roman" w:eastAsia="Times New Roman" w:hAnsi="Times New Roman"/>
          <w:sz w:val="18"/>
          <w:szCs w:val="18"/>
          <w:color w:val="auto"/>
        </w:rPr>
        <w:t xml:space="preserve"> with respect to a Reporting Event of Default will affect the rights of any Holder with respect to any other Event of Default, including with respect to any other Reporting Event of Default.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7.04.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Trustee May Pursue All Remedies</w:t>
      </w:r>
      <w:r>
        <w:rPr>
          <w:rFonts w:ascii="Times New Roman" w:cs="Times New Roman" w:eastAsia="Times New Roman" w:hAnsi="Times New Roman"/>
          <w:sz w:val="18"/>
          <w:szCs w:val="18"/>
          <w:color w:val="auto"/>
        </w:rPr>
        <w:t>. If an Event of Default occurs and is continuing, then the Trustee may pursue any available remedy to collect the payment of any amounts due with respect to the Notes or to enforce the performance of any provision of this Indenture or the Notes.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Procedural Matters</w:t>
      </w:r>
      <w:r>
        <w:rPr>
          <w:rFonts w:ascii="Times New Roman" w:cs="Times New Roman" w:eastAsia="Times New Roman" w:hAnsi="Times New Roman"/>
          <w:sz w:val="18"/>
          <w:szCs w:val="18"/>
          <w:color w:val="auto"/>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7.05.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ast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b w:val="1"/>
          <w:bCs w:val="1"/>
          <w:color w:val="auto"/>
        </w:rPr>
        <w:t>clause (vi)</w:t>
      </w:r>
      <w:r>
        <w:rPr>
          <w:rFonts w:ascii="Times New Roman" w:cs="Times New Roman" w:eastAsia="Times New Roman" w:hAnsi="Times New Roman"/>
          <w:sz w:val="18"/>
          <w:szCs w:val="18"/>
          <w:color w:val="auto"/>
        </w:rPr>
        <w:t xml:space="preserve">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7.06. C</w:t>
      </w:r>
      <w:r>
        <w:rPr>
          <w:rFonts w:ascii="Times New Roman" w:cs="Times New Roman" w:eastAsia="Times New Roman" w:hAnsi="Times New Roman"/>
          <w:sz w:val="12"/>
          <w:szCs w:val="12"/>
          <w:b w:val="1"/>
          <w:bCs w:val="1"/>
          <w:color w:val="auto"/>
        </w:rPr>
        <w:t>ontrol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ajority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last sentence of this paragraph, 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the Trustee determines may be unduly prejudicial to the rights of other Holders (it being understood that the Trustee does not have an affirmative duty to determine whether any direction is prejudicial to any Holder) or may involve the Trustee in liability. Prior to taking any action under this Indenture, the Trustee is entitled to security and indemnity satisfactory to the Trustee against any loss, liability or expense to the Trustee that may result from the Trustee’s following such direction.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Section 7.07. L</w:t>
      </w:r>
      <w:r>
        <w:rPr>
          <w:rFonts w:ascii="Times New Roman" w:cs="Times New Roman" w:eastAsia="Times New Roman" w:hAnsi="Times New Roman"/>
          <w:sz w:val="12"/>
          <w:szCs w:val="12"/>
          <w:b w:val="1"/>
          <w:bCs w:val="1"/>
          <w:color w:val="auto"/>
        </w:rPr>
        <w:t>imitation 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 Holder may pursue any remedy with respect to this Indenture or the Notes (except to enforce (x) its rights to receive the principal of, or the Redemption Price or Fundamental Change Repurchase Price for, or interest on, any Notes; or (y) the Company’s obligations to convert any Notes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unless: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such Holder has previously delivered to the Trustee notice that an Event of Default is continuing;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Holders of at least twenty five percent (25%) in aggregate principal amount of the Notes then outstanding deliver a written request to the Trustee to pursue such remedy;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such Holder or Holders offer and, if requested, provide to the Trustee security and indemnity satisfactory to the Trustee against any loss, liability or expense to the Trustee that may result from the Trustee’s following such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Trustee does not comply with such request within sixty (60) calendar days after its receipt of such request and such offer of security or indemnity;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during such sixty (60) calendar day period, Holders of a majority in aggregate principal amount of the Notes then outstanding do not deliver to the Trustee a direction that is inconsistent with such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or to obtain a preference or priority over another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will have no duty to determine whether any Holder’s use of this Indenture complies with the preceding sentence.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7.08. A</w:t>
      </w:r>
      <w:r>
        <w:rPr>
          <w:rFonts w:ascii="Times New Roman" w:cs="Times New Roman" w:eastAsia="Times New Roman" w:hAnsi="Times New Roman"/>
          <w:sz w:val="12"/>
          <w:szCs w:val="12"/>
          <w:b w:val="1"/>
          <w:bCs w:val="1"/>
          <w:color w:val="auto"/>
        </w:rPr>
        <w:t>bsolute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nstitute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 for the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nforcement of 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 to</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eceive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onsideration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Indenture or the Notes (but without limiting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the right of each Holder of a Note to bring suit for the enforcement of any payment or delivery, as applicable, of the principal of, or the Redemption Price or Fundamental Change Repurchase Price for, or any interest on, or the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such Note on or after the respective due dates therefor provided in this Indenture and the Notes, will not be impaired or affected without the consent of such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7.09. C</w:t>
      </w:r>
      <w:r>
        <w:rPr>
          <w:rFonts w:ascii="Times New Roman" w:cs="Times New Roman" w:eastAsia="Times New Roman" w:hAnsi="Times New Roman"/>
          <w:sz w:val="12"/>
          <w:szCs w:val="12"/>
          <w:b w:val="1"/>
          <w:bCs w:val="1"/>
          <w:color w:val="auto"/>
        </w:rPr>
        <w:t>ollection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uit by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Trustee will have the right, upon the occurrence and continuance of an Event of Default pursuant to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Section 7.01(A)</w:t>
      </w:r>
      <w:r>
        <w:rPr>
          <w:rFonts w:ascii="Times New Roman" w:cs="Times New Roman" w:eastAsia="Times New Roman" w:hAnsi="Times New Roman"/>
          <w:sz w:val="18"/>
          <w:szCs w:val="18"/>
          <w:color w:val="auto"/>
        </w:rPr>
        <w:t xml:space="preserve">, to recover judgment in its own name and as trustee of an express trust against the Company for the total unpaid or undelivered principal of, or Redemption Price or Fundamental Change Repurchase Price for, or interest on, or Conversion Consideration due pursuant to </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xml:space="preserve"> upon conversion of, the Notes, as applicable, and, to the extent lawful, any Default Interest on any Defaulted Amounts, and such further amounts sufficient to cover the costs and expenses of collection, including compensation provided for in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Section 7.10.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roofs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laim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compensation, expenses, disbursements and advances of the Trustee, and its agents and counsel, and any other amounts payable to the Trustee pursuant to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P</w:t>
      </w:r>
      <w:r>
        <w:rPr>
          <w:rFonts w:ascii="Times New Roman" w:cs="Times New Roman" w:eastAsia="Times New Roman" w:hAnsi="Times New Roman"/>
          <w:sz w:val="12"/>
          <w:szCs w:val="12"/>
          <w:b w:val="1"/>
          <w:bCs w:val="1"/>
          <w:color w:val="auto"/>
        </w:rPr>
        <w:t>riorities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Trustee will pay or deliver in the following order any money or other property that it collects pursuant to this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First:           </w:t>
      </w:r>
      <w:r>
        <w:rPr>
          <w:rFonts w:ascii="Times New Roman" w:cs="Times New Roman" w:eastAsia="Times New Roman" w:hAnsi="Times New Roman"/>
          <w:sz w:val="18"/>
          <w:szCs w:val="18"/>
          <w:color w:val="auto"/>
        </w:rPr>
        <w:t>to the Trustee, the other Note Agents and each of their respective agents and attorneys for amounts due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payment of all fees, compensation, expenses and liabilities incurred, and all advances made, by the Trustee and the Note Agents and the costs and expenses of collection;</w:t>
      </w:r>
    </w:p>
    <w:p>
      <w:pPr>
        <w:spacing w:after="0" w:line="17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      </w:t>
      </w:r>
      <w:r>
        <w:rPr>
          <w:rFonts w:ascii="Times New Roman" w:cs="Times New Roman" w:eastAsia="Times New Roman" w:hAnsi="Times New Roman"/>
          <w:sz w:val="18"/>
          <w:szCs w:val="18"/>
          <w:color w:val="auto"/>
        </w:rPr>
        <w:t>to Holders for unpaid amounts or other property due on the Notes, including the principal of, or the Redemption Price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 Change Repurchase Price for, or any interest on, or any Conversion Consideration due upon conversion of, the Notes, ratably, and without preference or priority of any kind, according to such amounts or other property due and payable on all of the Notes;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Third:          </w:t>
      </w:r>
      <w:r>
        <w:rPr>
          <w:rFonts w:ascii="Times New Roman" w:cs="Times New Roman" w:eastAsia="Times New Roman" w:hAnsi="Times New Roman"/>
          <w:sz w:val="18"/>
          <w:szCs w:val="18"/>
          <w:color w:val="auto"/>
        </w:rPr>
        <w:t>to the Company or such other Person as a court of competent jurisdiction directs.</w:t>
      </w:r>
    </w:p>
    <w:p>
      <w:pPr>
        <w:spacing w:after="0" w:line="22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The Trustee may fix a record date and payment date for any payment or delivery to the Holders pursuant to this </w:t>
      </w:r>
      <w:r>
        <w:rPr>
          <w:rFonts w:ascii="Times New Roman" w:cs="Times New Roman" w:eastAsia="Times New Roman" w:hAnsi="Times New Roman"/>
          <w:sz w:val="18"/>
          <w:szCs w:val="18"/>
          <w:b w:val="1"/>
          <w:bCs w:val="1"/>
          <w:color w:val="auto"/>
        </w:rPr>
        <w:t>Section 7.11</w:t>
      </w:r>
      <w:r>
        <w:rPr>
          <w:rFonts w:ascii="Times New Roman" w:cs="Times New Roman" w:eastAsia="Times New Roman" w:hAnsi="Times New Roman"/>
          <w:sz w:val="18"/>
          <w:szCs w:val="18"/>
          <w:color w:val="auto"/>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Section 7.12. U</w:t>
      </w:r>
      <w:r>
        <w:rPr>
          <w:rFonts w:ascii="Times New Roman" w:cs="Times New Roman" w:eastAsia="Times New Roman" w:hAnsi="Times New Roman"/>
          <w:sz w:val="12"/>
          <w:szCs w:val="12"/>
          <w:b w:val="1"/>
          <w:bCs w:val="1"/>
          <w:color w:val="auto"/>
        </w:rPr>
        <w:t>ndertaking for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b w:val="1"/>
          <w:bCs w:val="1"/>
          <w:color w:val="auto"/>
        </w:rPr>
        <w:t>Section 7.12</w:t>
      </w:r>
      <w:r>
        <w:rPr>
          <w:rFonts w:ascii="Times New Roman" w:cs="Times New Roman" w:eastAsia="Times New Roman" w:hAnsi="Times New Roman"/>
          <w:sz w:val="18"/>
          <w:szCs w:val="18"/>
          <w:color w:val="auto"/>
        </w:rPr>
        <w:t xml:space="preserve"> does not apply to any suit by the Trustee, any suit by a Holder pursuant to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or any suit by one or more Holders of more than ten percent (10%) in aggregate principal amount of the Notes then outstanding.</w:t>
      </w:r>
    </w:p>
    <w:p>
      <w:pPr>
        <w:spacing w:after="0" w:line="18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Article 8      AMENDMENTS, SUPPLEMENTS AND WAIVERS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8.01. W</w:t>
      </w:r>
      <w:r>
        <w:rPr>
          <w:rFonts w:ascii="Times New Roman" w:cs="Times New Roman" w:eastAsia="Times New Roman" w:hAnsi="Times New Roman"/>
          <w:sz w:val="12"/>
          <w:szCs w:val="12"/>
          <w:b w:val="1"/>
          <w:bCs w:val="1"/>
          <w:color w:val="auto"/>
        </w:rPr>
        <w:t>ithout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the Company and the Trustee may amend or supplement this Indenture or the Notes without the consent of any Holder to:</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cure any ambiguity or correct any omission, defect or inconsistency in this Indenture or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add guarantees with respect to the Company’s obligations under this Indenture or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secure the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add to the Company’s covenants or Events of Default for the benefit of the Holders or surrender any right or power conferred on the Company under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(E)            provide for the assumption of the Company’s obligations under this Indenture and the Notes pursuant to, and in compliance with, </w:t>
      </w:r>
      <w:r>
        <w:rPr>
          <w:rFonts w:ascii="Times New Roman" w:cs="Times New Roman" w:eastAsia="Times New Roman" w:hAnsi="Times New Roman"/>
          <w:sz w:val="17"/>
          <w:szCs w:val="17"/>
          <w:b w:val="1"/>
          <w:bCs w:val="1"/>
          <w:color w:val="auto"/>
        </w:rPr>
        <w:t>Article 6</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enter into supplemental indentures pursuant to, and in accordance with, </w:t>
      </w:r>
      <w:r>
        <w:rPr>
          <w:rFonts w:ascii="Times New Roman" w:cs="Times New Roman" w:eastAsia="Times New Roman" w:hAnsi="Times New Roman"/>
          <w:sz w:val="18"/>
          <w:szCs w:val="18"/>
          <w:b w:val="1"/>
          <w:bCs w:val="1"/>
          <w:color w:val="auto"/>
        </w:rPr>
        <w:t>Section 5.09</w:t>
      </w:r>
      <w:r>
        <w:rPr>
          <w:rFonts w:ascii="Times New Roman" w:cs="Times New Roman" w:eastAsia="Times New Roman" w:hAnsi="Times New Roman"/>
          <w:sz w:val="18"/>
          <w:szCs w:val="18"/>
          <w:color w:val="auto"/>
        </w:rPr>
        <w:t xml:space="preserve"> in connection with a Common Stock Change Event;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(G)            irrevocably elect or eliminate any Settlement Method or Specified Dollar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election or elimination will affect any Settlement Method theretofore elected (or deemed to be elected) with respect to any Note pursuant to </w:t>
      </w:r>
      <w:r>
        <w:rPr>
          <w:rFonts w:ascii="Times New Roman" w:cs="Times New Roman" w:eastAsia="Times New Roman" w:hAnsi="Times New Roman"/>
          <w:sz w:val="18"/>
          <w:szCs w:val="18"/>
          <w:b w:val="1"/>
          <w:bCs w:val="1"/>
          <w:color w:val="auto"/>
        </w:rPr>
        <w:t>Section 5.03(A)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evidence or provide for the acceptance of the appointment, under this Indenture, of a successor Trustee;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conform the provisions of this Indenture and the Notes to the “Description of Notes” section of the Company’s preliminary offering memorandum, dated April 2, 2025, as supplemented by the related pricing term sheet, dated April 2,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 xml:space="preserve">(J)             provide for or confirm the issuance of additional Notes pursuant to </w:t>
      </w:r>
      <w:r>
        <w:rPr>
          <w:rFonts w:ascii="Times New Roman" w:cs="Times New Roman" w:eastAsia="Times New Roman" w:hAnsi="Times New Roman"/>
          <w:sz w:val="18"/>
          <w:szCs w:val="18"/>
          <w:b w:val="1"/>
          <w:bCs w:val="1"/>
          <w:color w:val="auto"/>
        </w:rPr>
        <w:t>Section 2.03(B)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comply with any requirement of the SEC in connection with any qualification of this Indenture or any supplemental indenture under the Trust Indenture Act, as then in effect; 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make any other change to this Indenture or the Notes that does not, individually or in the aggregate with all other such changes, adversely affect the rights of the Holders, as such, in any material respect, as determined by the Company in good faith.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 the written request of any Holder of a Note or owner of a beneficial interest in a Global Note, the Company will provide a copy of the “Description of Notes” section and pricing term sheet referred to in </w:t>
      </w:r>
      <w:r>
        <w:rPr>
          <w:rFonts w:ascii="Times New Roman" w:cs="Times New Roman" w:eastAsia="Times New Roman" w:hAnsi="Times New Roman"/>
          <w:sz w:val="18"/>
          <w:szCs w:val="18"/>
          <w:b w:val="1"/>
          <w:bCs w:val="1"/>
          <w:color w:val="auto"/>
        </w:rPr>
        <w:t>Section 8.01(I)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8.02. W</w:t>
      </w:r>
      <w:r>
        <w:rPr>
          <w:rFonts w:ascii="Times New Roman" w:cs="Times New Roman" w:eastAsia="Times New Roman" w:hAnsi="Times New Roman"/>
          <w:sz w:val="12"/>
          <w:szCs w:val="12"/>
          <w:b w:val="1"/>
          <w:bCs w:val="1"/>
          <w:color w:val="auto"/>
        </w:rPr>
        <w:t>ith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Sections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7.08</w:t>
      </w:r>
      <w:r>
        <w:rPr>
          <w:rFonts w:ascii="Times New Roman" w:cs="Times New Roman" w:eastAsia="Times New Roman" w:hAnsi="Times New Roman"/>
          <w:sz w:val="18"/>
          <w:szCs w:val="18"/>
          <w:color w:val="auto"/>
        </w:rPr>
        <w:t xml:space="preserve"> and the immediately following sentence, the Company and the 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without the consent of each affected Holder, no amendment or supplement to this Indenture or the Notes, or waiver of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Indenture or the Notes, may: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reduce the principal, or extend the stated maturity, of any Note;</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reduce the Redemption Price or Fundamental Change Repurchase Price for any Note or change the times at which, or the circumstances under which, the Notes may or will be redeemed or repurchased by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reduce the rate, or extend the time for the payment, of interest on any Note;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make any change that adversely affects the conversion rights of any Note;</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(v)           impair the rights of any Holder set forth in </w:t>
      </w:r>
      <w:r>
        <w:rPr>
          <w:rFonts w:ascii="Times New Roman" w:cs="Times New Roman" w:eastAsia="Times New Roman" w:hAnsi="Times New Roman"/>
          <w:sz w:val="18"/>
          <w:szCs w:val="18"/>
          <w:b w:val="1"/>
          <w:bCs w:val="1"/>
          <w:color w:val="auto"/>
        </w:rPr>
        <w:t>Section 7.08</w:t>
      </w:r>
      <w:r>
        <w:rPr>
          <w:rFonts w:ascii="Times New Roman" w:cs="Times New Roman" w:eastAsia="Times New Roman" w:hAnsi="Times New Roman"/>
          <w:sz w:val="18"/>
          <w:szCs w:val="18"/>
          <w:color w:val="auto"/>
        </w:rPr>
        <w:t xml:space="preserve"> (as such section is in effect on the Issue Date);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          change the ranking of the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         make any Note payable in money, or at a place of payment, other than that stated in this Indenture or the Note;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reduce the amount of Notes whose Holders must consent to any amendment, supplement, waiver or other modification; or</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(ix)           make any direct or indirect change to any amendment, supplement, waiver or modification provision of this Indenture or the Notes that requires the consent of each affected 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the avoidance of doubt, pursuant to </w:t>
      </w:r>
      <w:r>
        <w:rPr>
          <w:rFonts w:ascii="Times New Roman" w:cs="Times New Roman" w:eastAsia="Times New Roman" w:hAnsi="Times New Roman"/>
          <w:sz w:val="18"/>
          <w:szCs w:val="18"/>
          <w:b w:val="1"/>
          <w:bCs w:val="1"/>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8.02(A)</w:t>
      </w:r>
      <w:r>
        <w:rPr>
          <w:rFonts w:ascii="Times New Roman" w:cs="Times New Roman" w:eastAsia="Times New Roman" w:hAnsi="Times New Roman"/>
          <w:sz w:val="18"/>
          <w:szCs w:val="18"/>
          <w:color w:val="auto"/>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Holders Need Not Approve the Particular Form of any Amendment</w:t>
      </w:r>
      <w:r>
        <w:rPr>
          <w:rFonts w:ascii="Times New Roman" w:cs="Times New Roman" w:eastAsia="Times New Roman" w:hAnsi="Times New Roman"/>
          <w:sz w:val="18"/>
          <w:szCs w:val="18"/>
          <w:color w:val="auto"/>
        </w:rPr>
        <w:t xml:space="preserve">. A consent of any Holder pursuant to this </w:t>
      </w:r>
      <w:r>
        <w:rPr>
          <w:rFonts w:ascii="Times New Roman" w:cs="Times New Roman" w:eastAsia="Times New Roman" w:hAnsi="Times New Roman"/>
          <w:sz w:val="18"/>
          <w:szCs w:val="18"/>
          <w:b w:val="1"/>
          <w:bCs w:val="1"/>
          <w:color w:val="auto"/>
        </w:rPr>
        <w:t>Section 8.02</w:t>
      </w:r>
      <w:r>
        <w:rPr>
          <w:rFonts w:ascii="Times New Roman" w:cs="Times New Roman" w:eastAsia="Times New Roman" w:hAnsi="Times New Roman"/>
          <w:sz w:val="18"/>
          <w:szCs w:val="18"/>
          <w:color w:val="auto"/>
        </w:rPr>
        <w:t xml:space="preserve"> need approve only the substance, and not necessarily the particular form, of the proposed amendment, supplement or waiver.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8.03. 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upplements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aivers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As soon as reasonably practicable after any amendment, supplement or waiver pursuant to </w:t>
      </w:r>
      <w:r>
        <w:rPr>
          <w:rFonts w:ascii="Times New Roman" w:cs="Times New Roman" w:eastAsia="Times New Roman" w:hAnsi="Times New Roman"/>
          <w:sz w:val="18"/>
          <w:szCs w:val="18"/>
          <w:b w:val="1"/>
          <w:bCs w:val="1"/>
          <w:color w:val="auto"/>
        </w:rPr>
        <w:t>Section 8.01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8.02</w:t>
      </w:r>
      <w:r>
        <w:rPr>
          <w:rFonts w:ascii="Times New Roman" w:cs="Times New Roman" w:eastAsia="Times New Roman" w:hAnsi="Times New Roman"/>
          <w:sz w:val="18"/>
          <w:szCs w:val="18"/>
          <w:color w:val="auto"/>
        </w:rPr>
        <w:t xml:space="preserve"> becomes effective, the Company will send to the Holders and the Trustee notice that (A) describes the substance of such amendment, supplement or waiver in reasonable detail and</w:t>
      </w:r>
    </w:p>
    <w:p>
      <w:pPr>
        <w:spacing w:after="0" w:line="1" w:lineRule="exact"/>
        <w:rPr>
          <w:sz w:val="20"/>
          <w:szCs w:val="20"/>
          <w:color w:val="auto"/>
        </w:rPr>
      </w:pPr>
    </w:p>
    <w:p>
      <w:pPr>
        <w:jc w:val="both"/>
        <w:ind w:right="20" w:firstLine="8"/>
        <w:spacing w:after="0" w:line="255" w:lineRule="auto"/>
        <w:tabs>
          <w:tab w:leader="none" w:pos="2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states the effective date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8.04. R</w:t>
      </w:r>
      <w:r>
        <w:rPr>
          <w:rFonts w:ascii="Times New Roman" w:cs="Times New Roman" w:eastAsia="Times New Roman" w:hAnsi="Times New Roman"/>
          <w:sz w:val="12"/>
          <w:szCs w:val="12"/>
          <w:b w:val="1"/>
          <w:bCs w:val="1"/>
          <w:color w:val="auto"/>
        </w:rPr>
        <w:t>evocation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ffect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olicitation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onsents</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2"/>
          <w:szCs w:val="12"/>
          <w:b w:val="1"/>
          <w:bCs w:val="1"/>
          <w:color w:val="auto"/>
        </w:rPr>
        <w:t>pecial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ecord</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 w:cs="Times New Roman" w:eastAsia="Times New Roman" w:hAnsi="Times New Roman"/>
          <w:sz w:val="18"/>
          <w:szCs w:val="18"/>
          <w:b w:val="1"/>
          <w:bCs w:val="1"/>
          <w:color w:val="auto"/>
        </w:rPr>
        <w:t>Section 8.04(B)</w:t>
      </w:r>
      <w:r>
        <w:rPr>
          <w:rFonts w:ascii="Times New Roman" w:cs="Times New Roman" w:eastAsia="Times New Roman" w:hAnsi="Times New Roman"/>
          <w:sz w:val="18"/>
          <w:szCs w:val="18"/>
          <w:color w:val="auto"/>
        </w:rPr>
        <w:t>) any such consent with respect to such Note by delivering notice of revocation to the Trustee before the time such amendment, supplement or waiver becomes effective.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Special Record Dates</w:t>
      </w:r>
      <w:r>
        <w:rPr>
          <w:rFonts w:ascii="Times New Roman" w:cs="Times New Roman" w:eastAsia="Times New Roman" w:hAnsi="Times New Roman"/>
          <w:sz w:val="18"/>
          <w:szCs w:val="18"/>
          <w:color w:val="auto"/>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If a record date is fixed, then, notwithstanding anything to the contrary in </w:t>
      </w:r>
      <w:r>
        <w:rPr>
          <w:rFonts w:ascii="Times New Roman" w:cs="Times New Roman" w:eastAsia="Times New Roman" w:hAnsi="Times New Roman"/>
          <w:sz w:val="18"/>
          <w:szCs w:val="18"/>
          <w:b w:val="1"/>
          <w:bCs w:val="1"/>
          <w:color w:val="auto"/>
        </w:rPr>
        <w:t>Section 8.04(A)</w:t>
      </w:r>
      <w:r>
        <w:rPr>
          <w:rFonts w:ascii="Times New Roman" w:cs="Times New Roman" w:eastAsia="Times New Roman" w:hAnsi="Times New Roman"/>
          <w:sz w:val="18"/>
          <w:szCs w:val="18"/>
          <w:color w:val="auto"/>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consent will be valid or effective for more than one hundred and twenty (120) calendar days after such record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Solicitation of Consents</w:t>
      </w:r>
      <w:r>
        <w:rPr>
          <w:rFonts w:ascii="Times New Roman" w:cs="Times New Roman" w:eastAsia="Times New Roman" w:hAnsi="Times New Roman"/>
          <w:sz w:val="18"/>
          <w:szCs w:val="18"/>
          <w:color w:val="auto"/>
        </w:rPr>
        <w:t>. For the avoidance of doubt, each reference in this Indenture or the Notes to the consent of a Holder will be deemed to include any such consent obtained in connection with a repurchase of, or tender or exchange offer for, any Notes.</w:t>
      </w:r>
    </w:p>
    <w:p>
      <w:pPr>
        <w:spacing w:after="0" w:line="1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Effectiveness and Binding Effect</w:t>
      </w:r>
      <w:r>
        <w:rPr>
          <w:rFonts w:ascii="Times New Roman" w:cs="Times New Roman" w:eastAsia="Times New Roman" w:hAnsi="Times New Roman"/>
          <w:sz w:val="18"/>
          <w:szCs w:val="18"/>
          <w:color w:val="auto"/>
        </w:rPr>
        <w:t xml:space="preserve">. Each amendment, supplement or waiver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will become effective in accordance with its terms and, when it becomes effective with respect to any Note (or any portion thereof), will thereafter bind every Holder of such Note (or such portion).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8.05. N</w:t>
      </w:r>
      <w:r>
        <w:rPr>
          <w:rFonts w:ascii="Times New Roman" w:cs="Times New Roman" w:eastAsia="Times New Roman" w:hAnsi="Times New Roman"/>
          <w:sz w:val="12"/>
          <w:szCs w:val="12"/>
          <w:b w:val="1"/>
          <w:bCs w:val="1"/>
          <w:color w:val="auto"/>
        </w:rPr>
        <w:t>otations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any amendment, supplement or waiver changes the terms of a Note, then the Trustee or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Note, issue, execute and deliver, and the Trustee will authenticate, in each case in accordance with </w:t>
      </w:r>
      <w:r>
        <w:rPr>
          <w:rFonts w:ascii="Times New Roman" w:cs="Times New Roman" w:eastAsia="Times New Roman" w:hAnsi="Times New Roman"/>
          <w:sz w:val="18"/>
          <w:szCs w:val="18"/>
          <w:b w:val="1"/>
          <w:bCs w:val="1"/>
          <w:color w:val="auto"/>
        </w:rPr>
        <w:t>Section 2.02</w:t>
      </w:r>
      <w:r>
        <w:rPr>
          <w:rFonts w:ascii="Times New Roman" w:cs="Times New Roman" w:eastAsia="Times New Roman" w:hAnsi="Times New Roman"/>
          <w:sz w:val="18"/>
          <w:szCs w:val="18"/>
          <w:color w:val="auto"/>
        </w:rPr>
        <w:t xml:space="preserve">, a new Note that reflects the changed terms. The failure to make any appropriate notation or issue a new Note pursuant to this </w:t>
      </w:r>
      <w:r>
        <w:rPr>
          <w:rFonts w:ascii="Times New Roman" w:cs="Times New Roman" w:eastAsia="Times New Roman" w:hAnsi="Times New Roman"/>
          <w:sz w:val="18"/>
          <w:szCs w:val="18"/>
          <w:b w:val="1"/>
          <w:bCs w:val="1"/>
          <w:color w:val="auto"/>
        </w:rPr>
        <w:t>Section 8.05</w:t>
      </w:r>
      <w:r>
        <w:rPr>
          <w:rFonts w:ascii="Times New Roman" w:cs="Times New Roman" w:eastAsia="Times New Roman" w:hAnsi="Times New Roman"/>
          <w:sz w:val="18"/>
          <w:szCs w:val="18"/>
          <w:color w:val="auto"/>
        </w:rPr>
        <w:t xml:space="preserve"> will not impair or affect the validity of such amendment, supplement or waiver.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8.06. T</w:t>
      </w:r>
      <w:r>
        <w:rPr>
          <w:rFonts w:ascii="Times New Roman" w:cs="Times New Roman" w:eastAsia="Times New Roman" w:hAnsi="Times New Roman"/>
          <w:sz w:val="12"/>
          <w:szCs w:val="12"/>
          <w:b w:val="1"/>
          <w:bCs w:val="1"/>
          <w:color w:val="auto"/>
        </w:rPr>
        <w:t>rustee to</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upplemental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ndentures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Trustee will execute and deliver any amendment or supplemental indenture authorized pursuant to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Times New Roman" w:cs="Times New Roman" w:eastAsia="Times New Roman" w:hAnsi="Times New Roman"/>
          <w:sz w:val="18"/>
          <w:szCs w:val="18"/>
          <w:b w:val="1"/>
          <w:bCs w:val="1"/>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10.02</w:t>
      </w:r>
      <w:r>
        <w:rPr>
          <w:rFonts w:ascii="Times New Roman" w:cs="Times New Roman" w:eastAsia="Times New Roman" w:hAnsi="Times New Roman"/>
          <w:sz w:val="18"/>
          <w:szCs w:val="18"/>
          <w:color w:val="auto"/>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spacing w:after="0" w:line="18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Article 9      SATISFACTION AND DISCHARGE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9.01. T</w:t>
      </w:r>
      <w:r>
        <w:rPr>
          <w:rFonts w:ascii="Times New Roman" w:cs="Times New Roman" w:eastAsia="Times New Roman" w:hAnsi="Times New Roman"/>
          <w:sz w:val="12"/>
          <w:szCs w:val="12"/>
          <w:b w:val="1"/>
          <w:bCs w:val="1"/>
          <w:color w:val="auto"/>
        </w:rPr>
        <w:t>ermination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under this Indenture, when: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all Notes then outstanding (other than Notes replaced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 have (i) been delivered to the Trustee for cancellation; or</w:t>
      </w:r>
    </w:p>
    <w:p>
      <w:pPr>
        <w:spacing w:after="0" w:line="31" w:lineRule="exact"/>
        <w:rPr>
          <w:sz w:val="20"/>
          <w:szCs w:val="20"/>
          <w:color w:val="auto"/>
        </w:rPr>
      </w:pPr>
    </w:p>
    <w:p>
      <w:pPr>
        <w:ind w:firstLine="8"/>
        <w:spacing w:after="0" w:line="260" w:lineRule="auto"/>
        <w:tabs>
          <w:tab w:leader="none" w:pos="2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due and payable (whether on a Redemption Date, a Fundamental Change Repurchase Date, the Maturity Date, upon conversion or otherwise) for an amount of cash or Conversion Consideration, as applicable, that has been fixed;</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 w:cs="Times New Roman" w:eastAsia="Times New Roman" w:hAnsi="Times New Roman"/>
          <w:sz w:val="18"/>
          <w:szCs w:val="18"/>
          <w:b w:val="1"/>
          <w:bCs w:val="1"/>
          <w:color w:val="auto"/>
        </w:rPr>
        <w:t>Section 2.12</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(C)            the Company has paid all other amounts payable by it under this Indenture; and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Company has delivered to the Trustee an Officer’s Certificate and an Opinion of Counsel, each stating that the conditions precedent to the discharge of this Indenture have been satisfied;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2.10(E)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survive such discharge and, until no Notes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2.14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obligations of the Trustee, the Paying Agent and the Conversion Agent with respect to money or other property deposited with them will survive such discharge.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Company’s request, the Trustee will acknowledge the satisfaction and discharge of this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9.02. R</w:t>
      </w:r>
      <w:r>
        <w:rPr>
          <w:rFonts w:ascii="Times New Roman" w:cs="Times New Roman" w:eastAsia="Times New Roman" w:hAnsi="Times New Roman"/>
          <w:sz w:val="12"/>
          <w:szCs w:val="12"/>
          <w:b w:val="1"/>
          <w:bCs w:val="1"/>
          <w:color w:val="auto"/>
        </w:rPr>
        <w:t>epayment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9.03. R</w:t>
      </w:r>
      <w:r>
        <w:rPr>
          <w:rFonts w:ascii="Times New Roman" w:cs="Times New Roman" w:eastAsia="Times New Roman" w:hAnsi="Times New Roman"/>
          <w:sz w:val="12"/>
          <w:szCs w:val="12"/>
          <w:b w:val="1"/>
          <w:bCs w:val="1"/>
          <w:color w:val="auto"/>
        </w:rPr>
        <w:t>einstatement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If the Trustee, the Paying Agent or the Conversion Agent is unable to apply any cash or other property deposited with it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 w:cs="Times New Roman" w:eastAsia="Times New Roman" w:hAnsi="Times New Roman"/>
          <w:sz w:val="18"/>
          <w:szCs w:val="18"/>
          <w:b w:val="1"/>
          <w:bCs w:val="1"/>
          <w:color w:val="auto"/>
        </w:rPr>
        <w:t>Section 9.01</w:t>
      </w:r>
      <w:r>
        <w:rPr>
          <w:rFonts w:ascii="Times New Roman" w:cs="Times New Roman" w:eastAsia="Times New Roman" w:hAnsi="Times New Roman"/>
          <w:sz w:val="18"/>
          <w:szCs w:val="18"/>
          <w:color w:val="auto"/>
        </w:rPr>
        <w:t xml:space="preserve"> will be rescinded;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Article 10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 D</w:t>
      </w:r>
      <w:r>
        <w:rPr>
          <w:rFonts w:ascii="Times New Roman" w:cs="Times New Roman" w:eastAsia="Times New Roman" w:hAnsi="Times New Roman"/>
          <w:sz w:val="12"/>
          <w:szCs w:val="12"/>
          <w:b w:val="1"/>
          <w:bCs w:val="1"/>
          <w:color w:val="auto"/>
        </w:rPr>
        <w:t>uties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If an Event of Default has occurred and is continuing (and has not been cured) of which a Responsible Officer of the Trustee has written notice or actual knowledge, the Trustee will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will be under no obligation to exercise any of the rights or powers under this Indenture at the request or direction of any of the Holder unless such Holders have offered, and if requested, provided, to the Trustee indemnity or security satisfactory to Trustee against any loss, liability or expense that might be incurred by it in compliance with such request or direction.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Except during the continuance of an Event of Default: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spacing w:after="0" w:line="176"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(ii)           in the absence of bad faith or willful misconduct on its part, the Trustee may conclusively rely, as to the truth of the statements and the correctness of the opinions expressed therein, upon Officer’s Certificates or Opinions of Counsel that are provided to the Trustee and conform to the requirements of this Indenture. However, the Trustee will examine the certificates and opinions to determine whether or not they conform to the requirements of this Indenture (but need not confirm or investigate the accuracy of mathematical calculations or other facts stated therein).</w:t>
      </w:r>
    </w:p>
    <w:p>
      <w:pPr>
        <w:spacing w:after="0" w:line="16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            The Trustee may not be relieved from liabilities for its negligence or willful misconduct as determined by a final non-appealable order of a court of competent jurisdiction, except that: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this paragraph will not limit the effect of Section </w:t>
      </w:r>
      <w:r>
        <w:rPr>
          <w:rFonts w:ascii="Times New Roman" w:cs="Times New Roman" w:eastAsia="Times New Roman" w:hAnsi="Times New Roman"/>
          <w:sz w:val="18"/>
          <w:szCs w:val="18"/>
          <w:b w:val="1"/>
          <w:bCs w:val="1"/>
          <w:color w:val="auto"/>
        </w:rPr>
        <w:t>10.01(B)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the Trustee will not be liable for any error of judgment made in good faith by a Responsible Officer, unless it is proved that the Trustee was negligent in ascertaining the pertinent facts;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(iii)          the Trustee will not be liable with respect to any action it takes or omits to take in good faith in accordance with a direction received by it pursuant to </w:t>
      </w:r>
      <w:r>
        <w:rPr>
          <w:rFonts w:ascii="Times New Roman" w:cs="Times New Roman" w:eastAsia="Times New Roman" w:hAnsi="Times New Roman"/>
          <w:sz w:val="18"/>
          <w:szCs w:val="18"/>
          <w:b w:val="1"/>
          <w:bCs w:val="1"/>
          <w:color w:val="auto"/>
        </w:rPr>
        <w:t>Section 7.06</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(iv)          no provision of this Indenture will require the Trustee to expend or risk its own funds or incur any liability in the performance of any of its duties under this Indenture, or in the exercise of any of its rights or powers, if it has reasonable grounds to believe that repayment of such funds or adequate indemnity against such liability is not reasonably assured to 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(D)           Each provision of this Indenture that in any way relates to the Trustee is subject to paragraphs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b w:val="1"/>
          <w:bCs w:val="1"/>
          <w:color w:val="auto"/>
        </w:rPr>
        <w:t>10.01</w:t>
      </w:r>
      <w:r>
        <w:rPr>
          <w:rFonts w:ascii="Times New Roman" w:cs="Times New Roman" w:eastAsia="Times New Roman" w:hAnsi="Times New Roman"/>
          <w:sz w:val="18"/>
          <w:szCs w:val="18"/>
          <w:color w:val="auto"/>
        </w:rPr>
        <w:t>, regardless of whether such provision so expressly provides.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No provision of this Indenture will require the Trustee to expend or risk its own funds or incur any liability in the performance of any of its duties or in the exercise of any of its rights or powers.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Trustee will not be liable for interest on any money received by it, except as the Trustee may agree in writing with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held in trust by the Trustee need not be segregated from other funds, except to the extent required by law.</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Whether or not therein provided, every provision of this Indenture relating to the conduct or affecting the liability of, or affording protection to, the Trustee will be subject to the provisions of this </w:t>
      </w:r>
      <w:r>
        <w:rPr>
          <w:rFonts w:ascii="Times New Roman" w:cs="Times New Roman" w:eastAsia="Times New Roman" w:hAnsi="Times New Roman"/>
          <w:sz w:val="18"/>
          <w:szCs w:val="18"/>
          <w:b w:val="1"/>
          <w:bCs w:val="1"/>
          <w:color w:val="auto"/>
        </w:rPr>
        <w:t>Section 10.01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The Trustee will not be liable in respect of any payment (as to the correctness of amount, entitlement to receive or any other matters relating to payment) or notice effected by the Company or any Paying Agent (except in its capacity as Paying Agent pursuant to the terms of this Indenture) or any records maintained by any co-Note Registrar with respect to the Notes.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Under no circumstances will the Trustee be liable in its individual capacity for the obligations evidenced by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10.02. R</w:t>
      </w:r>
      <w:r>
        <w:rPr>
          <w:rFonts w:ascii="Times New Roman" w:cs="Times New Roman" w:eastAsia="Times New Roman" w:hAnsi="Times New Roman"/>
          <w:sz w:val="12"/>
          <w:szCs w:val="12"/>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Trustee may conclusively rely on any document that it believes to be genuine and signed or presented by the proper Person, and the Trustee need not investigate any fact or matter stated in such document.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Before the Trustee acts or refrains from acting, it may require, and may conclusively rely on, an Officer’s Certificate, an Opinion of Counsel or both. The Trustee will not be liable for any action it takes or omits to take in good faith in reliance on such Officer’s Certificate or Opinion of Counsel. The Trustee may consult with counsel; and the written advice of such counsel, or any Opinion of Counsel, will constitute full and complete authorization of the Trustee to take or omit to take any action in good faith in reliance thereon without liability.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Trustee may act through its attorneys and agents and will not be responsible for the misconduct or negligence of any such agent appointed with due care.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Trustee will not be liable for any action it takes or omits to take in good faith and that it believes to be authorized or within the rights or powers vested in it by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Unless otherwise specifically provided in this Indenture, any demand, request, direction or notice from the Company will be sufficient if signed by an Officer.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The Trustee need not exercise any rights or powers vested in it by this Indenture at the request or direction of any Holder unless such Holder has offered, and if requested, provided the Trustee security or indemnity satisfactory to the Trustee against any loss, liability or expense that it may incur in complying with such request or direction.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            The Trustee will not be responsible or liable for any punitive, special, indirect, incidental or consequential loss or damage (including lost profits), even if the Trustee has been advised of the likelihood of such loss or damage and regardless of the form of action.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The Trustee will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the Trustee will incur no liability or additional liability of any kind by reason of such inquiry or investigation.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Trustee will not be deemed to have notice of any Default or Event of Default unless written notice of any event that is a Default or Event of Default is received by a Responsible Officer of the Trustee at the corporate trust office of the Trustee, and such notice references the Notes and this Indenture and states that it is a “Notice of Default.”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The rights, privileges, protections, immunities and benefits given to the Trustee, including its right to be indemnified, are extended to, and will be enforceable by, the Trustee in each of its capacities under this Indenture, including as Note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The Trustee may request that the Company deliver a certificate setting forth the names of individuals or titles of officers authorized at such time to take specified actions pursuant to this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The permissive rights of the Trustee enumerated herein will not be construed as duties.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           The Trustee will not be required to give any bond or surety in respect of the execution of the trusts and powers under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Neither the Trustee nor any Note Agent will have any responsibility or liability for any actions taken or not taken by the Depositary.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            Unless a Responsible Officer of the Trustee has received notice from the Company that Additional Interest is owing on the Notes or that the Company has elected to pay Special Interest on the Notes, the Trustee may assume no Additional Interest or Special Interest, as applicable, is payable.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Section 10.03. I</w:t>
      </w:r>
      <w:r>
        <w:rPr>
          <w:rFonts w:ascii="Times New Roman" w:cs="Times New Roman" w:eastAsia="Times New Roman" w:hAnsi="Times New Roman"/>
          <w:sz w:val="12"/>
          <w:szCs w:val="12"/>
          <w:b w:val="1"/>
          <w:bCs w:val="1"/>
          <w:color w:val="auto"/>
        </w:rPr>
        <w:t>ndividual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 w:cs="Times New Roman" w:eastAsia="Times New Roman" w:hAnsi="Times New Roman"/>
          <w:sz w:val="18"/>
          <w:szCs w:val="18"/>
          <w:b w:val="1"/>
          <w:bCs w:val="1"/>
          <w:color w:val="auto"/>
        </w:rPr>
        <w:t>Section 10.03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10.04.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isclaimer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will not be (A) responsible for, and makes no representation as to, the validity or adequacy of this Indenture or the Notes;</w:t>
      </w:r>
    </w:p>
    <w:p>
      <w:pPr>
        <w:spacing w:after="0" w:line="27" w:lineRule="exact"/>
        <w:rPr>
          <w:sz w:val="20"/>
          <w:szCs w:val="20"/>
          <w:color w:val="auto"/>
        </w:rPr>
      </w:pPr>
    </w:p>
    <w:p>
      <w:pPr>
        <w:jc w:val="both"/>
        <w:ind w:firstLine="8"/>
        <w:spacing w:after="0" w:line="250"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accountable for the Company’s use of the proceeds from the Notes or any money paid to the Company or upon the Company’s direction under any provision of this Indenture; (C) responsible for the use or application of any money received by any Paying Agent other than the Trustee; and</w:t>
      </w:r>
    </w:p>
    <w:p>
      <w:pPr>
        <w:ind w:firstLine="8"/>
        <w:spacing w:after="0" w:line="260" w:lineRule="auto"/>
        <w:tabs>
          <w:tab w:leader="none" w:pos="2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for any statement or recital in this Indenture, the Notes or any other document relating to the sale of the Notes or this Indenture, other than the Trustee’s certificate of authentication.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10.05. 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efaults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 Default or Event of Default occurs and is continuing and is known to a Responsible Officer of the Trustee, then the Trustee will send Holders a notice of such Default or Event of Default within ninety (90) days after it occurs or, if it is not known to the Trustee at such time, within twenty (20) Business Days after it becomes known to a Responsible Officer;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or Event of Default in the payment of the principal of, or interest on, any Note, or a default in the payment or delivery of the Conversion Consideration, the Trustee may withhold such notice if and for so long as it in good faith determines that withholding such notice is in the interests of the Holders. For the avoidance of doubt, the Trustee will not be required to deliver such notice at any time after such Default or Event of Default is cured or waived. The Trustee will not be deemed to have notice or be charged with knowledge of any Default or Event of Default unless (A) written notice thereof has been received by a Responsible Officer; and (B) such notice references the Notes and this Indenture and states on its face that a Default or Event of Default has occurred.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10.06. C</w:t>
      </w:r>
      <w:r>
        <w:rPr>
          <w:rFonts w:ascii="Times New Roman" w:cs="Times New Roman" w:eastAsia="Times New Roman" w:hAnsi="Times New Roman"/>
          <w:sz w:val="12"/>
          <w:szCs w:val="12"/>
          <w:b w:val="1"/>
          <w:bCs w:val="1"/>
          <w:color w:val="auto"/>
        </w:rPr>
        <w:t>ompensation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ndemnity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Company will, from time to time, pay the Trustee and the Note Agents reasonable compensation for its acceptance of this Indenture and services under this Indenture as the Company shall from time to time agree in writing.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The Company will indemnify the Trustee (in each of its capacities) against any and all losses, liabilities or expenses incurred by it arising out of or in connection with the acceptance or administration of its duties under this Indenture, including the costs and expenses of enforcing this Indenture against the Company (including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may be attributable to its negligence or willful misconduct, as determined by a final, non-appealable order of a court of competent jurisdiction. The Trustee will promptly notify the Company of any claim for which it may seek indemnity, but the Trustee’s failure to so notify the Company will not relieve the Company of its obligations under this </w:t>
      </w:r>
      <w:r>
        <w:rPr>
          <w:rFonts w:ascii="Times New Roman" w:cs="Times New Roman" w:eastAsia="Times New Roman" w:hAnsi="Times New Roman"/>
          <w:sz w:val="18"/>
          <w:szCs w:val="18"/>
          <w:b w:val="1"/>
          <w:bCs w:val="1"/>
          <w:color w:val="auto"/>
        </w:rPr>
        <w:t>Section 10.06(B)</w:t>
      </w:r>
      <w:r>
        <w:rPr>
          <w:rFonts w:ascii="Times New Roman" w:cs="Times New Roman" w:eastAsia="Times New Roman" w:hAnsi="Times New Roman"/>
          <w:sz w:val="18"/>
          <w:szCs w:val="18"/>
          <w:color w:val="auto"/>
        </w:rPr>
        <w:t>, except to the extent the Company is materially prejudiced by such failure.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spacing w:after="0" w:line="18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(C)           The obligations of the Company under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xml:space="preserve"> will survive the resignation or removal of the Trustee and the discharge of this Indenture.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(D)           To secure the Company’s payment obligations in this </w:t>
      </w:r>
      <w:r>
        <w:rPr>
          <w:rFonts w:ascii="Times New Roman" w:cs="Times New Roman" w:eastAsia="Times New Roman" w:hAnsi="Times New Roman"/>
          <w:sz w:val="18"/>
          <w:szCs w:val="18"/>
          <w:b w:val="1"/>
          <w:bCs w:val="1"/>
          <w:color w:val="auto"/>
        </w:rPr>
        <w:t>Section 10.06</w:t>
      </w:r>
      <w:r>
        <w:rPr>
          <w:rFonts w:ascii="Times New Roman" w:cs="Times New Roman" w:eastAsia="Times New Roman" w:hAnsi="Times New Roman"/>
          <w:sz w:val="18"/>
          <w:szCs w:val="18"/>
          <w:color w:val="auto"/>
        </w:rPr>
        <w:t>, the Trustee will have a lien prior to the Notes on all money or property held or collected by the Trustee, except that held in trust to pay principal of, or interest on, particular Notes, which lien will survive the discharge of this Indenture.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(E)            If the Trustee incurs expenses or renders services after an Event of Default pursuant to </w:t>
      </w:r>
      <w:r>
        <w:rPr>
          <w:rFonts w:ascii="Times New Roman" w:cs="Times New Roman" w:eastAsia="Times New Roman" w:hAnsi="Times New Roman"/>
          <w:sz w:val="18"/>
          <w:szCs w:val="18"/>
          <w:b w:val="1"/>
          <w:bCs w:val="1"/>
          <w:color w:val="auto"/>
        </w:rPr>
        <w:t>clause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(ix)</w:t>
      </w:r>
      <w:r>
        <w:rPr>
          <w:rFonts w:ascii="Times New Roman" w:cs="Times New Roman" w:eastAsia="Times New Roman" w:hAnsi="Times New Roman"/>
          <w:sz w:val="18"/>
          <w:szCs w:val="18"/>
          <w:color w:val="auto"/>
        </w:rPr>
        <w:t xml:space="preserve"> of Section </w:t>
      </w:r>
      <w:r>
        <w:rPr>
          <w:rFonts w:ascii="Times New Roman" w:cs="Times New Roman" w:eastAsia="Times New Roman" w:hAnsi="Times New Roman"/>
          <w:sz w:val="18"/>
          <w:szCs w:val="18"/>
          <w:b w:val="1"/>
          <w:bCs w:val="1"/>
          <w:color w:val="auto"/>
        </w:rPr>
        <w:t>7.01(A)</w:t>
      </w:r>
      <w:r>
        <w:rPr>
          <w:rFonts w:ascii="Times New Roman" w:cs="Times New Roman" w:eastAsia="Times New Roman" w:hAnsi="Times New Roman"/>
          <w:sz w:val="18"/>
          <w:szCs w:val="18"/>
          <w:color w:val="auto"/>
        </w:rPr>
        <w:t xml:space="preserve"> occurs, then such expenses and the compensation for such services (including the fees and expenses of its agents and counsel) are intended to constitute expenses of administration under any Bankruptcy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10.07. R</w:t>
      </w:r>
      <w:r>
        <w:rPr>
          <w:rFonts w:ascii="Times New Roman" w:cs="Times New Roman" w:eastAsia="Times New Roman" w:hAnsi="Times New Roman"/>
          <w:sz w:val="12"/>
          <w:szCs w:val="12"/>
          <w:b w:val="1"/>
          <w:bCs w:val="1"/>
          <w:color w:val="auto"/>
        </w:rPr>
        <w:t>eplacement of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 xml:space="preserve">, a resignation or removal of the Trustee, and the appointment of a successor Trustee, will become effective only upon such successor Trustee’s acceptance of appointment as provided in this </w:t>
      </w:r>
      <w:r>
        <w:rPr>
          <w:rFonts w:ascii="Times New Roman" w:cs="Times New Roman" w:eastAsia="Times New Roman" w:hAnsi="Times New Roman"/>
          <w:sz w:val="18"/>
          <w:szCs w:val="18"/>
          <w:b w:val="1"/>
          <w:bCs w:val="1"/>
          <w:color w:val="auto"/>
        </w:rPr>
        <w:t>Section 10.07</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the Trustee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the Trustee is adjudged to be bankrupt or insolvent or an order for relief is entered with respect to the Trustee under any Bankruptcy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custodian or public officer takes charge of the Trustee or its property;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the Trustee becomes incapable of acting.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If the Trustee resigns or is removed, or if a vacancy exists in the office of the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If the Trustee, after written request by a Holder of at least six (6) months (or, such lesser period since the Issue Date), fails to comply with </w:t>
      </w:r>
      <w:r>
        <w:rPr>
          <w:rFonts w:ascii="Times New Roman" w:cs="Times New Roman" w:eastAsia="Times New Roman" w:hAnsi="Times New Roman"/>
          <w:sz w:val="18"/>
          <w:szCs w:val="18"/>
          <w:b w:val="1"/>
          <w:bCs w:val="1"/>
          <w:color w:val="auto"/>
        </w:rPr>
        <w:t>Section 10.09</w:t>
      </w:r>
      <w:r>
        <w:rPr>
          <w:rFonts w:ascii="Times New Roman" w:cs="Times New Roman" w:eastAsia="Times New Roman" w:hAnsi="Times New Roman"/>
          <w:sz w:val="18"/>
          <w:szCs w:val="18"/>
          <w:color w:val="auto"/>
        </w:rPr>
        <w:t>, then such Holder may petition any court of competent jurisdiction for the removal of the Trustee and the appointment of a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 w:cs="Times New Roman" w:eastAsia="Times New Roman" w:hAnsi="Times New Roman"/>
          <w:sz w:val="18"/>
          <w:szCs w:val="18"/>
          <w:b w:val="1"/>
          <w:bCs w:val="1"/>
          <w:color w:val="auto"/>
        </w:rPr>
        <w:t>Section 10.06(D)</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10.08. S</w:t>
      </w:r>
      <w:r>
        <w:rPr>
          <w:rFonts w:ascii="Times New Roman" w:cs="Times New Roman" w:eastAsia="Times New Roman" w:hAnsi="Times New Roman"/>
          <w:sz w:val="12"/>
          <w:szCs w:val="12"/>
          <w:b w:val="1"/>
          <w:bCs w:val="1"/>
          <w:color w:val="auto"/>
        </w:rPr>
        <w:t>uccessor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 by</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organization or entity shall be otherwise qualified and eligible under this Article 10, without the execution or filing of any paper or any further act on the part of any of the parties 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10.09. E</w:t>
      </w:r>
      <w:r>
        <w:rPr>
          <w:rFonts w:ascii="Times New Roman" w:cs="Times New Roman" w:eastAsia="Times New Roman" w:hAnsi="Times New Roman"/>
          <w:sz w:val="12"/>
          <w:szCs w:val="12"/>
          <w:b w:val="1"/>
          <w:bCs w:val="1"/>
          <w:color w:val="auto"/>
        </w:rPr>
        <w:t>ligibility</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isqualification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Article 11      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11.01. 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7373 Gateway Blvd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Newark, CA 94560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525 University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Thomas J. Ivey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ind w:left="1300"/>
        <w:spacing w:after="0" w:line="205" w:lineRule="auto"/>
        <w:rPr>
          <w:sz w:val="20"/>
          <w:szCs w:val="20"/>
          <w:color w:val="auto"/>
        </w:rPr>
      </w:pPr>
      <w:r>
        <w:rPr>
          <w:rFonts w:ascii="Times New Roman" w:cs="Times New Roman" w:eastAsia="Times New Roman" w:hAnsi="Times New Roman"/>
          <w:sz w:val="18"/>
          <w:szCs w:val="18"/>
          <w:color w:val="auto"/>
        </w:rPr>
        <w:t>633 W. Fifth Street, 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Facsimile: (213) 615-6197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 Scarbrough (Lucid Group)</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the preceding paragraph, notices to the Trustee or any Note Agent must be in writing and will be deemed to have been given upon actual receipt by the Trustee or such Note Agent,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(including facsimile numbers and electronic addresses) for subsequent notices or communications.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request is evidenced in a Company Order delivered, together with the text of such notice, to the Trustee at least two (2) Business Days before the date such notice is to be so sent. For the avoidance of doubt, such Company Order need not be accompanied by an Officer’s Certificate or Opinion of Counsel. The Trustee will not have any liability relating to the contents of any notice that it sends to any Holder pursuant to any such Company Order.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sent in the manner provided above within the time prescribed, it will be deemed to have been duly given, whether or not the addressee receives it.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this Indenture or the Notes, (A) whenever any provision of this Indenture requires a party to send notice to another party, no such notice need be sent if the sending party and the recipient are the same Person acting in different capacities; and</w:t>
      </w:r>
    </w:p>
    <w:p>
      <w:pPr>
        <w:ind w:firstLine="8"/>
        <w:spacing w:after="0" w:line="260" w:lineRule="auto"/>
        <w:tabs>
          <w:tab w:leader="none" w:pos="2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provision of this Indenture requires a party to send notice to more than one receiving party, and each receiving party is the same Person acting in different capacities, then only one such notice need be sent to such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11.02. D</w:t>
      </w:r>
      <w:r>
        <w:rPr>
          <w:rFonts w:ascii="Times New Roman" w:cs="Times New Roman" w:eastAsia="Times New Roman" w:hAnsi="Times New Roman"/>
          <w:sz w:val="12"/>
          <w:szCs w:val="12"/>
          <w:b w:val="1"/>
          <w:bCs w:val="1"/>
          <w:color w:val="auto"/>
        </w:rPr>
        <w:t>elivery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ounsel as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recedent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(other than the initial authentication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under this Indenture), the Company will furnish to the Trustee:</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(A)           an Officer’s Certificate in form reasonably satisfactory to the Trustee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the signatory thereto, all conditions precedent and covenants, if any, provided for in this Indenture relating to such action have been satisfied; and</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(B)            an Opinion of Counsel in form reasonably satisfactory to the Trustee that complies with </w:t>
      </w:r>
      <w:r>
        <w:rPr>
          <w:rFonts w:ascii="Times New Roman" w:cs="Times New Roman" w:eastAsia="Times New Roman" w:hAnsi="Times New Roman"/>
          <w:sz w:val="18"/>
          <w:szCs w:val="18"/>
          <w:b w:val="1"/>
          <w:bCs w:val="1"/>
          <w:color w:val="auto"/>
        </w:rPr>
        <w:t>Section 11.03</w:t>
      </w:r>
      <w:r>
        <w:rPr>
          <w:rFonts w:ascii="Times New Roman" w:cs="Times New Roman" w:eastAsia="Times New Roman" w:hAnsi="Times New Roman"/>
          <w:sz w:val="18"/>
          <w:szCs w:val="18"/>
          <w:color w:val="auto"/>
        </w:rPr>
        <w:t xml:space="preserve"> and states that, in the opinion of such counsel, all such conditions precedent and covenants, if any, have been satisfied.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Section 11.03. S</w:t>
      </w:r>
      <w:r>
        <w:rPr>
          <w:rFonts w:ascii="Times New Roman" w:cs="Times New Roman" w:eastAsia="Times New Roman" w:hAnsi="Times New Roman"/>
          <w:sz w:val="12"/>
          <w:szCs w:val="12"/>
          <w:b w:val="1"/>
          <w:bCs w:val="1"/>
          <w:color w:val="auto"/>
        </w:rPr>
        <w:t>tatements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 in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pinion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ounsel</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Each Officer’s Certificate (other than an Officer’s Certificate pursuant to </w:t>
      </w:r>
      <w:r>
        <w:rPr>
          <w:rFonts w:ascii="Times New Roman" w:cs="Times New Roman" w:eastAsia="Times New Roman" w:hAnsi="Times New Roman"/>
          <w:sz w:val="18"/>
          <w:szCs w:val="18"/>
          <w:b w:val="1"/>
          <w:bCs w:val="1"/>
          <w:color w:val="auto"/>
        </w:rPr>
        <w:t>Section 3.05</w:t>
      </w:r>
      <w:r>
        <w:rPr>
          <w:rFonts w:ascii="Times New Roman" w:cs="Times New Roman" w:eastAsia="Times New Roman" w:hAnsi="Times New Roman"/>
          <w:sz w:val="18"/>
          <w:szCs w:val="18"/>
          <w:color w:val="auto"/>
        </w:rPr>
        <w:t>) or Opinion of Counsel with respect to compliance with a covenant or condition provided for in this Indenture will include: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 statement that the signatory thereto has read such covenant or condition;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a brief statement as to the nature and scope of the examination or investigation upon which the statements or opinions contained therein 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 statement that, in the opinion of such signatory, he, she or it has made such examination or investigation as is necessary to enable him, her or it to express an informed opinion as to whether or not such covenant or condition has been satisfied;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 statement as to whether, in the opinion of such signatory, such covenant or condition has been satisfied.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11.04. R</w:t>
      </w:r>
      <w:r>
        <w:rPr>
          <w:rFonts w:ascii="Times New Roman" w:cs="Times New Roman" w:eastAsia="Times New Roman" w:hAnsi="Times New Roman"/>
          <w:sz w:val="12"/>
          <w:szCs w:val="12"/>
          <w:b w:val="1"/>
          <w:bCs w:val="1"/>
          <w:color w:val="auto"/>
        </w:rPr>
        <w:t>ules by the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 and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Each of the Registrar, the Paying Agent and the Conversion Agent may make reasonable rules and set reasonable requirements for its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11.05.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iability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fficers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mployees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11.06. 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Section 11.07. S</w:t>
      </w:r>
      <w:r>
        <w:rPr>
          <w:rFonts w:ascii="Times New Roman" w:cs="Times New Roman" w:eastAsia="Times New Roman" w:hAnsi="Times New Roman"/>
          <w:sz w:val="12"/>
          <w:szCs w:val="12"/>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 w:cs="Times New Roman" w:eastAsia="Times New Roman" w:hAnsi="Times New Roman"/>
          <w:sz w:val="18"/>
          <w:szCs w:val="18"/>
          <w:b w:val="1"/>
          <w:bCs w:val="1"/>
          <w:color w:val="auto"/>
        </w:rPr>
        <w:t>Section 11.01</w:t>
      </w:r>
      <w:r>
        <w:rPr>
          <w:rFonts w:ascii="Times New Roman" w:cs="Times New Roman" w:eastAsia="Times New Roman" w:hAnsi="Times New Roman"/>
          <w:sz w:val="18"/>
          <w:szCs w:val="18"/>
          <w:color w:val="auto"/>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11.08.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dverse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nterpretation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11.09. S</w:t>
      </w:r>
      <w:r>
        <w:rPr>
          <w:rFonts w:ascii="Times New Roman" w:cs="Times New Roman" w:eastAsia="Times New Roman" w:hAnsi="Times New Roman"/>
          <w:sz w:val="12"/>
          <w:szCs w:val="12"/>
          <w:b w:val="1"/>
          <w:bCs w:val="1"/>
          <w:color w:val="auto"/>
        </w:rPr>
        <w:t>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Notes will bind its successors. All agreements of the Trustee in this Indenture will bind its successors.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11.10. F</w:t>
      </w:r>
      <w:r>
        <w:rPr>
          <w:rFonts w:ascii="Times New Roman" w:cs="Times New Roman" w:eastAsia="Times New Roman" w:hAnsi="Times New Roman"/>
          <w:sz w:val="12"/>
          <w:szCs w:val="12"/>
          <w:b w:val="1"/>
          <w:bCs w:val="1"/>
          <w:color w:val="auto"/>
        </w:rPr>
        <w:t>orce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ajeure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pandemic, act of God or war, civil unrest, local or national disturbance or disaster, act of terrorism or unavailability of the Federal Reserve Bank wire or facsimile or other wire or communication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11.11. U.S.A. PATRIOT A</w:t>
      </w:r>
      <w:r>
        <w:rPr>
          <w:rFonts w:ascii="Times New Roman" w:cs="Times New Roman" w:eastAsia="Times New Roman" w:hAnsi="Times New Roman"/>
          <w:sz w:val="12"/>
          <w:szCs w:val="12"/>
          <w:b w:val="1"/>
          <w:bCs w:val="1"/>
          <w:color w:val="auto"/>
        </w:rPr>
        <w:t>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Section 11.12. C</w:t>
      </w:r>
      <w:r>
        <w:rPr>
          <w:rFonts w:ascii="Times New Roman" w:cs="Times New Roman" w:eastAsia="Times New Roman" w:hAnsi="Times New Roman"/>
          <w:sz w:val="12"/>
          <w:szCs w:val="12"/>
          <w:b w:val="1"/>
          <w:bCs w:val="1"/>
          <w:color w:val="auto"/>
        </w:rPr>
        <w:t>alculations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Trading Price of the Notes, the Daily VWAPs, accrued interest on the Notes, the Conversion Rate (including any adjustments to the Conversion Rate) and the Redemption Price.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avoidance of doubt, neither the Trustee nor the Conversion Agent will have any responsibility to make or confirm any calculations under this Indenture, nor will the Trustee or the Conversion Agent be charged with knowledge of or have any duties to monitor the Stock Price or any Observation Period. The Trustee and the Conversion Agent may rely conclusively on the calculations and information provided to them by the Company as to the Daily VWAP, the Daily Conversion Values, the Trading Price and the Last Reported Sale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11.13. 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or the Notes is invalid, illegal or unenforceable, then the validity, legality and enforceability of the remaining provisions of this Indenture or the Notes will not in any way be affected or impaired thereby.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11.14. C</w:t>
      </w:r>
      <w:r>
        <w:rPr>
          <w:rFonts w:ascii="Times New Roman" w:cs="Times New Roman" w:eastAsia="Times New Roman" w:hAnsi="Times New Roman"/>
          <w:sz w:val="12"/>
          <w:szCs w:val="12"/>
          <w:b w:val="1"/>
          <w:bCs w:val="1"/>
          <w:color w:val="auto"/>
        </w:rPr>
        <w:t>ounterparts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or electronically executed counterpart. 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Section 11.15. 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2"/>
          <w:szCs w:val="12"/>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11.16. 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withhold from or set off such payments against payments of cash or the delivery of other Conversion Consideration on such Note, any payments on the Common Stock or sales proceeds received by, or other funds or assets of, such Holder or the beneficial owner of such Note.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to this Indenture have caused this Indenture to be duly executed as of the date first written above.</w:t>
      </w: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ucid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2"/>
          <w:szCs w:val="12"/>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0"/>
          </w:cols>
          <w:pgMar w:left="980" w:top="900" w:right="9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FORM OF NOTE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Global Note Legend, if applicable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Insert Restricted Note Legend, if applicable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Non-Affiliate Legend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5.00% Convertible Senior Note due 2030</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[___]</w:t>
      </w:r>
    </w:p>
    <w:p>
      <w:pPr>
        <w:spacing w:after="0" w:line="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ISIN No.:</w:t>
      </w:r>
      <w:r>
        <w:rPr>
          <w:sz w:val="20"/>
          <w:szCs w:val="20"/>
          <w:color w:val="auto"/>
        </w:rPr>
        <w:tab/>
      </w:r>
      <w:r>
        <w:rPr>
          <w:rFonts w:ascii="Times New Roman" w:cs="Times New Roman" w:eastAsia="Times New Roman" w:hAnsi="Times New Roman"/>
          <w:sz w:val="17"/>
          <w:szCs w:val="17"/>
          <w:color w:val="auto"/>
        </w:rPr>
        <w:t>[___]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No. [___]</w:t>
      </w:r>
    </w:p>
    <w:p>
      <w:pPr>
        <w:spacing w:after="0" w:line="445" w:lineRule="exact"/>
        <w:rPr>
          <w:sz w:val="20"/>
          <w:szCs w:val="20"/>
          <w:color w:val="auto"/>
        </w:rPr>
      </w:pPr>
    </w:p>
    <w:p>
      <w:pPr>
        <w:sectPr>
          <w:pgSz w:w="11900" w:h="16838" w:orient="portrait"/>
          <w:cols w:equalWidth="0" w:num="2">
            <w:col w:w="9020" w:space="720"/>
            <w:col w:w="1500"/>
          </w:cols>
          <w:pgMar w:left="320" w:top="900" w:right="339" w:bottom="1440" w:gutter="0" w:footer="0" w:header="0"/>
          <w:type w:val="continuous"/>
        </w:sectPr>
      </w:pPr>
    </w:p>
    <w:p>
      <w:pPr>
        <w:spacing w:after="0" w:line="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Lucid Group, Inc., a Delaware corporation, for value received, promises to pay to [Cede &amp; Co.], or its registered assigns, the principal sum of [___] dollars ($[___]) [(as revised by the attached Schedule of Exchanges of Interests in the Global Note)]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on April 1, 2030 and to pay interest thereon, as provided in the Indenture referred to below, until the principal and all accrued and unpaid interest are paid or duly provided for.</w:t>
      </w:r>
    </w:p>
    <w:p>
      <w:pPr>
        <w:sectPr>
          <w:pgSz w:w="11900" w:h="16838" w:orient="portrait"/>
          <w:cols w:equalWidth="0" w:num="1">
            <w:col w:w="11240"/>
          </w:cols>
          <w:pgMar w:left="320" w:top="900"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and October 1 of each year, commencing on [</w:t>
      </w:r>
      <w:r>
        <w:rPr>
          <w:rFonts w:ascii="Times New Roman" w:cs="Times New Roman" w:eastAsia="Times New Roman" w:hAnsi="Times New Roman"/>
          <w:sz w:val="17"/>
          <w:szCs w:val="17"/>
          <w:i w:val="1"/>
          <w:iCs w:val="1"/>
          <w:color w:val="auto"/>
        </w:rPr>
        <w:t>date</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sectPr>
          <w:pgSz w:w="11900" w:h="16838" w:orient="portrait"/>
          <w:cols w:equalWidth="0" w:num="2">
            <w:col w:w="1700" w:space="340"/>
            <w:col w:w="9200"/>
          </w:cols>
          <w:pgMar w:left="320" w:top="900"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Regular Record Dates: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and September 15.</w:t>
      </w:r>
    </w:p>
    <w:p>
      <w:pPr>
        <w:spacing w:after="0" w:line="200" w:lineRule="exact"/>
        <w:rPr>
          <w:sz w:val="20"/>
          <w:szCs w:val="20"/>
          <w:color w:val="auto"/>
        </w:rPr>
      </w:pPr>
    </w:p>
    <w:p>
      <w:pPr>
        <w:sectPr>
          <w:pgSz w:w="11900" w:h="16838" w:orient="portrait"/>
          <w:cols w:equalWidth="0" w:num="2">
            <w:col w:w="1640" w:space="400"/>
            <w:col w:w="9200"/>
          </w:cols>
          <w:pgMar w:left="320" w:top="900"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The Remainder of This Page Intentionally Left Blank; Signature Page Follows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830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Insert bracketed language for Global Notes only.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1" w:name="page102"/>
    <w:bookmarkEnd w:id="101"/>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Lucid Group, Inc. has caused this instrument to be duly executed as of the date set forth below.</w:t>
      </w:r>
    </w:p>
    <w:p>
      <w:pPr>
        <w:spacing w:after="0" w:line="24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ucid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2" w:name="page103"/>
    <w:bookmarkEnd w:id="102"/>
    <w:p>
      <w:pPr>
        <w:ind w:left="36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 as Trustee, certifies that this is one of the Notes referred to in the within-mentioned Indenture.</w:t>
      </w:r>
    </w:p>
    <w:p>
      <w:pPr>
        <w:spacing w:after="0" w:line="237"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60"/>
          </w:cols>
          <w:pgMar w:left="320" w:top="904" w:right="12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Convertible Senior Note due 2030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Note is one of a duly authorized issue of notes of 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designated as its 5.00%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all issued or to be issued pursuant to an indenture, dated as of April 8, 2025 (as the same may be amended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as trustee. Capitalized terms used in this Note without definition have the respective meanings ascribed to them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This Note will accrue interest at a rate and in the manner set forth in Section 2.05 of the Indenture. Stated Interest on this Note will begin to accrue from, and including, [___], 2025.</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This Note will mature on April 1, 2030, unless earlier repurchased, redeemed or converted.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Cash amounts due on this Note will be paid in the manner set forth in Section 2.04 of the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 The Holder of this Note will be treated as the owner of this Note for all purposes.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Denominations; Transfers and Exchanges</w:t>
      </w:r>
      <w:r>
        <w:rPr>
          <w:rFonts w:ascii="Times New Roman" w:cs="Times New Roman" w:eastAsia="Times New Roman" w:hAnsi="Times New Roman"/>
          <w:sz w:val="18"/>
          <w:szCs w:val="18"/>
          <w:color w:val="auto"/>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b w:val="1"/>
          <w:bCs w:val="1"/>
          <w:color w:val="auto"/>
        </w:rPr>
        <w:t>Right of Holders to Require the Company to Repurchase Notes upon a Fundamental Change</w:t>
      </w:r>
      <w:r>
        <w:rPr>
          <w:rFonts w:ascii="Times New Roman" w:cs="Times New Roman" w:eastAsia="Times New Roman" w:hAnsi="Times New Roman"/>
          <w:sz w:val="18"/>
          <w:szCs w:val="18"/>
          <w:color w:val="auto"/>
        </w:rPr>
        <w:t>. If a Fundamental Change (other than an Exempted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color w:val="auto"/>
        </w:rPr>
        <w:t>Right of the Company to Redeem the Notes</w:t>
      </w:r>
      <w:r>
        <w:rPr>
          <w:rFonts w:ascii="Times New Roman" w:cs="Times New Roman" w:eastAsia="Times New Roman" w:hAnsi="Times New Roman"/>
          <w:sz w:val="18"/>
          <w:szCs w:val="18"/>
          <w:color w:val="auto"/>
        </w:rPr>
        <w:t>. The Company will have the right to redeem the Notes for cash in the manner, and subject to the terms, set forth in Section 4.03 of the Indenture.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The Holder of this Note may convert this Note into Conversion Consideration in the manner, and subject to the terms, set forth in Article 5 of the Indenture.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b w:val="1"/>
          <w:bCs w:val="1"/>
          <w:color w:val="auto"/>
        </w:rPr>
        <w:t>When the Company May Merge, Etc</w:t>
      </w:r>
      <w:r>
        <w:rPr>
          <w:rFonts w:ascii="Times New Roman" w:cs="Times New Roman" w:eastAsia="Times New Roman" w:hAnsi="Times New Roman"/>
          <w:sz w:val="18"/>
          <w:szCs w:val="18"/>
          <w:color w:val="auto"/>
        </w:rPr>
        <w:t>. Article 6 of the Indenture places limited restrictions on the Company’s ability to be a party to a Business Combination Event.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b w:val="1"/>
          <w:bCs w:val="1"/>
          <w:color w:val="auto"/>
        </w:rPr>
        <w:t>Defaults and Remedies</w:t>
      </w:r>
      <w:r>
        <w:rPr>
          <w:rFonts w:ascii="Times New Roman" w:cs="Times New Roman" w:eastAsia="Times New Roman" w:hAnsi="Times New Roman"/>
          <w:sz w:val="18"/>
          <w:szCs w:val="18"/>
          <w:color w:val="auto"/>
        </w:rPr>
        <w:t>. If an Event of Default occurs, then the principal amount of, and all accrued and unpaid interest on, all of the Notes then outstanding may (and, in certain circumstances, will automatically) become due and payable in the manner, and subject to the terms, set forth in Article 7 of the Indenture.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Amendments, Supplements and Waivers</w:t>
      </w:r>
      <w:r>
        <w:rPr>
          <w:rFonts w:ascii="Times New Roman" w:cs="Times New Roman" w:eastAsia="Times New Roman" w:hAnsi="Times New Roman"/>
          <w:sz w:val="18"/>
          <w:szCs w:val="18"/>
          <w:color w:val="auto"/>
        </w:rPr>
        <w:t>. The Company and the Trustee may amend or supplement the Indenture or the Notes or waive compliance with any provision of the Indenture or the Notes in the manner, and subject to the terms, set forth in Section 7.05 and Article 8 of the Indenture.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No Personal Liability of Directors, Officers, Employees and Stockholders</w:t>
      </w:r>
      <w:r>
        <w:rPr>
          <w:rFonts w:ascii="Times New Roman" w:cs="Times New Roman" w:eastAsia="Times New Roman" w:hAnsi="Times New Roman"/>
          <w:sz w:val="18"/>
          <w:szCs w:val="18"/>
          <w:color w:val="auto"/>
        </w:rPr>
        <w:t>.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Authentication</w:t>
      </w:r>
      <w:r>
        <w:rPr>
          <w:rFonts w:ascii="Times New Roman" w:cs="Times New Roman" w:eastAsia="Times New Roman" w:hAnsi="Times New Roman"/>
          <w:sz w:val="18"/>
          <w:szCs w:val="18"/>
          <w:color w:val="auto"/>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Abbreviations</w:t>
      </w:r>
      <w:r>
        <w:rPr>
          <w:rFonts w:ascii="Times New Roman" w:cs="Times New Roman" w:eastAsia="Times New Roman" w:hAnsi="Times New Roman"/>
          <w:sz w:val="18"/>
          <w:szCs w:val="18"/>
          <w:color w:val="auto"/>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NOTE, AND ANY CLAIM, CONTROVERSY OR DISPUTE ARISING UNDER OR RELATED TO THIS NOTE, WILL BE GOVERNED BY AND CONSTRUED IN ACCORDANCE WITH THE LAWS OF THE STATE OF NEW YORK.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request a copy of the Indenture, which the Company will provide to any Holder at no charge, please send a written request 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7373 Gateway Blvd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Newark, CA 94560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OF EXCHANGES OF INTERESTS IN THE GLOBAL NOTE</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INITIAL PRINCIPAL AMOUNT OF THIS GLOBAL NOTE: $[___]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transfers or cancellations of this Global Note have been made: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1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1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 of</w:t>
            </w:r>
          </w:p>
        </w:tc>
      </w:tr>
      <w:tr>
        <w:trPr>
          <w:trHeight w:val="216"/>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 Amount of</w:t>
            </w:r>
          </w:p>
        </w:tc>
        <w:tc>
          <w:tcPr>
            <w:tcW w:w="2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After Such Increase</w:t>
            </w:r>
          </w:p>
        </w:tc>
        <w:tc>
          <w:tcPr>
            <w:tcW w:w="1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38"/>
        </w:trPr>
        <w:tc>
          <w:tcPr>
            <w:tcW w:w="100" w:type="dxa"/>
            <w:vAlign w:val="bottom"/>
          </w:tcPr>
          <w:p>
            <w:pPr>
              <w:spacing w:after="0"/>
              <w:rPr>
                <w:sz w:val="20"/>
                <w:szCs w:val="20"/>
                <w:color w:val="auto"/>
              </w:rPr>
            </w:pPr>
          </w:p>
        </w:tc>
        <w:tc>
          <w:tcPr>
            <w:tcW w:w="26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0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Signatory of Trustee</w:t>
            </w:r>
          </w:p>
        </w:tc>
      </w:tr>
      <w:tr>
        <w:trPr>
          <w:trHeight w:val="169"/>
        </w:trPr>
        <w:tc>
          <w:tcPr>
            <w:tcW w:w="100" w:type="dxa"/>
            <w:vAlign w:val="bottom"/>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r>
      <w:tr>
        <w:trPr>
          <w:trHeight w:val="210"/>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r>
      <w:tr>
        <w:trPr>
          <w:trHeight w:val="331"/>
        </w:trPr>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8"/>
          <w:szCs w:val="18"/>
          <w:color w:val="auto"/>
        </w:rPr>
        <w:t>*   Insert for Global Notes only.</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 Convertible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by executing and delivering this Conversion Notice, the undersigned Holder of the Note identified below directs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convert (check one):</w:t>
      </w:r>
    </w:p>
    <w:p>
      <w:pPr>
        <w:spacing w:after="0" w:line="207" w:lineRule="exact"/>
        <w:rPr>
          <w:sz w:val="20"/>
          <w:szCs w:val="20"/>
          <w:color w:val="auto"/>
        </w:rPr>
      </w:pPr>
    </w:p>
    <w:p>
      <w:pPr>
        <w:ind w:left="340" w:hanging="332"/>
        <w:spacing w:after="0"/>
        <w:tabs>
          <w:tab w:leader="none" w:pos="34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28" w:lineRule="exact"/>
        <w:rPr>
          <w:rFonts w:ascii="MS PGothic" w:cs="MS PGothic" w:eastAsia="MS PGothic" w:hAnsi="MS PGothic"/>
          <w:sz w:val="18"/>
          <w:szCs w:val="18"/>
          <w:color w:val="auto"/>
        </w:rPr>
      </w:pPr>
    </w:p>
    <w:p>
      <w:pPr>
        <w:ind w:left="340" w:hanging="332"/>
        <w:spacing w:after="0"/>
        <w:tabs>
          <w:tab w:leader="none" w:pos="340" w:val="left"/>
        </w:tabs>
        <w:numPr>
          <w:ilvl w:val="0"/>
          <w:numId w:val="3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Note identified by CUSIP No.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and Certificate No.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-127635</wp:posOffset>
            </wp:positionV>
            <wp:extent cx="3480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Must be an Authorized Denomination.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FUNDAMENTAL CHANGE REPURCHASE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 Convertible Senior Notes due 2030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by executing and delivering this Fundamental Change Repurchase Notice, the undersigned Holder of the Note identified below is exercising its Fundamental Change Repurchase Right with respect to (check one):</w:t>
      </w:r>
    </w:p>
    <w:p>
      <w:pPr>
        <w:spacing w:after="0" w:line="162" w:lineRule="exact"/>
        <w:rPr>
          <w:sz w:val="20"/>
          <w:szCs w:val="20"/>
          <w:color w:val="auto"/>
        </w:rPr>
      </w:pPr>
    </w:p>
    <w:p>
      <w:pPr>
        <w:ind w:left="340" w:hanging="332"/>
        <w:spacing w:after="0"/>
        <w:tabs>
          <w:tab w:leader="none" w:pos="340" w:val="left"/>
        </w:tabs>
        <w:numPr>
          <w:ilvl w:val="0"/>
          <w:numId w:val="3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entire principal amount of</w:t>
      </w:r>
    </w:p>
    <w:p>
      <w:pPr>
        <w:spacing w:after="0" w:line="228" w:lineRule="exact"/>
        <w:rPr>
          <w:rFonts w:ascii="MS PGothic" w:cs="MS PGothic" w:eastAsia="MS PGothic" w:hAnsi="MS PGothic"/>
          <w:sz w:val="18"/>
          <w:szCs w:val="18"/>
          <w:color w:val="auto"/>
        </w:rPr>
      </w:pPr>
    </w:p>
    <w:p>
      <w:pPr>
        <w:ind w:left="340" w:hanging="332"/>
        <w:spacing w:after="0"/>
        <w:tabs>
          <w:tab w:leader="none" w:pos="340" w:val="left"/>
        </w:tabs>
        <w:numPr>
          <w:ilvl w:val="0"/>
          <w:numId w:val="3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aggregate principal amount 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Note identified by CUSIP No.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and Certificate No.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this Note, duly endorsed for transfer, must be delivered to the Paying Agent before the Fundamental Change Repurchase Price will be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0"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-127635</wp:posOffset>
            </wp:positionV>
            <wp:extent cx="3480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Must be an Authorized Denomination.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5.00% Convertible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Indenture, the undersigned Holder of the within Note assigns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17145</wp:posOffset>
            </wp:positionV>
            <wp:extent cx="5846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8890</wp:posOffset>
            </wp:positionV>
            <wp:extent cx="58464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-1905</wp:posOffset>
            </wp:positionV>
            <wp:extent cx="58464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Note and all rights thereunder irrevocably appoints: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to transfer the within Note on the books of the Company. The agent may substitute another to act for him/her.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7"/>
          <w:szCs w:val="17"/>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-120650</wp:posOffset>
            </wp:positionV>
            <wp:extent cx="3480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TRANSFEROR ACKNOWLEDGMENT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within Note bears a Restricted Note Legend, the undersigned further certifies that (check one):</w:t>
      </w:r>
    </w:p>
    <w:p>
      <w:pPr>
        <w:spacing w:after="0" w:line="184" w:lineRule="exact"/>
        <w:rPr>
          <w:sz w:val="20"/>
          <w:szCs w:val="20"/>
          <w:color w:val="auto"/>
        </w:rPr>
      </w:pPr>
    </w:p>
    <w:p>
      <w:pPr>
        <w:ind w:left="340" w:hanging="332"/>
        <w:spacing w:after="0" w:line="207" w:lineRule="exact"/>
        <w:tabs>
          <w:tab w:leader="none" w:pos="340" w:val="left"/>
        </w:tabs>
        <w:numPr>
          <w:ilvl w:val="0"/>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to the Company or a Subsidiary of the Company.</w:t>
      </w:r>
    </w:p>
    <w:p>
      <w:pPr>
        <w:spacing w:after="0" w:line="225" w:lineRule="exact"/>
        <w:rPr>
          <w:rFonts w:ascii="Times New Roman" w:cs="Times New Roman" w:eastAsia="Times New Roman" w:hAnsi="Times New Roman"/>
          <w:sz w:val="18"/>
          <w:szCs w:val="18"/>
          <w:color w:val="auto"/>
        </w:rPr>
      </w:pPr>
    </w:p>
    <w:p>
      <w:pPr>
        <w:ind w:left="660" w:hanging="652"/>
        <w:spacing w:after="0" w:line="245" w:lineRule="exact"/>
        <w:tabs>
          <w:tab w:leader="none" w:pos="336" w:val="left"/>
        </w:tabs>
        <w:numPr>
          <w:ilvl w:val="0"/>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 registration statement that is effective under the Securities Act at the time of the Transfer.</w:t>
      </w:r>
    </w:p>
    <w:p>
      <w:pPr>
        <w:spacing w:after="0" w:line="158" w:lineRule="exact"/>
        <w:rPr>
          <w:rFonts w:ascii="Times New Roman" w:cs="Times New Roman" w:eastAsia="Times New Roman" w:hAnsi="Times New Roman"/>
          <w:sz w:val="18"/>
          <w:szCs w:val="18"/>
          <w:color w:val="auto"/>
        </w:rPr>
      </w:pPr>
    </w:p>
    <w:p>
      <w:pPr>
        <w:ind w:left="660" w:hanging="652"/>
        <w:spacing w:after="0" w:line="228" w:lineRule="exact"/>
        <w:tabs>
          <w:tab w:leader="none" w:pos="336" w:val="left"/>
        </w:tabs>
        <w:numPr>
          <w:ilvl w:val="0"/>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person reasonably believed to be a “qualified institutional buyer” within the meaning of Rule 144A under the Securities Act in a transaction meeting the requirements of Rule 144A.</w:t>
      </w:r>
    </w:p>
    <w:p>
      <w:pPr>
        <w:spacing w:after="0" w:line="157" w:lineRule="exact"/>
        <w:rPr>
          <w:rFonts w:ascii="Times New Roman" w:cs="Times New Roman" w:eastAsia="Times New Roman" w:hAnsi="Times New Roman"/>
          <w:sz w:val="18"/>
          <w:szCs w:val="18"/>
          <w:color w:val="auto"/>
        </w:rPr>
      </w:pPr>
    </w:p>
    <w:p>
      <w:pPr>
        <w:ind w:left="660" w:hanging="652"/>
        <w:spacing w:after="0" w:line="245" w:lineRule="exact"/>
        <w:tabs>
          <w:tab w:leader="none" w:pos="336" w:val="left"/>
        </w:tabs>
        <w:numPr>
          <w:ilvl w:val="0"/>
          <w:numId w:val="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made pursuant to, and in accordance with, any other available exemption from the registration requirements of the Securities Act (including, if available, the exemption provided by Rule 144 under the Securities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0" w:lineRule="exact"/>
        <w:rPr>
          <w:sz w:val="20"/>
          <w:szCs w:val="20"/>
          <w:color w:val="auto"/>
        </w:rPr>
      </w:pPr>
    </w:p>
    <w:p>
      <w:pPr>
        <w:spacing w:after="0" w:line="255"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(Participant in a Recognized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Guarantee Medallion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RESTRICTED NOTE LEGEND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spacing w:after="0" w:line="180" w:lineRule="exact"/>
        <w:rPr>
          <w:sz w:val="20"/>
          <w:szCs w:val="20"/>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FOR THE BENEFIT OF THE COMPANY THAT IT WILL NOT OFFER, SELL OR OTHERWISE TRANSFER THIS NOTE OR ANY BENEFICIAL INTEREST HEREIN, EXCEPT ONLY: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REGISTRATION STATEMENT THAT IS EFFECTIVE UNDER THE SECURITIES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QUALIFIED INSTITUTIONAL BUYER IN COMPLIANCE WITH RULE 144A UNDER THE SECURITIES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144 UNDER THE SECURITIES ACT;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OTHER EXEMPTION FROM, OR IN A TRANSACTION NOT SUBJECT TO, THE REGISTRATION REQUIREMENTS OF THE SECURITIES 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BEFORE THE REGISTRATION OF ANY SALE OR TRANSFER IN ACCORDANCE WITH (2)(D) OR (E) ABOVE, THE COMPANY, THE TRUSTEE AND THE REGISTRAR RESERVE THE RIGHT TO REQUIRE THE DELIVERY OF SUCH CERTIFICATES OR OTHER DOCUMENTATION OR EVIDENCE AS THEY MAY REASONABLY REQUIRE IN ORDER FOR THE COMPANY TO DETERMINE THAT THE PROPOSED SALE OR TRANSFER IS BEING MADE IN COMPLIANCE WITH THE SECURITIES ACT AND APPLICABLE STATE SECURITIES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GLOBAL NOTE LEGEND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DTC),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B-3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NON-AFFILIATE LEGEND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AFFILIATE (AS DEFINED IN RULE 144 UNDER THE SECURITIES ACT OF 1933, AS AMENDED) OF THE COMPANY, OR ANY PERSON OR ENTITY THAT WAS AN AFFILIATE (AS DEFINED UNDER RULE 144 UNDER THE SECURITIES ACT OF 1933, AS AMENDED) OF THE COMPANY WITHIN THE THREE MONTHS IMMEDIATELY PRECEDING MAY PURCHASE OR OTHERWISE ACQUIRE THIS NOTE OR ANY BENEFICIAL INTEREST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Form of Capped Call Confirmation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 Name and Address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8"/>
          <w:szCs w:val="18"/>
          <w:color w:val="auto"/>
        </w:rPr>
        <w:t>April [__],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Lucid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CA 94560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[Base][Additional] Call Option Transaction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call option transaction entered into between [</w:t>
      </w:r>
      <w:r>
        <w:rPr>
          <w:rFonts w:ascii="Times New Roman" w:cs="Times New Roman" w:eastAsia="Times New Roman" w:hAnsi="Times New Roman"/>
          <w:sz w:val="18"/>
          <w:szCs w:val="18"/>
          <w:i w:val="1"/>
          <w:iCs w:val="1"/>
          <w:color w:val="auto"/>
        </w:rPr>
        <w:t>Dealer Name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Lucid Group,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as of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constitutes a “Confirmation” as referred to in the ISDA Master Agreement specified below. Each party further agrees that this Confirmation together with the Agreement evidence a complete binding agreement between Counterparty and Dealer as to the subject matter and terms of the Transaction to which this Confirmation relates, and shall supersede all prior or contemporaneous written or oral communications with respect thereto.</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definitions and provisions contained in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this Confirmation. In the event of any inconsistency between the Equity Definitions and this Confirmation, this Confirmation shall govern. Certain defined terms used herein are based on terms that are defined in the Preliminary Offering Memorandum dated April 2, 2025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relating to the 5.00% Convertible Senior Notes due 2030 (as originally issued by Counterparty,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and each USD 1,000 principal amount of Convertible Notes, a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issued by</w:t>
      </w:r>
    </w:p>
    <w:p>
      <w:pPr>
        <w:spacing w:after="0" w:line="3"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Counterparty in an aggregate initial principal amount of USD [1,000,000,000] (as increased by [up 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 aggregate principal amount of USD [100,000,000] [if and to the extent that]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[pursuant to the exercise by]</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Initial Purchasers (as defined herein) [exercise]</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[of]</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their option to</w:t>
      </w:r>
    </w:p>
    <w:p>
      <w:pPr>
        <w:jc w:val="both"/>
        <w:spacing w:after="0" w:line="239" w:lineRule="auto"/>
        <w:rPr>
          <w:sz w:val="20"/>
          <w:szCs w:val="20"/>
          <w:color w:val="auto"/>
        </w:rPr>
      </w:pPr>
      <w:r>
        <w:rPr>
          <w:rFonts w:ascii="Times New Roman" w:cs="Times New Roman" w:eastAsia="Times New Roman" w:hAnsi="Times New Roman"/>
          <w:sz w:val="18"/>
          <w:szCs w:val="18"/>
          <w:color w:val="auto"/>
        </w:rPr>
        <w:t>purchase additional Convertible Notes pursuant to the Purchase Agreement (as defined herein)) pursuant to an Indenture [to be]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dated April 8, 2025 between Counterparty and U.S. Bank Trust Company,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parties]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[Indenture as executed]</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Subject to the foregoing, references to the Indenture herein are references to the Indenture as in effect on the date of its execution, and if the Indenture is amended or supplemented following such date (other than any amendment or supplement (x) pursuant to Section 8.01(I) of the Indenture that, as determined by the Calculation Agent, conforms the Indenture to the description of Convertible Notes in the Offering Memorandum or (y) pursuant to Section 5.09 of the Indenture, subject, in the case of this clause (y), to the second paragraph under “Method of Adjustment” in Section ‎3), any such amendment or supplement will be disregarded for purposes of this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7830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7" w:lineRule="exact"/>
        <w:rPr>
          <w:sz w:val="20"/>
          <w:szCs w:val="20"/>
          <w:color w:val="auto"/>
        </w:rPr>
      </w:pPr>
    </w:p>
    <w:p>
      <w:pPr>
        <w:ind w:left="120" w:hanging="112"/>
        <w:spacing w:after="0"/>
        <w:tabs>
          <w:tab w:leader="none" w:pos="12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in the Base Call Option Confirmation.</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Include in the Base Call Option Confirmation.</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Include in the Additional Call Option Confirmation.</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Include in the Base Call Option Confirmation.</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Include in the Additional Call Option Confirmation.</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Insert if Indenture is not completed at the time of the Confirmation.</w:t>
      </w:r>
    </w:p>
    <w:p>
      <w:pPr>
        <w:jc w:val="both"/>
        <w:ind w:right="580"/>
        <w:spacing w:after="0" w:line="3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Include in the Base Call Option Confirmation. Include in the Additional Call Option Confirmation if it is executed before closing of the base deal. </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Include in the Additional Call Option Confirmation, but only if the Additional Call Option Confirmation is executed after closing of the base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4" w:name="page115"/>
    <w:bookmarkEnd w:id="1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            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Dealer and Counterparty had executed an agreement in such form on the Trade Date (but without any Schedule except for (i) the election of the laws of the State of New York as the governing law (without reference to choice of law doctrine), (ii) in respect of Section 5(a)(vi) of the Agreement, the election that the “Cross Default” provisions shall apply to Dealer with (a) a “Threshold Amount” of three percent of the shareholders’ equity of [Dealer][Dealer’s ultimate parent] as of the Trade Date, (b) the deletion of the phrase “, or becoming capable at such time of being declared,” from clause (1) and (c) the following language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(iii) the modification that the term “Specified Indebtedness” shall have the meaning specified in Section 14 of the Agreement, except that such term shall not include obligations in respect of deposits received in the ordinary course of a party’s banking business).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terms of the particular Transaction to which this Confirmation relates are as follows: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w:t>
            </w:r>
          </w:p>
        </w:tc>
        <w:tc>
          <w:tcPr>
            <w:tcW w:w="8220" w:type="dxa"/>
            <w:vAlign w:val="bottom"/>
          </w:tcPr>
          <w:p>
            <w:pPr>
              <w:spacing w:after="0"/>
              <w:rPr>
                <w:sz w:val="17"/>
                <w:szCs w:val="17"/>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453"/>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Date:</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[________], 2025</w:t>
            </w:r>
          </w:p>
        </w:tc>
      </w:tr>
      <w:tr>
        <w:trPr>
          <w:trHeight w:val="432"/>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Effective Date:</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third Exchange Business Day immediately prior to the Premium Payment Date, subject to Section 9(u).</w:t>
            </w:r>
          </w:p>
        </w:tc>
      </w:tr>
      <w:tr>
        <w:trPr>
          <w:trHeight w:val="432"/>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Style:</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“Modified American”, as described under “Procedures for Exercise” below</w:t>
            </w:r>
          </w:p>
        </w:tc>
      </w:tr>
      <w:tr>
        <w:trPr>
          <w:trHeight w:val="432"/>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Type:</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Call</w:t>
            </w:r>
          </w:p>
        </w:tc>
      </w:tr>
      <w:tr>
        <w:trPr>
          <w:trHeight w:val="432"/>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Buyer:</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Counterparty</w:t>
            </w:r>
          </w:p>
        </w:tc>
      </w:tr>
      <w:tr>
        <w:trPr>
          <w:trHeight w:val="432"/>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Seller:</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Dealer</w:t>
            </w:r>
          </w:p>
        </w:tc>
      </w:tr>
      <w:tr>
        <w:trPr>
          <w:trHeight w:val="432"/>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Class A common stock of Counterparty, USD 0.0001 par value per share (Exchange symbol “LCID”).</w:t>
            </w:r>
          </w:p>
        </w:tc>
      </w:tr>
      <w:tr>
        <w:trPr>
          <w:trHeight w:val="454"/>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Number of Options:</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[_______]</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For the avoidance of doubt, the Number of Options shall be reduced by any Options exercised</w:t>
            </w:r>
          </w:p>
        </w:tc>
      </w:tr>
      <w:tr>
        <w:trPr>
          <w:trHeight w:val="234"/>
        </w:trPr>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Counterparty. In no event will the Number of Options be less than zero.</w:t>
            </w:r>
          </w:p>
        </w:tc>
      </w:tr>
      <w:tr>
        <w:trPr>
          <w:trHeight w:val="432"/>
        </w:trPr>
        <w:tc>
          <w:tcPr>
            <w:tcW w:w="2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Applicable Percentage:</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jc w:val="both"/>
        <w:ind w:right="60" w:firstLine="8"/>
        <w:spacing w:after="0" w:line="210" w:lineRule="auto"/>
        <w:tabs>
          <w:tab w:leader="none" w:pos="12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Base Call Option Confirmation, this is equal to the number of Convertible Notes in principal amount of $1,000 initially issued on the closing date for the Convertible Notes. For the Additional Call Option Confirmation, this is equal to the number of additional Convertible Notes in principal amount of $1,000.</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tbl>
      <w:tblPr>
        <w:tblLayout w:type="fixed"/>
        <w:tblInd w:w="660" w:type="dxa"/>
        <w:tblCellMar>
          <w:top w:w="0" w:type="dxa"/>
          <w:left w:w="0" w:type="dxa"/>
          <w:bottom w:w="0" w:type="dxa"/>
          <w:right w:w="0" w:type="dxa"/>
        </w:tblCellMar>
      </w:tblPr>
      <w:tr>
        <w:trPr>
          <w:trHeight w:val="398"/>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 Entitlement:</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number equal to the product of the Applicable Percentage and [______]</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w:t>
            </w:r>
          </w:p>
        </w:tc>
      </w:tr>
      <w:tr>
        <w:trPr>
          <w:trHeight w:val="309"/>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Strike Price: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 Price: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USD [______]</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Premium Payment Date: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[________], 2025</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Exchange: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Related Exchange(s):</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Excluded Provisions:</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5.06(A) and Section 5.07 of the Indenture.</w:t>
            </w:r>
          </w:p>
        </w:tc>
      </w:tr>
      <w:tr>
        <w:trPr>
          <w:trHeight w:val="391"/>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Procedures for Exercise</w:t>
            </w:r>
            <w:r>
              <w:rPr>
                <w:rFonts w:ascii="Times New Roman" w:cs="Times New Roman" w:eastAsia="Times New Roman" w:hAnsi="Times New Roman"/>
                <w:sz w:val="18"/>
                <w:szCs w:val="18"/>
                <w:color w:val="auto"/>
              </w:rPr>
              <w:t>.</w:t>
            </w:r>
          </w:p>
        </w:tc>
        <w:tc>
          <w:tcPr>
            <w:tcW w:w="8140" w:type="dxa"/>
            <w:vAlign w:val="bottom"/>
          </w:tcPr>
          <w:p>
            <w:pPr>
              <w:spacing w:after="0"/>
              <w:rPr>
                <w:sz w:val="24"/>
                <w:szCs w:val="24"/>
                <w:color w:val="auto"/>
              </w:rPr>
            </w:pPr>
          </w:p>
        </w:tc>
      </w:tr>
      <w:tr>
        <w:trPr>
          <w:trHeight w:val="430"/>
        </w:trPr>
        <w:tc>
          <w:tcPr>
            <w:tcW w:w="17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Conversion Date:</w:t>
            </w:r>
          </w:p>
        </w:tc>
        <w:tc>
          <w:tcPr>
            <w:tcW w:w="720" w:type="dxa"/>
            <w:vAlign w:val="bottom"/>
          </w:tcPr>
          <w:p>
            <w:pPr>
              <w:spacing w:after="0"/>
              <w:rPr>
                <w:sz w:val="24"/>
                <w:szCs w:val="24"/>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With respect to any conversion of a Convertible Note (other than any conversion of Convertible Notes with a</w:t>
            </w: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 Date occurring prior to the Free Convertibility Date (any such conversion, an “</w:t>
            </w:r>
            <w:r>
              <w:rPr>
                <w:rFonts w:ascii="Times New Roman" w:cs="Times New Roman" w:eastAsia="Times New Roman" w:hAnsi="Times New Roman"/>
                <w:sz w:val="18"/>
                <w:szCs w:val="18"/>
                <w:b w:val="1"/>
                <w:bCs w:val="1"/>
                <w:color w:val="auto"/>
              </w:rPr>
              <w:t>Early</w:t>
            </w:r>
          </w:p>
        </w:tc>
      </w:tr>
      <w:tr>
        <w:trPr>
          <w:trHeight w:val="220"/>
        </w:trPr>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Conversion</w:t>
            </w:r>
            <w:r>
              <w:rPr>
                <w:rFonts w:ascii="Times New Roman" w:cs="Times New Roman" w:eastAsia="Times New Roman" w:hAnsi="Times New Roman"/>
                <w:sz w:val="18"/>
                <w:szCs w:val="18"/>
                <w:color w:val="auto"/>
                <w:w w:val="99"/>
              </w:rPr>
              <w:t>”), to which the provisions of Section ‎9(h)(i) of this Confirmation shall apply), the date on which</w:t>
            </w:r>
          </w:p>
        </w:tc>
      </w:tr>
      <w:tr>
        <w:trPr>
          <w:trHeight w:val="214"/>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“Holder” (as such term is defined in the Indenture) of such Convertible Note satisfies all of the</w:t>
            </w:r>
          </w:p>
        </w:tc>
      </w:tr>
      <w:tr>
        <w:trPr>
          <w:trHeight w:val="218"/>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requirements for conversion thereof as set forth in Section 5.02(A)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w:t>
            </w: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Counterparty has not delivered to Dealer a related Notice of Exercise, then in no event shall a Conversion</w:t>
            </w: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 be deemed to occur hereunder (and no Option shall be exercised or deemed to be exercised hereunder)</w:t>
            </w: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respect to any surrender of a Convertible Note for conversion in respect of which Counterparty has</w:t>
            </w: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elected to designate a financial institution for exchange in lieu of conversion of such Convertible Note</w:t>
            </w:r>
          </w:p>
        </w:tc>
      </w:tr>
      <w:tr>
        <w:trPr>
          <w:trHeight w:val="234"/>
        </w:trPr>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Section 5.08 of the Indenture.</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Free Convertibility Date: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January 1, 2030</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Expiration Time: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Valuation Time</w:t>
            </w:r>
          </w:p>
        </w:tc>
      </w:tr>
      <w:tr>
        <w:trPr>
          <w:trHeight w:val="432"/>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Expiration Date: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April 1, 2030, subject to earlier exercise.</w:t>
            </w:r>
          </w:p>
        </w:tc>
      </w:tr>
      <w:tr>
        <w:trPr>
          <w:trHeight w:val="414"/>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Multiple Exercise: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 as described under “Automatic Exercise” and “Automatic Exercise of Remaining Options After</w:t>
            </w:r>
          </w:p>
        </w:tc>
      </w:tr>
      <w:tr>
        <w:trPr>
          <w:trHeight w:val="234"/>
        </w:trPr>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Free Convertibility Date” below.</w:t>
            </w:r>
          </w:p>
        </w:tc>
      </w:tr>
      <w:tr>
        <w:trPr>
          <w:trHeight w:val="414"/>
        </w:trPr>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Automatic Exercise:</w:t>
            </w: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Notwithstanding Section 3.4 of the Equity Definitions, on each Conversion Date occurring on or after the</w:t>
            </w: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Free Convertibility Date, in respect of which a notice of conversion under the Indenture that is effective as to</w:t>
            </w: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Counterparty has been delivered by the relevant converting “Holder” (as defined in the Indenture) a number</w:t>
            </w:r>
          </w:p>
        </w:tc>
      </w:tr>
      <w:tr>
        <w:trPr>
          <w:trHeight w:val="214"/>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Options equal to [(i)] the number of Convertible Notes in denominations of USD 1,000 as to which such</w:t>
            </w:r>
          </w:p>
        </w:tc>
      </w:tr>
      <w:tr>
        <w:trPr>
          <w:trHeight w:val="218"/>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 Date has occurred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number of Options that are or are deemed to be automatically</w:t>
            </w:r>
          </w:p>
        </w:tc>
      </w:tr>
      <w:tr>
        <w:trPr>
          <w:trHeight w:val="220"/>
        </w:trPr>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 on such Conversion Date under the Base Call Option Transaction Confirmation letter agreement</w:t>
            </w:r>
          </w:p>
        </w:tc>
      </w:tr>
      <w:tr>
        <w:trPr>
          <w:trHeight w:val="251"/>
        </w:trPr>
        <w:tc>
          <w:tcPr>
            <w:tcW w:w="1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140" w:type="dxa"/>
            <w:vAlign w:val="bottom"/>
          </w:tcPr>
          <w:p>
            <w:pPr>
              <w:ind w:left="280"/>
              <w:spacing w:after="0" w:line="251" w:lineRule="exact"/>
              <w:rPr>
                <w:sz w:val="20"/>
                <w:szCs w:val="20"/>
                <w:color w:val="auto"/>
              </w:rPr>
            </w:pPr>
            <w:r>
              <w:rPr>
                <w:rFonts w:ascii="Times New Roman" w:cs="Times New Roman" w:eastAsia="Times New Roman" w:hAnsi="Times New Roman"/>
                <w:sz w:val="18"/>
                <w:szCs w:val="18"/>
                <w:color w:val="auto"/>
              </w:rPr>
              <w:t>dated April [__], 2025 between Dealer and Counterparty (the “</w:t>
            </w:r>
            <w:r>
              <w:rPr>
                <w:rFonts w:ascii="Times New Roman" w:cs="Times New Roman" w:eastAsia="Times New Roman" w:hAnsi="Times New Roman"/>
                <w:sz w:val="18"/>
                <w:szCs w:val="18"/>
                <w:b w:val="1"/>
                <w:bCs w:val="1"/>
                <w:color w:val="auto"/>
              </w:rPr>
              <w:t>Base Call Option Confirmation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shall</w:t>
            </w:r>
          </w:p>
        </w:tc>
      </w:tr>
      <w:tr>
        <w:trPr>
          <w:trHeight w:val="218"/>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be deemed to be automatically exercised;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Options shall be exercised or deemed exercised</w:t>
            </w:r>
          </w:p>
        </w:tc>
      </w:tr>
      <w:tr>
        <w:trPr>
          <w:trHeight w:val="216"/>
        </w:trPr>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only if Counterparty has provided a Notice of Exercise to Dealer in accordance with “Notice of Exercise”</w:t>
            </w:r>
          </w:p>
        </w:tc>
      </w:tr>
      <w:tr>
        <w:trPr>
          <w:trHeight w:val="234"/>
        </w:trPr>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8" w:lineRule="exact"/>
        <w:rPr>
          <w:sz w:val="20"/>
          <w:szCs w:val="20"/>
          <w:color w:val="auto"/>
        </w:rPr>
      </w:pPr>
    </w:p>
    <w:p>
      <w:pPr>
        <w:ind w:left="200" w:hanging="192"/>
        <w:spacing w:after="0"/>
        <w:tabs>
          <w:tab w:leader="none" w:pos="200" w:val="left"/>
        </w:tabs>
        <w:numPr>
          <w:ilvl w:val="0"/>
          <w:numId w:val="3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the initial Conversion Rate for the Convertible Notes.</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 for Additional Call Option Confirmation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Notwithstanding the foregoing, in no event shall the number of Options that are exercised or deemed</w:t>
            </w:r>
          </w:p>
        </w:tc>
      </w:tr>
      <w:tr>
        <w:trPr>
          <w:trHeight w:val="234"/>
        </w:trPr>
        <w:tc>
          <w:tcPr>
            <w:tcW w:w="3280" w:type="dxa"/>
            <w:vAlign w:val="bottom"/>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 hereunder exceed the Number of Options.</w:t>
            </w:r>
          </w:p>
        </w:tc>
      </w:tr>
      <w:tr>
        <w:trPr>
          <w:trHeight w:val="414"/>
        </w:trPr>
        <w:tc>
          <w:tcPr>
            <w:tcW w:w="3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Automatic Exercise of</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Notwithstanding Section 3.4 of the Equity Definitions or “Automatic Exercise” above, unless Counterparty</w:t>
            </w:r>
          </w:p>
        </w:tc>
      </w:tr>
      <w:tr>
        <w:trPr>
          <w:trHeight w:val="216"/>
        </w:trPr>
        <w:tc>
          <w:tcPr>
            <w:tcW w:w="3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Remaining Options After Free</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notifies Dealer in writing prior to 5:00 p.m. (New York City time) on the Scheduled Valid Day immediately</w:t>
            </w:r>
          </w:p>
        </w:tc>
      </w:tr>
      <w:tr>
        <w:trPr>
          <w:trHeight w:val="216"/>
        </w:trPr>
        <w:tc>
          <w:tcPr>
            <w:tcW w:w="3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Convertibility Date:</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preceding the Expiration Date that it does not wish automatic exercise to occur with respect to any Options</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that remain unexercised at such time on such date (after giving effect to the provisions opposite the caption</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“Automatic Exercise” above), a number of Options equal to the Number of Options (after giving effect to</w:t>
            </w:r>
          </w:p>
        </w:tc>
      </w:tr>
      <w:tr>
        <w:trPr>
          <w:trHeight w:val="212"/>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provisions opposite the caption “Automatic Exercise” above) as of 9:00 a.m. (New York City time) on</w:t>
            </w:r>
          </w:p>
        </w:tc>
      </w:tr>
      <w:tr>
        <w:trPr>
          <w:trHeight w:val="220"/>
        </w:trPr>
        <w:tc>
          <w:tcPr>
            <w:tcW w:w="3280" w:type="dxa"/>
            <w:vAlign w:val="bottom"/>
          </w:tcPr>
          <w:p>
            <w:pPr>
              <w:spacing w:after="0"/>
              <w:rPr>
                <w:sz w:val="19"/>
                <w:szCs w:val="19"/>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Expiration Date (such Options, the “</w:t>
            </w:r>
            <w:r>
              <w:rPr>
                <w:rFonts w:ascii="Times New Roman" w:cs="Times New Roman" w:eastAsia="Times New Roman" w:hAnsi="Times New Roman"/>
                <w:sz w:val="18"/>
                <w:szCs w:val="18"/>
                <w:b w:val="1"/>
                <w:bCs w:val="1"/>
                <w:color w:val="auto"/>
              </w:rPr>
              <w:t>Remaining Options</w:t>
            </w:r>
            <w:r>
              <w:rPr>
                <w:rFonts w:ascii="Times New Roman" w:cs="Times New Roman" w:eastAsia="Times New Roman" w:hAnsi="Times New Roman"/>
                <w:sz w:val="18"/>
                <w:szCs w:val="18"/>
                <w:color w:val="auto"/>
              </w:rPr>
              <w:t>”) will be deemed to be automatically exercised</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if (i) a number of Convertible Notes (in denominations of USD 1,000 principal amount) equal to such</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Remaining Options were outstanding under the Indenture and were converted with a “Conversion</w:t>
            </w:r>
          </w:p>
        </w:tc>
      </w:tr>
      <w:tr>
        <w:trPr>
          <w:trHeight w:val="214"/>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(as defined in the Indenture) occurring on or after the Free Convertibility Date and (ii) the Notice of</w:t>
            </w:r>
          </w:p>
        </w:tc>
      </w:tr>
      <w:tr>
        <w:trPr>
          <w:trHeight w:val="218"/>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xml:space="preserve">Final Settlement Method, if any, applied to such Convertible Notes;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no such automatic exercise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pursuant to this paragraph will occur if the Relevant Price for each Valid Day during the Settlement</w:t>
            </w:r>
          </w:p>
        </w:tc>
      </w:tr>
      <w:tr>
        <w:trPr>
          <w:trHeight w:val="234"/>
        </w:trPr>
        <w:tc>
          <w:tcPr>
            <w:tcW w:w="3280" w:type="dxa"/>
            <w:vAlign w:val="bottom"/>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Averaging Period is less than or equal to the Strike Price.</w:t>
            </w:r>
          </w:p>
        </w:tc>
      </w:tr>
      <w:tr>
        <w:trPr>
          <w:trHeight w:val="414"/>
        </w:trPr>
        <w:tc>
          <w:tcPr>
            <w:tcW w:w="3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Notice of Exercise:</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or under “Automatic Exercise” above,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but subject to “Automatic Exercise of Remaining Options After Free Convertibility Date” above, in order to</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any Options relating to Convertible Notes with a Conversion Date occurring on or after the Free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Convertibility Date, Counterparty must notify Dealer in writing before 5:00 p.m. (New York City time) on</w:t>
            </w:r>
          </w:p>
        </w:tc>
      </w:tr>
      <w:tr>
        <w:trPr>
          <w:trHeight w:val="214"/>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the Scheduled Valid Day immediately preceding the Expiration Date specifying the number of such Options;</w:t>
            </w:r>
          </w:p>
        </w:tc>
      </w:tr>
      <w:tr>
        <w:trPr>
          <w:trHeight w:val="218"/>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such notice (and the related exercise of Options hereunder)</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be effective if given after the applicable notice deadline specified above but prior to 5:00 p.m. (New</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York City time) on the fifth Exchange Business Day following such notice deadline, in which event the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Calculation Agent shall have the right to adjust Dealer’s delivery obligation hereunder and the Settlement</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in a commercially reasonable manner, with respect to the exercise of such Options, as appropriate to</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reflect the additional commercially reasonable costs (including, but not limited to, losses as a result of</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hedging mismatches and market losses) and expenses incurred by Dealer in connection with its hedging</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activities, with such adjustments made assuming that Dealer maintains commercially reasonable hedge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positions (including the unwinding of any hedge position), solely resulting from Dealer not having received</w:t>
            </w:r>
          </w:p>
        </w:tc>
      </w:tr>
      <w:tr>
        <w:trPr>
          <w:trHeight w:val="214"/>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notice prior to such notice deadline (it being understood that the adjusted delivery obligation described</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in this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can never be less than zero and can never require any payment by Counterparty); </w:t>
            </w:r>
            <w:r>
              <w:rPr>
                <w:rFonts w:ascii="Times New Roman" w:cs="Times New Roman" w:eastAsia="Times New Roman" w:hAnsi="Times New Roman"/>
                <w:sz w:val="18"/>
                <w:szCs w:val="18"/>
                <w:i w:val="1"/>
                <w:iCs w:val="1"/>
                <w:color w:val="auto"/>
              </w:rPr>
              <w:t>provided</w:t>
            </w:r>
          </w:p>
        </w:tc>
      </w:tr>
      <w:tr>
        <w:trPr>
          <w:trHeight w:val="214"/>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the Relevant Settlement Method for such Options is (x) Cash Settlement or (y) Combination</w:t>
            </w:r>
          </w:p>
        </w:tc>
      </w:tr>
      <w:tr>
        <w:trPr>
          <w:trHeight w:val="220"/>
        </w:trPr>
        <w:tc>
          <w:tcPr>
            <w:tcW w:w="3280" w:type="dxa"/>
            <w:vAlign w:val="bottom"/>
          </w:tcPr>
          <w:p>
            <w:pPr>
              <w:spacing w:after="0"/>
              <w:rPr>
                <w:sz w:val="19"/>
                <w:szCs w:val="19"/>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Dealer shall have received a separate notice (the “</w:t>
            </w:r>
            <w:r>
              <w:rPr>
                <w:rFonts w:ascii="Times New Roman" w:cs="Times New Roman" w:eastAsia="Times New Roman" w:hAnsi="Times New Roman"/>
                <w:sz w:val="18"/>
                <w:szCs w:val="18"/>
                <w:b w:val="1"/>
                <w:bCs w:val="1"/>
                <w:color w:val="auto"/>
              </w:rPr>
              <w:t>Notice of Final Settlement Method</w:t>
            </w:r>
            <w:r>
              <w:rPr>
                <w:rFonts w:ascii="Times New Roman" w:cs="Times New Roman" w:eastAsia="Times New Roman" w:hAnsi="Times New Roman"/>
                <w:sz w:val="18"/>
                <w:szCs w:val="18"/>
                <w:color w:val="auto"/>
              </w:rPr>
              <w:t>”) in</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 of all such Convertible Notes before 5:00 p.m. (New York City time) on the Free Convertibility Date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specifying (1) the Relevant Settlement Method for such Options, and (2) if the Relevant Settlement Method</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 Combination Settlement, the fixed amount of cash per Convertible Note that Counterparty has elected to</w:t>
            </w:r>
          </w:p>
        </w:tc>
      </w:tr>
      <w:tr>
        <w:trPr>
          <w:trHeight w:val="212"/>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 to “Holders” (as such term is defined in the Indenture) of the related Convertible Notes (the</w:t>
            </w:r>
          </w:p>
        </w:tc>
      </w:tr>
      <w:tr>
        <w:trPr>
          <w:trHeight w:val="220"/>
        </w:trPr>
        <w:tc>
          <w:tcPr>
            <w:tcW w:w="3280" w:type="dxa"/>
            <w:vAlign w:val="bottom"/>
          </w:tcPr>
          <w:p>
            <w:pPr>
              <w:spacing w:after="0"/>
              <w:rPr>
                <w:sz w:val="19"/>
                <w:szCs w:val="19"/>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Cash Amount</w:t>
            </w:r>
            <w:r>
              <w:rPr>
                <w:rFonts w:ascii="Times New Roman" w:cs="Times New Roman" w:eastAsia="Times New Roman" w:hAnsi="Times New Roman"/>
                <w:sz w:val="18"/>
                <w:szCs w:val="18"/>
                <w:color w:val="auto"/>
              </w:rPr>
              <w:t>”) and if Counterparty fails to timely provide such Notice of Final Settlement</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Method, it shall be deemed to have provided a Notice of Final Settlement Method indicating that the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Relevant Settlement Method is Net Share Settlement. Counterparty acknowledges its responsibilities under</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applicable securities laws, and in particular Section 9 and Section 10(b) of the Exchange Act (as defined</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below) and the rules and regulations thereunder, in respect of any election of a settlement method with</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 to the Convertible Notes where the corresponding Relevant Settlement Method is not Net Share</w:t>
            </w:r>
          </w:p>
        </w:tc>
      </w:tr>
      <w:tr>
        <w:trPr>
          <w:trHeight w:val="234"/>
        </w:trPr>
        <w:tc>
          <w:tcPr>
            <w:tcW w:w="3280" w:type="dxa"/>
            <w:vAlign w:val="bottom"/>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w:t>
            </w:r>
          </w:p>
        </w:tc>
      </w:tr>
      <w:tr>
        <w:trPr>
          <w:trHeight w:val="648"/>
        </w:trPr>
        <w:tc>
          <w:tcPr>
            <w:tcW w:w="328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04"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Valuation Time:</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At 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session is extended, the Calculation Agent shall determine the Valuation Time in good faith and in its</w:t>
            </w:r>
          </w:p>
        </w:tc>
      </w:tr>
      <w:tr>
        <w:trPr>
          <w:trHeight w:val="234"/>
        </w:trPr>
        <w:tc>
          <w:tcPr>
            <w:tcW w:w="3120" w:type="dxa"/>
            <w:vAlign w:val="bottom"/>
          </w:tcPr>
          <w:p>
            <w:pPr>
              <w:spacing w:after="0"/>
              <w:rPr>
                <w:sz w:val="20"/>
                <w:szCs w:val="20"/>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commercially reasonable discretion.</w:t>
            </w:r>
          </w:p>
        </w:tc>
      </w:tr>
      <w:tr>
        <w:trPr>
          <w:trHeight w:val="432"/>
        </w:trPr>
        <w:tc>
          <w:tcPr>
            <w:tcW w:w="31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Market Disruption Event:</w:t>
            </w: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6.3(a) of the Equity Definitions is hereby replaced in its entirety by the following:</w:t>
            </w:r>
          </w:p>
        </w:tc>
      </w:tr>
      <w:tr>
        <w:trPr>
          <w:trHeight w:val="414"/>
        </w:trPr>
        <w:tc>
          <w:tcPr>
            <w:tcW w:w="3120" w:type="dxa"/>
            <w:vAlign w:val="bottom"/>
          </w:tcPr>
          <w:p>
            <w:pPr>
              <w:spacing w:after="0"/>
              <w:rPr>
                <w:sz w:val="24"/>
                <w:szCs w:val="24"/>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(A) the failure by the principal U.S. national</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 regional securities exchange on which the Shares are then listed, or, if the Shares are not then listed on a</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national or regional securities exchange, the principal other market on which the Shares are then traded,</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open for trading during its regular trading session on such date; or (B) the occurrence or existence, for</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more than one half hour period in the aggregate, of any suspension or limitation imposed on trading (by</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reason of movements in price exceeding limits permitted by the relevant exchange or otherwise) in the</w:t>
            </w:r>
          </w:p>
        </w:tc>
      </w:tr>
      <w:tr>
        <w:trPr>
          <w:trHeight w:val="216"/>
        </w:trPr>
        <w:tc>
          <w:tcPr>
            <w:tcW w:w="3120" w:type="dxa"/>
            <w:vAlign w:val="bottom"/>
          </w:tcPr>
          <w:p>
            <w:pPr>
              <w:spacing w:after="0"/>
              <w:rPr>
                <w:sz w:val="18"/>
                <w:szCs w:val="18"/>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or in any options contracts or futures contracts relating to the Shares, and such suspension or</w:t>
            </w:r>
          </w:p>
        </w:tc>
      </w:tr>
      <w:tr>
        <w:trPr>
          <w:trHeight w:val="234"/>
        </w:trPr>
        <w:tc>
          <w:tcPr>
            <w:tcW w:w="3120" w:type="dxa"/>
            <w:vAlign w:val="bottom"/>
          </w:tcPr>
          <w:p>
            <w:pPr>
              <w:spacing w:after="0"/>
              <w:rPr>
                <w:sz w:val="20"/>
                <w:szCs w:val="20"/>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limitation occurs or exists at any time before 1:00 p.m., New York City time, on such date.”</w:t>
            </w:r>
          </w:p>
        </w:tc>
      </w:tr>
      <w:tr>
        <w:trPr>
          <w:trHeight w:val="648"/>
        </w:trPr>
        <w:tc>
          <w:tcPr>
            <w:tcW w:w="312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2"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Settlement Terms.</w:t>
            </w:r>
          </w:p>
        </w:tc>
        <w:tc>
          <w:tcPr>
            <w:tcW w:w="8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For any Option, Net Share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Relevant Settlement Method as set forth below</w:t>
            </w:r>
          </w:p>
        </w:tc>
        <w:tc>
          <w:tcPr>
            <w:tcW w:w="0" w:type="dxa"/>
            <w:vAlign w:val="bottom"/>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Settlement Method:</w:t>
            </w:r>
          </w:p>
        </w:tc>
        <w:tc>
          <w:tcPr>
            <w:tcW w:w="8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such Option is not Net Share Settlement, then the Settlement Method for such Option shall be such</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Relevant Settlement Method, but only if Counterparty (or any agent authorized by Counterparty and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previously identified to Dealer by Counterparty in writing) shall have notified Dealer of the Relevant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Method in the Notice of Final Settlement Method for such Option. If any such agent on behalf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Counterparty provides any such notice, Dealer shall be entitled to rely on the accuracy of such notice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any independent investigation, and the contents of such notice shall be binding on Counterparty.</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Relevant Settlement Method:</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respect of any Option:</w:t>
            </w: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   if Counterparty has elected (or, in the case of (C), is deemed to have elected) to settle its conversion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 in respect of the related Convertible Note (A) entirely in Shares pursuant to Section 5.03(B)(i)</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 of the Indenture (together with cash in lieu of fractional Shares), (B) in a combination of cash and Shares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pursuant to Section 5.03(B)(i)(3)  of the Indenture with a Specified Cash Amount less than USD 1,000 or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 in a combination of cash and Shares pursuant to Section 5.03(B)(i)(3) of the Indenture with a Specified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Amount equal to USD 1,000, then, in each case, the Relevant Settlement Method for such Option shall</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 Net Share Settlement;</w:t>
            </w: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   if Counterparty has elected to settle its conversion obligations in respect of the related Convertible Note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a combination of cash and Shares pursuant to Section 5.03(B)(i)(3) of the Indenture with a Specified Cash</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 greater than USD 1,000, then the Relevant Settlement Method for such Option shall be</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Combination Settlement; and</w:t>
            </w: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(iii)   if Counterparty has elected to settle its conversion obligations in respect of the related Convertible Note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entirely in cash pursuant to Section 5.03(B)(i)(2) of the Indenture, then the Relevant Settlement Method for</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such Option shall be Cash Settlement.</w:t>
            </w:r>
          </w:p>
        </w:tc>
        <w:tc>
          <w:tcPr>
            <w:tcW w:w="0" w:type="dxa"/>
            <w:vAlign w:val="bottom"/>
          </w:tcPr>
          <w:p>
            <w:pPr>
              <w:spacing w:after="0"/>
              <w:rPr>
                <w:sz w:val="1"/>
                <w:szCs w:val="1"/>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Share Settlement:</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If Net Share Settlement is applicable to any Option exercised or deemed exercised hereunder, Dealer will</w:t>
            </w:r>
          </w:p>
        </w:tc>
      </w:tr>
      <w:tr>
        <w:trPr>
          <w:trHeight w:val="216"/>
        </w:trPr>
        <w:tc>
          <w:tcPr>
            <w:tcW w:w="2080" w:type="dxa"/>
            <w:vAlign w:val="bottom"/>
          </w:tcPr>
          <w:p>
            <w:pPr>
              <w:spacing w:after="0"/>
              <w:rPr>
                <w:sz w:val="18"/>
                <w:szCs w:val="18"/>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deliver to Counterparty, on the relevant Settlement Date for each such Option, a number of Shares (the “</w:t>
            </w:r>
            <w:r>
              <w:rPr>
                <w:rFonts w:ascii="Times New Roman" w:cs="Times New Roman" w:eastAsia="Times New Roman" w:hAnsi="Times New Roman"/>
                <w:sz w:val="18"/>
                <w:szCs w:val="18"/>
                <w:b w:val="1"/>
                <w:bCs w:val="1"/>
                <w:color w:val="auto"/>
              </w:rPr>
              <w:t>Net</w:t>
            </w:r>
          </w:p>
        </w:tc>
      </w:tr>
      <w:tr>
        <w:trPr>
          <w:trHeight w:val="218"/>
        </w:trPr>
        <w:tc>
          <w:tcPr>
            <w:tcW w:w="2080" w:type="dxa"/>
            <w:vAlign w:val="bottom"/>
          </w:tcPr>
          <w:p>
            <w:pPr>
              <w:spacing w:after="0"/>
              <w:rPr>
                <w:sz w:val="18"/>
                <w:szCs w:val="18"/>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 Settlement Amount</w:t>
            </w:r>
            <w:r>
              <w:rPr>
                <w:rFonts w:ascii="Times New Roman" w:cs="Times New Roman" w:eastAsia="Times New Roman" w:hAnsi="Times New Roman"/>
                <w:sz w:val="18"/>
                <w:szCs w:val="18"/>
                <w:color w:val="auto"/>
              </w:rPr>
              <w:t>”) equal to the sum, for each Valid Day during the Settlement Averaging Period</w:t>
            </w:r>
          </w:p>
        </w:tc>
      </w:tr>
      <w:tr>
        <w:trPr>
          <w:trHeight w:val="216"/>
        </w:trPr>
        <w:tc>
          <w:tcPr>
            <w:tcW w:w="2080" w:type="dxa"/>
            <w:vAlign w:val="bottom"/>
          </w:tcPr>
          <w:p>
            <w:pPr>
              <w:spacing w:after="0"/>
              <w:rPr>
                <w:sz w:val="18"/>
                <w:szCs w:val="18"/>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for each such Option, of (i) (a) the Daily Option Value for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Relevant Price</w:t>
            </w:r>
          </w:p>
        </w:tc>
      </w:tr>
      <w:tr>
        <w:trPr>
          <w:trHeight w:val="236"/>
        </w:trPr>
        <w:tc>
          <w:tcPr>
            <w:tcW w:w="208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on such Valid 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number of Valid Days in the Settlement Averaging Period.</w:t>
            </w:r>
          </w:p>
        </w:tc>
      </w:tr>
      <w:tr>
        <w:trPr>
          <w:trHeight w:val="414"/>
        </w:trPr>
        <w:tc>
          <w:tcPr>
            <w:tcW w:w="2080" w:type="dxa"/>
            <w:vAlign w:val="bottom"/>
          </w:tcPr>
          <w:p>
            <w:pPr>
              <w:spacing w:after="0"/>
              <w:rPr>
                <w:sz w:val="24"/>
                <w:szCs w:val="24"/>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Net Share</w:t>
            </w:r>
          </w:p>
        </w:tc>
      </w:tr>
      <w:tr>
        <w:trPr>
          <w:trHeight w:val="234"/>
        </w:trPr>
        <w:tc>
          <w:tcPr>
            <w:tcW w:w="208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Settlement Amount valued at the Relevant Price for the last Valid Day of the Settlement Averaging Period.</w:t>
            </w:r>
          </w:p>
        </w:tc>
      </w:tr>
      <w:tr>
        <w:trPr>
          <w:trHeight w:val="41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Combination Settlement:</w:t>
            </w: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If Combination Settlement is applicable to any Option exercised or deemed exercised hereunder, Dealer will</w:t>
            </w:r>
          </w:p>
        </w:tc>
      </w:tr>
      <w:tr>
        <w:trPr>
          <w:trHeight w:val="234"/>
        </w:trPr>
        <w:tc>
          <w:tcPr>
            <w:tcW w:w="208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 or deliver, as the case may be, to Counterparty, on the relevant Settlement Date for each such Option:</w:t>
            </w:r>
          </w:p>
        </w:tc>
      </w:tr>
      <w:tr>
        <w:trPr>
          <w:trHeight w:val="410"/>
        </w:trPr>
        <w:tc>
          <w:tcPr>
            <w:tcW w:w="208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w:t>
            </w: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(the “</w:t>
            </w:r>
            <w:r>
              <w:rPr>
                <w:rFonts w:ascii="Times New Roman" w:cs="Times New Roman" w:eastAsia="Times New Roman" w:hAnsi="Times New Roman"/>
                <w:sz w:val="18"/>
                <w:szCs w:val="18"/>
                <w:b w:val="1"/>
                <w:bCs w:val="1"/>
                <w:color w:val="auto"/>
              </w:rPr>
              <w:t>Combination Settlement Cash Amount</w:t>
            </w:r>
            <w:r>
              <w:rPr>
                <w:rFonts w:ascii="Times New Roman" w:cs="Times New Roman" w:eastAsia="Times New Roman" w:hAnsi="Times New Roman"/>
                <w:sz w:val="18"/>
                <w:szCs w:val="18"/>
                <w:color w:val="auto"/>
              </w:rPr>
              <w:t>”) equal to the sum, for each Valid Day during</w:t>
            </w:r>
          </w:p>
        </w:tc>
      </w:tr>
      <w:tr>
        <w:trPr>
          <w:trHeight w:val="216"/>
        </w:trPr>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Settlement Averaging Period for such Option, of (A) an amount (the “</w:t>
            </w:r>
            <w:r>
              <w:rPr>
                <w:rFonts w:ascii="Times New Roman" w:cs="Times New Roman" w:eastAsia="Times New Roman" w:hAnsi="Times New Roman"/>
                <w:sz w:val="18"/>
                <w:szCs w:val="18"/>
                <w:b w:val="1"/>
                <w:bCs w:val="1"/>
                <w:color w:val="auto"/>
              </w:rPr>
              <w:t>Daily Combination</w:t>
            </w:r>
          </w:p>
        </w:tc>
      </w:tr>
      <w:tr>
        <w:trPr>
          <w:trHeight w:val="218"/>
        </w:trPr>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Settlement Cash Amount</w:t>
            </w:r>
            <w:r>
              <w:rPr>
                <w:rFonts w:ascii="Times New Roman" w:cs="Times New Roman" w:eastAsia="Times New Roman" w:hAnsi="Times New Roman"/>
                <w:sz w:val="18"/>
                <w:szCs w:val="18"/>
                <w:color w:val="auto"/>
              </w:rPr>
              <w:t>”) equal to the lesser of (1) the product of (x) the Applicable Percentage</w:t>
            </w:r>
          </w:p>
        </w:tc>
      </w:tr>
      <w:tr>
        <w:trPr>
          <w:trHeight w:val="216"/>
        </w:trPr>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and (y) the Specified Cash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USD 1,000 and (2) the Daily Option Value for such Valid</w:t>
            </w:r>
          </w:p>
        </w:tc>
      </w:tr>
      <w:tr>
        <w:trPr>
          <w:trHeight w:val="218"/>
        </w:trPr>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Day,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Valid Days in the 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w:t>
            </w:r>
          </w:p>
        </w:tc>
      </w:tr>
      <w:tr>
        <w:trPr>
          <w:trHeight w:val="216"/>
        </w:trPr>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calculation in clause (A) above results in zero or a negative number for any Valid Day, the Daily</w:t>
            </w:r>
          </w:p>
        </w:tc>
      </w:tr>
      <w:tr>
        <w:trPr>
          <w:trHeight w:val="234"/>
        </w:trPr>
        <w:tc>
          <w:tcPr>
            <w:tcW w:w="2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 Settlement Cash Amount for such Valid Day shall be deemed to be zero; and</w:t>
            </w:r>
          </w:p>
        </w:tc>
      </w:tr>
      <w:tr>
        <w:trPr>
          <w:trHeight w:val="414"/>
        </w:trPr>
        <w:tc>
          <w:tcPr>
            <w:tcW w:w="208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(ii)</w:t>
            </w: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equal to the sum, for each Valid Day</w:t>
            </w:r>
          </w:p>
        </w:tc>
      </w:tr>
      <w:tr>
        <w:trPr>
          <w:trHeight w:val="212"/>
        </w:trPr>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during the Settlement Averaging Period for such Option, of a number of Shares for such Valid Day</w:t>
            </w:r>
          </w:p>
        </w:tc>
      </w:tr>
      <w:tr>
        <w:trPr>
          <w:trHeight w:val="218"/>
        </w:trPr>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Daily Combination Settlement Share Amount</w:t>
            </w:r>
            <w:r>
              <w:rPr>
                <w:rFonts w:ascii="Times New Roman" w:cs="Times New Roman" w:eastAsia="Times New Roman" w:hAnsi="Times New Roman"/>
                <w:sz w:val="18"/>
                <w:szCs w:val="18"/>
                <w:color w:val="auto"/>
              </w:rPr>
              <w:t>”) equal to (A) (1) the Daily Option Value for</w:t>
            </w:r>
          </w:p>
        </w:tc>
      </w:tr>
      <w:tr>
        <w:trPr>
          <w:trHeight w:val="236"/>
        </w:trPr>
        <w:tc>
          <w:tcPr>
            <w:tcW w:w="2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such Valid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Daily Combination Settlement Cash Amount for such Valid Day, </w:t>
            </w:r>
            <w:r>
              <w:rPr>
                <w:rFonts w:ascii="Times New Roman" w:cs="Times New Roman" w:eastAsia="Times New Roman" w:hAnsi="Times New Roman"/>
                <w:sz w:val="18"/>
                <w:szCs w:val="18"/>
                <w:i w:val="1"/>
                <w:iCs w:val="1"/>
                <w:color w:val="auto"/>
              </w:rPr>
              <w:t>divided</w:t>
            </w:r>
          </w:p>
        </w:tc>
      </w:tr>
    </w:tbl>
    <w:p>
      <w:pPr>
        <w:jc w:val="both"/>
        <w:ind w:left="29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(2) the Relevant Price on such Valid Day,</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(B) the number of Valid Days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Averaging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(A)(1) above results in zero or a negative number for any Valid Day, the Daily Combination Settlement Share Amount for such Valid Day shall be deemed to be zero.</w:t>
      </w:r>
    </w:p>
    <w:p>
      <w:pPr>
        <w:spacing w:after="0" w:line="189" w:lineRule="exact"/>
        <w:rPr>
          <w:sz w:val="20"/>
          <w:szCs w:val="20"/>
          <w:color w:val="auto"/>
        </w:rPr>
      </w:pPr>
    </w:p>
    <w:p>
      <w:pPr>
        <w:jc w:val="both"/>
        <w:ind w:left="2360"/>
        <w:spacing w:after="0" w:line="266" w:lineRule="auto"/>
        <w:rPr>
          <w:sz w:val="20"/>
          <w:szCs w:val="20"/>
          <w:color w:val="auto"/>
        </w:rPr>
      </w:pPr>
      <w:r>
        <w:rPr>
          <w:rFonts w:ascii="Times New Roman" w:cs="Times New Roman" w:eastAsia="Times New Roman" w:hAnsi="Times New Roman"/>
          <w:sz w:val="18"/>
          <w:szCs w:val="18"/>
          <w:color w:val="auto"/>
        </w:rPr>
        <w:t>Dealer will pay cash in lieu of delivering any fractional Shares to be delivered with respect to any Combination Settlement Share Amount valued at the Relevant Price for the last Valid Day of the Settlement Averaging Period.</w:t>
      </w:r>
    </w:p>
    <w:p>
      <w:pPr>
        <w:spacing w:after="0" w:line="39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1340" w:top="1336"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6"/>
        </w:trPr>
        <w:tc>
          <w:tcPr>
            <w:tcW w:w="3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Cash Settlement:</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Cash Settlement is applicable to any Option exercised or deemed exercised hereunder, in lieu of</w:t>
            </w:r>
          </w:p>
        </w:tc>
      </w:tr>
      <w:tr>
        <w:trPr>
          <w:trHeight w:val="212"/>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8.1 of the Equity Definitions, Dealer will pay to Counterparty, on the relevant Settlement Date for</w:t>
            </w:r>
          </w:p>
        </w:tc>
      </w:tr>
      <w:tr>
        <w:trPr>
          <w:trHeight w:val="220"/>
        </w:trPr>
        <w:tc>
          <w:tcPr>
            <w:tcW w:w="3240" w:type="dxa"/>
            <w:vAlign w:val="bottom"/>
          </w:tcPr>
          <w:p>
            <w:pPr>
              <w:spacing w:after="0"/>
              <w:rPr>
                <w:sz w:val="19"/>
                <w:szCs w:val="19"/>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each such Option, an amount of cash (the “</w:t>
            </w:r>
            <w:r>
              <w:rPr>
                <w:rFonts w:ascii="Times New Roman" w:cs="Times New Roman" w:eastAsia="Times New Roman" w:hAnsi="Times New Roman"/>
                <w:sz w:val="18"/>
                <w:szCs w:val="18"/>
                <w:b w:val="1"/>
                <w:bCs w:val="1"/>
                <w:color w:val="auto"/>
                <w:w w:val="99"/>
              </w:rPr>
              <w:t>Cash Settlement Amount</w:t>
            </w:r>
            <w:r>
              <w:rPr>
                <w:rFonts w:ascii="Times New Roman" w:cs="Times New Roman" w:eastAsia="Times New Roman" w:hAnsi="Times New Roman"/>
                <w:sz w:val="18"/>
                <w:szCs w:val="18"/>
                <w:color w:val="auto"/>
                <w:w w:val="99"/>
              </w:rPr>
              <w:t>”) equal to the sum, for each Valid Day</w:t>
            </w:r>
          </w:p>
        </w:tc>
      </w:tr>
      <w:tr>
        <w:trPr>
          <w:trHeight w:val="214"/>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during the Settlement Averaging Period for such Option, of (i) the Daily Option Value for such Valid Day,</w:t>
            </w:r>
          </w:p>
        </w:tc>
      </w:tr>
      <w:tr>
        <w:trPr>
          <w:trHeight w:val="236"/>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(ii) the number of Valid Days in the Settlement Averaging Period.</w:t>
            </w:r>
          </w:p>
        </w:tc>
      </w:tr>
      <w:tr>
        <w:trPr>
          <w:trHeight w:val="412"/>
        </w:trPr>
        <w:tc>
          <w:tcPr>
            <w:tcW w:w="3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Daily Option Value: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For any Valid Day, an amount equal to (i) the Option Entitlement on such Valid Day, </w:t>
            </w:r>
            <w:r>
              <w:rPr>
                <w:rFonts w:ascii="Times New Roman" w:cs="Times New Roman" w:eastAsia="Times New Roman" w:hAnsi="Times New Roman"/>
                <w:sz w:val="18"/>
                <w:szCs w:val="18"/>
                <w:i w:val="1"/>
                <w:iCs w:val="1"/>
                <w:color w:val="auto"/>
              </w:rPr>
              <w:t>multiplied by</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(ii) (A) the lesser of the Relevant Price on such Valid Day and the Cap Price,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Strike Price on</w:t>
            </w:r>
          </w:p>
        </w:tc>
      </w:tr>
      <w:tr>
        <w:trPr>
          <w:trHeight w:val="218"/>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such Valid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contained in clause (ii) above results in a negative number,</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Daily Option Value for such Valid Day shall be deemed to be zero. In no event will the Daily Option</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Value be less than zero.</w:t>
            </w:r>
          </w:p>
        </w:tc>
      </w:tr>
      <w:tr>
        <w:trPr>
          <w:trHeight w:val="414"/>
        </w:trPr>
        <w:tc>
          <w:tcPr>
            <w:tcW w:w="3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Valid Day:</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day on which (A) there is no Market Disruption Event; and (B) trading in the Shares generally occurs on</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principal U.S. national or regional securities exchange on which the Shares are then listed or, if the</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are not then listed on a U.S. national or regional securities exchange, on the principal other market on</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which the Shares are then traded. If the Shares are not so listed or traded, then “Valid Day” means a Business</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Day.</w:t>
            </w:r>
          </w:p>
        </w:tc>
      </w:tr>
      <w:tr>
        <w:trPr>
          <w:trHeight w:val="414"/>
        </w:trPr>
        <w:tc>
          <w:tcPr>
            <w:tcW w:w="3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Scheduled Valid Day:</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day that is scheduled to be a Valid Day on the principal U.S. national or regional securities exchange on</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which the Shares are then listed or, if the Shares are not then listed on a U.S. national or regional securities</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exchange, on the principal other market on which the Shares are then traded. If the Shares are not so listed or</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traded, then “Scheduled Valid Day” means a Business Day.</w:t>
            </w:r>
          </w:p>
        </w:tc>
      </w:tr>
      <w:tr>
        <w:trPr>
          <w:trHeight w:val="414"/>
        </w:trPr>
        <w:tc>
          <w:tcPr>
            <w:tcW w:w="3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Business Day:</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day other than a Saturday, a Sunday or any day on which the Federal Reserve Bank of New York is</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or required by law or executive order to close or be closed.</w:t>
            </w:r>
          </w:p>
        </w:tc>
      </w:tr>
      <w:tr>
        <w:trPr>
          <w:trHeight w:val="414"/>
        </w:trPr>
        <w:tc>
          <w:tcPr>
            <w:tcW w:w="3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Relevant Price:</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On any Valid Day, the per Share volume-weighted average price as displayed under the heading “Bloomberg</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VWAP” on Bloomberg page “LCID &lt;EQUITY&gt; AQR” (or, if such page is not available, its equivalent</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page) in respect of the period from the scheduled open of trading until the scheduled close of</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of the primary trading session on such Valid Day (or if such volume-weighted average price is</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unavailable at such time, the market value of one Share on such Valid Day, as determined by the Calculation</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 in good faith and in a commercially reasonable manner using, if practicable, a volume-weighted</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method). The Relevant Price will be determined without regard to after-hours trading or any other</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outside of the regular trading session.</w:t>
            </w:r>
          </w:p>
        </w:tc>
      </w:tr>
      <w:tr>
        <w:trPr>
          <w:trHeight w:val="414"/>
        </w:trPr>
        <w:tc>
          <w:tcPr>
            <w:tcW w:w="32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Settlement Averaging Period:</w:t>
            </w: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any Option and regardless of the Settlement Method applicable to such Option, the 30 consecutive Valid</w:t>
            </w:r>
          </w:p>
        </w:tc>
      </w:tr>
      <w:tr>
        <w:trPr>
          <w:trHeight w:val="216"/>
        </w:trPr>
        <w:tc>
          <w:tcPr>
            <w:tcW w:w="32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Days commencing on, and including, the 31st Scheduled Valid Day immediately prior to the Expiration</w:t>
            </w:r>
          </w:p>
        </w:tc>
      </w:tr>
      <w:tr>
        <w:trPr>
          <w:trHeight w:val="234"/>
        </w:trPr>
        <w:tc>
          <w:tcPr>
            <w:tcW w:w="3240" w:type="dxa"/>
            <w:vAlign w:val="bottom"/>
          </w:tcPr>
          <w:p>
            <w:pPr>
              <w:spacing w:after="0"/>
              <w:rPr>
                <w:sz w:val="20"/>
                <w:szCs w:val="20"/>
                <w:color w:val="auto"/>
              </w:rPr>
            </w:pPr>
          </w:p>
        </w:tc>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r>
      <w:tr>
        <w:trPr>
          <w:trHeight w:val="648"/>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904" w:right="339" w:bottom="1440" w:gutter="0" w:footer="0" w:header="0"/>
        </w:sectPr>
      </w:pPr>
    </w:p>
    <w:bookmarkStart w:id="121" w:name="page122"/>
    <w:bookmarkEnd w:id="121"/>
    <w:p>
      <w:pPr>
        <w:ind w:left="1020"/>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For any Option, the second Business Day immediately following the final Valid Day of the Settlement Averaging Period for such Option.</w:t>
      </w:r>
    </w:p>
    <w:p>
      <w:pPr>
        <w:spacing w:after="0" w:line="162" w:lineRule="exact"/>
        <w:rPr>
          <w:sz w:val="20"/>
          <w:szCs w:val="20"/>
          <w:color w:val="auto"/>
        </w:rPr>
      </w:pPr>
    </w:p>
    <w:p>
      <w:pPr>
        <w:sectPr>
          <w:pgSz w:w="11900" w:h="16838" w:orient="portrait"/>
          <w:cols w:equalWidth="0" w:num="2">
            <w:col w:w="2660" w:space="720"/>
            <w:col w:w="7860"/>
          </w:cols>
          <w:pgMar w:left="320" w:top="904" w:right="339" w:bottom="1440" w:gutter="0" w:footer="0" w:header="0"/>
        </w:sectPr>
      </w:pPr>
    </w:p>
    <w:p>
      <w:pPr>
        <w:ind w:left="1020"/>
        <w:spacing w:after="0"/>
        <w:rPr>
          <w:sz w:val="20"/>
          <w:szCs w:val="20"/>
          <w:color w:val="auto"/>
        </w:rPr>
      </w:pPr>
      <w:r>
        <w:rPr>
          <w:rFonts w:ascii="Times New Roman" w:cs="Times New Roman" w:eastAsia="Times New Roman" w:hAnsi="Times New Roman"/>
          <w:sz w:val="17"/>
          <w:szCs w:val="17"/>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Sections 9.1(c), 9.8, 9.9 and 9.11 of the Equity Definitions will be applicable, except that all references in such provisions to “Physically-settled” shall be read as references to “Share Settled”. “Share Settled” in relation to any Option means that Net Share Settlement or Combination Settlement is applicable to that Option.</w:t>
      </w:r>
    </w:p>
    <w:p>
      <w:pPr>
        <w:spacing w:after="0" w:line="180" w:lineRule="exact"/>
        <w:rPr>
          <w:sz w:val="20"/>
          <w:szCs w:val="20"/>
          <w:color w:val="auto"/>
        </w:rPr>
      </w:pPr>
    </w:p>
    <w:p>
      <w:pPr>
        <w:sectPr>
          <w:pgSz w:w="11900" w:h="16838" w:orient="portrait"/>
          <w:cols w:equalWidth="0" w:num="2">
            <w:col w:w="3080" w:space="300"/>
            <w:col w:w="7860"/>
          </w:cols>
          <w:pgMar w:left="320" w:top="904" w:right="339" w:bottom="1440" w:gutter="0" w:footer="0" w:header="0"/>
          <w:type w:val="continuous"/>
        </w:sectPr>
      </w:pPr>
    </w:p>
    <w:p>
      <w:pPr>
        <w:jc w:val="both"/>
        <w:ind w:left="3380" w:hanging="2362"/>
        <w:spacing w:after="0" w:line="255" w:lineRule="auto"/>
        <w:rPr>
          <w:sz w:val="20"/>
          <w:szCs w:val="20"/>
          <w:color w:val="auto"/>
        </w:rPr>
      </w:pPr>
      <w:r>
        <w:rPr>
          <w:rFonts w:ascii="Times New Roman" w:cs="Times New Roman" w:eastAsia="Times New Roman" w:hAnsi="Times New Roman"/>
          <w:sz w:val="18"/>
          <w:szCs w:val="18"/>
          <w:color w:val="auto"/>
        </w:rPr>
        <w:t>Representation and Agreement: 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Additional Terms applicable to the Transaction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Adjustments applicable to the Transaction:</w:t>
      </w:r>
    </w:p>
    <w:p>
      <w:pPr>
        <w:spacing w:after="0" w:line="225" w:lineRule="exact"/>
        <w:rPr>
          <w:sz w:val="20"/>
          <w:szCs w:val="20"/>
          <w:color w:val="auto"/>
        </w:rPr>
      </w:pPr>
    </w:p>
    <w:p>
      <w:pPr>
        <w:jc w:val="both"/>
        <w:ind w:left="3380" w:hanging="2362"/>
        <w:spacing w:after="0" w:line="253" w:lineRule="auto"/>
        <w:tabs>
          <w:tab w:leader="none" w:pos="3360" w:val="left"/>
        </w:tabs>
        <w:rPr>
          <w:sz w:val="20"/>
          <w:szCs w:val="20"/>
          <w:color w:val="auto"/>
        </w:rPr>
      </w:pPr>
      <w:r>
        <w:rPr>
          <w:rFonts w:ascii="Times New Roman" w:cs="Times New Roman" w:eastAsia="Times New Roman" w:hAnsi="Times New Roman"/>
          <w:sz w:val="18"/>
          <w:szCs w:val="18"/>
          <w:color w:val="auto"/>
        </w:rPr>
        <w:t>Potential Adjustment Events:</w:t>
      </w:r>
      <w:r>
        <w:rPr>
          <w:sz w:val="20"/>
          <w:szCs w:val="20"/>
          <w:color w:val="auto"/>
        </w:rPr>
        <w:tab/>
      </w:r>
      <w:r>
        <w:rPr>
          <w:rFonts w:ascii="Times New Roman" w:cs="Times New Roman" w:eastAsia="Times New Roman" w:hAnsi="Times New Roman"/>
          <w:sz w:val="18"/>
          <w:szCs w:val="18"/>
          <w:color w:val="auto"/>
        </w:rPr>
        <w:t xml:space="preserve">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“Reference Property Unit” or to any “Last Reported Sale Price,” “Daily VWAP,” “Daily Conversion Value,” “Daily Share Amount” or “Daily Cash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the first paragraph of Section 5.05(A)(iii)(1) of the Indenture or the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in the first paragraph of Section 5.05(A)(iv) of the Indenture).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Method of Adjustment:</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Calculation Agent Adjustment, which means that, notwithstanding Section 11.2(c) of the Equity Definitions, upon any Potential Adjustment Event, the Calculation Agent, acting in good faith and commercially reasonably, taking into account the relevant provisions of the Indenture, shall make a corresponding adjustment to any one or more of the Strike Price, Number of Options, Option Entitlement and any other variable relevant to the exercise, settlement or payment for the Transaction.</w:t>
      </w:r>
    </w:p>
    <w:p>
      <w:pPr>
        <w:spacing w:after="0" w:line="183" w:lineRule="exact"/>
        <w:rPr>
          <w:sz w:val="20"/>
          <w:szCs w:val="20"/>
          <w:color w:val="auto"/>
        </w:rPr>
      </w:pPr>
    </w:p>
    <w:p>
      <w:pPr>
        <w:sectPr>
          <w:pgSz w:w="11900" w:h="16838" w:orient="portrait"/>
          <w:cols w:equalWidth="0" w:num="2">
            <w:col w:w="1660" w:space="700"/>
            <w:col w:w="7860"/>
          </w:cols>
          <w:pgMar w:left="1340" w:top="904" w:right="339" w:bottom="1440" w:gutter="0" w:footer="0" w:header="0"/>
        </w:sectPr>
      </w:pPr>
    </w:p>
    <w:p>
      <w:pPr>
        <w:ind w:left="2360"/>
        <w:spacing w:after="0"/>
        <w:rPr>
          <w:sz w:val="20"/>
          <w:szCs w:val="20"/>
          <w:color w:val="auto"/>
        </w:rPr>
      </w:pPr>
      <w:r>
        <w:rPr>
          <w:rFonts w:ascii="Times New Roman" w:cs="Times New Roman" w:eastAsia="Times New Roman" w:hAnsi="Times New Roman"/>
          <w:sz w:val="18"/>
          <w:szCs w:val="18"/>
          <w:color w:val="auto"/>
        </w:rPr>
        <w:t>Notwithstanding the foregoing and “Consequences of Merger Events / Tender Offers” below:</w:t>
      </w:r>
    </w:p>
    <w:p>
      <w:pPr>
        <w:spacing w:after="0" w:line="225" w:lineRule="exact"/>
        <w:rPr>
          <w:sz w:val="20"/>
          <w:szCs w:val="20"/>
          <w:color w:val="auto"/>
        </w:rPr>
      </w:pPr>
    </w:p>
    <w:p>
      <w:pPr>
        <w:jc w:val="both"/>
        <w:ind w:left="2940" w:hanging="579"/>
        <w:spacing w:after="0" w:line="252" w:lineRule="auto"/>
        <w:tabs>
          <w:tab w:leader="none" w:pos="29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 xml:space="preserve">if the Calculation Agent in good faith disagrees with any adjustment to the Convertible Notes that involves an exercise of discretion by Counterparty or its board of directors (including, without limitation, pursuant to Section 5.05(H) of the Indenture, Section 5.09 of the Indenture or any supplemental indenture entered into thereunder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in a commercially reasonable manner, taking into account the relevant provisions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then the Calculation Agent shall make a commercially reasonable adjustment, as determined by it, to the terms hereof in order to account for such Potential Adjustment Event;</w:t>
      </w:r>
    </w:p>
    <w:p>
      <w:pPr>
        <w:spacing w:after="0" w:line="197" w:lineRule="exact"/>
        <w:rPr>
          <w:sz w:val="20"/>
          <w:szCs w:val="20"/>
          <w:color w:val="auto"/>
        </w:rPr>
      </w:pPr>
    </w:p>
    <w:p>
      <w:pPr>
        <w:jc w:val="both"/>
        <w:ind w:left="2940" w:hanging="579"/>
        <w:spacing w:after="0" w:line="254" w:lineRule="auto"/>
        <w:tabs>
          <w:tab w:leader="none" w:pos="292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w:t>
      </w:r>
    </w:p>
    <w:p>
      <w:pPr>
        <w:sectPr>
          <w:pgSz w:w="11900" w:h="16838" w:orient="portrait"/>
          <w:cols w:equalWidth="0" w:num="1">
            <w:col w:w="10220"/>
          </w:cols>
          <w:pgMar w:left="1340" w:top="904" w:right="339" w:bottom="1440" w:gutter="0" w:footer="0" w:header="0"/>
          <w:type w:val="continuous"/>
        </w:sectPr>
      </w:pPr>
    </w:p>
    <w:p>
      <w:pPr>
        <w:spacing w:after="0" w:line="3" w:lineRule="exact"/>
        <w:rPr>
          <w:sz w:val="20"/>
          <w:szCs w:val="20"/>
          <w:color w:val="auto"/>
        </w:rPr>
      </w:pPr>
    </w:p>
    <w:p>
      <w:pPr>
        <w:jc w:val="both"/>
        <w:ind w:left="2940"/>
        <w:spacing w:after="0" w:line="252" w:lineRule="auto"/>
        <w:rPr>
          <w:sz w:val="20"/>
          <w:szCs w:val="20"/>
          <w:color w:val="auto"/>
        </w:rPr>
      </w:pPr>
      <w:r>
        <w:rPr>
          <w:rFonts w:ascii="Times New Roman" w:cs="Times New Roman" w:eastAsia="Times New Roman" w:hAnsi="Times New Roman"/>
          <w:sz w:val="18"/>
          <w:szCs w:val="18"/>
          <w:color w:val="auto"/>
        </w:rPr>
        <w:t>Event, then the Calculation Agent shall have the right to adjust, in good faith and in a commercially reasonable manner, any variable relevant to the exercise, settlement or payment for the Transaction as appropriate to reflect the commercially reasonable costs (including, but not limited to, hedging mismatches and market losses) and expenses incurred by Dealer in connection with its commercially reasonable hedging activities as a result of such event or condition not having been publicly announced prior to the beginning of such period; and</w:t>
      </w:r>
    </w:p>
    <w:p>
      <w:pPr>
        <w:spacing w:after="0" w:line="200" w:lineRule="exact"/>
        <w:rPr>
          <w:sz w:val="20"/>
          <w:szCs w:val="20"/>
          <w:color w:val="auto"/>
        </w:rPr>
      </w:pPr>
    </w:p>
    <w:p>
      <w:pPr>
        <w:spacing w:after="0" w:line="20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1340" w:top="904" w:right="339" w:bottom="1440" w:gutter="0" w:footer="0" w:header="0"/>
          <w:type w:val="continuous"/>
        </w:sectPr>
      </w:pPr>
    </w:p>
    <w:bookmarkStart w:id="123" w:name="page124"/>
    <w:bookmarkEnd w:id="123"/>
    <w:p>
      <w:pPr>
        <w:jc w:val="both"/>
        <w:ind w:left="3960" w:hanging="579"/>
        <w:spacing w:after="0" w:line="253" w:lineRule="auto"/>
        <w:tabs>
          <w:tab w:leader="none" w:pos="394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 w:cs="Times New Roman" w:eastAsia="Times New Roman" w:hAnsi="Times New Roman"/>
          <w:sz w:val="18"/>
          <w:szCs w:val="18"/>
          <w:b w:val="1"/>
          <w:b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Adjustment Event Change</w:t>
      </w:r>
      <w:r>
        <w:rPr>
          <w:rFonts w:ascii="Times New Roman" w:cs="Times New Roman" w:eastAsia="Times New Roman" w:hAnsi="Times New Roman"/>
          <w:sz w:val="18"/>
          <w:szCs w:val="18"/>
          <w:color w:val="auto"/>
        </w:rPr>
        <w:t>”) then, in each case, the Calculation Agent shall have the right to adjust,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good faith and in a commercially reasonable manner, any variable relevant to the exercise, settlement or payment for the Transaction as appropriate to reflect the commercially reasonable costs (including, but not limited to, hedging mismatches and market losses) and commercially reasonable expenses incurred by Dealer in connection with its commercially reasonable hedging activities as a result of such Potential Adjustment Event Change.</w:t>
      </w:r>
    </w:p>
    <w:p>
      <w:pPr>
        <w:sectPr>
          <w:pgSz w:w="11900" w:h="16838" w:orient="portrait"/>
          <w:cols w:equalWidth="0" w:num="1">
            <w:col w:w="11240"/>
          </w:cols>
          <w:pgMar w:left="320" w:top="904" w:right="339" w:bottom="1440" w:gutter="0" w:footer="0" w:header="0"/>
        </w:sectPr>
      </w:pPr>
    </w:p>
    <w:p>
      <w:pPr>
        <w:spacing w:after="0" w:line="1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Dilution Adjustment</w:t>
      </w:r>
    </w:p>
    <w:p>
      <w:pPr>
        <w:spacing w:after="0" w:line="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Provisions: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Sections 5.05(A)(i), (ii), (iii), (iv) and (v) and Section 5.05(H) of the Indenture.</w:t>
      </w:r>
    </w:p>
    <w:p>
      <w:pPr>
        <w:spacing w:after="0" w:line="445"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Extraordinary Events applicable to the Transaction: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Merger Events:</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Section 12.1(b) of the Equity Definitions, a “Merger Event”</w:t>
            </w:r>
          </w:p>
        </w:tc>
      </w:tr>
      <w:tr>
        <w:trPr>
          <w:trHeight w:val="216"/>
        </w:trPr>
        <w:tc>
          <w:tcPr>
            <w:tcW w:w="2740" w:type="dxa"/>
            <w:vAlign w:val="bottom"/>
          </w:tcPr>
          <w:p>
            <w:pPr>
              <w:spacing w:after="0"/>
              <w:rPr>
                <w:sz w:val="18"/>
                <w:szCs w:val="18"/>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means the occurrence of any event or condition set forth in the definition of “Common Stock Change Event”</w:t>
            </w:r>
          </w:p>
        </w:tc>
      </w:tr>
      <w:tr>
        <w:trPr>
          <w:trHeight w:val="234"/>
        </w:trPr>
        <w:tc>
          <w:tcPr>
            <w:tcW w:w="2740" w:type="dxa"/>
            <w:vAlign w:val="bottom"/>
          </w:tcPr>
          <w:p>
            <w:pPr>
              <w:spacing w:after="0"/>
              <w:rPr>
                <w:sz w:val="20"/>
                <w:szCs w:val="20"/>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 Section 5.09(A) of the Indenture.</w:t>
            </w:r>
          </w:p>
        </w:tc>
      </w:tr>
      <w:tr>
        <w:trPr>
          <w:trHeight w:val="414"/>
        </w:trPr>
        <w:tc>
          <w:tcPr>
            <w:tcW w:w="27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Tender Offers:</w:t>
            </w: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 xml:space="preserve">Applicable;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notwithstanding Section 12.1(d) of the Equity Definitions, a “Tender Offer” means</w:t>
            </w:r>
          </w:p>
        </w:tc>
      </w:tr>
      <w:tr>
        <w:trPr>
          <w:trHeight w:val="234"/>
        </w:trPr>
        <w:tc>
          <w:tcPr>
            <w:tcW w:w="2740" w:type="dxa"/>
            <w:vAlign w:val="bottom"/>
          </w:tcPr>
          <w:p>
            <w:pPr>
              <w:spacing w:after="0"/>
              <w:rPr>
                <w:sz w:val="20"/>
                <w:szCs w:val="20"/>
                <w:color w:val="auto"/>
              </w:rPr>
            </w:pPr>
          </w:p>
        </w:tc>
        <w:tc>
          <w:tcPr>
            <w:tcW w:w="8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occurrence of any event or condition set forth in Section 5.05(A)(v) of the Indenture.</w:t>
            </w:r>
          </w:p>
        </w:tc>
      </w:tr>
      <w:tr>
        <w:trPr>
          <w:trHeight w:val="648"/>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904"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Consequences of Merger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w:t>
      </w:r>
    </w:p>
    <w:p>
      <w:pPr>
        <w:spacing w:after="0" w:line="9" w:lineRule="exact"/>
        <w:rPr>
          <w:sz w:val="20"/>
          <w:szCs w:val="20"/>
          <w:color w:val="auto"/>
        </w:rPr>
      </w:pPr>
    </w:p>
    <w:p>
      <w:pPr>
        <w:jc w:val="both"/>
        <w:ind w:left="2360" w:hanging="2359"/>
        <w:spacing w:after="0" w:line="250" w:lineRule="auto"/>
        <w:tabs>
          <w:tab w:leader="none" w:pos="2340" w:val="left"/>
        </w:tabs>
        <w:rPr>
          <w:sz w:val="20"/>
          <w:szCs w:val="20"/>
          <w:color w:val="auto"/>
        </w:rPr>
      </w:pPr>
      <w:r>
        <w:rPr>
          <w:rFonts w:ascii="Times New Roman" w:cs="Times New Roman" w:eastAsia="Times New Roman" w:hAnsi="Times New Roman"/>
          <w:sz w:val="18"/>
          <w:szCs w:val="18"/>
          <w:color w:val="auto"/>
        </w:rPr>
        <w:t> Tender Offers:</w:t>
      </w:r>
      <w:r>
        <w:rPr>
          <w:sz w:val="20"/>
          <w:szCs w:val="20"/>
          <w:color w:val="auto"/>
        </w:rPr>
        <w:tab/>
      </w:r>
      <w:r>
        <w:rPr>
          <w:rFonts w:ascii="Times New Roman" w:cs="Times New Roman" w:eastAsia="Times New Roman" w:hAnsi="Times New Roman"/>
          <w:sz w:val="18"/>
          <w:szCs w:val="18"/>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including, without limitation, to the extent any depositary receipts constitute “Reference Property” under, and as defined in, the Indenture), Strike Price, Number of Options, Option Entitlement and any other variable relevant to the exercise, settlement or payment for the Transaction, subject to the second paragraph under “Method of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adjustment shall be made without regard to any adjustment to the “Conversion Rate” (as defined in the Indenture) pursuant to any Excluded Provision;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if, with respect to any Merger Event or any Tender Offer, (i) (A) the consideration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includes (or, at the option of a holder of Shares, may include) shares (or depositary receipts with respect to shares) of an entity or person that is either (1) neither a corporation nor an entity that is treated as a corporation for U.S. federal income tax purposes or (2) not organized under the laws of the United States, any State thereof or the District of Columbia or (B) Counterparty to the Transaction following such Merger Event or Tender Offer will not be either a corporation or an entity that is treated as a corporation for U.S. federal income tax purposes or will not be organized under the laws of the United States, any State thereof or the District of Columbia and (ii) (A) Dealer determines in a commercially reasonable manner at any time following the occurrence of such Merger Event or Tender Offer that (x) such Merger Event or Tender Offer has had or will have an adverse effect on Dealer under the Transaction or (y) Dealer will incur or has incurred an increased (as compared with circumstances existing on the Trade Date) amount of tax, duty, expense or fee to (1) acquire, establish, re-establish, substitute, maintain, unwind or dispose of any transaction(s) or asset(s) it deems necessary or appropriate to hedge the economic risk of entering into and performing its obligations with respect to the Transaction in a commercially reasonable manner or</w:t>
      </w:r>
    </w:p>
    <w:p>
      <w:pPr>
        <w:spacing w:after="0" w:line="9" w:lineRule="exact"/>
        <w:rPr>
          <w:sz w:val="20"/>
          <w:szCs w:val="20"/>
          <w:color w:val="auto"/>
        </w:rPr>
      </w:pPr>
    </w:p>
    <w:p>
      <w:pPr>
        <w:jc w:val="both"/>
        <w:ind w:left="2360" w:firstLine="3"/>
        <w:spacing w:after="0" w:line="252" w:lineRule="auto"/>
        <w:tabs>
          <w:tab w:leader="none" w:pos="26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realize, recover or remit the proceeds of any such transaction(s) or asset(s) or (B) Dealer determines, in its good faith and reasonable judgment, that it will not be in compliance with applicable legal, regulatory or self-regulatory requirements, or with related policies and procedures, applicable to Dealer, then, in either case, Cancellation and Payment (Calculation Agent Determination) may apply at Dealer’s commercially reasonable election;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avoidance of doubt, adjustments shall be made pursuant to the provisions set forth above regardless of whether any Merger Event or Tender Offer gives rise to an Early Conversion.</w:t>
      </w:r>
    </w:p>
    <w:p>
      <w:pPr>
        <w:spacing w:after="0" w:line="200" w:lineRule="exact"/>
        <w:rPr>
          <w:sz w:val="20"/>
          <w:szCs w:val="20"/>
          <w:color w:val="auto"/>
        </w:rPr>
      </w:pP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1340" w:top="904"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8"/>
        </w:trPr>
        <w:tc>
          <w:tcPr>
            <w:tcW w:w="30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Consequences of</w:t>
            </w: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Modified Calculation Agent Adjustment as set forth in Section 12.3(d) of the Equity Definitions; </w:t>
            </w:r>
            <w:r>
              <w:rPr>
                <w:rFonts w:ascii="Times New Roman" w:cs="Times New Roman" w:eastAsia="Times New Roman" w:hAnsi="Times New Roman"/>
                <w:sz w:val="18"/>
                <w:szCs w:val="18"/>
                <w:i w:val="1"/>
                <w:iCs w:val="1"/>
                <w:color w:val="auto"/>
              </w:rPr>
              <w:t>provided</w:t>
            </w:r>
          </w:p>
        </w:tc>
      </w:tr>
      <w:tr>
        <w:trPr>
          <w:trHeight w:val="216"/>
        </w:trPr>
        <w:tc>
          <w:tcPr>
            <w:tcW w:w="30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Announcement Events:</w:t>
            </w: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that, in respect of an Announcement Event, (x) references to “Tender Offer” shall be replaced by references</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“Announcement Event” and references to “Tender Offer Date” shall be replaced by references to “date of</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such Announcement Event”, (y) the phrase “exercise, settlement, payment or any other terms of the</w:t>
            </w:r>
          </w:p>
        </w:tc>
      </w:tr>
      <w:tr>
        <w:trPr>
          <w:trHeight w:val="214"/>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(including, without limitation, the spread)” shall be replaced with the phrase “Cap Price</w:t>
            </w:r>
          </w:p>
        </w:tc>
      </w:tr>
      <w:tr>
        <w:trPr>
          <w:trHeight w:val="218"/>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less than the Strike Price)” and the words “whether within a</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commercially reasonable (as determined by the Calculation Agent) period of time prior to or after the</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Announcement Event,” shall be inserted prior to the word “which” in the seventh line, and (z) for the</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avoidance of doubt, the Calculation Agent shall determine whether the relevant Announcement Event has</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had an economic effect on the Transaction (and, if so, shall, acting in good faith and in a commercially</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reasonable manner, adjust the Cap Price accordingly) on one or more occasions on or after the date of the</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Announcement Event up to, and including, the Expiration Date, any Early Termination Date and/or any</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date of cancellation (and, for the avoidance of doubt, shall make such adjustment to take into account</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cumulative effect on the Expiration Date, any Early Termination Date and/or any other date of</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cancellation), it being understood that any adjustment in respect of an Announcement Event shall take into</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 any earlier adjustment relating to the same Announcement Event. An Announcement Event shall be</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 “Extraordinary Event” for purposes of the Equity Definitions, to which Article 12 of the Equity</w:t>
            </w:r>
          </w:p>
        </w:tc>
      </w:tr>
      <w:tr>
        <w:trPr>
          <w:trHeight w:val="234"/>
        </w:trPr>
        <w:tc>
          <w:tcPr>
            <w:tcW w:w="3040" w:type="dxa"/>
            <w:vAlign w:val="bottom"/>
          </w:tcPr>
          <w:p>
            <w:pPr>
              <w:spacing w:after="0"/>
              <w:rPr>
                <w:sz w:val="20"/>
                <w:szCs w:val="20"/>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Definitions is applicable.</w:t>
            </w:r>
          </w:p>
        </w:tc>
      </w:tr>
      <w:tr>
        <w:trPr>
          <w:trHeight w:val="414"/>
        </w:trPr>
        <w:tc>
          <w:tcPr>
            <w:tcW w:w="30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Announcement Event:</w:t>
            </w: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 The public announcement by Issuer, any subsidiary of Issuer, any agent of Issuer, any Valid Third Party</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Entity or any agent of a Valid Third Party Entity of (x) any transaction or event that, if completed, would</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constitute a Merger Event or Tender Offer, (y) any potential acquisition or disposition by Issuer and/or its</w:t>
            </w:r>
          </w:p>
        </w:tc>
      </w:tr>
      <w:tr>
        <w:trPr>
          <w:trHeight w:val="212"/>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 where the aggregate consideration exceeds 35% of the market capitalization of Issuer as of the</w:t>
            </w:r>
          </w:p>
        </w:tc>
      </w:tr>
      <w:tr>
        <w:trPr>
          <w:trHeight w:val="220"/>
        </w:trPr>
        <w:tc>
          <w:tcPr>
            <w:tcW w:w="3040" w:type="dxa"/>
            <w:vAlign w:val="bottom"/>
          </w:tcPr>
          <w:p>
            <w:pPr>
              <w:spacing w:after="0"/>
              <w:rPr>
                <w:sz w:val="19"/>
                <w:szCs w:val="19"/>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 of such announcement (a “</w:t>
            </w:r>
            <w:r>
              <w:rPr>
                <w:rFonts w:ascii="Times New Roman" w:cs="Times New Roman" w:eastAsia="Times New Roman" w:hAnsi="Times New Roman"/>
                <w:sz w:val="18"/>
                <w:szCs w:val="18"/>
                <w:b w:val="1"/>
                <w:bCs w:val="1"/>
                <w:color w:val="auto"/>
              </w:rPr>
              <w:t>Transformative Transaction</w:t>
            </w:r>
            <w:r>
              <w:rPr>
                <w:rFonts w:ascii="Times New Roman" w:cs="Times New Roman" w:eastAsia="Times New Roman" w:hAnsi="Times New Roman"/>
                <w:sz w:val="18"/>
                <w:szCs w:val="18"/>
                <w:color w:val="auto"/>
              </w:rPr>
              <w:t>”) or (z) the intention to enter into a Merger</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Event or Tender Offer or a Transformative Transaction, (ii) the public announcement by Issuer of an</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intention to solicit or enter into, or to explore strategic alternatives or other similar undertaking that, if</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completed, would constitute a Merger Event, Tender Offer or Transformative Transaction or (iii) any</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subsequent public announcement by any entity with respect to a transaction or intention that is the subject of</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 announcement of the type described in clause (i) or (ii) of this sentence (including, without limitation, a</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announcement, whether or not by the same party, relating to such a transaction or intention or the</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announcement of a withdrawal from, or the abandonment or discontinuation of, such a transaction or</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intention), as determined by the Calculation Agent in a commercially reasonable manner. For the avoidance</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doubt, the occurrence of an Announcement Event with respect to any transaction or intention shall not</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preclude the occurrence of a later Announcement Event with respect to such transaction or intention. For</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purposes of this definition of “Announcement Event,” (A) “Merger Event” shall mean such term as defined</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Section 12.1(b) of the Equity Definitions (but, for the avoidance of doubt, the remainder of the</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definition of “Merger Event” in Section 12.1(b) of the Equity Definitions following the definition of</w:t>
            </w:r>
          </w:p>
        </w:tc>
      </w:tr>
      <w:tr>
        <w:trPr>
          <w:trHeight w:val="216"/>
        </w:trPr>
        <w:tc>
          <w:tcPr>
            <w:tcW w:w="3040" w:type="dxa"/>
            <w:vAlign w:val="bottom"/>
          </w:tcPr>
          <w:p>
            <w:pPr>
              <w:spacing w:after="0"/>
              <w:rPr>
                <w:sz w:val="18"/>
                <w:szCs w:val="18"/>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“Reverse Merger” therein shall be disregarded) and (B) “Tender Offer” shall mean such term as defined</w:t>
            </w:r>
          </w:p>
        </w:tc>
      </w:tr>
      <w:tr>
        <w:trPr>
          <w:trHeight w:val="234"/>
        </w:trPr>
        <w:tc>
          <w:tcPr>
            <w:tcW w:w="3040" w:type="dxa"/>
            <w:vAlign w:val="bottom"/>
          </w:tcPr>
          <w:p>
            <w:pPr>
              <w:spacing w:after="0"/>
              <w:rPr>
                <w:sz w:val="20"/>
                <w:szCs w:val="20"/>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under Section 12.1(d) of the Equity Definitions (as amended by Section 9(i)(ii) below).</w:t>
            </w:r>
          </w:p>
        </w:tc>
      </w:tr>
      <w:tr>
        <w:trPr>
          <w:trHeight w:val="648"/>
        </w:trPr>
        <w:tc>
          <w:tcPr>
            <w:tcW w:w="304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02"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Valid Third Party Entity:</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respect of any transaction, any third party that has a bona fide intent to enter into or consummate such</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as determined by the Calculation Agent (it being understood and agreed that in determining</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whether such third party has such a bona fide intent, the Calculation Agent shall take into consideration the</w:t>
            </w:r>
          </w:p>
        </w:tc>
      </w:tr>
      <w:tr>
        <w:trPr>
          <w:trHeight w:val="234"/>
        </w:trPr>
        <w:tc>
          <w:tcPr>
            <w:tcW w:w="3280" w:type="dxa"/>
            <w:vAlign w:val="bottom"/>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the relevant announcement by such third party on the Shares and/or options relating to the Shares).</w:t>
            </w:r>
          </w:p>
        </w:tc>
      </w:tr>
      <w:tr>
        <w:trPr>
          <w:trHeight w:val="414"/>
        </w:trPr>
        <w:tc>
          <w:tcPr>
            <w:tcW w:w="3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Nationalization, Insolvency or</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w:t>
            </w:r>
          </w:p>
        </w:tc>
      </w:tr>
      <w:tr>
        <w:trPr>
          <w:trHeight w:val="216"/>
        </w:trPr>
        <w:tc>
          <w:tcPr>
            <w:tcW w:w="3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Delisting:</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12.6(a)(iii) of the Equity Definitions, it will also constitute a Delisting if the Exchange is located in</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United States and the Shares are not immediately re-listed, re-traded or re-quoted on any of the New</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York Stock Exchange, The Nasdaq Global Select Market or The Nasdaq Global Market (or their respective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if the Shares are immediately re-listed, re-traded or re-quoted on any of the New York Stock</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The Nasdaq Global Select Market or The Nasdaq Global Market (or their respective successors),</w:t>
            </w:r>
          </w:p>
        </w:tc>
      </w:tr>
      <w:tr>
        <w:trPr>
          <w:trHeight w:val="234"/>
        </w:trPr>
        <w:tc>
          <w:tcPr>
            <w:tcW w:w="3280" w:type="dxa"/>
            <w:vAlign w:val="bottom"/>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exchange or quotation system shall thereafter be deemed to be the Exchange.</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               Additional Disruption Events:</w:t>
            </w:r>
          </w:p>
        </w:tc>
        <w:tc>
          <w:tcPr>
            <w:tcW w:w="7960" w:type="dxa"/>
            <w:vAlign w:val="bottom"/>
          </w:tcPr>
          <w:p>
            <w:pPr>
              <w:spacing w:after="0"/>
              <w:rPr>
                <w:sz w:val="24"/>
                <w:szCs w:val="24"/>
                <w:color w:val="auto"/>
              </w:rPr>
            </w:pPr>
          </w:p>
        </w:tc>
      </w:tr>
      <w:tr>
        <w:trPr>
          <w:trHeight w:val="414"/>
        </w:trPr>
        <w:tc>
          <w:tcPr>
            <w:tcW w:w="3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Change in Law:</w:t>
            </w: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xml:space="preserve">Applicable;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Section 12.9(a)(ii) of the Equity Definitions is hereby amended by (i) replacing the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phrase “the interpretation” in the third line thereof with the phrase “, or public announcement of, the formal</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informal interpretation”, (ii) replacing the word “Shares” where it appears in clause (X) thereof with the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words “Hedge Position” and (iii) replacing the parenthetical beginning after the word “regulation” in the</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second line thereof the words “(including, for the avoidance of doubt and without limitation, (x) any tax law</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(y) adoption, effectiveness or promulgation of new regulations authorized or mandated by existing</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statute)”. Notwithstanding anything to the contrary in the Equity Definitions, a Change in Law described in</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clause (Y) of Section 12.9(a)(ii) of the Equity Definitions shall not constitute a Change in Law and instead</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constitute an Increased Cost of Hedging as described in Section 12.9(a)(vi) of the Equity Definitions,</w:t>
            </w:r>
          </w:p>
        </w:tc>
      </w:tr>
      <w:tr>
        <w:trPr>
          <w:trHeight w:val="216"/>
        </w:trPr>
        <w:tc>
          <w:tcPr>
            <w:tcW w:w="3280" w:type="dxa"/>
            <w:vAlign w:val="bottom"/>
          </w:tcPr>
          <w:p>
            <w:pPr>
              <w:spacing w:after="0"/>
              <w:rPr>
                <w:sz w:val="18"/>
                <w:szCs w:val="18"/>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any such determination of a Change in Law shall be consistently applied by the Determining Party</w:t>
            </w:r>
          </w:p>
        </w:tc>
      </w:tr>
      <w:tr>
        <w:trPr>
          <w:trHeight w:val="234"/>
        </w:trPr>
        <w:tc>
          <w:tcPr>
            <w:tcW w:w="3280" w:type="dxa"/>
            <w:vAlign w:val="bottom"/>
          </w:tcPr>
          <w:p>
            <w:pPr>
              <w:spacing w:after="0"/>
              <w:rPr>
                <w:sz w:val="20"/>
                <w:szCs w:val="20"/>
                <w:color w:val="auto"/>
              </w:rPr>
            </w:pPr>
          </w:p>
        </w:tc>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across transactions similar to the Transaction and for counterparties similar to Counterparty.</w:t>
            </w:r>
          </w:p>
        </w:tc>
      </w:tr>
      <w:tr>
        <w:trPr>
          <w:trHeight w:val="648"/>
        </w:trPr>
        <w:tc>
          <w:tcPr>
            <w:tcW w:w="328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904"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Failure to Deliver:</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Hedging Disruption:</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414"/>
        </w:trPr>
        <w:tc>
          <w:tcPr>
            <w:tcW w:w="216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12.9(a)(v) of the Equity Definitions is hereby amended by inserting the following two</w:t>
            </w:r>
          </w:p>
        </w:tc>
      </w:tr>
      <w:tr>
        <w:trPr>
          <w:trHeight w:val="234"/>
        </w:trPr>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phrases at the end of such Section:</w:t>
            </w:r>
          </w:p>
        </w:tc>
      </w:tr>
      <w:tr>
        <w:trPr>
          <w:trHeight w:val="414"/>
        </w:trPr>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the avoidance of doubt, the term “equity price risk” shall be deemed to include, but shall not be</w:t>
            </w: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 to, stock price and volatility risk. And, for the further avoidance of doubt, any such</w:t>
            </w: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 or assets referred to in phrases (A) or (B) above must be available on commercially</w:t>
            </w:r>
          </w:p>
        </w:tc>
      </w:tr>
      <w:tr>
        <w:trPr>
          <w:trHeight w:val="234"/>
        </w:trPr>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reasonable pricing terms.”; and</w:t>
            </w:r>
          </w:p>
        </w:tc>
      </w:tr>
      <w:tr>
        <w:trPr>
          <w:trHeight w:val="414"/>
        </w:trPr>
        <w:tc>
          <w:tcPr>
            <w:tcW w:w="216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(ii)</w:t>
            </w: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Section 12.9(b)(iii) of the Equity Definitions is hereby amended by inserting in the third line thereof,</w:t>
            </w: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the words “to terminate the Transaction”, the words “or, if a portion of the Transaction is</w:t>
            </w:r>
          </w:p>
        </w:tc>
      </w:tr>
      <w:tr>
        <w:trPr>
          <w:trHeight w:val="216"/>
        </w:trPr>
        <w:tc>
          <w:tcPr>
            <w:tcW w:w="2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affected by such Hedging Disruption (as commercially reasonably determined by the Hedging</w:t>
            </w:r>
          </w:p>
        </w:tc>
      </w:tr>
      <w:tr>
        <w:trPr>
          <w:trHeight w:val="234"/>
        </w:trPr>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Party), such portion of the Transaction affected by such Hedging Disruption”.</w:t>
            </w:r>
          </w:p>
        </w:tc>
      </w:tr>
      <w:tr>
        <w:trPr>
          <w:trHeight w:val="414"/>
        </w:trPr>
        <w:tc>
          <w:tcPr>
            <w:tcW w:w="2160" w:type="dxa"/>
            <w:vAlign w:val="bottom"/>
          </w:tcPr>
          <w:p>
            <w:pPr>
              <w:spacing w:after="0"/>
              <w:rPr>
                <w:sz w:val="24"/>
                <w:szCs w:val="24"/>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Notwithstanding anything to the contrary herein or in the Equity Definitions, in no event will a Hedging</w:t>
            </w:r>
          </w:p>
        </w:tc>
      </w:tr>
      <w:tr>
        <w:trPr>
          <w:trHeight w:val="234"/>
        </w:trPr>
        <w:tc>
          <w:tcPr>
            <w:tcW w:w="2160" w:type="dxa"/>
            <w:vAlign w:val="bottom"/>
          </w:tcPr>
          <w:p>
            <w:pPr>
              <w:spacing w:after="0"/>
              <w:rPr>
                <w:sz w:val="20"/>
                <w:szCs w:val="20"/>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Disruption occur solely due to the deterioration of the creditworthiness of the Hedging Party.</w:t>
            </w: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Increased Cost of Hedging:</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 Section 12.9(a)(ii) of the</w:t>
            </w:r>
          </w:p>
        </w:tc>
      </w:tr>
      <w:tr>
        <w:trPr>
          <w:trHeight w:val="216"/>
        </w:trPr>
        <w:tc>
          <w:tcPr>
            <w:tcW w:w="2160" w:type="dxa"/>
            <w:vAlign w:val="bottom"/>
          </w:tcPr>
          <w:p>
            <w:pPr>
              <w:spacing w:after="0"/>
              <w:rPr>
                <w:sz w:val="18"/>
                <w:szCs w:val="18"/>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Equity Definitions as set forth in the last sentence opposite the caption “Change in Law” above (which</w:t>
            </w:r>
          </w:p>
        </w:tc>
      </w:tr>
      <w:tr>
        <w:trPr>
          <w:trHeight w:val="216"/>
        </w:trPr>
        <w:tc>
          <w:tcPr>
            <w:tcW w:w="2160" w:type="dxa"/>
            <w:vAlign w:val="bottom"/>
          </w:tcPr>
          <w:p>
            <w:pPr>
              <w:spacing w:after="0"/>
              <w:rPr>
                <w:sz w:val="18"/>
                <w:szCs w:val="18"/>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determination shall be consistently applied by the Determining Party across transactions similar to the</w:t>
            </w:r>
          </w:p>
        </w:tc>
      </w:tr>
      <w:tr>
        <w:trPr>
          <w:trHeight w:val="234"/>
        </w:trPr>
        <w:tc>
          <w:tcPr>
            <w:tcW w:w="2160" w:type="dxa"/>
            <w:vAlign w:val="bottom"/>
          </w:tcPr>
          <w:p>
            <w:pPr>
              <w:spacing w:after="0"/>
              <w:rPr>
                <w:sz w:val="20"/>
                <w:szCs w:val="20"/>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and for counterparties similar to Counterparty).</w:t>
            </w: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Hedging Party:</w:t>
            </w: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 all applicable Additional Disruption Events, Dealer. Following any determination by the Hedging Party</w:t>
            </w:r>
          </w:p>
        </w:tc>
      </w:tr>
      <w:tr>
        <w:trPr>
          <w:trHeight w:val="234"/>
        </w:trPr>
        <w:tc>
          <w:tcPr>
            <w:tcW w:w="2160" w:type="dxa"/>
            <w:vAlign w:val="bottom"/>
          </w:tcPr>
          <w:p>
            <w:pPr>
              <w:spacing w:after="0"/>
              <w:rPr>
                <w:sz w:val="20"/>
                <w:szCs w:val="20"/>
                <w:color w:val="auto"/>
              </w:rPr>
            </w:pPr>
          </w:p>
        </w:tc>
        <w:tc>
          <w:tcPr>
            <w:tcW w:w="8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hereunder, upon a request by Counterparty, the Hedging Party shall promptly (but in any event within five</w:t>
            </w:r>
          </w:p>
        </w:tc>
      </w:tr>
    </w:tbl>
    <w:p>
      <w:pPr>
        <w:jc w:val="both"/>
        <w:ind w:left="2360"/>
        <w:spacing w:after="0" w:line="251" w:lineRule="auto"/>
        <w:rPr>
          <w:sz w:val="20"/>
          <w:szCs w:val="20"/>
          <w:color w:val="auto"/>
        </w:rPr>
      </w:pPr>
      <w:r>
        <w:rPr>
          <w:rFonts w:ascii="Times New Roman" w:cs="Times New Roman" w:eastAsia="Times New Roman" w:hAnsi="Times New Roman"/>
          <w:sz w:val="18"/>
          <w:szCs w:val="18"/>
          <w:color w:val="auto"/>
        </w:rPr>
        <w:t>Exchange Business Days) provide to Counterparty by e-mail to the e-mail address provided by Counterparty in such request a report (in a commonly used file format for the storage and manipulation of financial data) displaying in reasonable detail the basis for such determination (including any assumptions used in making such determination), it being understood that the Hedging Party shall not be obligated to disclose any proprietary or confidential models used by it for such determination or any information that may be proprietary or confidential or subject to an obligation not to disclose such information. All calculations, adjustments and determinations by Dealer acting in its capacity as the Hedging Party shall be made in good faith and in a commercially reasonable manner and assuming that Dealer maintains a commercially reasonable hedge position.</w:t>
      </w: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20"/>
          </w:cols>
          <w:pgMar w:left="1340" w:top="904"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8"/>
        </w:trPr>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Determining Party:</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xml:space="preserve">For all applicable Extraordinary Events, Dealer; </w:t>
            </w:r>
            <w:r>
              <w:rPr>
                <w:rFonts w:ascii="Times New Roman" w:cs="Times New Roman" w:eastAsia="Times New Roman" w:hAnsi="Times New Roman"/>
                <w:sz w:val="18"/>
                <w:szCs w:val="18"/>
                <w:i w:val="1"/>
                <w:iCs w:val="1"/>
                <w:color w:val="auto"/>
                <w:w w:val="99"/>
              </w:rPr>
              <w:t>provided</w:t>
            </w:r>
            <w:r>
              <w:rPr>
                <w:rFonts w:ascii="Times New Roman" w:cs="Times New Roman" w:eastAsia="Times New Roman" w:hAnsi="Times New Roman"/>
                <w:sz w:val="18"/>
                <w:szCs w:val="18"/>
                <w:color w:val="auto"/>
                <w:w w:val="99"/>
              </w:rPr>
              <w:t xml:space="preserve"> that when making any determination or calculation</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“Determining Party,” Dealer shall be bound by the same obligations relating to required acts of the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Calculation Agent as set forth in Section 1.40 of the Equity Definitions and this Confirmation as if the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Determining Party were the Calculation Agent. Following any determination or calculation by the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Determining Party hereunder, upon a request by Counterparty, the Determining Party shall promptly (but in</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any event within five Exchange Business Days) provide to Counterparty by e-mail to the e-mail address</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provided by Counterparty in such request a report (in a commonly used file format for the storage and</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manipulation of financial data) displaying in reasonable detail the basis for such determination or calculation</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any assumptions used in making such determination or calculation), it being understood that the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Determining Party shall not be obligated to disclose any proprietary or confidential models used by it for</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such determination or calculation or any information that may be proprietary or confidential or subject to an</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 not to disclose such information. All calculations, adjustments and determinations by Dealer</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acting in its capacity as the Determining Party shall be made in good faith and in a commercially reasonable</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manner and assuming that Dealer maintains a commercially reasonable hedge position.</w:t>
            </w:r>
          </w:p>
        </w:tc>
      </w:tr>
      <w:tr>
        <w:trPr>
          <w:trHeight w:val="432"/>
        </w:trPr>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Non-Reliance:</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Agreements and</w:t>
            </w:r>
          </w:p>
        </w:tc>
        <w:tc>
          <w:tcPr>
            <w:tcW w:w="7940" w:type="dxa"/>
            <w:vAlign w:val="bottom"/>
          </w:tcPr>
          <w:p>
            <w:pPr>
              <w:spacing w:after="0"/>
              <w:rPr>
                <w:sz w:val="24"/>
                <w:szCs w:val="24"/>
                <w:color w:val="auto"/>
              </w:rPr>
            </w:pPr>
          </w:p>
        </w:tc>
      </w:tr>
      <w:tr>
        <w:trPr>
          <w:trHeight w:val="216"/>
        </w:trPr>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Acknowledgments</w:t>
            </w:r>
          </w:p>
        </w:tc>
        <w:tc>
          <w:tcPr>
            <w:tcW w:w="7940" w:type="dxa"/>
            <w:vAlign w:val="bottom"/>
          </w:tcPr>
          <w:p>
            <w:pPr>
              <w:spacing w:after="0"/>
              <w:rPr>
                <w:sz w:val="18"/>
                <w:szCs w:val="18"/>
                <w:color w:val="auto"/>
              </w:rPr>
            </w:pPr>
          </w:p>
        </w:tc>
      </w:tr>
      <w:tr>
        <w:trPr>
          <w:trHeight w:val="234"/>
        </w:trPr>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3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Hedging Adjustments:</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 the avoidance of doubt, whenever the Determining Party or Calculation Agent is called upon or</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permitted to make an adjustment pursuant to the terms of this Confirmation or the Equity Definitions to take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into account the effect of an event (other than, for the avoidance of doubt, any adjustment that is required to</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 made by reference to the Indenture), the Determining Party or Calculation Agent, as the case may be,</w:t>
            </w: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shall make such adjustment by reference to the effect of such event on Dealer assuming that Dealer</w:t>
            </w:r>
          </w:p>
        </w:tc>
      </w:t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maintains a commercially reasonable hedge position.</w:t>
            </w:r>
          </w:p>
        </w:tc>
      </w:tr>
      <w:tr>
        <w:trPr>
          <w:trHeight w:val="648"/>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902"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Calculation Agent.</w:t>
            </w: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Dealer, whose judgments, determinations and calculations shall be made in good faith and in a commercially</w:t>
            </w:r>
          </w:p>
        </w:tc>
      </w:tr>
      <w:tr>
        <w:trPr>
          <w:trHeight w:val="218"/>
        </w:trPr>
        <w:tc>
          <w:tcPr>
            <w:tcW w:w="5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occurrence and during the continuance of an Event of</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Default of the type described in Section 5(a)(vii) of the Agreement with respect to which Dealer is the sole</w:t>
            </w:r>
          </w:p>
        </w:tc>
      </w:tr>
    </w:tbl>
    <w:p>
      <w:pPr>
        <w:jc w:val="both"/>
        <w:ind w:left="3380"/>
        <w:spacing w:after="0" w:line="251" w:lineRule="auto"/>
        <w:rPr>
          <w:sz w:val="20"/>
          <w:szCs w:val="20"/>
          <w:color w:val="auto"/>
        </w:rPr>
      </w:pPr>
      <w:r>
        <w:rPr>
          <w:rFonts w:ascii="Times New Roman" w:cs="Times New Roman" w:eastAsia="Times New Roman" w:hAnsi="Times New Roman"/>
          <w:sz w:val="18"/>
          <w:szCs w:val="18"/>
          <w:color w:val="auto"/>
        </w:rPr>
        <w:t>Defaulting Party, if the Calculation Agent fails to timely make any calculation, adjustment or determination required to be made by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 Following any determination, adjustment or calculation by the Calculation Agent hereunder, upon a request by Counterparty, the Calculation Agent shall promptly (but in any event within five Exchange Business Days) provide to Counterparty by e-mail to the e-mail address provided by Counterparty in such request a report (in a commonly used file format for the storage and manipulation of financial data) displaying in reasonable detail the basis for such determination, adjustment or calculation (including any assumptions used in making such determination or calculation), it being understood that the Calculation Agent shall not be obligated to disclose any proprietary or confidential models used by it for such determination or calculation or any information that may be proprietary or confidential or subject to an obligation not to disclose such information.</w:t>
      </w:r>
    </w:p>
    <w:p>
      <w:pPr>
        <w:spacing w:after="0" w:line="191" w:lineRule="exact"/>
        <w:rPr>
          <w:sz w:val="20"/>
          <w:szCs w:val="20"/>
          <w:color w:val="auto"/>
        </w:rPr>
      </w:pPr>
    </w:p>
    <w:p>
      <w:pPr>
        <w:jc w:val="both"/>
        <w:ind w:left="3380"/>
        <w:spacing w:after="0" w:line="258" w:lineRule="auto"/>
        <w:rPr>
          <w:sz w:val="20"/>
          <w:szCs w:val="20"/>
          <w:color w:val="auto"/>
        </w:rPr>
      </w:pPr>
      <w:r>
        <w:rPr>
          <w:rFonts w:ascii="Times New Roman" w:cs="Times New Roman" w:eastAsia="Times New Roman" w:hAnsi="Times New Roman"/>
          <w:sz w:val="18"/>
          <w:szCs w:val="18"/>
          <w:color w:val="auto"/>
        </w:rPr>
        <w:t>Dealer, whether as Calculation Agent, Hedging Party, Determining Party or otherwise, shall use commercially reasonable efforts to notify Counterparty of any event giving rise to any adjustment required or, to the extent it makes any such adjustment, permitted to be made to the terms of the Transaction, the terms being adjusted and, for each term so adjusted, such term, in each case, as promptly as reasonably practicable after giving effect to such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Account Details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right="7100" w:hanging="644"/>
        <w:spacing w:after="0" w:line="50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payments to Counterparty: To be provided by Counterparty.</w:t>
      </w:r>
    </w:p>
    <w:p>
      <w:pPr>
        <w:spacing w:after="0" w:line="1" w:lineRule="exact"/>
        <w:rPr>
          <w:rFonts w:ascii="Times New Roman" w:cs="Times New Roman" w:eastAsia="Times New Roman" w:hAnsi="Times New Roman"/>
          <w:sz w:val="18"/>
          <w:szCs w:val="18"/>
          <w:color w:val="auto"/>
        </w:rPr>
      </w:pPr>
    </w:p>
    <w:p>
      <w:pPr>
        <w:ind w:left="1300" w:right="64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delivery of Shares to Counterparty: To be provided by Counterparty.</w:t>
      </w:r>
    </w:p>
    <w:p>
      <w:pPr>
        <w:spacing w:after="0" w:line="1" w:lineRule="exact"/>
        <w:rPr>
          <w:rFonts w:ascii="Times New Roman" w:cs="Times New Roman" w:eastAsia="Times New Roman" w:hAnsi="Times New Roman"/>
          <w:sz w:val="18"/>
          <w:szCs w:val="18"/>
          <w:color w:val="auto"/>
        </w:rPr>
      </w:pPr>
    </w:p>
    <w:p>
      <w:pPr>
        <w:jc w:val="both"/>
        <w:ind w:left="1300" w:right="7580" w:hanging="644"/>
        <w:spacing w:after="0" w:line="530"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 for payments to Dealer: To be provided by Counterparty.</w:t>
      </w:r>
    </w:p>
    <w:p>
      <w:pPr>
        <w:ind w:left="1300" w:right="6740"/>
        <w:spacing w:after="0" w:line="5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Account for delivery of Shares from Dealer: To be provided by Counterparty.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Offices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Dealer for the Transaction is: [_____]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Notices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Counterparty:</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Lucid Group, Inc.</w:t>
      </w:r>
    </w:p>
    <w:p>
      <w:pPr>
        <w:spacing w:after="0" w:line="27" w:lineRule="exact"/>
        <w:rPr>
          <w:rFonts w:ascii="Times New Roman" w:cs="Times New Roman" w:eastAsia="Times New Roman" w:hAnsi="Times New Roman"/>
          <w:sz w:val="18"/>
          <w:szCs w:val="18"/>
          <w:color w:val="auto"/>
        </w:rPr>
      </w:pPr>
    </w:p>
    <w:p>
      <w:pPr>
        <w:ind w:left="1300" w:right="81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7373 Gateway Boulevard Newark, CA 94560 Attention: [_____]</w:t>
      </w:r>
    </w:p>
    <w:p>
      <w:pPr>
        <w:spacing w:after="0" w:line="168" w:lineRule="exact"/>
        <w:rPr>
          <w:rFonts w:ascii="Times New Roman" w:cs="Times New Roman" w:eastAsia="Times New Roman" w:hAnsi="Times New Roman"/>
          <w:sz w:val="18"/>
          <w:szCs w:val="18"/>
          <w:color w:val="auto"/>
        </w:rPr>
      </w:pPr>
    </w:p>
    <w:p>
      <w:pPr>
        <w:ind w:left="1300" w:right="6340" w:hanging="644"/>
        <w:spacing w:after="0" w:line="498"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or communications to Dealer: [______]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Representations and Warranties of Counterparty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Counterparty hereby represents and warrants to Dealer on the date hereof and on and as of the Premium Payment Date that:</w:t>
      </w:r>
    </w:p>
    <w:p>
      <w:pPr>
        <w:spacing w:after="0" w:line="225" w:lineRule="exact"/>
        <w:rPr>
          <w:sz w:val="20"/>
          <w:szCs w:val="20"/>
          <w:color w:val="auto"/>
        </w:rPr>
      </w:pPr>
    </w:p>
    <w:p>
      <w:pPr>
        <w:jc w:val="both"/>
        <w:ind w:left="1300" w:hanging="644"/>
        <w:spacing w:after="0" w:line="254"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December 31, 2024,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consummation of the transactions contemplated hereby, will not be required to register as an “investment company” as such term is defined in the Investment Company Act of 1940,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ind w:left="644" w:hanging="644"/>
        <w:spacing w:after="0" w:line="28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an “eligible contract participant” (as such term is defined in Section 1a(18) of the Commodity Exchange Act, as amended, other than a person that is an eligible contract participant under Section 1a(18)(C) of the Commodity Exchange Act).</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date hereof, in possession of any material non-public information with respect to Counterparty or the Shares.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Counterparty’s actual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consulted with its own legal, regulatory, tax, business, investments, financial and accounting advisors with respect to the Transaction to the extent that it has deemed necessary; and (D) has total assets of at least USD 50 million.</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Counterparty do not constitute “plan assets” under the Employee Retirement Income Security Act of 1974, as amended, the Department of Labor Regulations promulgated thereunder or similar law.</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(E)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jc w:val="both"/>
        <w:ind w:left="644" w:firstLine="4"/>
        <w:spacing w:after="0" w:line="255" w:lineRule="auto"/>
        <w:tabs>
          <w:tab w:leader="none" w:pos="92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would be able to purchase the number of Shares with respect to the Transaction in compliance with the laws of the jurisdiction of Counterparty’s incorporation (including the adequate surplus and capital requirements of Sections 154 and 160 of the General Corporation Law of the State of Delaware).</w:t>
      </w:r>
    </w:p>
    <w:p>
      <w:pPr>
        <w:spacing w:after="0" w:line="185" w:lineRule="exact"/>
        <w:rPr>
          <w:rFonts w:ascii="Times New Roman" w:cs="Times New Roman" w:eastAsia="Times New Roman" w:hAnsi="Times New Roman"/>
          <w:sz w:val="18"/>
          <w:szCs w:val="18"/>
          <w:color w:val="auto"/>
        </w:rPr>
      </w:pPr>
    </w:p>
    <w:p>
      <w:pPr>
        <w:jc w:val="both"/>
        <w:ind w:left="644" w:hanging="644"/>
        <w:spacing w:after="0" w:line="268" w:lineRule="auto"/>
        <w:tabs>
          <w:tab w:leader="none" w:pos="6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 w:cs="Times New Roman" w:eastAsia="Times New Roman" w:hAnsi="Times New Roman"/>
          <w:sz w:val="17"/>
          <w:szCs w:val="17"/>
          <w:b w:val="1"/>
          <w:bCs w:val="1"/>
          <w:color w:val="auto"/>
        </w:rPr>
        <w:t>CARES Act</w:t>
      </w:r>
      <w:r>
        <w:rPr>
          <w:rFonts w:ascii="Times New Roman" w:cs="Times New Roman" w:eastAsia="Times New Roman" w:hAnsi="Times New Roman"/>
          <w:sz w:val="17"/>
          <w:szCs w:val="17"/>
          <w:color w:val="auto"/>
        </w:rPr>
        <w:t>”), Counterparty would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or the U.S. Department of Treasury for the purpose of providing liquidity to the financial system, and may be required to agree to similar restrictions under programs or facilities established in the future (collectively, “</w:t>
      </w:r>
      <w:r>
        <w:rPr>
          <w:rFonts w:ascii="Times New Roman" w:cs="Times New Roman" w:eastAsia="Times New Roman" w:hAnsi="Times New Roman"/>
          <w:sz w:val="17"/>
          <w:szCs w:val="17"/>
          <w:b w:val="1"/>
          <w:bCs w:val="1"/>
          <w:color w:val="auto"/>
        </w:rPr>
        <w:t>Governmental Financial Assistance</w:t>
      </w:r>
      <w:r>
        <w:rPr>
          <w:rFonts w:ascii="Times New Roman" w:cs="Times New Roman" w:eastAsia="Times New Roman" w:hAnsi="Times New Roman"/>
          <w:sz w:val="17"/>
          <w:szCs w:val="17"/>
          <w:color w:val="auto"/>
        </w:rPr>
        <w:t>”). Accordingly, Counterparty represents and warrants that it has not applied for, and has no present intention to apply for, Governmental Financial Assistance under any governmental program or facility that (a) is established under applicable law (whether in existence as of the Trade Date or subsequently enacted, adopted or amended), including without limitation the CARES Act or the Federal Reserve Act, as amended, and (b) requires under applicable law (or any regulation, guidance, interpretation or other pronouncement of a governmental authority with jurisdiction for such program or facility), as a condition of such Governmental Financial Assistance, that Counterparty agree, attest, certify or warrant that it has not, as of the date specified in such condition, repurchased, or will not repurchase, any equity security of Counterparty or that it has not, as of the date specified in such condition, made a capital distribution or will not make a capital distribution.</w:t>
      </w:r>
    </w:p>
    <w:p>
      <w:pPr>
        <w:spacing w:after="0" w:line="39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Other Provisions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left="1300" w:hanging="644"/>
        <w:spacing w:after="0" w:line="261"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Opinions</w:t>
      </w:r>
      <w:r>
        <w:rPr>
          <w:rFonts w:ascii="Times New Roman" w:cs="Times New Roman" w:eastAsia="Times New Roman" w:hAnsi="Times New Roman"/>
          <w:sz w:val="18"/>
          <w:szCs w:val="18"/>
          <w:color w:val="auto"/>
        </w:rPr>
        <w:t>. Counterparty shall deliver to Dealer an opinion of counsel, dated as of the Premium Payment Date, with respect to the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 forth in Sections 8(a) through (c) of this Confirmation;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opinion of counsel may contain customary exceptions and qualifications. Delivery of such opinion to Dealer shall be a condition precedent for the purpose of Section 2(a)(iii) of the Agreement with respect to each obligation of Dealer under Section 2(a)(i) of the Agreement.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45"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Repurchase Notices</w:t>
      </w:r>
      <w:r>
        <w:rPr>
          <w:rFonts w:ascii="Times New Roman" w:cs="Times New Roman" w:eastAsia="Times New Roman" w:hAnsi="Times New Roman"/>
          <w:sz w:val="18"/>
          <w:szCs w:val="18"/>
          <w:color w:val="auto"/>
        </w:rPr>
        <w:t>. Counterparty shall, on or prior to the date one Scheduled Trading Day immediately following any date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has effected any repurchase of Shares, promptly give Dealer a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on such day if following such repurchase, the number of outstanding Shares as determined on such day is (i) less than [__]</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million (in the case of the first such notice) or (ii) thereafter more than [__]</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million less than the number of Shares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repurchase of Shares pursuant to a plan under Rule 10b5-1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Counterparty may elect to satisfy such requirement by promptly giving Dealer written notice of the entry into such plan, the maximum number of Shares that may be repurchased thereunder and the approximate dates or periods during which such repurchases may occur (with such maximum number of Shares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expenses (including reasonable attorney’s fees),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7830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3" w:lineRule="exact"/>
        <w:rPr>
          <w:sz w:val="20"/>
          <w:szCs w:val="20"/>
          <w:color w:val="auto"/>
        </w:rPr>
      </w:pPr>
    </w:p>
    <w:p>
      <w:pPr>
        <w:ind w:right="20" w:firstLine="8"/>
        <w:spacing w:after="0" w:line="195" w:lineRule="auto"/>
        <w:tabs>
          <w:tab w:leader="none" w:pos="208"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the number of Shares outstanding that would cause the current position in the Shares underlying the Transaction of the Dealer with the highest Applicable Percentage (including the number of Shares underlying any additional transaction if the greenshoe is exercised in full) to increase by 0.5%.</w:t>
      </w:r>
    </w:p>
    <w:p>
      <w:pPr>
        <w:spacing w:after="0" w:line="24" w:lineRule="exact"/>
        <w:rPr>
          <w:rFonts w:ascii="Times New Roman" w:cs="Times New Roman" w:eastAsia="Times New Roman" w:hAnsi="Times New Roman"/>
          <w:sz w:val="30"/>
          <w:szCs w:val="30"/>
          <w:color w:val="auto"/>
          <w:vertAlign w:val="superscript"/>
        </w:rPr>
      </w:pPr>
    </w:p>
    <w:p>
      <w:pPr>
        <w:jc w:val="both"/>
        <w:ind w:firstLine="8"/>
        <w:spacing w:after="0" w:line="224" w:lineRule="auto"/>
        <w:tabs>
          <w:tab w:leader="none" w:pos="197" w:val="left"/>
        </w:tabs>
        <w:numPr>
          <w:ilvl w:val="0"/>
          <w:numId w:val="4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the number of Shares that, if repurchased, would cause the current position in the Shares underlying the Transaction of the Dealer with the highest Applicable Percentage (including the number of Shares underlying any additional transaction if the greenshoe is exercised in full) to increase by a further 0.5% from the threshold for the first Repurchase Notice.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both"/>
        <w:ind w:left="644" w:hanging="644"/>
        <w:spacing w:after="0" w:line="261"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w:t>
      </w:r>
      <w:r>
        <w:rPr>
          <w:rFonts w:ascii="Times New Roman" w:cs="Times New Roman" w:eastAsia="Times New Roman" w:hAnsi="Times New Roman"/>
          <w:sz w:val="18"/>
          <w:szCs w:val="18"/>
          <w:color w:val="auto"/>
        </w:rPr>
        <w:t>. Counterparty is not on the Trade Date engaged in a distribution, as such term is used in Regulation M under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any securities of Counterparty, other than a distribution meeting the requirements of the exception set forth in Rules 101(b) (10) and 102(b)(7) of Regulation M. Counterparty shall not, until the second Scheduled Trading Day immediately following the Effective Date, engage in any such distribution.</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7"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Manipulation</w:t>
      </w:r>
      <w:r>
        <w:rPr>
          <w:rFonts w:ascii="Times New Roman" w:cs="Times New Roman" w:eastAsia="Times New Roman" w:hAnsi="Times New Roman"/>
          <w:sz w:val="18"/>
          <w:szCs w:val="18"/>
          <w:color w:val="auto"/>
        </w:rPr>
        <w:t>. Counterparty is not entering into the Transaction to create actual or apparent trading activity in the Shares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convertible into or exchangeable for the Shares) or to raise or depress or otherwise manipulate the price of the Shares (or any security convertible into or exchangeable for the Shares) or otherwise in violation of the Exchange Act.</w:t>
      </w:r>
    </w:p>
    <w:p>
      <w:pPr>
        <w:spacing w:after="0" w:line="17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304" w:hanging="656"/>
        <w:spacing w:after="0" w:line="266" w:lineRule="auto"/>
        <w:tabs>
          <w:tab w:leader="none" w:pos="13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have the right to transfer or assign its rights and obligations hereunder with respect to all, but not less than all, of the Options hereunder (such Options,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transfer or assignment shall be subject to reasonable conditions that Dealer may impose, including but not limited to, the following conditions:</w:t>
      </w:r>
    </w:p>
    <w:p>
      <w:pPr>
        <w:spacing w:after="0" w:line="175"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9(b)‎ or any obligations under Section 9(m)‎ or 9(r)‎ of this Confirmation;</w:t>
      </w:r>
    </w:p>
    <w:p>
      <w:pPr>
        <w:spacing w:after="0" w:line="161" w:lineRule="exact"/>
        <w:rPr>
          <w:rFonts w:ascii="Times New Roman" w:cs="Times New Roman" w:eastAsia="Times New Roman" w:hAnsi="Times New Roman"/>
          <w:sz w:val="18"/>
          <w:szCs w:val="18"/>
          <w:color w:val="auto"/>
        </w:rPr>
      </w:pPr>
    </w:p>
    <w:p>
      <w:pPr>
        <w:ind w:left="1944" w:hanging="648"/>
        <w:spacing w:after="0" w:line="282" w:lineRule="auto"/>
        <w:tabs>
          <w:tab w:leader="none" w:pos="19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United States person (as defined in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944" w:hanging="648"/>
        <w:spacing w:after="0" w:line="258" w:lineRule="auto"/>
        <w:tabs>
          <w:tab w:leader="none" w:pos="19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183" w:lineRule="exact"/>
        <w:rPr>
          <w:rFonts w:ascii="Times New Roman" w:cs="Times New Roman" w:eastAsia="Times New Roman" w:hAnsi="Times New Roman"/>
          <w:sz w:val="18"/>
          <w:szCs w:val="18"/>
          <w:color w:val="auto"/>
        </w:rPr>
      </w:pPr>
    </w:p>
    <w:p>
      <w:pPr>
        <w:jc w:val="both"/>
        <w:ind w:left="1944" w:hanging="648"/>
        <w:spacing w:after="0" w:line="253" w:lineRule="auto"/>
        <w:tabs>
          <w:tab w:leader="none" w:pos="19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applicable law effective on or as of the date of such transfer and assignment, (1) Dealer will not, as a result of such transfer and assignment (including, for the avoidance of doubt, after giving effect to any indemnity from the transferee or assignee to Dealer provided in connection with such transfer or assignment), be required to pay the transferee on any payment date an amount under Section 2(d)(i)(4) of the Agreement greater than the amount that Dealer would have been required to pay to Counterparty in the absence of such transfer and assignment, except to the extent that the greater amount is due to a Change in Tax Law after the date of such transfer or assignment and</w:t>
      </w:r>
    </w:p>
    <w:p>
      <w:pPr>
        <w:spacing w:after="0" w:line="5" w:lineRule="exact"/>
        <w:rPr>
          <w:rFonts w:ascii="Times New Roman" w:cs="Times New Roman" w:eastAsia="Times New Roman" w:hAnsi="Times New Roman"/>
          <w:sz w:val="18"/>
          <w:szCs w:val="18"/>
          <w:color w:val="auto"/>
        </w:rPr>
      </w:pPr>
    </w:p>
    <w:p>
      <w:pPr>
        <w:jc w:val="both"/>
        <w:ind w:left="19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Dealer shall be entitled to a payment (including, for the avoidance of doubt, after giving effect to any indemnity from the transferee or assignee to Dealer provided in connection with such transfer or assignment), on any payment date, that is not less than the payment Dealer would have received in the absence of such transfer and/or assignment on account of any deduction or withholding for or on account of any Tax (as defined in the Agreement), except to the extent such deduction or withholding is due to a Change in Tax Law after the date of such transfer or assignment;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4" w:name="page135"/>
    <w:bookmarkEnd w:id="134"/>
    <w:p>
      <w:pPr>
        <w:ind w:left="1480" w:hanging="648"/>
        <w:spacing w:after="0" w:line="282" w:lineRule="auto"/>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and assignment;</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Counterparty shall cause the transferee to make such Payee Tax Representations and to provide such tax documentation as may be reasonably requested by Dealer to permit Dealer to determine that the results described in clauses (D)‎ and (E)‎ will not occur upon or after such transfer and assignment; and</w:t>
      </w:r>
    </w:p>
    <w:p>
      <w:pPr>
        <w:spacing w:after="0" w:line="179"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5" w:name="page136"/>
    <w:bookmarkEnd w:id="135"/>
    <w:p>
      <w:pPr>
        <w:jc w:val="both"/>
        <w:ind w:left="840" w:hanging="656"/>
        <w:spacing w:after="0" w:line="252" w:lineRule="auto"/>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may transfer or assign all or any part of its rights or obligations under the Transaction (A) without Counterparty’s consent, to any affiliate of Dealer (1) that has a long-term issuer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or (B) with Counterparty’s consent (such consent not to be unreasonably withheld or delayed), to any other third party with a long-term issuer rating equal to or better than the lesser of (1) the credit rating of Dealer at the time of the transfer and (2) A- by Standard and Poor’s Financial Services LLC or its successor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or A3 by Moody’s Investor Service, Inc. or its successor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xml:space="preserve">”) or, if either S&amp;P or Moody’s ceases to rate such debt, at least an equivalent rating or better by a substitute rating agency mutually agreed by Counterparty and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or assignment described in clause</w:t>
      </w:r>
    </w:p>
    <w:p>
      <w:pPr>
        <w:spacing w:after="0" w:line="6" w:lineRule="exact"/>
        <w:rPr>
          <w:rFonts w:ascii="Times New Roman" w:cs="Times New Roman" w:eastAsia="Times New Roman" w:hAnsi="Times New Roman"/>
          <w:sz w:val="18"/>
          <w:szCs w:val="18"/>
          <w:color w:val="auto"/>
        </w:rPr>
      </w:pPr>
    </w:p>
    <w:p>
      <w:pPr>
        <w:jc w:val="both"/>
        <w:ind w:left="8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(B) above, under the applicable law effective on or as of the date of such transfer or assignment, (i) no Event of Default, Potential Event of Default or Termination Event will occur as a result of such transfer or assignment, (ii) such transfer or assignment would not result in a taxable exchange from Counterparty’s perspective for U.S. federal income tax purposes, (iii)</w:t>
      </w:r>
    </w:p>
    <w:p>
      <w:pPr>
        <w:spacing w:after="0" w:line="1" w:lineRule="exact"/>
        <w:rPr>
          <w:rFonts w:ascii="Times New Roman" w:cs="Times New Roman" w:eastAsia="Times New Roman" w:hAnsi="Times New Roman"/>
          <w:sz w:val="18"/>
          <w:szCs w:val="18"/>
          <w:color w:val="auto"/>
        </w:rPr>
      </w:pPr>
    </w:p>
    <w:p>
      <w:pPr>
        <w:jc w:val="both"/>
        <w:ind w:left="8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Counterparty will not, as a result of such transfer or assignment (including, for the avoidance of doubt, after giving effect to any indemnity to Counterparty provided in connection with such transfer or assignment), be required to pay the transferee or assignee on any payment date an amount under Section 2(d)(i)(4) of the Agreement greater than the amount that Counterparty would have been required to pay to Dealer in the absence of such transfer or assignment, except to the extent that the greater amount is due to a Change in Tax Law after the date of such transfer or assignment and (2) Counterparty shall be entitled to a payment (including, for the avoidance of doubt, after giving effect to any indemnity to Counterparty provided in connection with such transfer or assignment), on any payment date, that is not less than the payment Counterparty would have received in the absence of such transfer and/or assignment on account of any deduction or withholding for or on account of any Tax (as defined in the Agreement), except to the extent such deduction or withholding is due to a Change in Tax Law after the date of such transfer or assignment. If at any time at which (A) the Section 16 Percentage exceeds 9.5%, (B) the Option Equity Percentage exceeds 14.5%, or (C) the Share Amount exceeds the Applicable Share Limit (if any applies) (any such condition described in clauses (A), (B) or (C), an “</w:t>
      </w:r>
      <w:r>
        <w:rPr>
          <w:rFonts w:ascii="Times New Roman" w:cs="Times New Roman" w:eastAsia="Times New Roman" w:hAnsi="Times New Roman"/>
          <w:sz w:val="18"/>
          <w:szCs w:val="18"/>
          <w:b w:val="1"/>
          <w:bCs w:val="1"/>
          <w:color w:val="auto"/>
        </w:rPr>
        <w:t>Excess Ownership Position</w:t>
      </w:r>
      <w:r>
        <w:rPr>
          <w:rFonts w:ascii="Times New Roman" w:cs="Times New Roman" w:eastAsia="Times New Roman" w:hAnsi="Times New Roman"/>
          <w:sz w:val="18"/>
          <w:szCs w:val="18"/>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9(k)‎ shall apply to any amount that is payable by Dealer to Counterparty pursuant to this sentence as if Counterparty was not the Affected Party).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 w:cs="Times New Roman" w:eastAsia="Times New Roman" w:hAnsi="Times New Roman"/>
          <w:sz w:val="18"/>
          <w:szCs w:val="18"/>
          <w:b w:val="1"/>
          <w:bCs w:val="1"/>
          <w:color w:val="auto"/>
        </w:rPr>
        <w:t>Option Equity Percentage</w:t>
      </w:r>
      <w:r>
        <w:rPr>
          <w:rFonts w:ascii="Times New Roman" w:cs="Times New Roman" w:eastAsia="Times New Roman" w:hAnsi="Times New Roman"/>
          <w:sz w:val="18"/>
          <w:szCs w:val="18"/>
          <w:color w:val="auto"/>
        </w:rPr>
        <w:t>” 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Dealer and any person whose ownership position would be aggregated with that of Dealer (Dealer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any law, rule, regulation, regulatory 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Dealer in its reasonable discretion. 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(except for any filing obligations on Form 13F, Schedule 13D or Schedule 13G under the Exchange Act, in each case, as in effect on the Trade Date) or other requirements (including obtaining prior approval from any person or entity) of a Dealer Person,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1% of the number of Shares outstanding. Dealer shall cause the transferee or assignee to make the Payee Tax Representations and to provide such tax documentation as may be reasonably requested by Counterparty to permit Counterparty to determine that the results described in (ii), (iii)(1) and (iii)(2) of this paragraph will not occur upon or after the transfer and assignment.</w:t>
      </w: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6" w:name="page137"/>
    <w:bookmarkEnd w:id="136"/>
    <w:p>
      <w:pPr>
        <w:jc w:val="both"/>
        <w:ind w:left="1960" w:hanging="656"/>
        <w:spacing w:after="0" w:line="254" w:lineRule="auto"/>
        <w:tabs>
          <w:tab w:leader="none" w:pos="1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Counterparty shall be entitled to a payment, on any payment date, that is not, after giving effect to any amounts paid under Section 2(d)(i)(4) of the Agreement, less than the payment Counterparty would have received in the absence of such designation on account of any deduction or withholding for or on account of any Tax (as defined in the Agreement), except to the extent such deduction or withholding results from a Change in Tax Law occurring after the date of such designation. Dealer shall be discharged of its obligations to Counterparty to the extent of any such performance.</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Staggered Settlement</w:t>
      </w:r>
      <w:r>
        <w:rPr>
          <w:rFonts w:ascii="Times New Roman" w:cs="Times New Roman" w:eastAsia="Times New Roman" w:hAnsi="Times New Roman"/>
          <w:sz w:val="18"/>
          <w:szCs w:val="18"/>
          <w:color w:val="auto"/>
        </w:rPr>
        <w:t>. If upon advice of counsel with respect to applicable legal and regulatory requirements, including any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Dealer’s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the Shares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as follows:</w:t>
      </w:r>
    </w:p>
    <w:p>
      <w:pPr>
        <w:spacing w:after="0" w:line="18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will be on or prior to such Nominal Settlement Date) and the number of Shares that it will deliver on each Staggered Settlement Date;</w:t>
      </w:r>
    </w:p>
    <w:p>
      <w:pPr>
        <w:spacing w:after="0" w:line="162" w:lineRule="exact"/>
        <w:rPr>
          <w:sz w:val="20"/>
          <w:szCs w:val="20"/>
          <w:color w:val="auto"/>
        </w:rPr>
      </w:pPr>
    </w:p>
    <w:p>
      <w:pPr>
        <w:ind w:left="1960" w:right="20" w:hanging="656"/>
        <w:spacing w:after="0" w:line="282"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that Dealer will deliver to Counterparty hereunder on all such Staggered Settlement Dates will equal the number of Shares that Dealer would otherwise be required to deliver on such Nominal Settlement Date;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Share Settlement terms or the Combination Settlement terms set forth above were to apply on the Nominal Settlement Date, then the Net Share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spacing w:after="0" w:line="17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Insert any Dealer Agency Language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Additional Termination Events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Confirmation, upon any Early Conversion in respect of which a notice of conversion under the Indenture that is effective as to Counterparty has been delivered by the relevant converting Holder:</w:t>
      </w:r>
    </w:p>
    <w:p>
      <w:pPr>
        <w:spacing w:after="0" w:line="161" w:lineRule="exact"/>
        <w:rPr>
          <w:rFonts w:ascii="Times New Roman" w:cs="Times New Roman" w:eastAsia="Times New Roman" w:hAnsi="Times New Roman"/>
          <w:sz w:val="18"/>
          <w:szCs w:val="18"/>
          <w:color w:val="auto"/>
        </w:rPr>
      </w:pPr>
    </w:p>
    <w:p>
      <w:pPr>
        <w:jc w:val="both"/>
        <w:ind w:left="2580" w:hanging="628"/>
        <w:spacing w:after="0" w:line="256" w:lineRule="auto"/>
        <w:tabs>
          <w:tab w:leader="none" w:pos="25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within ten Scheduled Trading Days of the Conversion Date for such Early Conversion, provide written notice (an “</w:t>
      </w:r>
      <w:r>
        <w:rPr>
          <w:rFonts w:ascii="Times New Roman" w:cs="Times New Roman" w:eastAsia="Times New Roman" w:hAnsi="Times New Roman"/>
          <w:sz w:val="18"/>
          <w:szCs w:val="18"/>
          <w:b w:val="1"/>
          <w:bCs w:val="1"/>
          <w:color w:val="auto"/>
        </w:rPr>
        <w:t>Early Conversion Notice</w:t>
      </w:r>
      <w:r>
        <w:rPr>
          <w:rFonts w:ascii="Times New Roman" w:cs="Times New Roman" w:eastAsia="Times New Roman" w:hAnsi="Times New Roman"/>
          <w:sz w:val="18"/>
          <w:szCs w:val="18"/>
          <w:color w:val="auto"/>
        </w:rPr>
        <w:t>”) to Dealer specifying the number of Convertible Notes surrendered for conversion on such Conversion Date (such Convertible Notes, the “</w:t>
      </w:r>
      <w:r>
        <w:rPr>
          <w:rFonts w:ascii="Times New Roman" w:cs="Times New Roman" w:eastAsia="Times New Roman" w:hAnsi="Times New Roman"/>
          <w:sz w:val="18"/>
          <w:szCs w:val="18"/>
          <w:b w:val="1"/>
          <w:bCs w:val="1"/>
          <w:color w:val="auto"/>
        </w:rPr>
        <w:t>Affected Convertible Notes</w:t>
      </w:r>
      <w:r>
        <w:rPr>
          <w:rFonts w:ascii="Times New Roman" w:cs="Times New Roman" w:eastAsia="Times New Roman" w:hAnsi="Times New Roman"/>
          <w:sz w:val="18"/>
          <w:szCs w:val="18"/>
          <w:color w:val="auto"/>
        </w:rPr>
        <w:t>”), and the giving of such Early Conversion Notice shall constitute an Additional Termination Event as provided in this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Early Conversion Notice shall contain the representation and warranty that Counterparty is not, on the date thereof, in possession of any material non-public information with respect to Counterparty or the Shares);</w:t>
      </w:r>
    </w:p>
    <w:p>
      <w:pPr>
        <w:spacing w:after="0" w:line="187" w:lineRule="exact"/>
        <w:rPr>
          <w:rFonts w:ascii="Times New Roman" w:cs="Times New Roman" w:eastAsia="Times New Roman" w:hAnsi="Times New Roman"/>
          <w:sz w:val="18"/>
          <w:szCs w:val="18"/>
          <w:color w:val="auto"/>
        </w:rPr>
      </w:pPr>
    </w:p>
    <w:p>
      <w:pPr>
        <w:jc w:val="both"/>
        <w:ind w:left="2580" w:hanging="628"/>
        <w:spacing w:after="0" w:line="262" w:lineRule="auto"/>
        <w:tabs>
          <w:tab w:leader="none" w:pos="25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any such Early Conversion Notice, Dealer shall designate an Exchange Business Day as an Early Termination Date (which Exchange Business Day shall be as promptly as reasonably practicable following the Conversion Date for such Early Conversion) with respect to the portion of the Transaction corresponding to a number of Options (the “</w:t>
      </w:r>
      <w:r>
        <w:rPr>
          <w:rFonts w:ascii="Times New Roman" w:cs="Times New Roman" w:eastAsia="Times New Roman" w:hAnsi="Times New Roman"/>
          <w:sz w:val="18"/>
          <w:szCs w:val="18"/>
          <w:b w:val="1"/>
          <w:bCs w:val="1"/>
          <w:color w:val="auto"/>
        </w:rPr>
        <w:t>Affected Number of Options</w:t>
      </w:r>
      <w:r>
        <w:rPr>
          <w:rFonts w:ascii="Times New Roman" w:cs="Times New Roman" w:eastAsia="Times New Roman" w:hAnsi="Times New Roman"/>
          <w:sz w:val="18"/>
          <w:szCs w:val="18"/>
          <w:color w:val="auto"/>
        </w:rPr>
        <w:t>”) equal to the lesser of (x) the number of Affected Convertible Notes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“Affected Number of Options” (as defined in the Base Call Option Confirmation), if any, that relate to such Affected Convertible Notes]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and (y) the Number of Options as of the Conversion Date for such Early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7830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 w:lineRule="exact"/>
        <w:rPr>
          <w:sz w:val="20"/>
          <w:szCs w:val="20"/>
          <w:color w:val="auto"/>
        </w:rPr>
      </w:pPr>
    </w:p>
    <w:p>
      <w:pPr>
        <w:ind w:left="200" w:hanging="192"/>
        <w:spacing w:after="0"/>
        <w:tabs>
          <w:tab w:leader="none" w:pos="200" w:val="left"/>
        </w:tabs>
        <w:numPr>
          <w:ilvl w:val="0"/>
          <w:numId w:val="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 in Additional Call Option Confirmation only.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left="2580" w:hanging="628"/>
        <w:spacing w:after="0"/>
        <w:tabs>
          <w:tab w:leader="none" w:pos="25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hereunder with respect to such termination shall be calculated pursuant to Section 6 of the Agreement as if</w:t>
      </w:r>
    </w:p>
    <w:p>
      <w:pPr>
        <w:spacing w:after="0" w:line="27" w:lineRule="exact"/>
        <w:rPr>
          <w:rFonts w:ascii="Times New Roman" w:cs="Times New Roman" w:eastAsia="Times New Roman" w:hAnsi="Times New Roman"/>
          <w:sz w:val="18"/>
          <w:szCs w:val="18"/>
          <w:color w:val="auto"/>
        </w:rPr>
      </w:pPr>
    </w:p>
    <w:p>
      <w:pPr>
        <w:jc w:val="both"/>
        <w:ind w:left="25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(and for the avoidance of doubt, any payment pursuant to this paragraph shall be subject to Section 9(k) of this Confirmation);</w:t>
      </w:r>
    </w:p>
    <w:p>
      <w:pPr>
        <w:spacing w:after="0" w:line="186" w:lineRule="exact"/>
        <w:rPr>
          <w:rFonts w:ascii="Times New Roman" w:cs="Times New Roman" w:eastAsia="Times New Roman" w:hAnsi="Times New Roman"/>
          <w:sz w:val="18"/>
          <w:szCs w:val="18"/>
          <w:color w:val="auto"/>
        </w:rPr>
      </w:pPr>
    </w:p>
    <w:p>
      <w:pPr>
        <w:jc w:val="both"/>
        <w:ind w:left="2580" w:hanging="628"/>
        <w:spacing w:after="0" w:line="258" w:lineRule="auto"/>
        <w:tabs>
          <w:tab w:leader="none" w:pos="25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“Conversion Rate” (as defined in the Indenture) have occurred pursuant to any Excluded Provision and (z) the corresponding Convertible Notes remain outstanding; and</w:t>
      </w:r>
    </w:p>
    <w:p>
      <w:pPr>
        <w:spacing w:after="0" w:line="183" w:lineRule="exact"/>
        <w:rPr>
          <w:rFonts w:ascii="Times New Roman" w:cs="Times New Roman" w:eastAsia="Times New Roman" w:hAnsi="Times New Roman"/>
          <w:sz w:val="18"/>
          <w:szCs w:val="18"/>
          <w:color w:val="auto"/>
        </w:rPr>
      </w:pPr>
    </w:p>
    <w:p>
      <w:pPr>
        <w:ind w:left="2580" w:hanging="628"/>
        <w:spacing w:after="0" w:line="282" w:lineRule="auto"/>
        <w:tabs>
          <w:tab w:leader="none" w:pos="25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remain in full force and effect, except that, as of the Conversion Date for such Early Conversion, the Number of Options shall be reduced by the Affected Number of Options.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45" w:lineRule="auto"/>
        <w:tabs>
          <w:tab w:leader="none" w:pos="1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Scheduled Trading Days following any Repayment Event (as defined below), Counterparty may notify Dealer of such Repayment Event, including the aggregate principal amount of Convertible Notes subject to such Repayment Event (any such notice, a “</w:t>
      </w:r>
      <w:r>
        <w:rPr>
          <w:rFonts w:ascii="Times New Roman" w:cs="Times New Roman" w:eastAsia="Times New Roman" w:hAnsi="Times New Roman"/>
          <w:sz w:val="18"/>
          <w:szCs w:val="18"/>
          <w:b w:val="1"/>
          <w:bCs w:val="1"/>
          <w:color w:val="auto"/>
        </w:rPr>
        <w:t>Repayment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“Repayment Notice” delivered to Dealer pursuant to the Base Call Option Confirmation shall be deemed to be a Repayment Notice pursuant to this Confirmation and the terms of such Repayment Notice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this Confirmation]</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Such Repayment Notice shall contain the representation and warranty that Counterparty is not, on the date thereof, in possession of any material non-public information with respect to Counterparty or the Shares. The receipt by Dealer from Counterparty of any Repayment Notice shall constitute an Additional Termination Event as provided in this Section 9(h)(ii). Upon receipt of any such Repayment Notice, Dealer shall designate an Exchange Business Day following receipt of such Repayment Notice as an Early Termination Date with respect to the portion of the Transaction corresponding to a number of Options (the “</w:t>
      </w:r>
      <w:r>
        <w:rPr>
          <w:rFonts w:ascii="Times New Roman" w:cs="Times New Roman" w:eastAsia="Times New Roman" w:hAnsi="Times New Roman"/>
          <w:sz w:val="18"/>
          <w:szCs w:val="18"/>
          <w:b w:val="1"/>
          <w:bCs w:val="1"/>
          <w:color w:val="auto"/>
        </w:rPr>
        <w:t>Repayment Options</w:t>
      </w:r>
      <w:r>
        <w:rPr>
          <w:rFonts w:ascii="Times New Roman" w:cs="Times New Roman" w:eastAsia="Times New Roman" w:hAnsi="Times New Roman"/>
          <w:sz w:val="18"/>
          <w:szCs w:val="18"/>
          <w:color w:val="auto"/>
        </w:rPr>
        <w:t xml:space="preserve">”) equal to the lesser of (A) [(x)] the aggregate principal amount of such Convertible Notes specified in such Repayment Notice,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USD 1,000,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number of “Repayment Options” (as defined in the Base Call Option Confirmation), if any, that relate to such Convertible Notes (and for the purposes of determining whether any Options under this Confirmation or under the Base Call Option Confirmation will be among the Repayment Options hereunder or under, and as defined in, the Base Call Option Confirmation, the Convertible Notes specified in such Repayment Notice shall be allocated first to the Base Call Option Confirmation until all Options thereunder are exercised or terminated)]</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 w:cs="Times New Roman" w:eastAsia="Times New Roman" w:hAnsi="Times New Roman"/>
          <w:sz w:val="18"/>
          <w:szCs w:val="18"/>
          <w:b w:val="1"/>
          <w:bCs w:val="1"/>
          <w:color w:val="auto"/>
        </w:rPr>
        <w:t>Repayment Unwind Payment</w:t>
      </w:r>
      <w:r>
        <w:rPr>
          <w:rFonts w:ascii="Times New Roman" w:cs="Times New Roman" w:eastAsia="Times New Roman" w:hAnsi="Times New Roman"/>
          <w:sz w:val="18"/>
          <w:szCs w:val="18"/>
          <w:color w:val="auto"/>
        </w:rPr>
        <w:t>”)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For the avoidance of doubt, any payment pursuant to this paragraph shall be subject to Section 9(k) of this Confirmation. In addition, for the avoidance of doubt, solely for purposes of calculating the amount payable pursuant to Section 6 of the Agreement pursuant to the second immediately preceding sentence, Dealer shall assume that the relevant Repayment Event and any conversions, adjustments, agreements, payments, deliveries or acquisitions by or on behalf of Counterparty leading thereto had not occurred, no adjustments to the “Conversion Rate” (as such term is defined in the Indenture) have occurred pursuant to any Excluded Provision and the corresponding Convertible Notes remain outstanding as if the circumstances related to such Repayment Event had not occurred. “</w:t>
      </w:r>
      <w:r>
        <w:rPr>
          <w:rFonts w:ascii="Times New Roman" w:cs="Times New Roman" w:eastAsia="Times New Roman" w:hAnsi="Times New Roman"/>
          <w:sz w:val="18"/>
          <w:szCs w:val="18"/>
          <w:b w:val="1"/>
          <w:bCs w:val="1"/>
          <w:color w:val="auto"/>
        </w:rPr>
        <w:t>Repayment Event</w:t>
      </w:r>
      <w:r>
        <w:rPr>
          <w:rFonts w:ascii="Times New Roman" w:cs="Times New Roman" w:eastAsia="Times New Roman" w:hAnsi="Times New Roman"/>
          <w:sz w:val="18"/>
          <w:szCs w:val="18"/>
          <w:color w:val="auto"/>
        </w:rPr>
        <w:t>” means that (i) any Convertible Notes are repurchased (whether in connection with or as a result of a fundamental change, howsoever defined,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or (iv) any Convertible Notes are exchanged by or for the benefit of the “Holders” (as defined in the Indenture) thereof for any other securities of Counterparty or any of its subsidiaries (or any other property, or any combination thereof) pursuant to any exchange offer or similar transaction. For the avoidance of doubt, any conversion of Convertible Notes (whether into cash, Shares, “Reference Property” (as defined in the Indenture) or any combination thereof) pursuant to the terms of the Indenture shall not constitute a Repayment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7830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8" w:lineRule="exact"/>
        <w:rPr>
          <w:sz w:val="20"/>
          <w:szCs w:val="20"/>
          <w:color w:val="auto"/>
        </w:rPr>
      </w:pPr>
    </w:p>
    <w:p>
      <w:pPr>
        <w:ind w:left="200" w:hanging="192"/>
        <w:spacing w:after="0"/>
        <w:tabs>
          <w:tab w:leader="none" w:pos="200" w:val="left"/>
        </w:tabs>
        <w:numPr>
          <w:ilvl w:val="0"/>
          <w:numId w:val="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Additional Call Option Confirmation.</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Additional Call Option Confirmation.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left="644" w:hanging="644"/>
        <w:spacing w:after="0"/>
        <w:tabs>
          <w:tab w:leader="none" w:pos="6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by deleting the words “a diluting or concentrative” and replacing them with the words “a material” and adding the phrase “or the Options, as a result of a corporate event involving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(a) an observable market, other than the market for Issuer’s own stock or (b) an observable index, other than an index calculated and measured solely by reference to Issuer’s own operations” at the end of the sentence.</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12.1(d) of the Equity Definitions is hereby amended by replacing “10%” with “25%” in the third line thereof, by replacing all references to “voting shares” therein with “Shares” and by adding “, provided that in no event shall an Exempted Issuance be deemed a Tender Offer” at the end thereof.</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(1) inserting “(1)” immediately following the word “means” in the first line thereof and (2) inserting immediately prior to the semi-colon at the end of subsection (B) thereof the following words: “or (2) the occurrence of any of the events specified in Section 5(a)(vii)(1) through (9) of the ISDA Master Agreement with respect to that Issuer”.</w:t>
      </w:r>
    </w:p>
    <w:p>
      <w:pPr>
        <w:spacing w:after="0" w:line="179"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160" w:lineRule="exact"/>
        <w:rPr>
          <w:sz w:val="20"/>
          <w:szCs w:val="20"/>
          <w:color w:val="auto"/>
        </w:rPr>
      </w:pPr>
    </w:p>
    <w:p>
      <w:pPr>
        <w:jc w:val="both"/>
        <w:ind w:left="644" w:hanging="644"/>
        <w:spacing w:after="0" w:line="267" w:lineRule="auto"/>
        <w:tabs>
          <w:tab w:leader="none" w:pos="64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Netting or Set-off</w:t>
      </w:r>
      <w:r>
        <w:rPr>
          <w:rFonts w:ascii="Times New Roman" w:cs="Times New Roman" w:eastAsia="Times New Roman" w:hAnsi="Times New Roman"/>
          <w:sz w:val="18"/>
          <w:szCs w:val="18"/>
          <w:color w:val="auto"/>
        </w:rPr>
        <w:t>. The provisions of Section 2(c) of the Agreement shall not apply to the Transaction. Each party waives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it may have to set-off delivery or payment obligations it owes to the other party under the Transaction against any delivery or payment obligations owed to it by the other party under any other agreement between the parties hereto, by operation of law or otherwise.</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9" w:name="page140"/>
    <w:bookmarkEnd w:id="139"/>
    <w:p>
      <w:pPr>
        <w:jc w:val="both"/>
        <w:ind w:left="1300" w:hanging="644"/>
        <w:spacing w:after="0" w:line="25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Alternative Calculations and Payment on Early Termination and on Certain Extraordinary Events</w:t>
      </w:r>
      <w:r>
        <w:rPr>
          <w:rFonts w:ascii="Times New Roman" w:cs="Times New Roman" w:eastAsia="Times New Roman" w:hAnsi="Times New Roman"/>
          <w:sz w:val="18"/>
          <w:szCs w:val="18"/>
          <w:color w:val="auto"/>
        </w:rPr>
        <w:t>. If (a) an Early Termination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 w:cs="Times New Roman" w:eastAsia="Times New Roman" w:hAnsi="Times New Roman"/>
          <w:sz w:val="18"/>
          <w:szCs w:val="18"/>
          <w:b w:val="1"/>
          <w:bCs w:val="1"/>
          <w:color w:val="auto"/>
        </w:rPr>
        <w:t>Payment Obligation</w:t>
      </w:r>
      <w:r>
        <w:rPr>
          <w:rFonts w:ascii="Times New Roman" w:cs="Times New Roman" w:eastAsia="Times New Roman" w:hAnsi="Times New Roman"/>
          <w:sz w:val="18"/>
          <w:szCs w:val="18"/>
          <w:color w:val="auto"/>
        </w:rPr>
        <w:t>”), then Dealer shall satisfy the Payment Obligation by the Share Termination Alternative (as defined below), unless (a) Counterparty gives irrevocable telephonic notice to Dealer, confirmed in writing within one Scheduled Trading Day, no later than 5:00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not apply and (b) Counterparty remakes the representation set forth in Section 8(f)‎ as of the date of such election.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Share Termination Alternative:</w:t>
            </w: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commercially reasonable period of time after, the date when the relevant Payment Obligation would</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otherwise be due pursuant to Section 12.7 or 12.9 of the Equity Definitions or Section 6(d)(ii) and 6(e) of</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Agreement, as applicable, in satisfaction of such Payment Obligation in the manner reasonably</w:t>
            </w:r>
          </w:p>
        </w:tc>
      </w:tr>
      <w:tr>
        <w:trPr>
          <w:trHeight w:val="234"/>
        </w:trPr>
        <w:tc>
          <w:tcPr>
            <w:tcW w:w="35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requested by Counterparty free of payment.</w:t>
            </w:r>
          </w:p>
        </w:tc>
      </w:tr>
      <w:tr>
        <w:trPr>
          <w:trHeight w:val="414"/>
        </w:trPr>
        <w:tc>
          <w:tcPr>
            <w:tcW w:w="3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Share Termination Delivery</w:t>
            </w: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number of Share Termination Delivery Units, as calculated by the Calculation Agent, equal to the</w:t>
            </w:r>
          </w:p>
        </w:tc>
      </w:tr>
      <w:tr>
        <w:trPr>
          <w:trHeight w:val="216"/>
        </w:trPr>
        <w:tc>
          <w:tcPr>
            <w:tcW w:w="3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Property:</w:t>
            </w: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Obligation divided by the Share Termination Unit Price. The Calculation Agent shall adjust the</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 Termination Delivery Property by replacing any fractional portion of a security therein with an</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 of cash equal to the value of such fractional security based on the values used to calculate the</w:t>
            </w:r>
          </w:p>
        </w:tc>
      </w:tr>
      <w:tr>
        <w:trPr>
          <w:trHeight w:val="234"/>
        </w:trPr>
        <w:tc>
          <w:tcPr>
            <w:tcW w:w="35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 Termination Unit Price.</w:t>
            </w:r>
          </w:p>
        </w:tc>
      </w:tr>
      <w:tr>
        <w:trPr>
          <w:trHeight w:val="414"/>
        </w:trPr>
        <w:tc>
          <w:tcPr>
            <w:tcW w:w="3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Share Termination Unit Price:</w:t>
            </w: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value to Dealer of property contained in one Share Termination Delivery Unit, as determined by the</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Calculation Agent in its discretion by commercially reasonable means and notified by the Calculation</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Agent to Dealer at the time of notification of the Payment Obligation. For the avoidance of doubt, the</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parties agree that in determining the Share Termination Delivery Unit Price the Calculation Agent may</w:t>
            </w:r>
          </w:p>
        </w:tc>
      </w:tr>
      <w:tr>
        <w:trPr>
          <w:trHeight w:val="234"/>
        </w:trPr>
        <w:tc>
          <w:tcPr>
            <w:tcW w:w="35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consider the purchase price paid in connection with the purchase of Share Termination Delivery Property.</w:t>
            </w:r>
          </w:p>
        </w:tc>
      </w:tr>
      <w:tr>
        <w:trPr>
          <w:trHeight w:val="414"/>
        </w:trPr>
        <w:tc>
          <w:tcPr>
            <w:tcW w:w="3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Share Termination Delivery</w:t>
            </w: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w:t>
            </w:r>
          </w:p>
        </w:tc>
      </w:tr>
      <w:tr>
        <w:trPr>
          <w:trHeight w:val="212"/>
        </w:trPr>
        <w:tc>
          <w:tcPr>
            <w:tcW w:w="3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Unit:</w:t>
            </w: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any other property as the result of a Nationalization, Insolvency or Merger Event (any such cash or other</w:t>
            </w:r>
          </w:p>
        </w:tc>
      </w:tr>
      <w:tr>
        <w:trPr>
          <w:trHeight w:val="220"/>
        </w:trPr>
        <w:tc>
          <w:tcPr>
            <w:tcW w:w="3540" w:type="dxa"/>
            <w:vAlign w:val="bottom"/>
          </w:tcPr>
          <w:p>
            <w:pPr>
              <w:spacing w:after="0"/>
              <w:rPr>
                <w:sz w:val="19"/>
                <w:szCs w:val="19"/>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property, the “</w:t>
            </w:r>
            <w:r>
              <w:rPr>
                <w:rFonts w:ascii="Times New Roman" w:cs="Times New Roman" w:eastAsia="Times New Roman" w:hAnsi="Times New Roman"/>
                <w:sz w:val="18"/>
                <w:szCs w:val="18"/>
                <w:b w:val="1"/>
                <w:bCs w:val="1"/>
                <w:color w:val="auto"/>
                <w:w w:val="99"/>
              </w:rPr>
              <w:t>Exchange Property</w:t>
            </w:r>
            <w:r>
              <w:rPr>
                <w:rFonts w:ascii="Times New Roman" w:cs="Times New Roman" w:eastAsia="Times New Roman" w:hAnsi="Times New Roman"/>
                <w:sz w:val="18"/>
                <w:szCs w:val="18"/>
                <w:color w:val="auto"/>
                <w:w w:val="99"/>
              </w:rPr>
              <w:t>”), a unit consisting of the type and amount of such Exchange Property</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received by a holder of one Share (without consideration of any requirement to pay cash or other</w:t>
            </w:r>
          </w:p>
        </w:tc>
      </w:tr>
      <w:tr>
        <w:trPr>
          <w:trHeight w:val="216"/>
        </w:trPr>
        <w:tc>
          <w:tcPr>
            <w:tcW w:w="3540" w:type="dxa"/>
            <w:vAlign w:val="bottom"/>
          </w:tcPr>
          <w:p>
            <w:pPr>
              <w:spacing w:after="0"/>
              <w:rPr>
                <w:sz w:val="18"/>
                <w:szCs w:val="18"/>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consideration in lieu of fractional amounts of any securities) in such Nationalization, Insolvency or</w:t>
            </w:r>
          </w:p>
        </w:tc>
      </w:tr>
      <w:tr>
        <w:trPr>
          <w:trHeight w:val="234"/>
        </w:trPr>
        <w:tc>
          <w:tcPr>
            <w:tcW w:w="3540" w:type="dxa"/>
            <w:vAlign w:val="bottom"/>
          </w:tcPr>
          <w:p>
            <w:pPr>
              <w:spacing w:after="0"/>
              <w:rPr>
                <w:sz w:val="20"/>
                <w:szCs w:val="20"/>
                <w:color w:val="auto"/>
              </w:rPr>
            </w:pPr>
          </w:p>
        </w:tc>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 Event, as determined by the Calculation Agent.</w:t>
            </w:r>
          </w:p>
        </w:tc>
      </w:tr>
      <w:tr>
        <w:trPr>
          <w:trHeight w:val="648"/>
        </w:trPr>
        <w:tc>
          <w:tcPr>
            <w:tcW w:w="35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240"/>
          </w:cols>
          <w:pgMar w:left="320" w:top="902" w:right="339" w:bottom="1440" w:gutter="0" w:footer="0" w:header="0"/>
        </w:sectPr>
      </w:pPr>
    </w:p>
    <w:bookmarkStart w:id="140" w:name="page141"/>
    <w:bookmarkEnd w:id="140"/>
    <w:p>
      <w:pPr>
        <w:ind w:left="604"/>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200" w:lineRule="exact"/>
        <w:rPr>
          <w:sz w:val="20"/>
          <w:szCs w:val="20"/>
          <w:color w:val="auto"/>
        </w:rPr>
      </w:pPr>
    </w:p>
    <w:p>
      <w:pPr>
        <w:sectPr>
          <w:pgSz w:w="11900" w:h="16838" w:orient="portrait"/>
          <w:cols w:equalWidth="0" w:num="2">
            <w:col w:w="2244" w:space="720"/>
            <w:col w:w="7620"/>
          </w:cols>
          <w:pgMar w:left="976" w:top="904" w:right="339" w:bottom="1440" w:gutter="0" w:footer="0" w:header="0"/>
        </w:sectPr>
      </w:pPr>
    </w:p>
    <w:p>
      <w:pPr>
        <w:spacing w:after="0" w:line="37"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spacing w:after="0" w:line="185" w:lineRule="exact"/>
        <w:rPr>
          <w:sz w:val="20"/>
          <w:szCs w:val="20"/>
          <w:color w:val="auto"/>
        </w:rPr>
      </w:pPr>
    </w:p>
    <w:p>
      <w:pPr>
        <w:sectPr>
          <w:pgSz w:w="11900" w:h="16838" w:orient="portrait"/>
          <w:cols w:equalWidth="0" w:num="2">
            <w:col w:w="2624" w:space="340"/>
            <w:col w:w="7620"/>
          </w:cols>
          <w:pgMar w:left="976" w:top="904" w:right="339" w:bottom="1440" w:gutter="0" w:footer="0" w:header="0"/>
          <w:type w:val="continuous"/>
        </w:sectPr>
      </w:pPr>
    </w:p>
    <w:p>
      <w:pPr>
        <w:jc w:val="both"/>
        <w:ind w:left="644" w:hanging="644"/>
        <w:spacing w:after="0" w:line="258"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 have to a trial by jury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2"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hereby agrees that if, in the good faith reasonable judgment of Dealer, based on the advice of counsel,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t>
      </w:r>
      <w:r>
        <w:rPr>
          <w:rFonts w:ascii="Times New Roman" w:cs="Times New Roman" w:eastAsia="Times New Roman" w:hAnsi="Times New Roman"/>
          <w:sz w:val="18"/>
          <w:szCs w:val="18"/>
          <w:b w:val="1"/>
          <w:bCs w:val="1"/>
          <w:color w:val="auto"/>
        </w:rPr>
        <w:t>Hedge Shares</w:t>
      </w:r>
      <w:r>
        <w:rPr>
          <w:rFonts w:ascii="Times New Roman" w:cs="Times New Roman" w:eastAsia="Times New Roman" w:hAnsi="Times New Roman"/>
          <w:sz w:val="18"/>
          <w:szCs w:val="18"/>
          <w:color w:val="auto"/>
        </w:rPr>
        <w:t>”) acquired by Dealer for the purpose of effecting a commercially reasonable hedge of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secondary offering of similar size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Counterparty will use its best efforts to enter into a private placement agreement substantially similar to private placement purchase agreements customary for private placements of equity securities of similar size, in form and substance satisfactory to Dealer (in which case, the Calculation Agent shall make any adjustments to the terms of the Transaction that are necessary, in its reasonable judgment, to compensate Dealer for any commercially reasonable discount from the public market price of the Shares incurred on the sale of Hedge Shares in a private placement of similar size), or (iii) purchase the Hedge Shares from Dealer at the then-current market price on such Exchange Business Days, and in the amounts and at such time(s), requested by Dealer.</w:t>
      </w:r>
    </w:p>
    <w:p>
      <w:pPr>
        <w:spacing w:after="0" w:line="19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 Counterparty and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39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type w:val="continuous"/>
        </w:sectPr>
      </w:pPr>
    </w:p>
    <w:bookmarkStart w:id="141" w:name="page142"/>
    <w:bookmarkEnd w:id="141"/>
    <w:p>
      <w:pPr>
        <w:jc w:val="both"/>
        <w:ind w:left="644" w:hanging="644"/>
        <w:spacing w:after="0" w:line="254" w:lineRule="auto"/>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Right to Extend</w:t>
      </w:r>
      <w:r>
        <w:rPr>
          <w:rFonts w:ascii="Times New Roman" w:cs="Times New Roman" w:eastAsia="Times New Roman" w:hAnsi="Times New Roman"/>
          <w:sz w:val="18"/>
          <w:szCs w:val="18"/>
          <w:color w:val="auto"/>
        </w:rPr>
        <w:t>. Dealer may postpone or add, in whole or in part, any Valid Day or Valid Days during the Settlement Averaging Period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date of valuation, payment or delivery by Dealer, with respect to some or all of the Options hereunder, if Dealer reasonably determines, in its discretion, based on the advice of counsel in the case of clause (ii) below, that such action is reasonably necessary or appropriate (i) to preserve Dealer’s commercially reasonable hedging or hedge unwind activity hereunder in light of existing liquidity conditions or (ii)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policies and procedures have been adopted by Dealer in good faith and are generally applicable in similar situations and applied in a non-discriminatory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Valid Day or other date of valuation, payment or delivery may be postponed or added more than 30 Valid Days after the original Valid Day or other date of valuation, payment or delivery, as the case may be.</w:t>
      </w:r>
    </w:p>
    <w:p>
      <w:pPr>
        <w:spacing w:after="0" w:line="18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Status of Claims in Bankruptcy</w:t>
      </w:r>
      <w:r>
        <w:rPr>
          <w:rFonts w:ascii="Times New Roman" w:cs="Times New Roman" w:eastAsia="Times New Roman" w:hAnsi="Times New Roman"/>
          <w:sz w:val="18"/>
          <w:szCs w:val="18"/>
          <w:color w:val="auto"/>
        </w:rPr>
        <w:t>. Dealer acknowledges and agrees that this Confirmation is not intended to convey to Dealer rights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Counterparty with respect to the Transaction that are senior to the claims of Shareholders of Counterparty in any United States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transactions other than the Transaction.</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7" w:lineRule="auto"/>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“securities contract” and a “swap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defined in the Bankruptcy Code,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18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 of Certain Other Events</w:t>
      </w:r>
      <w:r>
        <w:rPr>
          <w:rFonts w:ascii="Times New Roman" w:cs="Times New Roman" w:eastAsia="Times New Roman" w:hAnsi="Times New Roman"/>
          <w:sz w:val="18"/>
          <w:szCs w:val="18"/>
          <w:color w:val="auto"/>
        </w:rPr>
        <w:t>. Counterparty covenants and agrees that:</w:t>
      </w:r>
    </w:p>
    <w:p>
      <w:pPr>
        <w:spacing w:after="0" w:line="227"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public announcement of the results of any election by the holders of Shares with respect to the consideration due upon consummation of any Merger Event, Counterparty shall give Dealer written notice of the weighted average of the types and amounts of consideration received by holders of Shares upon consummation of such Merger Event (the date of such notification, the “</w:t>
      </w:r>
      <w:r>
        <w:rPr>
          <w:rFonts w:ascii="Times New Roman" w:cs="Times New Roman" w:eastAsia="Times New Roman" w:hAnsi="Times New Roman"/>
          <w:sz w:val="18"/>
          <w:szCs w:val="18"/>
          <w:b w:val="1"/>
          <w:bCs w:val="1"/>
          <w:color w:val="auto"/>
        </w:rPr>
        <w:t>Consideration Notification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Consideration Notification Date be later than the date on which such Merger Event is consummated; and</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53" w:lineRule="auto"/>
        <w:tabs>
          <w:tab w:leader="none" w:pos="130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 shall give Dealer commercially reasonable advance (but in any event at least one Exchange Business Day prior to the relevant Adjustment Notice Deadline) written notice of the section or sections of the Indenture and, if applicable, the formula therein, pursuant to which any adjustment will be made to the Convertible Notes in connection with any Potential Adjustment Event (other than a Potential Adjustment in respect of the Dilution Adjustment Provisions set forth in Section 5.05(A)(ii) or Section 5.05(A)(iv) of the Indenture) or Merger Event and (B) promptly following any such adjustment, Counterparty shall give Dealer written notice of the details of such adjustment. The “</w:t>
      </w:r>
      <w:r>
        <w:rPr>
          <w:rFonts w:ascii="Times New Roman" w:cs="Times New Roman" w:eastAsia="Times New Roman" w:hAnsi="Times New Roman"/>
          <w:sz w:val="18"/>
          <w:szCs w:val="18"/>
          <w:b w:val="1"/>
          <w:bCs w:val="1"/>
          <w:color w:val="auto"/>
        </w:rPr>
        <w:t>Adjustment Notice Deadline</w:t>
      </w:r>
      <w:r>
        <w:rPr>
          <w:rFonts w:ascii="Times New Roman" w:cs="Times New Roman" w:eastAsia="Times New Roman" w:hAnsi="Times New Roman"/>
          <w:sz w:val="18"/>
          <w:szCs w:val="18"/>
          <w:color w:val="auto"/>
        </w:rPr>
        <w:t>” means</w:t>
      </w:r>
    </w:p>
    <w:p>
      <w:pPr>
        <w:spacing w:after="0" w:line="5" w:lineRule="exact"/>
        <w:rPr>
          <w:rFonts w:ascii="Times New Roman" w:cs="Times New Roman" w:eastAsia="Times New Roman" w:hAnsi="Times New Roman"/>
          <w:sz w:val="18"/>
          <w:szCs w:val="18"/>
          <w:color w:val="auto"/>
        </w:rPr>
      </w:pPr>
    </w:p>
    <w:p>
      <w:pPr>
        <w:jc w:val="both"/>
        <w:ind w:left="130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any Potential Adjustment in respect of the Dilution Adjustment Provision set forth in Section 5.05(A)(i) of the Indenture, the relevant “Ex-Dividend Date” (as such term is defined in the Indenture) or “effective date” (as such term is used in such Section of the Indenture), as the case may be, (ii) for any Potential Adjustment in respect of the Dilution Adjustment Provision in Section 5.05(A)(iii)(1) of the Indenture, the first “Trading Day” (as such term is defined in the Indenture) of the period referred to in the definition of “SP” in the formula in such Section, (iii) for any Potential Adjustment in respect of the Dilution Adjustment Provision in Section 5.05(A)(iii)(2) of the Indenture, the first “Trading Day” (as such term is defined in the Indenture) of the “Spin-Off Valuation Period” (as such term is defined in the Indenture), (iv) for any Potential Adjustment in respect of the Dilution Adjustment Provision set forth in Section 5.05(A)(v) of the Indenture, the first “Trading Day” (as such term is defined in the Indenture) of the period referred to in the definition of “SP” in the formula in such Section, and (v) for any Merger Event, the effective date of such Merger Event (or, if earlier, the first day of any valuation or similar period in respect of such Merger Event).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42" w:name="page143"/>
    <w:bookmarkEnd w:id="142"/>
    <w:p>
      <w:pPr>
        <w:jc w:val="both"/>
        <w:ind w:left="644" w:hanging="644"/>
        <w:spacing w:after="0" w:line="256"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Wall Street Transparency and Accountability Act</w:t>
      </w:r>
      <w:r>
        <w:rPr>
          <w:rFonts w:ascii="Times New Roman" w:cs="Times New Roman" w:eastAsia="Times New Roman" w:hAnsi="Times New Roman"/>
          <w:sz w:val="18"/>
          <w:szCs w:val="18"/>
          <w:color w:val="auto"/>
        </w:rPr>
        <w:t>. In connection with Section 739 of the Wall Street Transparency and Accountability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spacing w:after="0" w:line="182"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Agreements and Acknowledgements Regarding Hedging</w:t>
      </w:r>
      <w:r>
        <w:rPr>
          <w:rFonts w:ascii="Times New Roman" w:cs="Times New Roman" w:eastAsia="Times New Roman" w:hAnsi="Times New Roman"/>
          <w:sz w:val="18"/>
          <w:szCs w:val="18"/>
          <w:color w:val="auto"/>
        </w:rPr>
        <w:t>. Counterparty understands, acknowledges and agrees that: (A) at any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184"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Early Unwind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the sale of the [“Initial Securities”][“Option Securities”] (as defined in the Purchase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dated as of April 2, 2025, among Counterparty and Citigroup Global Markets Inc. and BofA Securities, Inc., as representatives of the Initial Purchasers party thereto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is not consummated with the Initial Purchasers for any reason, or Counterparty fails to deliver to Dealer opinions of counsel as required pursuant to Section 9(a),‎ in each case by 5:00 p.m. (New York City time) on the Premium Payment Date, or such later date as agreed upon by the parties (the Premium Payment Date or such later date the “</w:t>
      </w:r>
      <w:r>
        <w:rPr>
          <w:rFonts w:ascii="Times New Roman" w:cs="Times New Roman" w:eastAsia="Times New Roman" w:hAnsi="Times New Roman"/>
          <w:sz w:val="18"/>
          <w:szCs w:val="18"/>
          <w:b w:val="1"/>
          <w:bCs w:val="1"/>
          <w:color w:val="auto"/>
        </w:rPr>
        <w:t>Early Unwind Date</w:t>
      </w:r>
      <w:r>
        <w:rPr>
          <w:rFonts w:ascii="Times New Roman" w:cs="Times New Roman" w:eastAsia="Times New Roman" w:hAnsi="Times New Roman"/>
          <w:sz w:val="18"/>
          <w:szCs w:val="18"/>
          <w:color w:val="auto"/>
        </w:rPr>
        <w:t>”), the Transaction shall automatically terminate (the “</w:t>
      </w:r>
      <w:r>
        <w:rPr>
          <w:rFonts w:ascii="Times New Roman" w:cs="Times New Roman" w:eastAsia="Times New Roman" w:hAnsi="Times New Roman"/>
          <w:sz w:val="18"/>
          <w:szCs w:val="18"/>
          <w:b w:val="1"/>
          <w:bCs w:val="1"/>
          <w:color w:val="auto"/>
        </w:rPr>
        <w:t>Early Unwind</w:t>
      </w:r>
      <w:r>
        <w:rPr>
          <w:rFonts w:ascii="Times New Roman" w:cs="Times New Roman" w:eastAsia="Times New Roman" w:hAnsi="Times New Roman"/>
          <w:sz w:val="18"/>
          <w:szCs w:val="18"/>
          <w:color w:val="auto"/>
        </w:rPr>
        <w:t>”), on the Early Unwind Date and</w:t>
      </w:r>
    </w:p>
    <w:p>
      <w:pPr>
        <w:spacing w:after="0" w:line="1" w:lineRule="exact"/>
        <w:rPr>
          <w:rFonts w:ascii="Times New Roman" w:cs="Times New Roman" w:eastAsia="Times New Roman" w:hAnsi="Times New Roman"/>
          <w:sz w:val="18"/>
          <w:szCs w:val="18"/>
          <w:color w:val="auto"/>
        </w:rPr>
      </w:pPr>
    </w:p>
    <w:p>
      <w:pPr>
        <w:jc w:val="both"/>
        <w:ind w:left="644" w:firstLine="4"/>
        <w:spacing w:after="0" w:line="253" w:lineRule="auto"/>
        <w:tabs>
          <w:tab w:leader="none" w:pos="87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Counterparty represents and acknowledges to the other that, upon an Early Unwind, all obligations with respect to the Transaction shall be deemed fully and finally discharged.</w:t>
      </w:r>
    </w:p>
    <w:p>
      <w:pPr>
        <w:spacing w:after="0" w:line="184"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Payment by Counterparty</w:t>
      </w:r>
      <w:r>
        <w:rPr>
          <w:rFonts w:ascii="Times New Roman" w:cs="Times New Roman" w:eastAsia="Times New Roman" w:hAnsi="Times New Roman"/>
          <w:sz w:val="18"/>
          <w:szCs w:val="18"/>
          <w:color w:val="auto"/>
        </w:rPr>
        <w:t>. In the event that, following payment of the Premium, (i) an Early Termination Date occurs or is 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43" w:name="page144"/>
    <w:bookmarkEnd w:id="143"/>
    <w:p>
      <w:pPr>
        <w:jc w:val="both"/>
        <w:ind w:left="1300" w:hanging="644"/>
        <w:spacing w:after="0" w:line="25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Adjustments Pursuant to the Equity Definitions</w:t>
      </w:r>
      <w:r>
        <w:rPr>
          <w:rFonts w:ascii="Times New Roman" w:cs="Times New Roman" w:eastAsia="Times New Roman" w:hAnsi="Times New Roman"/>
          <w:sz w:val="18"/>
          <w:szCs w:val="18"/>
          <w:color w:val="auto"/>
        </w:rPr>
        <w:t>. Notwithstanding anything to the contrary in this Confirmation, solely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of adjusting the Cap Price pursuant to this Section 9(w), the terms “Merger Event,” “Tender Offer” and “Potential Adjustment Event” shall each have the meanings assigned to such term in the Equity Definitions (in the case of the definition of “Tender Offer,” as amended by Section 9(i)(ii) above, and in the case of the definition of “Potential Adjustment Event”, as amended by Section 9(i)</w:t>
      </w:r>
    </w:p>
    <w:p>
      <w:pPr>
        <w:spacing w:after="0" w:line="1" w:lineRule="exact"/>
        <w:rPr>
          <w:rFonts w:ascii="Times New Roman" w:cs="Times New Roman" w:eastAsia="Times New Roman" w:hAnsi="Times New Roman"/>
          <w:sz w:val="18"/>
          <w:szCs w:val="18"/>
          <w:color w:val="auto"/>
        </w:rPr>
      </w:pPr>
    </w:p>
    <w:p>
      <w:pPr>
        <w:jc w:val="both"/>
        <w:ind w:left="13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above), and upon the occurrence of a Merger Date, the occurrence of a Tender Offer Date, or declaration by Counterparty of the terms of any Potential Adjustment Event, respectively, as such terms are defined in the Equity Definitions, the Calculation Agent shall determine whether such occurrence or declaration, as applicable, has had a material economic effect on the Transaction and, if so, shall, adjust the Cap Price to preserve the fair value of the Options;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solely in the case of a Potential Adjustment Event pursuant Section 11.2(e)(i), (ii)(A) or (iv), no adjustments will be made to account solely for changes in volatility, expected dividends, stock loan rate or liquidity relative to the relevant Shares, (y) the parties agree that Exempted Repurchases, Exempted Issuances and Forward Events shall not be considered Potential Adjustment Events and (z) in no event shall the Cap Price be less than the Strike Price. “</w:t>
      </w:r>
      <w:r>
        <w:rPr>
          <w:rFonts w:ascii="Times New Roman" w:cs="Times New Roman" w:eastAsia="Times New Roman" w:hAnsi="Times New Roman"/>
          <w:sz w:val="18"/>
          <w:szCs w:val="18"/>
          <w:b w:val="1"/>
          <w:bCs w:val="1"/>
          <w:color w:val="auto"/>
        </w:rPr>
        <w:t>Exempted Repurchase</w:t>
      </w:r>
      <w:r>
        <w:rPr>
          <w:rFonts w:ascii="Times New Roman" w:cs="Times New Roman" w:eastAsia="Times New Roman" w:hAnsi="Times New Roman"/>
          <w:sz w:val="18"/>
          <w:szCs w:val="18"/>
          <w:color w:val="auto"/>
        </w:rPr>
        <w:t>” means any (1) open market Share repurchase at prevailing market prices (including, without limitation, any discount to average VWAP prices) or (2) Share repurchase through a dealer pursuant to accelerated share repurchases, forward contracts or similar transactions that is entered into at prevailing market prices (including, without limitation, any discount to average VWAP prices) and in accordance with customary market terms for transactions of such type to repurchase the Shares, so long as such repurchase</w:t>
      </w:r>
    </w:p>
    <w:p>
      <w:pPr>
        <w:spacing w:after="0" w:line="4" w:lineRule="exact"/>
        <w:rPr>
          <w:sz w:val="20"/>
          <w:szCs w:val="20"/>
          <w:color w:val="auto"/>
        </w:rPr>
      </w:pPr>
    </w:p>
    <w:p>
      <w:pPr>
        <w:jc w:val="both"/>
        <w:ind w:left="1300"/>
        <w:spacing w:after="0" w:line="234" w:lineRule="auto"/>
        <w:rPr>
          <w:sz w:val="20"/>
          <w:szCs w:val="20"/>
          <w:color w:val="auto"/>
        </w:rPr>
      </w:pPr>
      <w:r>
        <w:rPr>
          <w:rFonts w:ascii="Times New Roman" w:cs="Times New Roman" w:eastAsia="Times New Roman" w:hAnsi="Times New Roman"/>
          <w:sz w:val="18"/>
          <w:szCs w:val="18"/>
          <w:color w:val="auto"/>
        </w:rPr>
        <w:t>or transaction would not reduce the number of total Shares outstanding to be less than [•]</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Shares, as determined by Calculation Agent in a commercially reasonable manner and as adjusted by the Calculation Agent to account for any subdivision or combination with respect to the Shares. “</w:t>
      </w:r>
      <w:r>
        <w:rPr>
          <w:rFonts w:ascii="Times New Roman" w:cs="Times New Roman" w:eastAsia="Times New Roman" w:hAnsi="Times New Roman"/>
          <w:sz w:val="18"/>
          <w:szCs w:val="18"/>
          <w:b w:val="1"/>
          <w:bCs w:val="1"/>
          <w:color w:val="auto"/>
        </w:rPr>
        <w:t>Exempted Issuance</w:t>
      </w:r>
      <w:r>
        <w:rPr>
          <w:rFonts w:ascii="Times New Roman" w:cs="Times New Roman" w:eastAsia="Times New Roman" w:hAnsi="Times New Roman"/>
          <w:sz w:val="18"/>
          <w:szCs w:val="18"/>
          <w:color w:val="auto"/>
        </w:rPr>
        <w:t xml:space="preserve">” means the issuance by the Issuer of any of its equity to one or more Permitted Parties (as defined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portion of the issuance that is not to a Permitted Party will not be an Exempted Issuance. “</w:t>
      </w:r>
      <w:r>
        <w:rPr>
          <w:rFonts w:ascii="Times New Roman" w:cs="Times New Roman" w:eastAsia="Times New Roman" w:hAnsi="Times New Roman"/>
          <w:sz w:val="18"/>
          <w:szCs w:val="18"/>
          <w:b w:val="1"/>
          <w:bCs w:val="1"/>
          <w:color w:val="auto"/>
        </w:rPr>
        <w:t>Forward Event</w:t>
      </w:r>
      <w:r>
        <w:rPr>
          <w:rFonts w:ascii="Times New Roman" w:cs="Times New Roman" w:eastAsia="Times New Roman" w:hAnsi="Times New Roman"/>
          <w:sz w:val="18"/>
          <w:szCs w:val="18"/>
          <w:color w:val="auto"/>
        </w:rPr>
        <w:t>” means the entry into, performance under or settlement or unwind of any forward transaction entered into, on or about the date hereof, by any Permitted Party with respect to the Shares.</w:t>
      </w:r>
    </w:p>
    <w:p>
      <w:pPr>
        <w:spacing w:after="0" w:line="198"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Provisions of the HIRE Act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Indemnifiable Tax</w:t>
      </w:r>
      <w:r>
        <w:rPr>
          <w:rFonts w:ascii="Times New Roman" w:cs="Times New Roman" w:eastAsia="Times New Roman" w:hAnsi="Times New Roman"/>
          <w:sz w:val="18"/>
          <w:szCs w:val="18"/>
          <w:color w:val="auto"/>
        </w:rPr>
        <w:t>,” as defined in Section 14 of the Agreement, shall not include any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84"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871(m)</w:t>
      </w:r>
      <w:r>
        <w:rPr>
          <w:rFonts w:ascii="Times New Roman" w:cs="Times New Roman" w:eastAsia="Times New Roman" w:hAnsi="Times New Roman"/>
          <w:sz w:val="18"/>
          <w:szCs w:val="18"/>
          <w:color w:val="auto"/>
        </w:rPr>
        <w:t>. “Indemnifiable Tax,” as defined in Section 14 of the Agreement, shall not include any tax imposed on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dividends from sources within the United States under Section 871(m) of the Code or any regulations issued thereunder. For the avoidance of doubt, any such tax imposed under Section 871(m) of the Revenue Code is a Tax the deduction or withholding of which is required by applicable law for the purposes of Section 2(d) of the Agreement.</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37" w:lineRule="auto"/>
        <w:tabs>
          <w:tab w:leader="none" w:pos="19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Documentation</w:t>
      </w:r>
      <w:r>
        <w:rPr>
          <w:rFonts w:ascii="Times New Roman" w:cs="Times New Roman" w:eastAsia="Times New Roman" w:hAnsi="Times New Roman"/>
          <w:sz w:val="18"/>
          <w:szCs w:val="18"/>
          <w:color w:val="auto"/>
        </w:rPr>
        <w:t>. For the purposes of Sections 4(a)(i) and 4(a)(ii) of the Agreement, Dealer shall provide to Counterparty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U.S. Internal Revenue Service Form [W-9]</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or any successor thereto, and Counterparty shall provide to Dealer a valid U.S. Internal Revenue Service Form W-9, or any successor thereto, (i) on or before the date of execution of this Confirmation, (ii) promptly upon learning that any such tax form previously provided by it has become obsolete or incorrect and (iii) promptly upon reasonable request of the other party. Additionally, each party shall, promptly upon request by the other party, provide such other tax forms and documents reasonably requested by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7830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3" w:lineRule="exact"/>
        <w:rPr>
          <w:sz w:val="20"/>
          <w:szCs w:val="20"/>
          <w:color w:val="auto"/>
        </w:rPr>
      </w:pPr>
    </w:p>
    <w:p>
      <w:pPr>
        <w:ind w:left="200" w:hanging="192"/>
        <w:spacing w:after="0"/>
        <w:tabs>
          <w:tab w:leader="none" w:pos="20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number of Shares equal to 80% of total Shares outstanding as of the Trade Date for the Base Capped Call Confirmation.</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To be modified for Dealers as appropriate.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4" w:name="page145"/>
    <w:bookmarkEnd w:id="144"/>
    <w:p>
      <w:pPr>
        <w:jc w:val="both"/>
        <w:ind w:left="1960" w:hanging="656"/>
        <w:spacing w:after="0" w:line="253" w:lineRule="auto"/>
        <w:tabs>
          <w:tab w:leader="none" w:pos="1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Payor Tax Representations</w:t>
      </w:r>
      <w:r>
        <w:rPr>
          <w:rFonts w:ascii="Times New Roman" w:cs="Times New Roman" w:eastAsia="Times New Roman" w:hAnsi="Times New Roman"/>
          <w:sz w:val="18"/>
          <w:szCs w:val="18"/>
          <w:color w:val="auto"/>
        </w:rPr>
        <w:t>. For the purpose of Section 3(e) of the Agreement, each party makes the following representation: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not required by any applicable law, as modified by the practice of any relevant governmental revenue authority, of any Relevant Jurisdiction to make any deduction or withholding for or on account of any Tax from any payment (other than interest under Section 9(h) of the Agreement or amounts payable hereunder that are considered to be interest for U.S. federal income tax purposes) to be made by it to the other party under the Agreement. In making this representation, it may rely on (i) the accuracy of any representations made by the other party pursuant to Section 9(x)(v) of this Confirmation, (ii) the satisfaction of the agreement contained in Section 4(a)(i) or 4(a)(iii) of the Agreement and the accuracy and effectiveness of any document provided by the other party pursuant to Section 4(a)(i) or 4(a)(iii) of the Agreement, (iii) the satisfaction of the agreement of the other party contained in the last sentence of Section 9(x)(v) of this Confirmation and (iv) the documentation provided by the other party pursuant to Section 9(x)(iii) of this Confirmation, except that it will not be a breach of this representation where reliance is placed on clause (ii) above and the other party does not deliver a form or document under Section 4(a)(iii) of the Agreement by reason of material prejudice to its legal or commercial position.</w:t>
      </w:r>
    </w:p>
    <w:p>
      <w:pPr>
        <w:spacing w:after="0" w:line="18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Payee Tax Representations</w:t>
      </w:r>
      <w:r>
        <w:rPr>
          <w:rFonts w:ascii="Times New Roman" w:cs="Times New Roman" w:eastAsia="Times New Roman" w:hAnsi="Times New Roman"/>
          <w:sz w:val="18"/>
          <w:szCs w:val="18"/>
          <w:color w:val="auto"/>
        </w:rPr>
        <w:t>. For the purpose of Section 3(f) of the Agreement, the parties make the representations below:</w:t>
      </w:r>
    </w:p>
    <w:p>
      <w:pPr>
        <w:spacing w:after="0" w:line="227" w:lineRule="exact"/>
        <w:rPr>
          <w:rFonts w:ascii="Times New Roman" w:cs="Times New Roman" w:eastAsia="Times New Roman" w:hAnsi="Times New Roman"/>
          <w:sz w:val="18"/>
          <w:szCs w:val="18"/>
          <w:color w:val="auto"/>
        </w:rPr>
      </w:pPr>
    </w:p>
    <w:p>
      <w:pPr>
        <w:jc w:val="both"/>
        <w:ind w:left="1960" w:hanging="8"/>
        <w:spacing w:after="0" w:line="266" w:lineRule="auto"/>
        <w:tabs>
          <w:tab w:leader="none" w:pos="230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a corporation for U.S. federal income tax purposes and is organized under the laws of Delaware. Counterparty is a “U.S. person” as that term is used in Treasury Regulations Section 1.1441-4(a)(3)(ii) and an exempt recipient as that term is used in Treasury Regulations Section 1.6049-4(c)(l)(ii).</w:t>
      </w:r>
    </w:p>
    <w:p>
      <w:pPr>
        <w:spacing w:after="0" w:line="175" w:lineRule="exact"/>
        <w:rPr>
          <w:rFonts w:ascii="Times New Roman" w:cs="Times New Roman" w:eastAsia="Times New Roman" w:hAnsi="Times New Roman"/>
          <w:sz w:val="18"/>
          <w:szCs w:val="18"/>
          <w:color w:val="auto"/>
        </w:rPr>
      </w:pPr>
    </w:p>
    <w:p>
      <w:pPr>
        <w:jc w:val="both"/>
        <w:ind w:left="1960" w:hanging="8"/>
        <w:spacing w:after="0" w:line="276" w:lineRule="auto"/>
        <w:tabs>
          <w:tab w:leader="none" w:pos="225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is a corporation for U.S. federal income tax purposes and is organized under the laws of [the United States]. Dealer is a “U.S. person” as that term is used in Treasury Regulations Section 1.1441-4(a)(3)(ii) and an exempt recipient as that term is used in Treasury Regulations Section 1.6049-4(c)(l)(ii).]</w:t>
      </w:r>
      <w:r>
        <w:rPr>
          <w:rFonts w:ascii="Times New Roman" w:cs="Times New Roman" w:eastAsia="Times New Roman" w:hAnsi="Times New Roman"/>
          <w:sz w:val="29"/>
          <w:szCs w:val="29"/>
          <w:color w:val="auto"/>
          <w:vertAlign w:val="superscript"/>
        </w:rPr>
        <w:t>19</w:t>
      </w:r>
    </w:p>
    <w:p>
      <w:pPr>
        <w:spacing w:after="0" w:line="45" w:lineRule="exact"/>
        <w:rPr>
          <w:sz w:val="20"/>
          <w:szCs w:val="20"/>
          <w:color w:val="auto"/>
        </w:rPr>
      </w:pPr>
    </w:p>
    <w:p>
      <w:pPr>
        <w:ind w:left="1960" w:right="20"/>
        <w:spacing w:after="0" w:line="282" w:lineRule="auto"/>
        <w:rPr>
          <w:sz w:val="20"/>
          <w:szCs w:val="20"/>
          <w:color w:val="auto"/>
        </w:rPr>
      </w:pPr>
      <w:r>
        <w:rPr>
          <w:rFonts w:ascii="Times New Roman" w:cs="Times New Roman" w:eastAsia="Times New Roman" w:hAnsi="Times New Roman"/>
          <w:sz w:val="18"/>
          <w:szCs w:val="18"/>
          <w:color w:val="auto"/>
        </w:rPr>
        <w:t>In the event that either party becomes aware that a representation made under this Section 9(x)(v) would not be accurate and complete if made at that time, it shall so notify the other party promptly thereafter.</w:t>
      </w:r>
    </w:p>
    <w:p>
      <w:pPr>
        <w:spacing w:after="0" w:line="160" w:lineRule="exact"/>
        <w:rPr>
          <w:sz w:val="20"/>
          <w:szCs w:val="20"/>
          <w:color w:val="auto"/>
        </w:rPr>
      </w:pPr>
    </w:p>
    <w:p>
      <w:pPr>
        <w:jc w:val="both"/>
        <w:ind w:left="1300" w:hanging="644"/>
        <w:spacing w:after="0" w:line="261"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together shall constitute one and the same instrument. Delivery of an executed signature page by facsimile or electronic transmission (e.g. “pdf” or “tif”), or any electronic signature complying with the U.S. federal ESIGN Act of 2000, Uniform Electronic Transactions Act or other applicable law, e.g., www.docusign.com, shall be effective as delivery of a manually executed counterpart hereof.</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7"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Conduct Rules</w:t>
      </w:r>
      <w:r>
        <w:rPr>
          <w:rFonts w:ascii="Times New Roman" w:cs="Times New Roman" w:eastAsia="Times New Roman" w:hAnsi="Times New Roman"/>
          <w:sz w:val="18"/>
          <w:szCs w:val="18"/>
          <w:color w:val="auto"/>
        </w:rPr>
        <w:t>. Each of Dealer and Counterparty acknowledges and agrees to be bound by the Conduct Rules of the Financial Industry Regulatory Authority, Inc. applicable to transactions in options, and further agrees not to violate the position and exercise limits set forth therein.</w:t>
      </w:r>
    </w:p>
    <w:p>
      <w:pPr>
        <w:spacing w:after="0" w:line="173" w:lineRule="exact"/>
        <w:rPr>
          <w:sz w:val="20"/>
          <w:szCs w:val="20"/>
          <w:color w:val="auto"/>
        </w:rPr>
      </w:pPr>
    </w:p>
    <w:p>
      <w:pPr>
        <w:jc w:val="both"/>
        <w:ind w:left="1300" w:hanging="644"/>
        <w:spacing w:after="0" w:line="277"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 Disclosure Statement</w:t>
      </w:r>
      <w:r>
        <w:rPr>
          <w:rFonts w:ascii="Times New Roman" w:cs="Times New Roman" w:eastAsia="Times New Roman" w:hAnsi="Times New Roman"/>
          <w:sz w:val="18"/>
          <w:szCs w:val="18"/>
          <w:color w:val="auto"/>
        </w:rPr>
        <w:t>. Counterparty represents and warrants that it has received, read and understands the OTC Options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9"/>
          <w:szCs w:val="29"/>
          <w:color w:val="auto"/>
          <w:vertAlign w:val="superscript"/>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7830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 w:lineRule="exact"/>
        <w:rPr>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modified for Dealers as appropriate.</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if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5" w:name="page146"/>
    <w:bookmarkEnd w:id="145"/>
    <w:p>
      <w:pPr>
        <w:jc w:val="both"/>
        <w:ind w:left="1300" w:hanging="644"/>
        <w:spacing w:after="0" w:line="253"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Resolution Stay Protocol</w:t>
      </w:r>
      <w:r>
        <w:rPr>
          <w:rFonts w:ascii="Times New Roman" w:cs="Times New Roman" w:eastAsia="Times New Roman" w:hAnsi="Times New Roman"/>
          <w:sz w:val="18"/>
          <w:szCs w:val="18"/>
          <w:color w:val="auto"/>
        </w:rPr>
        <w:t>. The parties acknowledge and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the Agreement, and for such purposes the Agreement shall be deemed a Protocol Covered Agreement, Dealer shall be deemed a Regulated Entity and Counterparty shall be deemed an Adhering Party;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the Agreement, and for such purposes the Agreement shall be deemed a Covered Agreement, Dealer shall be deemed a Covered Entity and Counterparty shall be deemed a Counterparty Entity;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color w:val="auto"/>
        </w:rPr>
        <w:t>Bilateral Terms</w:t>
      </w:r>
      <w:r>
        <w:rPr>
          <w:rFonts w:ascii="Times New Roman" w:cs="Times New Roman" w:eastAsia="Times New Roman" w:hAnsi="Times New Roman"/>
          <w:sz w:val="18"/>
          <w:szCs w:val="18"/>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the Agreement, and for such purposes the Agreement shall be deemed a “Covered Agreement,” Dealer shall be deemed a “Covered Entity” and Counterparty shall be deemed a “Counterparty Entity.” In the event that, after the date of the Agreement, both parties hereto become adhering parties to the Protocol, the terms of the Protocol will replace the terms of this paragraph. In the event of any inconsistencies between the Agreement and the terms of the Protocol, the Bilateral Agreement or the Bilateral Terms (each, the “</w:t>
      </w:r>
      <w:r>
        <w:rPr>
          <w:rFonts w:ascii="Times New Roman" w:cs="Times New Roman" w:eastAsia="Times New Roman" w:hAnsi="Times New Roman"/>
          <w:sz w:val="18"/>
          <w:szCs w:val="18"/>
          <w:b w:val="1"/>
          <w:bCs w:val="1"/>
          <w:color w:val="auto"/>
        </w:rPr>
        <w:t>QFC Stay Terms</w:t>
      </w:r>
      <w:r>
        <w:rPr>
          <w:rFonts w:ascii="Times New Roman" w:cs="Times New Roman" w:eastAsia="Times New Roman" w:hAnsi="Times New Roman"/>
          <w:sz w:val="18"/>
          <w:szCs w:val="18"/>
          <w:color w:val="auto"/>
        </w:rPr>
        <w:t>”), as applicable, the QFC Stay Terms will govern. Terms used in this paragraph without definition shall have the meanings assigned to them under the QFC Stay Rules. For purposes of this paragraph, references to “the Agreement” include any related credit enhancements entered into between the parties or provided by one to the other. In addition, the parties agree that the terms of this paragraph shall be incorporated into any related covered affiliate credit enhancements, with all references to Dealer replaced by references to the covered affiliate support provider. “</w:t>
      </w:r>
      <w:r>
        <w:rPr>
          <w:rFonts w:ascii="Times New Roman" w:cs="Times New Roman" w:eastAsia="Times New Roman" w:hAnsi="Times New Roman"/>
          <w:sz w:val="18"/>
          <w:szCs w:val="18"/>
          <w:b w:val="1"/>
          <w:bCs w:val="1"/>
          <w:color w:val="auto"/>
        </w:rPr>
        <w:t>QFC Stay Rules</w:t>
      </w:r>
      <w:r>
        <w:rPr>
          <w:rFonts w:ascii="Times New Roman" w:cs="Times New Roman" w:eastAsia="Times New Roman" w:hAnsi="Times New Roman"/>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r>
        <w:rPr>
          <w:rFonts w:ascii="Times New Roman" w:cs="Times New Roman" w:eastAsia="Times New Roman" w:hAnsi="Times New Roman"/>
          <w:sz w:val="29"/>
          <w:szCs w:val="29"/>
          <w:color w:val="auto"/>
          <w:vertAlign w:val="superscript"/>
        </w:rPr>
        <w:t>21</w:t>
      </w:r>
    </w:p>
    <w:p>
      <w:pPr>
        <w:spacing w:after="0" w:line="6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Other Regulatory Boilerplate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7" w:lineRule="exact"/>
        <w:rPr>
          <w:sz w:val="20"/>
          <w:szCs w:val="20"/>
          <w:color w:val="auto"/>
        </w:rPr>
      </w:pPr>
    </w:p>
    <w:p>
      <w:pPr>
        <w:ind w:left="200" w:hanging="192"/>
        <w:spacing w:after="0"/>
        <w:tabs>
          <w:tab w:leader="none" w:pos="200" w:val="left"/>
        </w:tabs>
        <w:numPr>
          <w:ilvl w:val="0"/>
          <w:numId w:val="7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Update as necessary.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this Confirmation and returning it to Dealer.</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Dealer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Trade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i w:val="1"/>
          <w:iCs w:val="1"/>
          <w:color w:val="auto"/>
        </w:rPr>
        <w:t>[Signature Page to [Base][Additional] Capped Call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 Prices $1,000,000,000 Convertible Senior Notes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NEWARK, CALIFORNIA (PRNewswire) April 2, 2025 — Lucid Group, Inc. (Nasdaq: LCID) today announced the pricing of its offering of $1,000,000,000 aggregate principal amount of 5.00% convertible senior notes due 2030 in a private offering to persons reasonably believed to be qualified institutional buyers pursuant to Rule 144A under the Securities Act of 1933, as amended. The issuance and sale of the notes are scheduled to settle on or about April 8, 2025, subject to the satisfaction of customary closing conditions. Lucid also granted the initial purchasers of the notes an option, for settlement within a period of 13 days from, and including, the date the notes are first issued, to purchase up to an additional $100,000,000 principal amount of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Notes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will be senior, unsecured obligations of Lucid and will accrue interest at a rate of 5.00% per annum, payable semi-annually in arrears on April 1 and October 1 of each year, beginning on October 1, 2025. The notes will mature on April 1, 2030, unless earlier repurchased, redeemed or converted. Before January 1, 2030, noteholders will have the right to convert their notes only upon the occurrence of certain events and during specified periods. From and after January 1, 2030, noteholders may convert their notes at any time at their election until the close of business on the second scheduled trading day immediately before the maturity date. Lucid will settle conversions of notes by paying or delivering, as applicable, cash, shares of its Class A common stock, or a combination thereof, at Lucid’s election. The initial conversion rate is 333.3333 shares of common stock per $1,000 principal amount of notes, which represents an initial conversion price of approximately $3.00 per share of common stock. The initial conversion price represents a premium of approximately 25.0% over the last reported sale price on The Nasdaq Global Select Market of $2.40 per share of Lucid’s common stock on April 2, 2025. The conversion rate and conversion price will be subject to adjustment upon the occurrence of certain events. If a “make-whole fundamental change” (as defined in the indenture for the notes) occurs, Lucid will, in certain circumstances, increase the conversion rate for a specified time for holders who convert their notes in connection with that make-whole fundamental change.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for cash at Lucid’s option at any time, and from time to time, on or after April 6, 2028 and on or before the 31st scheduled trading day immediately before the maturity date, but only if the last reported sale price per share of Lucid’s common stock exceeds 130% of the conversion price for a specified period of time and certain liquidity conditions are satisfied. The redemption price will be equal to the principal amount of the notes to be redeemed, plus accrued and unpaid interest, if any, to, but excluding, the redemption date. If Lucid calls any or all notes for redemption, holders of notes called for redemption may convert their notes during the related redemption conversion period, and any such conversion will also constitute a “make-whole fundamental change” with respect to the notes so converted.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indenture for the notes) occurs, then, subject to limited exceptions, holders may require Lucid to repurchase their notes for cash. The repurchase price will be equal to the principal amount of the notes to be repurchased, plus accrued and unpaid interest, if any, to, but excluding, the applicable repurchase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Lucid estimates that the net proceeds from the offering will be approximately $983.6 million (or approximately $1,082.2 million if the initial purchasers fully exercise their option to purchase additional notes), after deducting the initial purchasers’ discounts and commissions and estimated offering expenses. Together with cash on hand, Lucid intends to use approximately $935.6 million of the net proceeds from the offering to fund repurchases of approximately $1,052.5 million aggregate principal amount of its outstanding 1.25% Convertible Senior Notes due 2026 and $107.5 million of the net proceeds to pay the cost of the capped call transactions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notes, Lucid has entered into privately negotiated capped call transactions with certain of the initial purchasers of the notes or their respective affiliates and certain other financial institutions. The capped call transactions cover, subject to anti-dilution adjustments substantially similar to those applicable to the notes, the number of shares of Lucid’s common stock that initially underlie the notes. The cap price of the capped call transactions is initially $4.80 per share of Lucid’s common stock, representing a premium of 100.0% above the last reported sale price of $2.40 per share of Lucid’s common stock on The Nasdaq Global Select Market on April 2, 2025, and is subject to customary anti-dilution adjustments under the terms of the capped call transactions. The capped call transactions are expected generally to reduce potential dilution to Lucid’s common stock upon conversion of the notes and/or offset any cash payments that Lucid could be required to make in excess of the principal amount of any converted notes upon conversion thereof, as the case may be, with such reduction and/or offset subject to a cap. If the initial purchasers exercise their option to purchase additional notes, Lucid expects to enter into additional capped call transactions with the capped call counterparties.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Outstanding 2026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with the pricing of the notes, Lucid entered into one or more separate and individually negotiated transactions with certain holders of the 2026 notes to repurchase for cash a portion of the 2026 notes on terms negotiated with each such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Ayar Prepaid Forward Transaction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pricing of the notes, Ayar Third Investment Company (“Ayar”), a wholly-owned subsidiary of the Public Investment Fund of Saudi Arabia, entered into a privately negotiated prepaid forward transaction with a forward counterparty that is an affiliate of one of the initial purchasers, pursuant to which Ayar will purchase approximately $430.0 million of Lucid’s common stock (based on the last reported sale price on The Nasdaq Global Select Market of $2.40 per share of Lucid’s common stock on April 2, 2025) with delivery expected to occur on or about the maturity date for the notes, subject to the ability of the forward counterparty to elect to settle all or a portion of the prepaid forward transaction early. Subject to the conditions set forth in the agreement governing the prepaid forward transaction, the prepaid forward transaction will be settled physically, subject to Ayar’s option to elect cash settlement of the prepaid forward transaction. Lucid will not be a party to the prepaid forward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prepaid forward transaction is generally intended to facilitate privately negotiated derivative transactions, including swaps, between the forward counterparty or its affiliates and investors in the notes relating to Lucid’s common stock by which investors in the notes will hedge their investments in the notes. Ayar’s entry into the prepaid forward transaction with the forward counterparty and the entry by the forward counterparty into derivative transactions in respect of Lucid’s common stock with the investors of the notes could have the effect of increasing (or reducing the size of any decrease in) the market price of Lucid’s common stock concurrently with, or shortly after, the pricing of the notes and effectively raising the initial conversion price of the notes.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transactions described in this press release can be found in the Current Report on Form 8-K that Lucid intends to file with the Securities and Exchange Commission on or about April 8,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 and sale of the notes and any shares of Lucid’s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Lucid’s common stock issuable upon conversion of the notes, nor will there be any sale of the notes or any such shares, in any state or other jurisdiction in which such offer, sale or solicitation would be unlawful.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Lucid (NASDAQ: LCID)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396"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completion of the offering, the expected amount and intended use of the net proceeds and the anticipated effects of entering into the capped call transactions. Actual events and circumstances may differ from these forward-looking statements. These forward-looking statements are subject to a number of risks and uncertainties. Among those risks and uncertainties are market conditions, the satisfaction of the closing conditions related to the offering and risks relating to Lucid’s business, including those factors discussed under the heading “Risk Factors” in Part I, Item 1A of Lucid’s Annual Report on Form 10-K for the year ended December 31, 2024,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Lucid may not consummate the offering described in this press release and, if the offering is consummated, cannot provide any assurances regarding its ability to effectively apply the net proceeds as described above.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Accordingly, undue reliance should not be placed upon the forward-looking statements.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lowerRoman"/>
      <w:start w:val="1"/>
    </w:lvl>
  </w:abstractNum>
  <w:abstractNum w:abstractNumId="2">
    <w:nsid w:val="7724C67E"/>
    <w:multiLevelType w:val="hybridMultilevel"/>
    <w:lvl w:ilvl="0">
      <w:lvlJc w:val="left"/>
      <w:lvlText w:val="(%1)"/>
      <w:numFmt w:val="decimal"/>
      <w:start w:val="3"/>
    </w:lvl>
  </w:abstractNum>
  <w:abstractNum w:abstractNumId="3">
    <w:nsid w:val="5C482A97"/>
    <w:multiLevelType w:val="hybridMultilevel"/>
    <w:lvl w:ilvl="0">
      <w:lvlJc w:val="left"/>
      <w:lvlText w:val="%1"/>
      <w:numFmt w:val="decimal"/>
      <w:start w:val="104"/>
    </w:lvl>
  </w:abstractNum>
  <w:abstractNum w:abstractNumId="4">
    <w:nsid w:val="2463B9EA"/>
    <w:multiLevelType w:val="hybridMultilevel"/>
    <w:lvl w:ilvl="0">
      <w:lvlJc w:val="left"/>
      <w:lvlText w:val="(%1)"/>
      <w:numFmt w:val="lowerRoman"/>
      <w:start w:val="2"/>
    </w:lvl>
  </w:abstractNum>
  <w:abstractNum w:abstractNumId="5">
    <w:nsid w:val="5E884ADC"/>
    <w:multiLevelType w:val="hybridMultilevel"/>
    <w:lvl w:ilvl="0">
      <w:lvlJc w:val="left"/>
      <w:lvlText w:val="(%1)"/>
      <w:numFmt w:val="lowerLetter"/>
      <w:start w:val="25"/>
    </w:lvl>
    <w:lvl w:ilvl="1">
      <w:lvlJc w:val="left"/>
      <w:lvlText w:val="-"/>
      <w:numFmt w:val="bullet"/>
      <w:start w:val="1"/>
    </w:lvl>
  </w:abstractNum>
  <w:abstractNum w:abstractNumId="6">
    <w:nsid w:val="51EAD36B"/>
    <w:multiLevelType w:val="hybridMultilevel"/>
    <w:lvl w:ilvl="0">
      <w:lvlJc w:val="left"/>
      <w:lvlText w:val="(%1)"/>
      <w:numFmt w:val="upperLetter"/>
      <w:start w:val="4"/>
    </w:lvl>
  </w:abstractNum>
  <w:abstractNum w:abstractNumId="7">
    <w:nsid w:val="2D517796"/>
    <w:multiLevelType w:val="hybridMultilevel"/>
    <w:lvl w:ilvl="0">
      <w:lvlJc w:val="left"/>
      <w:lvlText w:val="(%1)"/>
      <w:numFmt w:val="decimal"/>
      <w:start w:val="2"/>
    </w:lvl>
  </w:abstractNum>
  <w:abstractNum w:abstractNumId="8">
    <w:nsid w:val="580BD78F"/>
    <w:multiLevelType w:val="hybridMultilevel"/>
    <w:lvl w:ilvl="0">
      <w:lvlJc w:val="left"/>
      <w:lvlText w:val="(%1)"/>
      <w:numFmt w:val="decimal"/>
      <w:start w:val="5"/>
    </w:lvl>
    <w:lvl w:ilvl="1">
      <w:lvlJc w:val="left"/>
      <w:lvlText w:val="-"/>
      <w:numFmt w:val="bullet"/>
      <w:start w:val="1"/>
    </w:lvl>
  </w:abstractNum>
  <w:abstractNum w:abstractNumId="9">
    <w:nsid w:val="153EA438"/>
    <w:multiLevelType w:val="hybridMultilevel"/>
    <w:lvl w:ilvl="0">
      <w:lvlJc w:val="left"/>
      <w:lvlText w:val="(%1)"/>
      <w:numFmt w:val="lowerRoman"/>
      <w:start w:val="1"/>
    </w:lvl>
    <w:lvl w:ilvl="1">
      <w:lvlJc w:val="left"/>
      <w:lvlText w:val="-"/>
      <w:numFmt w:val="bullet"/>
      <w:start w:val="1"/>
    </w:lvl>
  </w:abstractNum>
  <w:abstractNum w:abstractNumId="10">
    <w:nsid w:val="3855585C"/>
    <w:multiLevelType w:val="hybridMultilevel"/>
    <w:lvl w:ilvl="0">
      <w:lvlJc w:val="left"/>
      <w:lvlText w:val="(%1)"/>
      <w:numFmt w:val="upperLetter"/>
      <w:start w:val="2"/>
    </w:lvl>
    <w:lvl w:ilvl="1">
      <w:lvlJc w:val="left"/>
      <w:lvlText w:val="-"/>
      <w:numFmt w:val="bullet"/>
      <w:start w:val="1"/>
    </w:lvl>
  </w:abstractNum>
  <w:abstractNum w:abstractNumId="11">
    <w:nsid w:val="70A64E2A"/>
    <w:multiLevelType w:val="hybridMultilevel"/>
    <w:lvl w:ilvl="0">
      <w:lvlJc w:val="left"/>
      <w:lvlText w:val="(%1)"/>
      <w:numFmt w:val="lowerRoman"/>
      <w:start w:val="2"/>
    </w:lvl>
  </w:abstractNum>
  <w:abstractNum w:abstractNumId="12">
    <w:nsid w:val="6A2342EC"/>
    <w:multiLevelType w:val="hybridMultilevel"/>
    <w:lvl w:ilvl="0">
      <w:lvlJc w:val="left"/>
      <w:lvlText w:val="(%1)"/>
      <w:numFmt w:val="decimal"/>
      <w:start w:val="10"/>
    </w:lvl>
    <w:lvl w:ilvl="1">
      <w:lvlJc w:val="left"/>
      <w:lvlText w:val="-"/>
      <w:numFmt w:val="bullet"/>
      <w:start w:val="1"/>
    </w:lvl>
  </w:abstractNum>
  <w:abstractNum w:abstractNumId="13">
    <w:nsid w:val="2A487CB0"/>
    <w:multiLevelType w:val="hybridMultilevel"/>
    <w:lvl w:ilvl="0">
      <w:lvlJc w:val="left"/>
      <w:lvlText w:val="(%1)"/>
      <w:numFmt w:val="decimal"/>
      <w:start w:val="3"/>
    </w:lvl>
  </w:abstractNum>
  <w:abstractNum w:abstractNumId="14">
    <w:nsid w:val="1D4ED43B"/>
    <w:multiLevelType w:val="hybridMultilevel"/>
    <w:lvl w:ilvl="0">
      <w:lvlJc w:val="left"/>
      <w:lvlText w:val="(%1)"/>
      <w:numFmt w:val="lowerRoman"/>
      <w:start w:val="10"/>
    </w:lvl>
    <w:lvl w:ilvl="1">
      <w:lvlJc w:val="left"/>
      <w:lvlText w:val="-"/>
      <w:numFmt w:val="bullet"/>
      <w:start w:val="1"/>
    </w:lvl>
  </w:abstractNum>
  <w:abstractNum w:abstractNumId="15">
    <w:nsid w:val="725A06FB"/>
    <w:multiLevelType w:val="hybridMultilevel"/>
    <w:lvl w:ilvl="0">
      <w:lvlJc w:val="left"/>
      <w:lvlText w:val="(%1)"/>
      <w:numFmt w:val="lowerRoman"/>
      <w:start w:val="10"/>
    </w:lvl>
  </w:abstractNum>
  <w:abstractNum w:abstractNumId="16">
    <w:nsid w:val="2CD89A32"/>
    <w:multiLevelType w:val="hybridMultilevel"/>
    <w:lvl w:ilvl="0">
      <w:lvlJc w:val="left"/>
      <w:lvlText w:val="X"/>
      <w:numFmt w:val="bullet"/>
      <w:start w:val="1"/>
    </w:lvl>
  </w:abstractNum>
  <w:abstractNum w:abstractNumId="17">
    <w:nsid w:val="57E4CCAF"/>
    <w:multiLevelType w:val="hybridMultilevel"/>
    <w:lvl w:ilvl="0">
      <w:lvlJc w:val="left"/>
      <w:lvlText w:val="Y"/>
      <w:numFmt w:val="bullet"/>
      <w:start w:val="1"/>
    </w:lvl>
  </w:abstractNum>
  <w:abstractNum w:abstractNumId="18">
    <w:nsid w:val="7A6D8D3C"/>
    <w:multiLevelType w:val="hybridMultilevel"/>
    <w:lvl w:ilvl="0">
      <w:lvlJc w:val="left"/>
      <w:lvlText w:val="D"/>
      <w:numFmt w:val="bullet"/>
      <w:start w:val="1"/>
    </w:lvl>
  </w:abstractNum>
  <w:abstractNum w:abstractNumId="19">
    <w:nsid w:val="4B588F54"/>
    <w:multiLevelType w:val="hybridMultilevel"/>
    <w:lvl w:ilvl="0">
      <w:lvlJc w:val="left"/>
      <w:lvlText w:val="(%1)"/>
      <w:numFmt w:val="lowerLetter"/>
      <w:start w:val="25"/>
    </w:lvl>
  </w:abstractNum>
  <w:abstractNum w:abstractNumId="20">
    <w:nsid w:val="542289EC"/>
    <w:multiLevelType w:val="hybridMultilevel"/>
    <w:lvl w:ilvl="0">
      <w:lvlJc w:val="left"/>
      <w:lvlText w:val="(%1)"/>
      <w:numFmt w:val="lowerLetter"/>
      <w:start w:val="25"/>
    </w:lvl>
  </w:abstractNum>
  <w:abstractNum w:abstractNumId="21">
    <w:nsid w:val="6DE91B18"/>
    <w:multiLevelType w:val="hybridMultilevel"/>
    <w:lvl w:ilvl="0">
      <w:lvlJc w:val="left"/>
      <w:lvlText w:val="(%1)"/>
      <w:numFmt w:val="lowerLetter"/>
      <w:start w:val="25"/>
    </w:lvl>
  </w:abstractNum>
  <w:abstractNum w:abstractNumId="22">
    <w:nsid w:val="38437FDB"/>
    <w:multiLevelType w:val="hybridMultilevel"/>
    <w:lvl w:ilvl="0">
      <w:lvlJc w:val="left"/>
      <w:lvlText w:val="(%1)"/>
      <w:numFmt w:val="upperLetter"/>
      <w:start w:val="2"/>
    </w:lvl>
  </w:abstractNum>
  <w:abstractNum w:abstractNumId="23">
    <w:nsid w:val="7644A45C"/>
    <w:multiLevelType w:val="hybridMultilevel"/>
    <w:lvl w:ilvl="0">
      <w:lvlJc w:val="left"/>
      <w:lvlText w:val="(%1)"/>
      <w:numFmt w:val="lowerRoman"/>
      <w:start w:val="2"/>
    </w:lvl>
    <w:lvl w:ilvl="1">
      <w:lvlJc w:val="left"/>
      <w:lvlText w:val="-"/>
      <w:numFmt w:val="bullet"/>
      <w:start w:val="1"/>
    </w:lvl>
  </w:abstractNum>
  <w:abstractNum w:abstractNumId="24">
    <w:nsid w:val="32FFF902"/>
    <w:multiLevelType w:val="hybridMultilevel"/>
    <w:lvl w:ilvl="0">
      <w:lvlJc w:val="left"/>
      <w:lvlText w:val="(%1)"/>
      <w:numFmt w:val="lowerLetter"/>
      <w:start w:val="25"/>
    </w:lvl>
  </w:abstractNum>
  <w:abstractNum w:abstractNumId="25">
    <w:nsid w:val="684A481A"/>
    <w:multiLevelType w:val="hybridMultilevel"/>
    <w:lvl w:ilvl="0">
      <w:lvlJc w:val="left"/>
      <w:lvlText w:val="(%1)"/>
      <w:numFmt w:val="upperLetter"/>
      <w:start w:val="2"/>
    </w:lvl>
  </w:abstractNum>
  <w:abstractNum w:abstractNumId="26">
    <w:nsid w:val="579478FE"/>
    <w:multiLevelType w:val="hybridMultilevel"/>
    <w:lvl w:ilvl="0">
      <w:lvlJc w:val="left"/>
      <w:lvlText w:val="(%1)"/>
      <w:numFmt w:val="lowerRoman"/>
      <w:start w:val="2"/>
    </w:lvl>
  </w:abstractNum>
  <w:abstractNum w:abstractNumId="27">
    <w:nsid w:val="749ABB43"/>
    <w:multiLevelType w:val="hybridMultilevel"/>
    <w:lvl w:ilvl="0">
      <w:lvlJc w:val="left"/>
      <w:lvlText w:val="(%1)"/>
      <w:numFmt w:val="upperLetter"/>
      <w:start w:val="2"/>
    </w:lvl>
  </w:abstractNum>
  <w:abstractNum w:abstractNumId="28">
    <w:nsid w:val="3DC240FB"/>
    <w:multiLevelType w:val="hybridMultilevel"/>
    <w:lvl w:ilvl="0">
      <w:lvlJc w:val="left"/>
      <w:lvlText w:val="(%1)"/>
      <w:numFmt w:val="upperLetter"/>
      <w:start w:val="4"/>
    </w:lvl>
  </w:abstractNum>
  <w:abstractNum w:abstractNumId="29">
    <w:nsid w:val="1BA026FA"/>
    <w:multiLevelType w:val="hybridMultilevel"/>
    <w:lvl w:ilvl="0">
      <w:lvlJc w:val="left"/>
      <w:lvlText w:val="(%1)"/>
      <w:numFmt w:val="upperLetter"/>
      <w:start w:val="2"/>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lvl w:ilvl="1">
      <w:lvlJc w:val="left"/>
      <w:lvlText w:val="(%2)"/>
      <w:numFmt w:val="upperLetter"/>
      <w:start w:val="1"/>
    </w:lvl>
  </w:abstractNum>
  <w:abstractNum w:abstractNumId="34">
    <w:nsid w:val="520EEDD1"/>
    <w:multiLevelType w:val="hybridMultilevel"/>
    <w:lvl w:ilvl="0">
      <w:lvlJc w:val="left"/>
      <w:lvlText w:val="1"/>
      <w:numFmt w:val="bullet"/>
      <w:start w:val="1"/>
    </w:lvl>
  </w:abstractNum>
  <w:abstractNum w:abstractNumId="35">
    <w:nsid w:val="374A3FE6"/>
    <w:multiLevelType w:val="hybridMultilevel"/>
    <w:lvl w:ilvl="0">
      <w:lvlJc w:val="left"/>
      <w:lvlText w:val="9"/>
      <w:numFmt w:val="bullet"/>
      <w:start w:val="1"/>
    </w:lvl>
  </w:abstractNum>
  <w:abstractNum w:abstractNumId="36">
    <w:nsid w:val="4F4EF005"/>
    <w:multiLevelType w:val="hybridMultilevel"/>
    <w:lvl w:ilvl="0">
      <w:lvlJc w:val="left"/>
      <w:lvlText w:val="%1"/>
      <w:numFmt w:val="decimal"/>
      <w:start w:val="10"/>
    </w:lvl>
  </w:abstractNum>
  <w:abstractNum w:abstractNumId="37">
    <w:nsid w:val="23F9C13C"/>
    <w:multiLevelType w:val="hybridMultilevel"/>
    <w:lvl w:ilvl="0">
      <w:lvlJc w:val="left"/>
      <w:lvlText w:val="(%1)"/>
      <w:numFmt w:val="decimal"/>
      <w:start w:val="2"/>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lowerLetter"/>
      <w:start w:val="5"/>
    </w:lvl>
    <w:lvl w:ilvl="1">
      <w:lvlJc w:val="left"/>
      <w:lvlText w:val="(%2)"/>
      <w:numFmt w:val="upperLetter"/>
      <w:start w:val="6"/>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decimal"/>
      <w:start w:val="12"/>
    </w:lvl>
  </w:abstractNum>
  <w:abstractNum w:abstractNumId="45">
    <w:nsid w:val="354FE9F9"/>
    <w:multiLevelType w:val="hybridMultilevel"/>
    <w:lvl w:ilvl="0">
      <w:lvlJc w:val="left"/>
      <w:lvlText w:val="(%1)"/>
      <w:numFmt w:val="lowerLetter"/>
      <w:start w:val="3"/>
    </w:lvl>
  </w:abstractNum>
  <w:abstractNum w:abstractNumId="46">
    <w:nsid w:val="15B5AF5C"/>
    <w:multiLevelType w:val="hybridMultilevel"/>
    <w:lvl w:ilvl="0">
      <w:lvlJc w:val="left"/>
      <w:lvlText w:val="(%1)"/>
      <w:numFmt w:val="lowerRoman"/>
      <w:start w:val="1"/>
    </w:lvl>
    <w:lvl w:ilvl="1">
      <w:lvlJc w:val="left"/>
      <w:lvlText w:val="(%2)"/>
      <w:numFmt w:val="upperLetter"/>
      <w:start w:val="1"/>
    </w:lvl>
  </w:abstractNum>
  <w:abstractNum w:abstractNumId="47">
    <w:nsid w:val="741226BB"/>
    <w:multiLevelType w:val="hybridMultilevel"/>
    <w:lvl w:ilvl="0">
      <w:lvlJc w:val="left"/>
      <w:lvlText w:val="(%1)"/>
      <w:numFmt w:val="upperLetter"/>
      <w:start w:val="5"/>
    </w:lvl>
  </w:abstractNum>
  <w:abstractNum w:abstractNumId="48">
    <w:nsid w:val="D34B6A8"/>
    <w:multiLevelType w:val="hybridMultilevel"/>
    <w:lvl w:ilvl="0">
      <w:lvlJc w:val="left"/>
      <w:lvlText w:val="(%1)"/>
      <w:numFmt w:val="lowerRoman"/>
      <w:start w:val="2"/>
    </w:lvl>
  </w:abstractNum>
  <w:abstractNum w:abstractNumId="49">
    <w:nsid w:val="10233C99"/>
    <w:multiLevelType w:val="hybridMultilevel"/>
    <w:lvl w:ilvl="0">
      <w:lvlJc w:val="left"/>
      <w:lvlText w:val="%1"/>
      <w:numFmt w:val="lowerLetter"/>
      <w:start w:val="1"/>
    </w:lvl>
    <w:lvl w:ilvl="1">
      <w:lvlJc w:val="left"/>
      <w:lvlText w:val="(%2)"/>
      <w:numFmt w:val="lowerLetter"/>
      <w:start w:val="61"/>
    </w:lvl>
  </w:abstractNum>
  <w:abstractNum w:abstractNumId="50">
    <w:nsid w:val="3F6AB60F"/>
    <w:multiLevelType w:val="hybridMultilevel"/>
    <w:lvl w:ilvl="0">
      <w:lvlJc w:val="left"/>
      <w:lvlText w:val="(%1)"/>
      <w:numFmt w:val="lowerLetter"/>
      <w:start w:val="6"/>
    </w:lvl>
    <w:lvl w:ilvl="1">
      <w:lvlJc w:val="left"/>
      <w:lvlText w:val="(%2)"/>
      <w:numFmt w:val="lowerLetter"/>
      <w:start w:val="9"/>
    </w:lvl>
  </w:abstractNum>
  <w:abstractNum w:abstractNumId="51">
    <w:nsid w:val="6157409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2">
    <w:nsid w:val="7E0C57B1"/>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53">
    <w:nsid w:val="77AE35EB"/>
    <w:multiLevelType w:val="hybridMultilevel"/>
    <w:lvl w:ilvl="0">
      <w:lvlJc w:val="left"/>
      <w:lvlText w:val="%1"/>
      <w:numFmt w:val="decimal"/>
      <w:start w:val="14"/>
    </w:lvl>
  </w:abstractNum>
  <w:abstractNum w:abstractNumId="54">
    <w:nsid w:val="579BE4F1"/>
    <w:multiLevelType w:val="hybridMultilevel"/>
    <w:lvl w:ilvl="0">
      <w:lvlJc w:val="left"/>
      <w:lvlText w:val="%1"/>
      <w:numFmt w:val="lowerRoman"/>
      <w:start w:val="1"/>
    </w:lvl>
    <w:lvl w:ilvl="1">
      <w:lvlJc w:val="left"/>
      <w:lvlText w:val="(%2)"/>
      <w:numFmt w:val="upperLetter"/>
      <w:start w:val="3"/>
    </w:lvl>
  </w:abstractNum>
  <w:abstractNum w:abstractNumId="55">
    <w:nsid w:val="310C50B3"/>
    <w:multiLevelType w:val="hybridMultilevel"/>
    <w:lvl w:ilvl="0">
      <w:lvlJc w:val="left"/>
      <w:lvlText w:val="(%1)"/>
      <w:numFmt w:val="lowerRoman"/>
      <w:start w:val="2"/>
    </w:lvl>
    <w:lvl w:ilvl="1">
      <w:lvlJc w:val="left"/>
      <w:lvlText w:val="%2"/>
      <w:numFmt w:val="upperLetter"/>
      <w:start w:val="1"/>
    </w:lvl>
  </w:abstractNum>
  <w:abstractNum w:abstractNumId="56">
    <w:nsid w:val="5FF87E05"/>
    <w:multiLevelType w:val="hybridMultilevel"/>
    <w:lvl w:ilvl="0">
      <w:lvlJc w:val="left"/>
      <w:lvlText w:val="%1"/>
      <w:numFmt w:val="decimal"/>
      <w:start w:val="15"/>
    </w:lvl>
  </w:abstractNum>
  <w:abstractNum w:abstractNumId="57">
    <w:nsid w:val="2F305DEF"/>
    <w:multiLevelType w:val="hybridMultilevel"/>
    <w:lvl w:ilvl="0">
      <w:lvlJc w:val="left"/>
      <w:lvlText w:val="(%1)"/>
      <w:numFmt w:val="lowerRoman"/>
      <w:start w:val="1"/>
    </w:lvl>
    <w:lvl w:ilvl="1">
      <w:lvlJc w:val="left"/>
      <w:lvlText w:val="(%2)"/>
      <w:numFmt w:val="lowerRoman"/>
      <w:start w:val="1"/>
    </w:lvl>
  </w:abstractNum>
  <w:abstractNum w:abstractNumId="58">
    <w:nsid w:val="25A70BF7"/>
    <w:multiLevelType w:val="hybridMultilevel"/>
    <w:lvl w:ilvl="0">
      <w:lvlJc w:val="left"/>
      <w:lvlText w:val="(%1)"/>
      <w:numFmt w:val="lowerLetter"/>
      <w:start w:val="10"/>
    </w:lvl>
  </w:abstractNum>
  <w:abstractNum w:abstractNumId="59">
    <w:nsid w:val="1DBABF00"/>
    <w:multiLevelType w:val="hybridMultilevel"/>
    <w:lvl w:ilvl="0">
      <w:lvlJc w:val="left"/>
      <w:lvlText w:val="(%1)"/>
      <w:numFmt w:val="lowerLetter"/>
      <w:start w:val="11"/>
    </w:lvl>
  </w:abstractNum>
  <w:abstractNum w:abstractNumId="60">
    <w:nsid w:val="4AD084E9"/>
    <w:multiLevelType w:val="hybridMultilevel"/>
    <w:lvl w:ilvl="0">
      <w:lvlJc w:val="left"/>
      <w:lvlText w:val="(%1)"/>
      <w:numFmt w:val="lowerLetter"/>
      <w:start w:val="12"/>
    </w:lvl>
  </w:abstractNum>
  <w:abstractNum w:abstractNumId="61">
    <w:nsid w:val="1F48EAA1"/>
    <w:multiLevelType w:val="hybridMultilevel"/>
    <w:lvl w:ilvl="0">
      <w:lvlJc w:val="left"/>
      <w:lvlText w:val="(%1)"/>
      <w:numFmt w:val="lowerLetter"/>
      <w:start w:val="15"/>
    </w:lvl>
    <w:lvl w:ilvl="1">
      <w:lvlJc w:val="left"/>
      <w:lvlText w:val="(%2)"/>
      <w:numFmt w:val="lowerRoman"/>
      <w:start w:val="1"/>
    </w:lvl>
  </w:abstractNum>
  <w:abstractNum w:abstractNumId="62">
    <w:nsid w:val="1381823A"/>
    <w:multiLevelType w:val="hybridMultilevel"/>
    <w:lvl w:ilvl="0">
      <w:lvlJc w:val="left"/>
      <w:lvlText w:val="(%1)"/>
      <w:numFmt w:val="lowerLetter"/>
      <w:start w:val="19"/>
    </w:lvl>
    <w:lvl w:ilvl="1">
      <w:lvlJc w:val="left"/>
      <w:lvlText w:val="(%2)"/>
      <w:numFmt w:val="lowerLetter"/>
      <w:start w:val="9"/>
    </w:lvl>
  </w:abstractNum>
  <w:abstractNum w:abstractNumId="63">
    <w:nsid w:val="5DB70AE5"/>
    <w:multiLevelType w:val="hybridMultilevel"/>
    <w:lvl w:ilvl="0">
      <w:lvlJc w:val="left"/>
      <w:lvlText w:val="(%1)"/>
      <w:numFmt w:val="lowerLetter"/>
      <w:start w:val="23"/>
    </w:lvl>
  </w:abstractNum>
  <w:abstractNum w:abstractNumId="64">
    <w:nsid w:val="100F8FCA"/>
    <w:multiLevelType w:val="hybridMultilevel"/>
    <w:lvl w:ilvl="0">
      <w:lvlJc w:val="left"/>
      <w:lvlText w:val="(%1)"/>
      <w:numFmt w:val="lowerRoman"/>
      <w:start w:val="10"/>
    </w:lvl>
    <w:lvl w:ilvl="1">
      <w:lvlJc w:val="left"/>
      <w:lvlText w:val="(%2)"/>
      <w:numFmt w:val="lowerRoman"/>
      <w:start w:val="1"/>
    </w:lvl>
  </w:abstractNum>
  <w:abstractNum w:abstractNumId="65">
    <w:nsid w:val="6590700B"/>
    <w:multiLevelType w:val="hybridMultilevel"/>
    <w:lvl w:ilvl="0">
      <w:lvlJc w:val="left"/>
      <w:lvlText w:val="%1"/>
      <w:numFmt w:val="decimal"/>
      <w:start w:val="17"/>
    </w:lvl>
  </w:abstractNum>
  <w:abstractNum w:abstractNumId="66">
    <w:nsid w:val="15014ACB"/>
    <w:multiLevelType w:val="hybridMultilevel"/>
    <w:lvl w:ilvl="0">
      <w:lvlJc w:val="left"/>
      <w:lvlText w:val="(%1)"/>
      <w:numFmt w:val="lowerRoman"/>
      <w:start w:val="4"/>
    </w:lvl>
    <w:lvl w:ilvl="1">
      <w:lvlJc w:val="left"/>
      <w:lvlText w:val="(%2)"/>
      <w:numFmt w:val="upperLetter"/>
      <w:start w:val="1"/>
    </w:lvl>
  </w:abstractNum>
  <w:abstractNum w:abstractNumId="67">
    <w:nsid w:val="5F5E7FD0"/>
    <w:multiLevelType w:val="hybridMultilevel"/>
    <w:lvl w:ilvl="0">
      <w:lvlJc w:val="left"/>
      <w:lvlText w:val="(%1)"/>
      <w:numFmt w:val="lowerLetter"/>
      <w:start w:val="25"/>
    </w:lvl>
  </w:abstractNum>
  <w:abstractNum w:abstractNumId="68">
    <w:nsid w:val="98A3148"/>
    <w:multiLevelType w:val="hybridMultilevel"/>
    <w:lvl w:ilvl="0">
      <w:lvlJc w:val="left"/>
      <w:lvlText w:val="(%1)"/>
      <w:numFmt w:val="lowerLetter"/>
      <w:start w:val="27"/>
    </w:lvl>
  </w:abstractNum>
  <w:abstractNum w:abstractNumId="69">
    <w:nsid w:val="799D0247"/>
    <w:multiLevelType w:val="hybridMultilevel"/>
    <w:lvl w:ilvl="0">
      <w:lvlJc w:val="left"/>
      <w:lvlText w:val="%1"/>
      <w:numFmt w:val="decimal"/>
      <w:start w:val="19"/>
    </w:lvl>
  </w:abstractNum>
  <w:abstractNum w:abstractNumId="70">
    <w:nsid w:val="6B94764"/>
    <w:multiLevelType w:val="hybridMultilevel"/>
    <w:lvl w:ilvl="0">
      <w:lvlJc w:val="left"/>
      <w:lvlText w:val="(%1)"/>
      <w:numFmt w:val="lowerLetter"/>
      <w:start w:val="28"/>
    </w:lvl>
  </w:abstractNum>
  <w:abstractNum w:abstractNumId="71">
    <w:nsid w:val="42C296BD"/>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2025-04-08T15:15:23Z</dcterms:created>
  <dcterms:modified xsi:type="dcterms:W3CDTF">2025-04-08T15:15:23Z</dcterms:modified>
</cp:coreProperties>
</file>