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0" w:lineRule="exact"/>
        <w:rPr>
          <w:sz w:val="24"/>
          <w:szCs w:val="24"/>
          <w:color w:val="auto"/>
        </w:rPr>
      </w:pPr>
    </w:p>
    <w:p>
      <w:pPr>
        <w:ind w:left="420" w:right="1680" w:hanging="367"/>
        <w:spacing w:after="0" w:line="29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20" w:hanging="367"/>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20"/>
              <w:spacing w:after="0"/>
              <w:rPr>
                <w:sz w:val="20"/>
                <w:szCs w:val="20"/>
                <w:color w:val="auto"/>
              </w:rPr>
            </w:pPr>
            <w:r>
              <w:rPr>
                <w:rFonts w:ascii="Arial" w:cs="Arial" w:eastAsia="Arial" w:hAnsi="Arial"/>
                <w:sz w:val="18"/>
                <w:szCs w:val="18"/>
                <w:b w:val="1"/>
                <w:bCs w:val="1"/>
                <w:color w:val="auto"/>
              </w:rPr>
              <w:t>For the transition period from</w:t>
            </w: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34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340" w:type="dxa"/>
            <w:vAlign w:val="bottom"/>
          </w:tcPr>
          <w:p>
            <w:pPr>
              <w:spacing w:after="0"/>
              <w:rPr>
                <w:sz w:val="24"/>
                <w:szCs w:val="24"/>
                <w:color w:val="auto"/>
              </w:rPr>
            </w:pPr>
          </w:p>
        </w:tc>
        <w:tc>
          <w:tcPr>
            <w:tcW w:w="4340" w:type="dxa"/>
            <w:vAlign w:val="bottom"/>
            <w:gridSpan w:val="2"/>
          </w:tcPr>
          <w:p>
            <w:pPr>
              <w:jc w:val="center"/>
              <w:ind w:left="159"/>
              <w:spacing w:after="0"/>
              <w:rPr>
                <w:sz w:val="20"/>
                <w:szCs w:val="20"/>
                <w:color w:val="auto"/>
              </w:rPr>
            </w:pPr>
            <w:r>
              <w:rPr>
                <w:rFonts w:ascii="Arial" w:cs="Arial" w:eastAsia="Arial" w:hAnsi="Arial"/>
                <w:sz w:val="18"/>
                <w:szCs w:val="18"/>
                <w:b w:val="1"/>
                <w:bCs w:val="1"/>
                <w:color w:val="auto"/>
                <w:w w:val="91"/>
              </w:rPr>
              <w:t>Commission File Number: 001-39408</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04"/>
              <w:spacing w:after="0"/>
              <w:rPr>
                <w:sz w:val="20"/>
                <w:szCs w:val="20"/>
                <w:color w:val="auto"/>
              </w:rPr>
            </w:pPr>
            <w:r>
              <w:rPr>
                <w:rFonts w:ascii="Arial" w:cs="Arial" w:eastAsia="Arial" w:hAnsi="Arial"/>
                <w:sz w:val="32"/>
                <w:szCs w:val="32"/>
                <w:b w:val="1"/>
                <w:bCs w:val="1"/>
                <w:color w:val="auto"/>
                <w:w w:val="94"/>
              </w:rPr>
              <w:t>Lucid Group,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19"/>
                <w:szCs w:val="19"/>
                <w:color w:val="auto"/>
              </w:rPr>
            </w:pPr>
          </w:p>
        </w:tc>
        <w:tc>
          <w:tcPr>
            <w:tcW w:w="434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340" w:type="dxa"/>
            <w:vAlign w:val="bottom"/>
          </w:tcPr>
          <w:p>
            <w:pPr>
              <w:jc w:val="center"/>
              <w:ind w:left="1399"/>
              <w:spacing w:after="0"/>
              <w:rPr>
                <w:sz w:val="20"/>
                <w:szCs w:val="20"/>
                <w:color w:val="auto"/>
              </w:rPr>
            </w:pPr>
            <w:r>
              <w:rPr>
                <w:rFonts w:ascii="Arial" w:cs="Arial" w:eastAsia="Arial" w:hAnsi="Arial"/>
                <w:sz w:val="18"/>
                <w:szCs w:val="18"/>
                <w:b w:val="1"/>
                <w:bCs w:val="1"/>
                <w:color w:val="auto"/>
                <w:w w:val="93"/>
              </w:rPr>
              <w:t>Delaware</w:t>
            </w:r>
          </w:p>
        </w:tc>
        <w:tc>
          <w:tcPr>
            <w:tcW w:w="94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85-0891392</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280" w:type="dxa"/>
            <w:vAlign w:val="bottom"/>
            <w:gridSpan w:val="2"/>
          </w:tcPr>
          <w:p>
            <w:pPr>
              <w:jc w:val="center"/>
              <w:ind w:left="459"/>
              <w:spacing w:after="0"/>
              <w:rPr>
                <w:sz w:val="20"/>
                <w:szCs w:val="20"/>
                <w:color w:val="auto"/>
              </w:rPr>
            </w:pPr>
            <w:r>
              <w:rPr>
                <w:rFonts w:ascii="Arial" w:cs="Arial" w:eastAsia="Arial" w:hAnsi="Arial"/>
                <w:sz w:val="14"/>
                <w:szCs w:val="14"/>
                <w:b w:val="1"/>
                <w:bCs w:val="1"/>
                <w:i w:val="1"/>
                <w:iCs w:val="1"/>
                <w:color w:val="auto"/>
                <w:w w:val="90"/>
              </w:rPr>
              <w:t>(State or other jurisdiction of incorporation or organization)</w:t>
            </w:r>
          </w:p>
        </w:tc>
        <w:tc>
          <w:tcPr>
            <w:tcW w:w="6740" w:type="dxa"/>
            <w:vAlign w:val="bottom"/>
            <w:gridSpan w:val="2"/>
          </w:tcPr>
          <w:p>
            <w:pPr>
              <w:jc w:val="center"/>
              <w:ind w:right="759"/>
              <w:spacing w:after="0"/>
              <w:rPr>
                <w:sz w:val="20"/>
                <w:szCs w:val="20"/>
                <w:color w:val="auto"/>
              </w:rPr>
            </w:pPr>
            <w:r>
              <w:rPr>
                <w:rFonts w:ascii="Arial" w:cs="Arial" w:eastAsia="Arial" w:hAnsi="Arial"/>
                <w:sz w:val="14"/>
                <w:szCs w:val="14"/>
                <w:b w:val="1"/>
                <w:bCs w:val="1"/>
                <w:i w:val="1"/>
                <w:iCs w:val="1"/>
                <w:color w:val="auto"/>
                <w:w w:val="93"/>
              </w:rPr>
              <w:t>(I.R.S. Employer Identification No.)</w:t>
            </w:r>
          </w:p>
        </w:tc>
        <w:tc>
          <w:tcPr>
            <w:tcW w:w="0" w:type="dxa"/>
            <w:vAlign w:val="bottom"/>
          </w:tcPr>
          <w:p>
            <w:pPr>
              <w:spacing w:after="0"/>
              <w:rPr>
                <w:sz w:val="1"/>
                <w:szCs w:val="1"/>
                <w:color w:val="auto"/>
              </w:rPr>
            </w:pPr>
          </w:p>
        </w:tc>
      </w:tr>
      <w:tr>
        <w:trPr>
          <w:trHeight w:val="452"/>
        </w:trPr>
        <w:tc>
          <w:tcPr>
            <w:tcW w:w="3340" w:type="dxa"/>
            <w:vAlign w:val="bottom"/>
          </w:tcPr>
          <w:p>
            <w:pPr>
              <w:spacing w:after="0"/>
              <w:rPr>
                <w:sz w:val="24"/>
                <w:szCs w:val="24"/>
                <w:color w:val="auto"/>
              </w:rPr>
            </w:pPr>
          </w:p>
        </w:tc>
        <w:tc>
          <w:tcPr>
            <w:tcW w:w="4340" w:type="dxa"/>
            <w:vAlign w:val="bottom"/>
            <w:gridSpan w:val="2"/>
          </w:tcPr>
          <w:p>
            <w:pPr>
              <w:jc w:val="center"/>
              <w:ind w:left="139"/>
              <w:spacing w:after="0"/>
              <w:rPr>
                <w:sz w:val="20"/>
                <w:szCs w:val="20"/>
                <w:color w:val="auto"/>
              </w:rPr>
            </w:pPr>
            <w:r>
              <w:rPr>
                <w:rFonts w:ascii="Arial" w:cs="Arial" w:eastAsia="Arial" w:hAnsi="Arial"/>
                <w:sz w:val="18"/>
                <w:szCs w:val="18"/>
                <w:b w:val="1"/>
                <w:bCs w:val="1"/>
                <w:color w:val="auto"/>
                <w:w w:val="92"/>
              </w:rPr>
              <w:t>7373 Gateway Boulevard, Newark, CA 94560</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4340" w:type="dxa"/>
            <w:vAlign w:val="bottom"/>
            <w:gridSpan w:val="2"/>
          </w:tcPr>
          <w:p>
            <w:pPr>
              <w:jc w:val="center"/>
              <w:ind w:left="159"/>
              <w:spacing w:after="0"/>
              <w:rPr>
                <w:sz w:val="20"/>
                <w:szCs w:val="20"/>
                <w:color w:val="auto"/>
              </w:rPr>
            </w:pPr>
            <w:r>
              <w:rPr>
                <w:rFonts w:ascii="Arial" w:cs="Arial" w:eastAsia="Arial" w:hAnsi="Arial"/>
                <w:sz w:val="14"/>
                <w:szCs w:val="14"/>
                <w:b w:val="1"/>
                <w:bCs w:val="1"/>
                <w:i w:val="1"/>
                <w:iCs w:val="1"/>
                <w:color w:val="auto"/>
                <w:w w:val="88"/>
              </w:rPr>
              <w:t>(Address of principal executive offices) (Zip code)</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24"/>
              <w:spacing w:after="0"/>
              <w:rPr>
                <w:sz w:val="20"/>
                <w:szCs w:val="20"/>
                <w:color w:val="auto"/>
              </w:rPr>
            </w:pPr>
            <w:r>
              <w:rPr>
                <w:rFonts w:ascii="Arial" w:cs="Arial" w:eastAsia="Arial" w:hAnsi="Arial"/>
                <w:sz w:val="18"/>
                <w:szCs w:val="18"/>
                <w:b w:val="1"/>
                <w:bCs w:val="1"/>
                <w:color w:val="auto"/>
                <w:w w:val="90"/>
              </w:rPr>
              <w:t>(510) 648-3553</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4340" w:type="dxa"/>
            <w:vAlign w:val="bottom"/>
            <w:gridSpan w:val="2"/>
          </w:tcPr>
          <w:p>
            <w:pPr>
              <w:jc w:val="center"/>
              <w:ind w:left="139"/>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340" w:type="dxa"/>
            <w:vAlign w:val="bottom"/>
          </w:tcPr>
          <w:p>
            <w:pP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9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3340" w:type="dxa"/>
            <w:vAlign w:val="bottom"/>
          </w:tcPr>
          <w:p>
            <w:pPr>
              <w:jc w:val="center"/>
              <w:ind w:left="1139"/>
              <w:spacing w:after="0"/>
              <w:rPr>
                <w:sz w:val="20"/>
                <w:szCs w:val="20"/>
                <w:color w:val="auto"/>
              </w:rPr>
            </w:pPr>
            <w:r>
              <w:rPr>
                <w:rFonts w:ascii="Arial" w:cs="Arial" w:eastAsia="Arial" w:hAnsi="Arial"/>
                <w:sz w:val="18"/>
                <w:szCs w:val="18"/>
                <w:b w:val="1"/>
                <w:bCs w:val="1"/>
                <w:color w:val="auto"/>
                <w:w w:val="87"/>
              </w:rPr>
              <w:t>Title of each class</w:t>
            </w:r>
          </w:p>
        </w:tc>
        <w:tc>
          <w:tcPr>
            <w:tcW w:w="9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58"/>
        </w:trPr>
        <w:tc>
          <w:tcPr>
            <w:tcW w:w="4280" w:type="dxa"/>
            <w:vAlign w:val="bottom"/>
            <w:gridSpan w:val="2"/>
          </w:tcPr>
          <w:p>
            <w:pPr>
              <w:jc w:val="center"/>
              <w:ind w:left="179"/>
              <w:spacing w:after="0"/>
              <w:rPr>
                <w:sz w:val="20"/>
                <w:szCs w:val="20"/>
                <w:color w:val="auto"/>
              </w:rPr>
            </w:pPr>
            <w:r>
              <w:rPr>
                <w:rFonts w:ascii="Arial" w:cs="Arial" w:eastAsia="Arial" w:hAnsi="Arial"/>
                <w:sz w:val="14"/>
                <w:szCs w:val="14"/>
                <w:color w:val="auto"/>
                <w:w w:val="92"/>
              </w:rPr>
              <w:t>Class A Common Stock, $0.0001 par value per share</w:t>
            </w:r>
          </w:p>
        </w:tc>
        <w:tc>
          <w:tcPr>
            <w:tcW w:w="3400" w:type="dxa"/>
            <w:vAlign w:val="bottom"/>
            <w:vMerge w:val="restart"/>
          </w:tcPr>
          <w:p>
            <w:pPr>
              <w:jc w:val="center"/>
              <w:spacing w:after="0"/>
              <w:rPr>
                <w:sz w:val="20"/>
                <w:szCs w:val="20"/>
                <w:color w:val="auto"/>
              </w:rPr>
            </w:pPr>
            <w:r>
              <w:rPr>
                <w:rFonts w:ascii="Arial" w:cs="Arial" w:eastAsia="Arial" w:hAnsi="Arial"/>
                <w:sz w:val="14"/>
                <w:szCs w:val="14"/>
                <w:color w:val="auto"/>
              </w:rPr>
              <w:t>LCID</w:t>
            </w:r>
          </w:p>
        </w:tc>
        <w:tc>
          <w:tcPr>
            <w:tcW w:w="3340" w:type="dxa"/>
            <w:vAlign w:val="bottom"/>
            <w:vMerge w:val="restart"/>
          </w:tcPr>
          <w:p>
            <w:pPr>
              <w:jc w:val="center"/>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0" w:type="dxa"/>
            <w:vAlign w:val="bottom"/>
            <w:vMerge w:val="continue"/>
          </w:tcPr>
          <w:p>
            <w:pPr>
              <w:spacing w:after="0"/>
              <w:rPr>
                <w:sz w:val="5"/>
                <w:szCs w:val="5"/>
                <w:color w:val="auto"/>
              </w:rPr>
            </w:pPr>
          </w:p>
        </w:tc>
        <w:tc>
          <w:tcPr>
            <w:tcW w:w="3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74" w:lineRule="exact"/>
        <w:rPr>
          <w:sz w:val="24"/>
          <w:szCs w:val="24"/>
          <w:color w:val="auto"/>
        </w:rPr>
      </w:pPr>
    </w:p>
    <w:p>
      <w:pPr>
        <w:ind w:right="20"/>
        <w:spacing w:after="0" w:line="29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25"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o No</w:t>
      </w:r>
    </w:p>
    <w:p>
      <w:pPr>
        <w:spacing w:after="0" w:line="3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180" w:type="dxa"/>
        <w:tblCellMar>
          <w:top w:w="0" w:type="dxa"/>
          <w:left w:w="0" w:type="dxa"/>
          <w:bottom w:w="0" w:type="dxa"/>
          <w:right w:w="0" w:type="dxa"/>
        </w:tblCellMar>
      </w:tblPr>
      <w:tr>
        <w:trPr>
          <w:trHeight w:val="182"/>
        </w:trPr>
        <w:tc>
          <w:tcPr>
            <w:tcW w:w="2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00" w:type="dxa"/>
            <w:vAlign w:val="bottom"/>
            <w:vMerge w:val="restart"/>
          </w:tcPr>
          <w:p>
            <w:pPr>
              <w:jc w:val="right"/>
              <w:ind w:right="688"/>
              <w:spacing w:after="0"/>
              <w:rPr>
                <w:sz w:val="20"/>
                <w:szCs w:val="20"/>
                <w:color w:val="auto"/>
              </w:rPr>
            </w:pPr>
            <w:r>
              <w:rPr>
                <w:rFonts w:ascii="Arial" w:cs="Arial" w:eastAsia="Arial" w:hAnsi="Arial"/>
                <w:sz w:val="14"/>
                <w:szCs w:val="14"/>
                <w:color w:val="auto"/>
              </w:rPr>
              <w:t>x</w:t>
            </w:r>
          </w:p>
        </w:tc>
        <w:tc>
          <w:tcPr>
            <w:tcW w:w="3440" w:type="dxa"/>
            <w:vAlign w:val="bottom"/>
            <w:vMerge w:val="restart"/>
          </w:tcPr>
          <w:p>
            <w:pPr>
              <w:ind w:left="760"/>
              <w:spacing w:after="0"/>
              <w:rPr>
                <w:sz w:val="20"/>
                <w:szCs w:val="20"/>
                <w:color w:val="auto"/>
              </w:rPr>
            </w:pPr>
            <w:r>
              <w:rPr>
                <w:rFonts w:ascii="Arial" w:cs="Arial" w:eastAsia="Arial" w:hAnsi="Arial"/>
                <w:sz w:val="14"/>
                <w:szCs w:val="14"/>
                <w:color w:val="auto"/>
              </w:rPr>
              <w:t>Accelerated Filer</w:t>
            </w:r>
          </w:p>
        </w:tc>
        <w:tc>
          <w:tcPr>
            <w:tcW w:w="1060" w:type="dxa"/>
            <w:vAlign w:val="bottom"/>
            <w:vMerge w:val="restart"/>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34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Non-accelerated Filer</w:t>
            </w:r>
          </w:p>
        </w:tc>
        <w:tc>
          <w:tcPr>
            <w:tcW w:w="1700" w:type="dxa"/>
            <w:vAlign w:val="bottom"/>
            <w:vMerge w:val="restart"/>
          </w:tcPr>
          <w:p>
            <w:pPr>
              <w:jc w:val="right"/>
              <w:ind w:right="688"/>
              <w:spacing w:after="0"/>
              <w:rPr>
                <w:sz w:val="20"/>
                <w:szCs w:val="20"/>
                <w:color w:val="auto"/>
              </w:rPr>
            </w:pPr>
            <w:r>
              <w:rPr>
                <w:rFonts w:ascii="Arial" w:cs="Arial" w:eastAsia="Arial" w:hAnsi="Arial"/>
                <w:sz w:val="14"/>
                <w:szCs w:val="14"/>
                <w:color w:val="auto"/>
              </w:rPr>
              <w:t>o</w:t>
            </w:r>
          </w:p>
        </w:tc>
        <w:tc>
          <w:tcPr>
            <w:tcW w:w="3440" w:type="dxa"/>
            <w:vAlign w:val="bottom"/>
          </w:tcPr>
          <w:p>
            <w:pPr>
              <w:ind w:left="800"/>
              <w:spacing w:after="0"/>
              <w:rPr>
                <w:sz w:val="20"/>
                <w:szCs w:val="20"/>
                <w:color w:val="auto"/>
              </w:rPr>
            </w:pPr>
            <w:r>
              <w:rPr>
                <w:rFonts w:ascii="Arial" w:cs="Arial" w:eastAsia="Arial" w:hAnsi="Arial"/>
                <w:sz w:val="14"/>
                <w:szCs w:val="14"/>
                <w:color w:val="auto"/>
              </w:rPr>
              <w:t>Smaller Reporting Company</w:t>
            </w:r>
          </w:p>
        </w:tc>
        <w:tc>
          <w:tcPr>
            <w:tcW w:w="1060" w:type="dxa"/>
            <w:vAlign w:val="bottom"/>
            <w:vMerge w:val="restart"/>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54"/>
        </w:trPr>
        <w:tc>
          <w:tcPr>
            <w:tcW w:w="224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3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40" w:type="dxa"/>
            <w:vAlign w:val="bottom"/>
          </w:tcPr>
          <w:p>
            <w:pPr>
              <w:ind w:left="800"/>
              <w:spacing w:after="0"/>
              <w:rPr>
                <w:sz w:val="20"/>
                <w:szCs w:val="20"/>
                <w:color w:val="auto"/>
              </w:rPr>
            </w:pPr>
            <w:r>
              <w:rPr>
                <w:rFonts w:ascii="Arial" w:cs="Arial" w:eastAsia="Arial" w:hAnsi="Arial"/>
                <w:sz w:val="14"/>
                <w:szCs w:val="14"/>
                <w:color w:val="auto"/>
              </w:rPr>
              <w:t>Emerging Growth Company</w:t>
            </w:r>
          </w:p>
        </w:tc>
        <w:tc>
          <w:tcPr>
            <w:tcW w:w="1060" w:type="dxa"/>
            <w:vAlign w:val="bottom"/>
            <w:vMerge w:val="restart"/>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9" w:lineRule="exact"/>
        <w:rPr>
          <w:sz w:val="24"/>
          <w:szCs w:val="24"/>
          <w:color w:val="auto"/>
        </w:rPr>
      </w:pPr>
    </w:p>
    <w:p>
      <w:pPr>
        <w:ind w:right="3840"/>
        <w:spacing w:after="0" w:line="414"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o Yes x No Number of shares of the registrant’s common stock outstanding at July 28, 2022: 1,672,806,695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00" w:type="dxa"/>
            <w:vAlign w:val="bottom"/>
            <w:gridSpan w:val="11"/>
          </w:tcPr>
          <w:p>
            <w:pPr>
              <w:jc w:val="center"/>
              <w:ind w:right="1640"/>
              <w:spacing w:after="0"/>
              <w:rPr>
                <w:sz w:val="20"/>
                <w:szCs w:val="20"/>
                <w:color w:val="auto"/>
              </w:rPr>
            </w:pPr>
            <w:r>
              <w:rPr>
                <w:rFonts w:ascii="Arial" w:cs="Arial" w:eastAsia="Arial" w:hAnsi="Arial"/>
                <w:sz w:val="18"/>
                <w:szCs w:val="18"/>
                <w:b w:val="1"/>
                <w:bCs w:val="1"/>
                <w:color w:val="auto"/>
              </w:rPr>
              <w:t>INDEX TO FORM 10-Q</w:t>
            </w: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9280" w:type="dxa"/>
            <w:vAlign w:val="bottom"/>
            <w:gridSpan w:val="19"/>
            <w:vMerge w:val="restart"/>
          </w:tcPr>
          <w:p>
            <w:pPr>
              <w:spacing w:after="0"/>
              <w:rPr>
                <w:rFonts w:ascii="Arial" w:cs="Arial" w:eastAsia="Arial" w:hAnsi="Arial"/>
                <w:sz w:val="18"/>
                <w:szCs w:val="18"/>
                <w:color w:val="0E32E1"/>
              </w:rPr>
            </w:pPr>
            <w:hyperlink w:anchor="page6">
              <w:r>
                <w:rPr>
                  <w:rFonts w:ascii="Arial" w:cs="Arial" w:eastAsia="Arial" w:hAnsi="Arial"/>
                  <w:sz w:val="18"/>
                  <w:szCs w:val="18"/>
                  <w:color w:val="0E32E1"/>
                </w:rPr>
                <w:t>PART I. FINANCIAL INFORMATION</w:t>
              </w:r>
            </w:hyperlink>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80" w:type="dxa"/>
            <w:vAlign w:val="bottom"/>
            <w:gridSpan w:val="19"/>
            <w:vMerge w:val="continue"/>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40" w:type="dxa"/>
            <w:vAlign w:val="bottom"/>
            <w:tcBorders>
              <w:bottom w:val="single" w:sz="8" w:color="0E32E1"/>
            </w:tcBorders>
            <w:gridSpan w:val="8"/>
          </w:tcPr>
          <w:p>
            <w:pPr>
              <w:spacing w:after="0"/>
              <w:rPr>
                <w:rFonts w:ascii="Arial" w:cs="Arial" w:eastAsia="Arial" w:hAnsi="Arial"/>
                <w:sz w:val="18"/>
                <w:szCs w:val="18"/>
                <w:color w:val="0E32E1"/>
                <w:w w:val="90"/>
              </w:rPr>
            </w:pPr>
            <w:hyperlink w:anchor="page2">
              <w:r>
                <w:rPr>
                  <w:rFonts w:ascii="Arial" w:cs="Arial" w:eastAsia="Arial" w:hAnsi="Arial"/>
                  <w:sz w:val="18"/>
                  <w:szCs w:val="18"/>
                  <w:color w:val="0E32E1"/>
                  <w:w w:val="90"/>
                </w:rPr>
                <w:t>Cautionary Note Regarding Forward-Looking Statements</w:t>
              </w:r>
            </w:hyperlink>
          </w:p>
        </w:tc>
        <w:tc>
          <w:tcPr>
            <w:tcW w:w="4180" w:type="dxa"/>
            <w:vAlign w:val="bottom"/>
            <w:gridSpan w:val="10"/>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242424"/>
              </w:rPr>
            </w:pPr>
            <w:hyperlink w:anchor="page2">
              <w:r>
                <w:rPr>
                  <w:rFonts w:ascii="Arial" w:cs="Arial" w:eastAsia="Arial" w:hAnsi="Arial"/>
                  <w:sz w:val="18"/>
                  <w:szCs w:val="18"/>
                  <w:color w:val="242424"/>
                </w:rPr>
                <w:t>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Borders>
              <w:bottom w:val="single" w:sz="8" w:color="0E32E1"/>
            </w:tcBorders>
            <w:gridSpan w:val="5"/>
          </w:tcPr>
          <w:p>
            <w:pPr>
              <w:spacing w:after="0"/>
              <w:rPr>
                <w:rFonts w:ascii="Arial" w:cs="Arial" w:eastAsia="Arial" w:hAnsi="Arial"/>
                <w:sz w:val="18"/>
                <w:szCs w:val="18"/>
                <w:color w:val="0E32E1"/>
                <w:w w:val="87"/>
              </w:rPr>
            </w:pPr>
            <w:hyperlink w:anchor="page4">
              <w:r>
                <w:rPr>
                  <w:rFonts w:ascii="Arial" w:cs="Arial" w:eastAsia="Arial" w:hAnsi="Arial"/>
                  <w:sz w:val="18"/>
                  <w:szCs w:val="18"/>
                  <w:color w:val="0E32E1"/>
                  <w:w w:val="87"/>
                </w:rPr>
                <w:t>Frequently Used Terms</w:t>
              </w:r>
            </w:hyperlink>
          </w:p>
        </w:tc>
        <w:tc>
          <w:tcPr>
            <w:tcW w:w="6640" w:type="dxa"/>
            <w:vAlign w:val="bottom"/>
            <w:gridSpan w:val="13"/>
          </w:tcPr>
          <w:p>
            <w:pPr>
              <w:spacing w:after="0"/>
              <w:rPr>
                <w:sz w:val="18"/>
                <w:szCs w:val="18"/>
                <w:color w:val="auto"/>
              </w:rPr>
            </w:pPr>
          </w:p>
        </w:tc>
        <w:tc>
          <w:tcPr>
            <w:tcW w:w="8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8"/>
          </w:tcPr>
          <w:p>
            <w:pPr>
              <w:spacing w:after="0"/>
              <w:rPr>
                <w:rFonts w:ascii="Arial" w:cs="Arial" w:eastAsia="Arial" w:hAnsi="Arial"/>
                <w:sz w:val="18"/>
                <w:szCs w:val="18"/>
                <w:color w:val="0E32E1"/>
              </w:rPr>
            </w:pPr>
            <w:hyperlink w:anchor="page7">
              <w:r>
                <w:rPr>
                  <w:rFonts w:ascii="Arial" w:cs="Arial" w:eastAsia="Arial" w:hAnsi="Arial"/>
                  <w:sz w:val="18"/>
                  <w:szCs w:val="18"/>
                  <w:color w:val="0E32E1"/>
                </w:rPr>
                <w:t>Condensed Consolidated Financial Statements (Unaudited)</w:t>
              </w:r>
            </w:hyperlink>
          </w:p>
        </w:tc>
        <w:tc>
          <w:tcPr>
            <w:tcW w:w="80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940" w:type="dxa"/>
            <w:vAlign w:val="bottom"/>
            <w:gridSpan w:val="2"/>
            <w:shd w:val="clear" w:color="auto" w:fill="0E32E1"/>
          </w:tcPr>
          <w:p>
            <w:pPr>
              <w:spacing w:after="0" w:line="20" w:lineRule="exact"/>
              <w:rPr>
                <w:sz w:val="1"/>
                <w:szCs w:val="1"/>
                <w:color w:val="auto"/>
              </w:rPr>
            </w:pPr>
          </w:p>
        </w:tc>
        <w:tc>
          <w:tcPr>
            <w:tcW w:w="1620" w:type="dxa"/>
            <w:vAlign w:val="bottom"/>
            <w:gridSpan w:val="2"/>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20" w:type="dxa"/>
            <w:vAlign w:val="bottom"/>
            <w:gridSpan w:val="18"/>
          </w:tcPr>
          <w:p>
            <w:pPr>
              <w:spacing w:after="0"/>
              <w:rPr>
                <w:rFonts w:ascii="Arial" w:cs="Arial" w:eastAsia="Arial" w:hAnsi="Arial"/>
                <w:sz w:val="18"/>
                <w:szCs w:val="18"/>
                <w:color w:val="0E32E1"/>
              </w:rPr>
            </w:pPr>
            <w:hyperlink w:anchor="page7">
              <w:r>
                <w:rPr>
                  <w:rFonts w:ascii="Arial" w:cs="Arial" w:eastAsia="Arial" w:hAnsi="Arial"/>
                  <w:sz w:val="18"/>
                  <w:szCs w:val="18"/>
                  <w:color w:val="0E32E1"/>
                </w:rPr>
                <w:t>Condensed Consolidated Balance Sheets as of June 30, 2022 and December 31, 2021 (Unaudited)</w:t>
              </w:r>
            </w:hyperlink>
          </w:p>
        </w:tc>
        <w:tc>
          <w:tcPr>
            <w:tcW w:w="80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940" w:type="dxa"/>
            <w:vAlign w:val="bottom"/>
            <w:gridSpan w:val="2"/>
            <w:shd w:val="clear" w:color="auto" w:fill="0E32E1"/>
          </w:tcPr>
          <w:p>
            <w:pPr>
              <w:spacing w:after="0" w:line="20" w:lineRule="exact"/>
              <w:rPr>
                <w:sz w:val="1"/>
                <w:szCs w:val="1"/>
                <w:color w:val="auto"/>
              </w:rPr>
            </w:pPr>
          </w:p>
        </w:tc>
        <w:tc>
          <w:tcPr>
            <w:tcW w:w="1720" w:type="dxa"/>
            <w:vAlign w:val="bottom"/>
            <w:gridSpan w:val="3"/>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54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20" w:type="dxa"/>
            <w:vAlign w:val="bottom"/>
            <w:gridSpan w:val="18"/>
          </w:tcPr>
          <w:p>
            <w:pPr>
              <w:spacing w:after="0"/>
              <w:rPr>
                <w:rFonts w:ascii="Arial" w:cs="Arial" w:eastAsia="Arial" w:hAnsi="Arial"/>
                <w:sz w:val="18"/>
                <w:szCs w:val="18"/>
                <w:color w:val="0E32E1"/>
                <w:w w:val="90"/>
              </w:rPr>
            </w:pPr>
            <w:hyperlink w:anchor="page7">
              <w:r>
                <w:rPr>
                  <w:rFonts w:ascii="Arial" w:cs="Arial" w:eastAsia="Arial" w:hAnsi="Arial"/>
                  <w:sz w:val="18"/>
                  <w:szCs w:val="18"/>
                  <w:color w:val="0E32E1"/>
                  <w:w w:val="90"/>
                </w:rPr>
                <w:t>Condensed Consolidated Statements of Operations and Comprehensive Loss for the Three and Six Months Ended</w:t>
              </w:r>
            </w:hyperlink>
          </w:p>
        </w:tc>
        <w:tc>
          <w:tcPr>
            <w:tcW w:w="80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20" w:type="dxa"/>
            <w:vAlign w:val="bottom"/>
            <w:tcBorders>
              <w:top w:val="single" w:sz="8" w:color="0E32E1"/>
              <w:bottom w:val="single" w:sz="8" w:color="0E32E1"/>
            </w:tcBorders>
            <w:gridSpan w:val="7"/>
          </w:tcPr>
          <w:p>
            <w:pPr>
              <w:spacing w:after="0" w:line="156" w:lineRule="exact"/>
              <w:rPr>
                <w:rFonts w:ascii="Arial" w:cs="Arial" w:eastAsia="Arial" w:hAnsi="Arial"/>
                <w:sz w:val="18"/>
                <w:szCs w:val="18"/>
                <w:color w:val="0E32E1"/>
                <w:w w:val="88"/>
              </w:rPr>
            </w:pPr>
            <w:hyperlink w:anchor="page7">
              <w:r>
                <w:rPr>
                  <w:rFonts w:ascii="Arial" w:cs="Arial" w:eastAsia="Arial" w:hAnsi="Arial"/>
                  <w:sz w:val="18"/>
                  <w:szCs w:val="18"/>
                  <w:color w:val="0E32E1"/>
                  <w:w w:val="88"/>
                </w:rPr>
                <w:t>June 30, 2022 and 2021 (Unaudited)</w:t>
              </w:r>
            </w:hyperlink>
          </w:p>
        </w:tc>
        <w:tc>
          <w:tcPr>
            <w:tcW w:w="5560" w:type="dxa"/>
            <w:vAlign w:val="bottom"/>
            <w:tcBorders>
              <w:top w:val="single" w:sz="8" w:color="0E32E1"/>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20" w:type="dxa"/>
            <w:vAlign w:val="bottom"/>
            <w:gridSpan w:val="18"/>
          </w:tcPr>
          <w:p>
            <w:pPr>
              <w:spacing w:after="0"/>
              <w:rPr>
                <w:rFonts w:ascii="Arial" w:cs="Arial" w:eastAsia="Arial" w:hAnsi="Arial"/>
                <w:sz w:val="18"/>
                <w:szCs w:val="18"/>
                <w:color w:val="0E32E1"/>
                <w:w w:val="95"/>
              </w:rPr>
            </w:pPr>
            <w:hyperlink w:anchor="page8">
              <w:r>
                <w:rPr>
                  <w:rFonts w:ascii="Arial" w:cs="Arial" w:eastAsia="Arial" w:hAnsi="Arial"/>
                  <w:sz w:val="18"/>
                  <w:szCs w:val="18"/>
                  <w:color w:val="0E32E1"/>
                  <w:w w:val="95"/>
                </w:rPr>
                <w:t>Condensed Consolidated Statements of Convertible Preferred Stock and Stockholders’ Equity (Deficit) for the</w:t>
              </w:r>
            </w:hyperlink>
          </w:p>
        </w:tc>
        <w:tc>
          <w:tcPr>
            <w:tcW w:w="8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780" w:type="dxa"/>
            <w:vAlign w:val="bottom"/>
            <w:tcBorders>
              <w:top w:val="single" w:sz="8" w:color="0E32E1"/>
              <w:bottom w:val="single" w:sz="8" w:color="0E32E1"/>
            </w:tcBorders>
            <w:gridSpan w:val="11"/>
          </w:tcPr>
          <w:p>
            <w:pPr>
              <w:spacing w:after="0" w:line="156" w:lineRule="exact"/>
              <w:rPr>
                <w:rFonts w:ascii="Arial" w:cs="Arial" w:eastAsia="Arial" w:hAnsi="Arial"/>
                <w:sz w:val="18"/>
                <w:szCs w:val="18"/>
                <w:color w:val="0E32E1"/>
                <w:w w:val="89"/>
              </w:rPr>
            </w:pPr>
            <w:hyperlink w:anchor="page8">
              <w:r>
                <w:rPr>
                  <w:rFonts w:ascii="Arial" w:cs="Arial" w:eastAsia="Arial" w:hAnsi="Arial"/>
                  <w:sz w:val="18"/>
                  <w:szCs w:val="18"/>
                  <w:color w:val="0E32E1"/>
                  <w:w w:val="89"/>
                </w:rPr>
                <w:t>Three and Six Months Ended June 30, 2022 and 2021 (Unaudited)</w:t>
              </w:r>
            </w:hyperlink>
          </w:p>
        </w:tc>
        <w:tc>
          <w:tcPr>
            <w:tcW w:w="3160" w:type="dxa"/>
            <w:vAlign w:val="bottom"/>
            <w:tcBorders>
              <w:top w:val="single" w:sz="8" w:color="0E32E1"/>
            </w:tcBorders>
            <w:gridSpan w:val="4"/>
          </w:tcPr>
          <w:p>
            <w:pPr>
              <w:spacing w:after="0"/>
              <w:rPr>
                <w:sz w:val="13"/>
                <w:szCs w:val="13"/>
                <w:color w:val="auto"/>
              </w:rPr>
            </w:pPr>
          </w:p>
        </w:tc>
        <w:tc>
          <w:tcPr>
            <w:tcW w:w="3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20" w:type="dxa"/>
            <w:vAlign w:val="bottom"/>
            <w:gridSpan w:val="18"/>
          </w:tcPr>
          <w:p>
            <w:pPr>
              <w:spacing w:after="0"/>
              <w:rPr>
                <w:rFonts w:ascii="Arial" w:cs="Arial" w:eastAsia="Arial" w:hAnsi="Arial"/>
                <w:sz w:val="18"/>
                <w:szCs w:val="18"/>
                <w:color w:val="0E32E1"/>
                <w:w w:val="89"/>
              </w:rPr>
            </w:pPr>
            <w:hyperlink w:anchor="page10">
              <w:r>
                <w:rPr>
                  <w:rFonts w:ascii="Arial" w:cs="Arial" w:eastAsia="Arial" w:hAnsi="Arial"/>
                  <w:sz w:val="18"/>
                  <w:szCs w:val="18"/>
                  <w:color w:val="0E32E1"/>
                  <w:w w:val="89"/>
                </w:rPr>
                <w:t>Condensed Consolidated Statements of Cash Flows for the Six Months Ended June 30, 2022 and 2021 (Unaudited)</w:t>
              </w:r>
            </w:hyperlink>
          </w:p>
        </w:tc>
        <w:tc>
          <w:tcPr>
            <w:tcW w:w="80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11</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900" w:type="dxa"/>
            <w:vAlign w:val="bottom"/>
            <w:tcBorders>
              <w:top w:val="single" w:sz="8" w:color="0E32E1"/>
              <w:bottom w:val="single" w:sz="8" w:color="0E32E1"/>
            </w:tcBorders>
            <w:gridSpan w:val="12"/>
          </w:tcPr>
          <w:p>
            <w:pPr>
              <w:spacing w:after="0"/>
              <w:rPr>
                <w:rFonts w:ascii="Arial" w:cs="Arial" w:eastAsia="Arial" w:hAnsi="Arial"/>
                <w:sz w:val="18"/>
                <w:szCs w:val="18"/>
                <w:color w:val="0E32E1"/>
                <w:w w:val="89"/>
              </w:rPr>
            </w:pPr>
            <w:hyperlink w:anchor="page12">
              <w:r>
                <w:rPr>
                  <w:rFonts w:ascii="Arial" w:cs="Arial" w:eastAsia="Arial" w:hAnsi="Arial"/>
                  <w:sz w:val="18"/>
                  <w:szCs w:val="18"/>
                  <w:color w:val="0E32E1"/>
                  <w:w w:val="89"/>
                </w:rPr>
                <w:t>Notes to Condensed Consolidated Financial Statements (Unaudited)</w:t>
              </w:r>
            </w:hyperlink>
          </w:p>
        </w:tc>
        <w:tc>
          <w:tcPr>
            <w:tcW w:w="3380" w:type="dxa"/>
            <w:vAlign w:val="bottom"/>
            <w:tcBorders>
              <w:top w:val="single" w:sz="8" w:color="0E32E1"/>
            </w:tcBorders>
            <w:gridSpan w:val="5"/>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13</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8"/>
          </w:tcPr>
          <w:p>
            <w:pPr>
              <w:spacing w:after="0"/>
              <w:rPr>
                <w:rFonts w:ascii="Arial" w:cs="Arial" w:eastAsia="Arial" w:hAnsi="Arial"/>
                <w:sz w:val="18"/>
                <w:szCs w:val="18"/>
                <w:color w:val="0E32E1"/>
              </w:rPr>
            </w:pPr>
            <w:hyperlink w:anchor="page35">
              <w:r>
                <w:rPr>
                  <w:rFonts w:ascii="Arial" w:cs="Arial" w:eastAsia="Arial" w:hAnsi="Arial"/>
                  <w:sz w:val="18"/>
                  <w:szCs w:val="18"/>
                  <w:color w:val="0E32E1"/>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36</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3.</w:t>
              </w:r>
            </w:hyperlink>
          </w:p>
        </w:tc>
        <w:tc>
          <w:tcPr>
            <w:tcW w:w="6440" w:type="dxa"/>
            <w:vAlign w:val="bottom"/>
            <w:tcBorders>
              <w:top w:val="single" w:sz="8" w:color="0E32E1"/>
            </w:tcBorders>
            <w:gridSpan w:val="13"/>
          </w:tcPr>
          <w:p>
            <w:pPr>
              <w:spacing w:after="0"/>
              <w:rPr>
                <w:rFonts w:ascii="Arial" w:cs="Arial" w:eastAsia="Arial" w:hAnsi="Arial"/>
                <w:sz w:val="18"/>
                <w:szCs w:val="18"/>
                <w:color w:val="0E32E1"/>
              </w:rPr>
            </w:pPr>
            <w:hyperlink w:anchor="page45">
              <w:r>
                <w:rPr>
                  <w:rFonts w:ascii="Arial" w:cs="Arial" w:eastAsia="Arial" w:hAnsi="Arial"/>
                  <w:sz w:val="18"/>
                  <w:szCs w:val="18"/>
                  <w:color w:val="0E32E1"/>
                </w:rPr>
                <w:t>Quantitative and Qualitative Disclosures About Market Risk</w:t>
              </w:r>
            </w:hyperlink>
          </w:p>
        </w:tc>
        <w:tc>
          <w:tcPr>
            <w:tcW w:w="1880" w:type="dxa"/>
            <w:vAlign w:val="bottom"/>
            <w:gridSpan w:val="5"/>
          </w:tcPr>
          <w:p>
            <w:pPr>
              <w:spacing w:after="0"/>
              <w:rPr>
                <w:sz w:val="18"/>
                <w:szCs w:val="18"/>
                <w:color w:val="auto"/>
              </w:rPr>
            </w:pPr>
          </w:p>
        </w:tc>
        <w:tc>
          <w:tcPr>
            <w:tcW w:w="8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 xml:space="preserve">Item </w:t>
              </w:r>
            </w:hyperlink>
            <w:r>
              <w:rPr>
                <w:rFonts w:ascii="Arial" w:cs="Arial" w:eastAsia="Arial" w:hAnsi="Arial"/>
                <w:sz w:val="18"/>
                <w:szCs w:val="18"/>
                <w:color w:val="auto"/>
              </w:rPr>
              <w:t>4.</w:t>
            </w:r>
          </w:p>
        </w:tc>
        <w:tc>
          <w:tcPr>
            <w:tcW w:w="4340" w:type="dxa"/>
            <w:vAlign w:val="bottom"/>
            <w:tcBorders>
              <w:top w:val="single" w:sz="8" w:color="0E32E1"/>
            </w:tcBorders>
            <w:gridSpan w:val="10"/>
          </w:tcPr>
          <w:p>
            <w:pPr>
              <w:spacing w:after="0"/>
              <w:rPr>
                <w:rFonts w:ascii="Arial" w:cs="Arial" w:eastAsia="Arial" w:hAnsi="Arial"/>
                <w:sz w:val="18"/>
                <w:szCs w:val="18"/>
                <w:color w:val="0E32E1"/>
              </w:rPr>
            </w:pPr>
            <w:hyperlink w:anchor="page45">
              <w:r>
                <w:rPr>
                  <w:rFonts w:ascii="Arial" w:cs="Arial" w:eastAsia="Arial" w:hAnsi="Arial"/>
                  <w:sz w:val="18"/>
                  <w:szCs w:val="18"/>
                  <w:color w:val="0E32E1"/>
                </w:rPr>
                <w:t>Control and Procedures</w:t>
              </w:r>
            </w:hyperlink>
          </w:p>
        </w:tc>
        <w:tc>
          <w:tcPr>
            <w:tcW w:w="3980" w:type="dxa"/>
            <w:vAlign w:val="bottom"/>
            <w:gridSpan w:val="8"/>
          </w:tcPr>
          <w:p>
            <w:pPr>
              <w:spacing w:after="0"/>
              <w:rPr>
                <w:sz w:val="18"/>
                <w:szCs w:val="18"/>
                <w:color w:val="auto"/>
              </w:rPr>
            </w:pPr>
          </w:p>
        </w:tc>
        <w:tc>
          <w:tcPr>
            <w:tcW w:w="8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664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2640" w:type="dxa"/>
            <w:vAlign w:val="bottom"/>
            <w:tcBorders>
              <w:bottom w:val="single" w:sz="8" w:color="0E32E1"/>
            </w:tcBorders>
            <w:gridSpan w:val="6"/>
          </w:tcPr>
          <w:p>
            <w:pPr>
              <w:spacing w:after="0"/>
              <w:rPr>
                <w:rFonts w:ascii="Arial" w:cs="Arial" w:eastAsia="Arial" w:hAnsi="Arial"/>
                <w:sz w:val="18"/>
                <w:szCs w:val="18"/>
                <w:color w:val="0E32E1"/>
                <w:w w:val="97"/>
              </w:rPr>
            </w:pPr>
            <w:hyperlink w:anchor="page45">
              <w:r>
                <w:rPr>
                  <w:rFonts w:ascii="Arial" w:cs="Arial" w:eastAsia="Arial" w:hAnsi="Arial"/>
                  <w:sz w:val="18"/>
                  <w:szCs w:val="18"/>
                  <w:color w:val="0E32E1"/>
                  <w:w w:val="97"/>
                </w:rPr>
                <w:t>PART II. OTHER INFORMATION</w:t>
              </w:r>
            </w:hyperlink>
          </w:p>
        </w:tc>
        <w:tc>
          <w:tcPr>
            <w:tcW w:w="664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1.</w:t>
              </w:r>
            </w:hyperlink>
          </w:p>
        </w:tc>
        <w:tc>
          <w:tcPr>
            <w:tcW w:w="8320" w:type="dxa"/>
            <w:vAlign w:val="bottom"/>
            <w:gridSpan w:val="18"/>
          </w:tcPr>
          <w:p>
            <w:pPr>
              <w:spacing w:after="0"/>
              <w:rPr>
                <w:rFonts w:ascii="Arial" w:cs="Arial" w:eastAsia="Arial" w:hAnsi="Arial"/>
                <w:sz w:val="18"/>
                <w:szCs w:val="18"/>
                <w:color w:val="0E32E1"/>
              </w:rPr>
            </w:pPr>
            <w:hyperlink w:anchor="page46">
              <w:r>
                <w:rPr>
                  <w:rFonts w:ascii="Arial" w:cs="Arial" w:eastAsia="Arial" w:hAnsi="Arial"/>
                  <w:sz w:val="18"/>
                  <w:szCs w:val="18"/>
                  <w:color w:val="0E32E1"/>
                </w:rPr>
                <w:t>Legal Proceedings</w:t>
              </w:r>
            </w:hyperlink>
          </w:p>
        </w:tc>
        <w:tc>
          <w:tcPr>
            <w:tcW w:w="8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E32E1"/>
              <w:bottom w:val="single" w:sz="8" w:color="0E32E1"/>
            </w:tcBorders>
            <w:gridSpan w:val="3"/>
          </w:tcPr>
          <w:p>
            <w:pPr>
              <w:spacing w:after="0"/>
              <w:rPr>
                <w:rFonts w:ascii="Arial" w:cs="Arial" w:eastAsia="Arial" w:hAnsi="Arial"/>
                <w:sz w:val="18"/>
                <w:szCs w:val="18"/>
                <w:color w:val="0E32E1"/>
                <w:w w:val="87"/>
              </w:rPr>
            </w:pPr>
            <w:hyperlink w:anchor="page46">
              <w:r>
                <w:rPr>
                  <w:rFonts w:ascii="Arial" w:cs="Arial" w:eastAsia="Arial" w:hAnsi="Arial"/>
                  <w:sz w:val="18"/>
                  <w:szCs w:val="18"/>
                  <w:color w:val="0E32E1"/>
                  <w:w w:val="87"/>
                </w:rPr>
                <w:t>Risk Factors</w:t>
              </w:r>
            </w:hyperlink>
          </w:p>
        </w:tc>
        <w:tc>
          <w:tcPr>
            <w:tcW w:w="420" w:type="dxa"/>
            <w:vAlign w:val="bottom"/>
            <w:tcBorders>
              <w:top w:val="single" w:sz="8" w:color="0E32E1"/>
            </w:tcBorders>
          </w:tcPr>
          <w:p>
            <w:pPr>
              <w:spacing w:after="0"/>
              <w:rPr>
                <w:sz w:val="18"/>
                <w:szCs w:val="18"/>
                <w:color w:val="auto"/>
              </w:rPr>
            </w:pPr>
          </w:p>
        </w:tc>
        <w:tc>
          <w:tcPr>
            <w:tcW w:w="7000" w:type="dxa"/>
            <w:vAlign w:val="bottom"/>
            <w:gridSpan w:val="14"/>
          </w:tcPr>
          <w:p>
            <w:pPr>
              <w:spacing w:after="0"/>
              <w:rPr>
                <w:sz w:val="18"/>
                <w:szCs w:val="18"/>
                <w:color w:val="auto"/>
              </w:rPr>
            </w:pPr>
          </w:p>
        </w:tc>
        <w:tc>
          <w:tcPr>
            <w:tcW w:w="8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6.</w:t>
              </w:r>
            </w:hyperlink>
          </w:p>
        </w:tc>
        <w:tc>
          <w:tcPr>
            <w:tcW w:w="600" w:type="dxa"/>
            <w:vAlign w:val="bottom"/>
            <w:tcBorders>
              <w:bottom w:val="single" w:sz="8" w:color="0E32E1"/>
            </w:tcBorders>
            <w:gridSpan w:val="2"/>
          </w:tcPr>
          <w:p>
            <w:pPr>
              <w:spacing w:after="0"/>
              <w:rPr>
                <w:rFonts w:ascii="Arial" w:cs="Arial" w:eastAsia="Arial" w:hAnsi="Arial"/>
                <w:sz w:val="18"/>
                <w:szCs w:val="18"/>
                <w:color w:val="0E32E1"/>
                <w:w w:val="91"/>
              </w:rPr>
            </w:pPr>
            <w:hyperlink w:anchor="page89">
              <w:r>
                <w:rPr>
                  <w:rFonts w:ascii="Arial" w:cs="Arial" w:eastAsia="Arial" w:hAnsi="Arial"/>
                  <w:sz w:val="18"/>
                  <w:szCs w:val="18"/>
                  <w:color w:val="0E32E1"/>
                  <w:w w:val="91"/>
                </w:rPr>
                <w:t>Exhibits</w:t>
              </w:r>
            </w:hyperlink>
          </w:p>
        </w:tc>
        <w:tc>
          <w:tcPr>
            <w:tcW w:w="7720" w:type="dxa"/>
            <w:vAlign w:val="bottom"/>
            <w:gridSpan w:val="16"/>
          </w:tcPr>
          <w:p>
            <w:pPr>
              <w:spacing w:after="0"/>
              <w:rPr>
                <w:sz w:val="18"/>
                <w:szCs w:val="18"/>
                <w:color w:val="auto"/>
              </w:rPr>
            </w:pPr>
          </w:p>
        </w:tc>
        <w:tc>
          <w:tcPr>
            <w:tcW w:w="80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90</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280" w:type="dxa"/>
            <w:vAlign w:val="bottom"/>
            <w:gridSpan w:val="19"/>
          </w:tcPr>
          <w:p>
            <w:pPr>
              <w:spacing w:after="0"/>
              <w:rPr>
                <w:rFonts w:ascii="Arial" w:cs="Arial" w:eastAsia="Arial" w:hAnsi="Arial"/>
                <w:sz w:val="18"/>
                <w:szCs w:val="18"/>
                <w:color w:val="0E32E1"/>
              </w:rPr>
            </w:pPr>
            <w:hyperlink w:anchor="page90">
              <w:r>
                <w:rPr>
                  <w:rFonts w:ascii="Arial" w:cs="Arial" w:eastAsia="Arial" w:hAnsi="Arial"/>
                  <w:sz w:val="18"/>
                  <w:szCs w:val="18"/>
                  <w:color w:val="0E32E1"/>
                </w:rPr>
                <w:t>SIGNATURES</w:t>
              </w:r>
            </w:hyperlink>
          </w:p>
        </w:tc>
        <w:tc>
          <w:tcPr>
            <w:tcW w:w="80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91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960" w:type="dxa"/>
            <w:vAlign w:val="bottom"/>
            <w:tcBorders>
              <w:top w:val="single" w:sz="8" w:color="0E32E1"/>
            </w:tcBorders>
          </w:tcPr>
          <w:p>
            <w:pPr>
              <w:spacing w:after="0"/>
              <w:rPr>
                <w:sz w:val="24"/>
                <w:szCs w:val="24"/>
                <w:color w:val="auto"/>
              </w:rPr>
            </w:pPr>
          </w:p>
        </w:tc>
        <w:tc>
          <w:tcPr>
            <w:tcW w:w="140" w:type="dxa"/>
            <w:vAlign w:val="bottom"/>
            <w:tcBorders>
              <w:top w:val="single" w:sz="8" w:color="0E32E1"/>
            </w:tcBorders>
          </w:tcPr>
          <w:p>
            <w:pPr>
              <w:spacing w:after="0"/>
              <w:rPr>
                <w:sz w:val="24"/>
                <w:szCs w:val="24"/>
                <w:color w:val="auto"/>
              </w:rPr>
            </w:pPr>
          </w:p>
        </w:tc>
        <w:tc>
          <w:tcPr>
            <w:tcW w:w="4640" w:type="dxa"/>
            <w:vAlign w:val="bottom"/>
            <w:gridSpan w:val="10"/>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CAUTIONARY NOTE REGARDING FORWARD-LOOKING STATEMENTS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Quarterly Report on Form 10-Q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manufacturing capabilities and facilities, studio openings, sales channels and strategies, future vehicle programs, expansion and the potential success of our go-to-market strategy, our financial and operating outlook, future market launches and international expansion, including our planned manufacturing facility in Saudi Arabia and related timing and value to Lucid,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74" w:lineRule="exact"/>
        <w:rPr>
          <w:sz w:val="20"/>
          <w:szCs w:val="20"/>
          <w:color w:val="auto"/>
        </w:rPr>
      </w:pPr>
    </w:p>
    <w:p>
      <w:pPr>
        <w:ind w:left="660" w:right="3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 including the ongoing conflict between Russia and Ukraine;</w:t>
      </w:r>
    </w:p>
    <w:p>
      <w:pPr>
        <w:spacing w:after="0" w:line="62" w:lineRule="exact"/>
        <w:rPr>
          <w:rFonts w:ascii="Arial" w:cs="Arial" w:eastAsia="Arial" w:hAnsi="Arial"/>
          <w:sz w:val="18"/>
          <w:szCs w:val="18"/>
          <w:color w:val="auto"/>
        </w:rPr>
      </w:pPr>
    </w:p>
    <w:p>
      <w:pPr>
        <w:ind w:left="660" w:right="24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uncertainty of our projected financial information;</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product launches, including our ability to mass produce the Lucid Air and complete the tooling of our manufacturing facility;</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the construction of new manufacturing facilities and the increase of our production capacity;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our growth and recruit and retain key employees, including our chief executive officer and executive team;</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potential vehicle recalls;</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expand our brand, and capture additional market share, and the risks associated with negative press or reputational harm;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interest and principal on our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117" w:lineRule="exact"/>
        <w:rPr>
          <w:rFonts w:ascii="Arial" w:cs="Arial" w:eastAsia="Arial" w:hAnsi="Arial"/>
          <w:sz w:val="18"/>
          <w:szCs w:val="18"/>
          <w:color w:val="auto"/>
        </w:rPr>
      </w:pPr>
    </w:p>
    <w:p>
      <w:pPr>
        <w:ind w:left="660" w:right="42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global COVID-19 pandemic on our supply chain, including COVID-related shutdowns of our suppliers’ facilities in China, projected results of operations, financial performance or other financial metrics, or on any of the foregoing risks; and</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disclosed in this Quarterly Report on Form 10-Q or our other filings with the Securities and Exchange Commission (the “SEC”).</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3" w:name="page4"/>
    <w:bookmarkEnd w:id="3"/>
    <w:p>
      <w:pPr>
        <w:spacing w:after="0" w:line="268" w:lineRule="auto"/>
        <w:rPr>
          <w:sz w:val="20"/>
          <w:szCs w:val="20"/>
          <w:color w:val="auto"/>
        </w:rPr>
      </w:pPr>
      <w:r>
        <w:rPr>
          <w:rFonts w:ascii="Arial" w:cs="Arial" w:eastAsia="Arial" w:hAnsi="Arial"/>
          <w:sz w:val="17"/>
          <w:szCs w:val="17"/>
          <w:color w:val="auto"/>
        </w:rPr>
        <w:t>The forward-looking statements contained in this Quarterly Report on Form 10-Q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Quarterly Report on Form 10-Q.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Quarterly Report on Form 10-Q.</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otherwise stated in Item I. Financial Statements and accompanying footnotes, or the context otherwise requires, references in this Quarterly Report on Form 10-Q 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2009 Plan</w:t>
      </w:r>
      <w:r>
        <w:rPr>
          <w:rFonts w:ascii="Arial" w:cs="Arial" w:eastAsia="Arial" w:hAnsi="Arial"/>
          <w:sz w:val="18"/>
          <w:szCs w:val="18"/>
          <w:color w:val="auto"/>
        </w:rPr>
        <w:t>” are to the Atieva, Inc. 2009 Share Plan duly adopted by the board of directors of Legacy Lucid on December 17,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Plan</w:t>
      </w:r>
      <w:r>
        <w:rPr>
          <w:rFonts w:ascii="Arial" w:cs="Arial" w:eastAsia="Arial" w:hAnsi="Arial"/>
          <w:sz w:val="18"/>
          <w:szCs w:val="18"/>
          <w:color w:val="auto"/>
        </w:rPr>
        <w:t>” are to the Atieva, Inc. 2014 Share Plan duly adopted by the board of directors of Legacy Lucid on May 14, 2014;</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Plan</w:t>
      </w:r>
      <w:r>
        <w:rPr>
          <w:rFonts w:ascii="Arial" w:cs="Arial" w:eastAsia="Arial" w:hAnsi="Arial"/>
          <w:sz w:val="18"/>
          <w:szCs w:val="18"/>
          <w:color w:val="auto"/>
        </w:rPr>
        <w:t>” are to the Atieva, Inc. 2021 Stock Incentive Plan duly adopted by the compensation committee of the board of directors of Legacy Lucid on January 13, 2021 and approved by Legacy Lucid’s shareholders on January 21,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w:t>
      </w:r>
      <w:r>
        <w:rPr>
          <w:rFonts w:ascii="Arial" w:cs="Arial" w:eastAsia="Arial" w:hAnsi="Arial"/>
          <w:sz w:val="18"/>
          <w:szCs w:val="18"/>
          <w:color w:val="auto"/>
        </w:rPr>
        <w:t>” are to the 1.25% Convertible Senior Notes due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AMP-1”</w:t>
      </w:r>
      <w:r>
        <w:rPr>
          <w:rFonts w:ascii="Arial" w:cs="Arial" w:eastAsia="Arial" w:hAnsi="Arial"/>
          <w:sz w:val="18"/>
          <w:szCs w:val="18"/>
          <w:color w:val="auto"/>
        </w:rPr>
        <w:t xml:space="preserve"> are to our Advanced Manufacturing Plant 1 in Casa Grande, Arizona;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Ayar</w:t>
      </w:r>
      <w:r>
        <w:rPr>
          <w:rFonts w:ascii="Arial" w:cs="Arial" w:eastAsia="Arial" w:hAnsi="Arial"/>
          <w:sz w:val="18"/>
          <w:szCs w:val="18"/>
          <w:color w:val="auto"/>
        </w:rPr>
        <w:t>” are to Ayar Third Investment Company, an affiliate of PIF;</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or “Board of Directors” are, prior to consummation of the Transactions, to the board of directors of Legacy Lucid, and, following consummation of the Transactions, to the board of directors of Lucid Group Inc., a Delaware corporation;</w:t>
      </w:r>
    </w:p>
    <w:p>
      <w:pPr>
        <w:spacing w:after="0" w:line="197"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Churchill</w:t>
      </w:r>
      <w:r>
        <w:rPr>
          <w:rFonts w:ascii="Arial" w:cs="Arial" w:eastAsia="Arial" w:hAnsi="Arial"/>
          <w:sz w:val="16"/>
          <w:szCs w:val="16"/>
          <w:color w:val="auto"/>
        </w:rPr>
        <w:t xml:space="preserve">” or </w:t>
      </w:r>
      <w:r>
        <w:rPr>
          <w:rFonts w:ascii="Arial" w:cs="Arial" w:eastAsia="Arial" w:hAnsi="Arial"/>
          <w:sz w:val="16"/>
          <w:szCs w:val="16"/>
          <w:i w:val="1"/>
          <w:iCs w:val="1"/>
          <w:color w:val="auto"/>
        </w:rPr>
        <w:t>“CCIV”</w:t>
      </w:r>
      <w:r>
        <w:rPr>
          <w:rFonts w:ascii="Arial" w:cs="Arial" w:eastAsia="Arial" w:hAnsi="Arial"/>
          <w:sz w:val="16"/>
          <w:szCs w:val="16"/>
          <w:color w:val="auto"/>
        </w:rPr>
        <w:t xml:space="preserve">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Churchill’s Class A common stock</w:t>
      </w:r>
      <w:r>
        <w:rPr>
          <w:rFonts w:ascii="Arial" w:cs="Arial" w:eastAsia="Arial" w:hAnsi="Arial"/>
          <w:sz w:val="18"/>
          <w:szCs w:val="18"/>
          <w:color w:val="auto"/>
        </w:rPr>
        <w:t>” are to Churchill’s Class A common stock, par value $0.0001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Churchill’s Class B common stock</w:t>
      </w:r>
      <w:r>
        <w:rPr>
          <w:rFonts w:ascii="Arial" w:cs="Arial" w:eastAsia="Arial" w:hAnsi="Arial"/>
          <w:sz w:val="18"/>
          <w:szCs w:val="18"/>
          <w:color w:val="auto"/>
        </w:rPr>
        <w:t>” are to Churchill’s Class B common stock, par value $0.0001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 IPO</w:t>
      </w:r>
      <w:r>
        <w:rPr>
          <w:rFonts w:ascii="Arial" w:cs="Arial" w:eastAsia="Arial" w:hAnsi="Arial"/>
          <w:sz w:val="18"/>
          <w:szCs w:val="18"/>
          <w:color w:val="auto"/>
        </w:rPr>
        <w:t>” are to the initial public offering by Churchill which closed on August 3,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are to the consummation of the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are to July 23, 2021, the date on which the Transactions were consummated;</w:t>
      </w:r>
    </w:p>
    <w:p>
      <w:pPr>
        <w:spacing w:after="0" w:line="25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stock</w:t>
      </w:r>
      <w:r>
        <w:rPr>
          <w:rFonts w:ascii="Arial" w:cs="Arial" w:eastAsia="Arial" w:hAnsi="Arial"/>
          <w:sz w:val="17"/>
          <w:szCs w:val="17"/>
          <w:color w:val="auto"/>
        </w:rPr>
        <w:t>” are, prior to the consummation of the Transactions, to Churchill’s Class A common stock and Churchill’s Class B common stock and, following the consummation of the Transactions, to the common stock of Lucid Group, Inc., par value $0.0001 per share;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ESG</w:t>
      </w:r>
      <w:r>
        <w:rPr>
          <w:rFonts w:ascii="Arial" w:cs="Arial" w:eastAsia="Arial" w:hAnsi="Arial"/>
          <w:sz w:val="18"/>
          <w:szCs w:val="18"/>
          <w:color w:val="auto"/>
        </w:rPr>
        <w:t>” are to the Environmental, Social and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w:t>
      </w:r>
      <w:r>
        <w:rPr>
          <w:rFonts w:ascii="Arial" w:cs="Arial" w:eastAsia="Arial" w:hAnsi="Arial"/>
          <w:sz w:val="18"/>
          <w:szCs w:val="18"/>
          <w:color w:val="auto"/>
        </w:rPr>
        <w:t>” are to electric vehicle;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Ratio</w:t>
      </w:r>
      <w:r>
        <w:rPr>
          <w:rFonts w:ascii="Arial" w:cs="Arial" w:eastAsia="Arial" w:hAnsi="Arial"/>
          <w:sz w:val="18"/>
          <w:szCs w:val="18"/>
          <w:color w:val="auto"/>
        </w:rPr>
        <w:t>” are to the quotient as defined in, and calculated in accordance with, the Merger Agreement, which is 2.644;</w:t>
      </w:r>
    </w:p>
    <w:p>
      <w:pPr>
        <w:sectPr>
          <w:pgSz w:w="11900" w:h="16838" w:orient="portrait"/>
          <w:cols w:equalWidth="0" w:num="1">
            <w:col w:w="11220"/>
          </w:cols>
          <w:pgMar w:left="320" w:top="989"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4" w:name="page5"/>
    <w:bookmarkEnd w:id="4"/>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 Rights Agreement</w:t>
      </w:r>
      <w:r>
        <w:rPr>
          <w:rFonts w:ascii="Arial" w:cs="Arial" w:eastAsia="Arial" w:hAnsi="Arial"/>
          <w:sz w:val="18"/>
          <w:szCs w:val="18"/>
          <w:color w:val="auto"/>
        </w:rPr>
        <w:t>” are to the Investor Rights Agreement, dated as of February 22, 2021, by and among the Company, the Sponsor, Ayar and certain other parties thereto;</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w:t>
      </w:r>
      <w:r>
        <w:rPr>
          <w:rFonts w:ascii="Arial" w:cs="Arial" w:eastAsia="Arial" w:hAnsi="Arial"/>
          <w:sz w:val="18"/>
          <w:szCs w:val="18"/>
          <w:color w:val="auto"/>
        </w:rPr>
        <w:t>” are to Atieva, Inc., d/b/a Lucid Motors, an exempted company incorporated with limited liability under the laws of the Cayman Islands, and its consolidated subsidiaries before the Closing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Common Shares</w:t>
      </w:r>
      <w:r>
        <w:rPr>
          <w:rFonts w:ascii="Arial" w:cs="Arial" w:eastAsia="Arial" w:hAnsi="Arial"/>
          <w:sz w:val="18"/>
          <w:szCs w:val="18"/>
          <w:color w:val="auto"/>
        </w:rPr>
        <w:t>” are to the common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Legacy Lucid Share Plans</w:t>
      </w:r>
      <w:r>
        <w:rPr>
          <w:rFonts w:ascii="Arial" w:cs="Arial" w:eastAsia="Arial" w:hAnsi="Arial"/>
          <w:sz w:val="16"/>
          <w:szCs w:val="16"/>
          <w:color w:val="auto"/>
        </w:rPr>
        <w:t>” are to the 2009 Plan, the 2014 Plan, the 2021 Plan, in each case as amended from time to time in accordance with their terms;</w:t>
      </w:r>
    </w:p>
    <w:p>
      <w:pPr>
        <w:spacing w:after="0" w:line="2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Options</w:t>
      </w:r>
      <w:r>
        <w:rPr>
          <w:rFonts w:ascii="Arial" w:cs="Arial" w:eastAsia="Arial" w:hAnsi="Arial"/>
          <w:sz w:val="18"/>
          <w:szCs w:val="18"/>
          <w:color w:val="auto"/>
        </w:rPr>
        <w:t>” are to all issued and outstanding options to purchase or otherwise acquire Legacy Lucid Common Shares (whether or not vested) held by any person, including share options granted under any Legacy Lucid Share Plan;</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Preferred Shares</w:t>
      </w:r>
      <w:r>
        <w:rPr>
          <w:rFonts w:ascii="Arial" w:cs="Arial" w:eastAsia="Arial" w:hAnsi="Arial"/>
          <w:sz w:val="18"/>
          <w:szCs w:val="18"/>
          <w:color w:val="auto"/>
        </w:rPr>
        <w:t>” are to, collectively, Legacy Lucid Series A Preferred Shares, Legacy Lucid Series B Preferred Shares, Legacy Lucid Series C Preferred Shares, Legacy Lucid Series D Preferred Shares and Legacy Lucid Series E Preferred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Series A Preferred Shares</w:t>
      </w:r>
      <w:r>
        <w:rPr>
          <w:rFonts w:ascii="Arial" w:cs="Arial" w:eastAsia="Arial" w:hAnsi="Arial"/>
          <w:sz w:val="18"/>
          <w:szCs w:val="18"/>
          <w:color w:val="auto"/>
        </w:rPr>
        <w:t>” are to the Series A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Series B Preferred Shares</w:t>
      </w:r>
      <w:r>
        <w:rPr>
          <w:rFonts w:ascii="Arial" w:cs="Arial" w:eastAsia="Arial" w:hAnsi="Arial"/>
          <w:sz w:val="18"/>
          <w:szCs w:val="18"/>
          <w:color w:val="auto"/>
        </w:rPr>
        <w:t>” are to the Series B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Series C Preferred Shares</w:t>
      </w:r>
      <w:r>
        <w:rPr>
          <w:rFonts w:ascii="Arial" w:cs="Arial" w:eastAsia="Arial" w:hAnsi="Arial"/>
          <w:sz w:val="18"/>
          <w:szCs w:val="18"/>
          <w:color w:val="auto"/>
        </w:rPr>
        <w:t>” are to the Series C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Series D Preferred Shares</w:t>
      </w:r>
      <w:r>
        <w:rPr>
          <w:rFonts w:ascii="Arial" w:cs="Arial" w:eastAsia="Arial" w:hAnsi="Arial"/>
          <w:sz w:val="18"/>
          <w:szCs w:val="18"/>
          <w:color w:val="auto"/>
        </w:rPr>
        <w:t>” are to the Series D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Series E Preferred Shares</w:t>
      </w:r>
      <w:r>
        <w:rPr>
          <w:rFonts w:ascii="Arial" w:cs="Arial" w:eastAsia="Arial" w:hAnsi="Arial"/>
          <w:sz w:val="18"/>
          <w:szCs w:val="18"/>
          <w:color w:val="auto"/>
        </w:rPr>
        <w:t>” are to the Series E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Share</w:t>
      </w:r>
      <w:r>
        <w:rPr>
          <w:rFonts w:ascii="Arial" w:cs="Arial" w:eastAsia="Arial" w:hAnsi="Arial"/>
          <w:sz w:val="18"/>
          <w:szCs w:val="18"/>
          <w:color w:val="auto"/>
        </w:rPr>
        <w:t>s” are to the Legacy Lucid Common Shares and Legacy Lucid Preferred Shares;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RSUs</w:t>
      </w:r>
      <w:r>
        <w:rPr>
          <w:rFonts w:ascii="Arial" w:cs="Arial" w:eastAsia="Arial" w:hAnsi="Arial"/>
          <w:sz w:val="18"/>
          <w:szCs w:val="18"/>
          <w:color w:val="auto"/>
        </w:rPr>
        <w:t>” are to all issued and outstanding restricted stock unit awards with respect to Legacy Lucid Common Shares outstanding under any Legacy Lucid Share Plan;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Lucid Options</w:t>
      </w:r>
      <w:r>
        <w:rPr>
          <w:rFonts w:ascii="Arial" w:cs="Arial" w:eastAsia="Arial" w:hAnsi="Arial"/>
          <w:sz w:val="17"/>
          <w:szCs w:val="17"/>
          <w:color w:val="auto"/>
        </w:rPr>
        <w:t>” are to all issued and outstanding options to purchase shares of common stock immediately following the closing of the Merger;</w:t>
      </w:r>
    </w:p>
    <w:p>
      <w:pPr>
        <w:spacing w:after="0" w:line="2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RSUs</w:t>
      </w:r>
      <w:r>
        <w:rPr>
          <w:rFonts w:ascii="Arial" w:cs="Arial" w:eastAsia="Arial" w:hAnsi="Arial"/>
          <w:sz w:val="18"/>
          <w:szCs w:val="18"/>
          <w:color w:val="auto"/>
        </w:rPr>
        <w:t>” are to all issued and outstanding restricted stock unit awards with respect to shares of common stock immediately following the closing of the Merger;</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are to the merger of a merger subsidiary of Churchill and Atieva, Inc., with Atieva, Inc. surviving such merger as a wholly owned subsidiary of Churchill;</w:t>
      </w:r>
    </w:p>
    <w:p>
      <w:pPr>
        <w:spacing w:after="0" w:line="19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 to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PIF</w:t>
      </w:r>
      <w:r>
        <w:rPr>
          <w:rFonts w:ascii="Arial" w:cs="Arial" w:eastAsia="Arial" w:hAnsi="Arial"/>
          <w:sz w:val="18"/>
          <w:szCs w:val="18"/>
          <w:color w:val="auto"/>
        </w:rPr>
        <w:t>” are to the Public Investment Fund;</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are to the private placement subscription agreements that Churchill entered into contemporaneously with the execution of the Merger Agreement whereby Churchill has agreed to issue and sell to certain investors $2.5 billion of Churchill’s Class A common stock at a purchase price of $15.00 per share. The PIPE Investment closed simultaneously with the Closing of the Merger;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are to the investors participating in the PIPE Investment;</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are to Churchill’s warrants issued to the Sponsor in a private placement simultaneously with the closing of the Churchill IPO;</w:t>
      </w: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73" w:right="459" w:bottom="1440" w:gutter="0" w:footer="0" w:header="0"/>
        </w:sectPr>
      </w:pPr>
    </w:p>
    <w:bookmarkStart w:id="5" w:name="page6"/>
    <w:bookmarkEnd w:id="5"/>
    <w:p>
      <w:pPr>
        <w:ind w:right="1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Promissory Note</w:t>
      </w:r>
      <w:r>
        <w:rPr>
          <w:rFonts w:ascii="Arial" w:cs="Arial" w:eastAsia="Arial" w:hAnsi="Arial"/>
          <w:sz w:val="17"/>
          <w:szCs w:val="17"/>
          <w:color w:val="auto"/>
        </w:rPr>
        <w:t>” are to the unsecured promissory note issued by Churchill to the Sponsor in an aggregate principal amount of $1,500,000. The Sponsor has elected to exercise its option to convert the unpaid balance of the Promissory Note of $1,500,000 into Working Capital Warrants;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are to Churchill’s warrants sold as part of the units in the Churchill IPO (whether they were purchased in the Churchill IPO or thereafter in the open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are to Churchill Sponsor IV LLC, a Delaware limited liability company and an affiliate of M. Klein and Company;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Transactions</w:t>
      </w:r>
      <w:r>
        <w:rPr>
          <w:rFonts w:ascii="Arial" w:cs="Arial" w:eastAsia="Arial" w:hAnsi="Arial"/>
          <w:sz w:val="17"/>
          <w:szCs w:val="17"/>
          <w:color w:val="auto"/>
        </w:rPr>
        <w:t>” are to the Merger, together with the other transactions consummated under the Merger Agreement and the related agreements;</w:t>
      </w:r>
    </w:p>
    <w:p>
      <w:pPr>
        <w:spacing w:after="0" w:line="2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Agreement</w:t>
      </w:r>
      <w:r>
        <w:rPr>
          <w:rFonts w:ascii="Arial" w:cs="Arial" w:eastAsia="Arial" w:hAnsi="Arial"/>
          <w:sz w:val="18"/>
          <w:szCs w:val="18"/>
          <w:color w:val="auto"/>
        </w:rPr>
        <w:t>” are to the Warrant Agreement, dated July 29, 2020, entered into in connection with the Churchill IPO by and between Continental Stock Transfer &amp; Trust Company and Churchill; and</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Working Capital Warrants</w:t>
      </w:r>
      <w:r>
        <w:rPr>
          <w:rFonts w:ascii="Arial" w:cs="Arial" w:eastAsia="Arial" w:hAnsi="Arial"/>
          <w:sz w:val="18"/>
          <w:szCs w:val="18"/>
          <w:color w:val="auto"/>
        </w:rPr>
        <w:t>” are to the warrants to purchase Churchill’s Class A common stock pursuant to the terms of the Promissory Note, on terms identical to the terms of the Private Placement Warrants.</w:t>
      </w:r>
    </w:p>
    <w:p>
      <w:pPr>
        <w:spacing w:after="0" w:line="19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8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3,157,449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6,262,905</w:t>
            </w:r>
          </w:p>
        </w:tc>
        <w:tc>
          <w:tcPr>
            <w:tcW w:w="0" w:type="dxa"/>
            <w:vAlign w:val="bottom"/>
          </w:tcPr>
          <w:p>
            <w:pPr>
              <w:spacing w:after="0"/>
              <w:rPr>
                <w:sz w:val="1"/>
                <w:szCs w:val="1"/>
                <w:color w:val="auto"/>
              </w:rPr>
            </w:pPr>
          </w:p>
        </w:tc>
      </w:tr>
      <w:tr>
        <w:trPr>
          <w:trHeight w:val="229"/>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1,136,633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553,045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127,250</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70,346</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43,328</w:t>
            </w:r>
          </w:p>
        </w:tc>
        <w:tc>
          <w:tcPr>
            <w:tcW w:w="0" w:type="dxa"/>
            <w:vAlign w:val="bottom"/>
          </w:tcPr>
          <w:p>
            <w:pPr>
              <w:spacing w:after="0"/>
              <w:rPr>
                <w:sz w:val="1"/>
                <w:szCs w:val="1"/>
                <w:color w:val="auto"/>
              </w:rPr>
            </w:pPr>
          </w:p>
        </w:tc>
      </w:tr>
      <w:tr>
        <w:trPr>
          <w:trHeight w:val="223"/>
        </w:trPr>
        <w:tc>
          <w:tcPr>
            <w:tcW w:w="8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4,966,489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6,506,977</w:t>
            </w:r>
          </w:p>
        </w:tc>
        <w:tc>
          <w:tcPr>
            <w:tcW w:w="0" w:type="dxa"/>
            <w:vAlign w:val="bottom"/>
          </w:tcPr>
          <w:p>
            <w:pPr>
              <w:spacing w:after="0"/>
              <w:rPr>
                <w:sz w:val="1"/>
                <w:szCs w:val="1"/>
                <w:color w:val="auto"/>
              </w:rPr>
            </w:pPr>
          </w:p>
        </w:tc>
      </w:tr>
      <w:tr>
        <w:trPr>
          <w:trHeight w:val="223"/>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1,615,435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1,182,153</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161,974</w:t>
            </w:r>
          </w:p>
        </w:tc>
        <w:tc>
          <w:tcPr>
            <w:tcW w:w="0" w:type="dxa"/>
            <w:vAlign w:val="bottom"/>
          </w:tcPr>
          <w:p>
            <w:pPr>
              <w:spacing w:after="0"/>
              <w:rPr>
                <w:sz w:val="1"/>
                <w:szCs w:val="1"/>
                <w:color w:val="auto"/>
              </w:rPr>
            </w:pPr>
          </w:p>
        </w:tc>
      </w:tr>
      <w:tr>
        <w:trPr>
          <w:trHeight w:val="229"/>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278,055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30,609</w:t>
            </w:r>
          </w:p>
        </w:tc>
        <w:tc>
          <w:tcPr>
            <w:tcW w:w="0" w:type="dxa"/>
            <w:vAlign w:val="bottom"/>
          </w:tcPr>
          <w:p>
            <w:pPr>
              <w:spacing w:after="0"/>
              <w:rPr>
                <w:sz w:val="1"/>
                <w:szCs w:val="1"/>
                <w:color w:val="auto"/>
              </w:rPr>
            </w:pPr>
          </w:p>
        </w:tc>
      </w:tr>
      <w:tr>
        <w:trPr>
          <w:trHeight w:val="223"/>
        </w:trPr>
        <w:tc>
          <w:tcPr>
            <w:tcW w:w="86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7,129,419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7,881,713</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129,070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41,342</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32,364</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318,212</w:t>
            </w:r>
          </w:p>
        </w:tc>
        <w:tc>
          <w:tcPr>
            <w:tcW w:w="0" w:type="dxa"/>
            <w:vAlign w:val="bottom"/>
          </w:tcPr>
          <w:p>
            <w:pPr>
              <w:spacing w:after="0"/>
              <w:rPr>
                <w:sz w:val="1"/>
                <w:szCs w:val="1"/>
                <w:color w:val="auto"/>
              </w:rPr>
            </w:pPr>
          </w:p>
        </w:tc>
      </w:tr>
      <w:tr>
        <w:trPr>
          <w:trHeight w:val="223"/>
        </w:trPr>
        <w:tc>
          <w:tcPr>
            <w:tcW w:w="860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654,096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396,101</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liabilities, net of current portion</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30"/>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Common stock warrant liability</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536,635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1,394,808</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1,986,791</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188,575</w:t>
            </w:r>
          </w:p>
        </w:tc>
        <w:tc>
          <w:tcPr>
            <w:tcW w:w="0" w:type="dxa"/>
            <w:vAlign w:val="bottom"/>
          </w:tcPr>
          <w:p>
            <w:pPr>
              <w:spacing w:after="0"/>
              <w:rPr>
                <w:sz w:val="1"/>
                <w:szCs w:val="1"/>
                <w:color w:val="auto"/>
              </w:rPr>
            </w:pPr>
          </w:p>
        </w:tc>
      </w:tr>
      <w:tr>
        <w:trPr>
          <w:trHeight w:val="223"/>
        </w:trPr>
        <w:tc>
          <w:tcPr>
            <w:tcW w:w="8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3,419,033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3,972,358</w:t>
            </w:r>
          </w:p>
        </w:tc>
        <w:tc>
          <w:tcPr>
            <w:tcW w:w="0" w:type="dxa"/>
            <w:vAlign w:val="bottom"/>
          </w:tcPr>
          <w:p>
            <w:pPr>
              <w:spacing w:after="0"/>
              <w:rPr>
                <w:sz w:val="1"/>
                <w:szCs w:val="1"/>
                <w:color w:val="auto"/>
              </w:rPr>
            </w:pPr>
          </w:p>
        </w:tc>
      </w:tr>
      <w:tr>
        <w:trPr>
          <w:trHeight w:val="230"/>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15)</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60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 stock, par value $0.0001; 10,000,000 shares authorized as of June 30, 2022 and</w:t>
            </w:r>
          </w:p>
        </w:tc>
        <w:tc>
          <w:tcPr>
            <w:tcW w:w="2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 31, 2021; no shares issued and outstanding as of June 30, 2022 and December 31, 2021</w:t>
            </w:r>
          </w:p>
        </w:tc>
        <w:tc>
          <w:tcPr>
            <w:tcW w:w="2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Common stock, par value $0.0001; 15,000,000,000 shares authorized as of June 30, 2022 and December 31, 2021;</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600" w:type="dxa"/>
            <w:vAlign w:val="bottom"/>
            <w:gridSpan w:val="2"/>
          </w:tcPr>
          <w:p>
            <w:pPr>
              <w:ind w:left="360"/>
              <w:spacing w:after="0" w:line="176" w:lineRule="exact"/>
              <w:rPr>
                <w:sz w:val="20"/>
                <w:szCs w:val="20"/>
                <w:color w:val="auto"/>
              </w:rPr>
            </w:pPr>
            <w:r>
              <w:rPr>
                <w:rFonts w:ascii="Arial" w:cs="Arial" w:eastAsia="Arial" w:hAnsi="Arial"/>
                <w:sz w:val="18"/>
                <w:szCs w:val="18"/>
                <w:color w:val="auto"/>
                <w:w w:val="91"/>
              </w:rPr>
              <w:t>1,673,401,436 and 1,648,413,415 shares issued and 1,672,543,611 and 1,647,555,590 shares outstanding as of</w:t>
            </w: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June 30, 2022 and December 31, 2021, respectively</w:t>
            </w:r>
          </w:p>
        </w:tc>
        <w:tc>
          <w:tcPr>
            <w:tcW w:w="2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10,099,209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9,995,778</w:t>
            </w:r>
          </w:p>
        </w:tc>
        <w:tc>
          <w:tcPr>
            <w:tcW w:w="0" w:type="dxa"/>
            <w:vAlign w:val="bottom"/>
          </w:tcPr>
          <w:p>
            <w:pPr>
              <w:spacing w:after="0"/>
              <w:rPr>
                <w:sz w:val="1"/>
                <w:szCs w:val="1"/>
                <w:color w:val="auto"/>
              </w:rPr>
            </w:pPr>
          </w:p>
        </w:tc>
      </w:tr>
      <w:tr>
        <w:trPr>
          <w:trHeight w:val="229"/>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Treasury stock, at cost, 857,825 shares at June 30, 2022 and December 31, 2021</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(20,716)</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(6,367,583)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(6,065,872)</w:t>
            </w:r>
          </w:p>
        </w:tc>
        <w:tc>
          <w:tcPr>
            <w:tcW w:w="0" w:type="dxa"/>
            <w:vAlign w:val="bottom"/>
          </w:tcPr>
          <w:p>
            <w:pPr>
              <w:spacing w:after="0"/>
              <w:rPr>
                <w:sz w:val="1"/>
                <w:szCs w:val="1"/>
                <w:color w:val="auto"/>
              </w:rPr>
            </w:pPr>
          </w:p>
        </w:tc>
      </w:tr>
      <w:tr>
        <w:trPr>
          <w:trHeight w:val="223"/>
        </w:trPr>
        <w:tc>
          <w:tcPr>
            <w:tcW w:w="8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3,710,386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3,909,355</w:t>
            </w:r>
          </w:p>
        </w:tc>
        <w:tc>
          <w:tcPr>
            <w:tcW w:w="0" w:type="dxa"/>
            <w:vAlign w:val="bottom"/>
          </w:tcPr>
          <w:p>
            <w:pPr>
              <w:spacing w:after="0"/>
              <w:rPr>
                <w:sz w:val="1"/>
                <w:szCs w:val="1"/>
                <w:color w:val="auto"/>
              </w:rPr>
            </w:pPr>
          </w:p>
        </w:tc>
      </w:tr>
      <w:tr>
        <w:trPr>
          <w:trHeight w:val="223"/>
        </w:trPr>
        <w:tc>
          <w:tcPr>
            <w:tcW w:w="86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7,129,419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7,881,713</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985"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25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538,312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344,171</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72,272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203,924</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249,093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1,311,740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548,199</w:t>
            </w:r>
          </w:p>
        </w:tc>
        <w:tc>
          <w:tcPr>
            <w:tcW w:w="0" w:type="dxa"/>
            <w:vAlign w:val="bottom"/>
          </w:tcPr>
          <w:p>
            <w:pPr>
              <w:spacing w:after="0"/>
              <w:rPr>
                <w:sz w:val="1"/>
                <w:szCs w:val="1"/>
                <w:color w:val="auto"/>
              </w:rPr>
            </w:pPr>
          </w:p>
        </w:tc>
      </w:tr>
      <w:tr>
        <w:trPr>
          <w:trHeight w:val="236"/>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(547,712)</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Change in fair value of forward contracts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(454,546)</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Change in fair value of common stock warrant liability</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858,173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(461,957)</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(261,721)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(301,320)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(1,009,669)</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(301,711)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(1,009,678)</w:t>
            </w:r>
          </w:p>
        </w:tc>
        <w:tc>
          <w:tcPr>
            <w:tcW w:w="0" w:type="dxa"/>
            <w:vAlign w:val="bottom"/>
          </w:tcPr>
          <w:p>
            <w:pPr>
              <w:spacing w:after="0"/>
              <w:rPr>
                <w:sz w:val="1"/>
                <w:szCs w:val="1"/>
                <w:color w:val="auto"/>
              </w:rPr>
            </w:pPr>
          </w:p>
        </w:tc>
      </w:tr>
      <w:tr>
        <w:trPr>
          <w:trHeight w:val="175"/>
        </w:trPr>
        <w:tc>
          <w:tcPr>
            <w:tcW w:w="58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Deemed dividend related to the issuance of Series E convertible preferred</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(2,167,332)</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w:t>
            </w: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 basic</w:t>
            </w: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(220,425)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(301,711)</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(3,177,010)</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dilutive warrants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(858,173)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(1,159,884)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(3,177,010)</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line="176" w:lineRule="exact"/>
              <w:rPr>
                <w:sz w:val="20"/>
                <w:szCs w:val="20"/>
                <w:color w:val="auto"/>
              </w:rPr>
            </w:pPr>
            <w:r>
              <w:rPr>
                <w:rFonts w:ascii="Arial" w:cs="Arial" w:eastAsia="Arial" w:hAnsi="Arial"/>
                <w:sz w:val="18"/>
                <w:szCs w:val="18"/>
                <w:color w:val="auto"/>
                <w:w w:val="96"/>
              </w:rPr>
              <w:t>Weighted average shares outstanding used in computing net loss per share</w:t>
            </w:r>
          </w:p>
        </w:tc>
        <w:tc>
          <w:tcPr>
            <w:tcW w:w="1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w w:val="92"/>
              </w:rPr>
              <w:t>1,669,303,813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3"/>
              </w:rPr>
              <w:t>36,298,508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w w:val="90"/>
              </w:rPr>
              <w:t>1,661,960,471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3"/>
              </w:rPr>
              <w:t>34,484,767</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attributable to common stockholders, basic</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Weighted average shares outstanding used in computing net loss per share</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1,686,815,404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36,298,508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1,684,328,007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34,484,767</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common stockholders, diluted</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per share attributable to common stockholders,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Other comprehensive loss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Net unrealized losses on investments, net of tax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(221,116)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(302,402)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(1,009,678)</w:t>
            </w:r>
          </w:p>
        </w:tc>
        <w:tc>
          <w:tcPr>
            <w:tcW w:w="0" w:type="dxa"/>
            <w:vAlign w:val="bottom"/>
          </w:tcPr>
          <w:p>
            <w:pPr>
              <w:spacing w:after="0"/>
              <w:rPr>
                <w:sz w:val="1"/>
                <w:szCs w:val="1"/>
                <w:color w:val="auto"/>
              </w:rPr>
            </w:pPr>
          </w:p>
        </w:tc>
      </w:tr>
      <w:tr>
        <w:trPr>
          <w:trHeight w:val="175"/>
        </w:trPr>
        <w:tc>
          <w:tcPr>
            <w:tcW w:w="5860" w:type="dxa"/>
            <w:vAlign w:val="bottom"/>
          </w:tcPr>
          <w:p>
            <w:pPr>
              <w:ind w:left="140"/>
              <w:spacing w:after="0" w:line="176" w:lineRule="exact"/>
              <w:rPr>
                <w:sz w:val="20"/>
                <w:szCs w:val="20"/>
                <w:color w:val="auto"/>
              </w:rPr>
            </w:pPr>
            <w:r>
              <w:rPr>
                <w:rFonts w:ascii="Arial" w:cs="Arial" w:eastAsia="Arial" w:hAnsi="Arial"/>
                <w:sz w:val="18"/>
                <w:szCs w:val="18"/>
                <w:color w:val="auto"/>
                <w:w w:val="96"/>
              </w:rPr>
              <w:t>Deemed dividend related to the issuance of Series E convertible preferred</w:t>
            </w:r>
          </w:p>
        </w:tc>
        <w:tc>
          <w:tcPr>
            <w:tcW w:w="14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(2,167,332)</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common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(3,177,010)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985"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7"/>
            <w:vMerge w:val="restart"/>
          </w:tcPr>
          <w:p>
            <w:pPr>
              <w:jc w:val="right"/>
              <w:ind w:right="5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2"/>
        </w:trPr>
        <w:tc>
          <w:tcPr>
            <w:tcW w:w="5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4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5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2022</w:t>
            </w:r>
          </w:p>
        </w:tc>
        <w:tc>
          <w:tcPr>
            <w:tcW w:w="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740" w:type="dxa"/>
            <w:vAlign w:val="bottom"/>
            <w:gridSpan w:val="2"/>
            <w:vMerge w:val="restart"/>
          </w:tcPr>
          <w:p>
            <w:pPr>
              <w:jc w:val="right"/>
              <w:ind w:right="280"/>
              <w:spacing w:after="0" w:line="122" w:lineRule="exact"/>
              <w:rPr>
                <w:sz w:val="20"/>
                <w:szCs w:val="20"/>
                <w:color w:val="auto"/>
              </w:rPr>
            </w:pPr>
            <w:r>
              <w:rPr>
                <w:rFonts w:ascii="Arial" w:cs="Arial" w:eastAsia="Arial" w:hAnsi="Arial"/>
                <w:sz w:val="13"/>
                <w:szCs w:val="13"/>
                <w:b w:val="1"/>
                <w:bCs w:val="1"/>
                <w:color w:val="auto"/>
              </w:rPr>
              <w:t>Paid-In</w:t>
            </w:r>
          </w:p>
        </w:tc>
        <w:tc>
          <w:tcPr>
            <w:tcW w:w="2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720" w:type="dxa"/>
            <w:vAlign w:val="bottom"/>
            <w:gridSpan w:val="3"/>
            <w:vMerge w:val="restart"/>
          </w:tcPr>
          <w:p>
            <w:pPr>
              <w:ind w:left="40"/>
              <w:spacing w:after="0" w:line="122" w:lineRule="exact"/>
              <w:rPr>
                <w:sz w:val="20"/>
                <w:szCs w:val="20"/>
                <w:color w:val="auto"/>
              </w:rPr>
            </w:pPr>
            <w:r>
              <w:rPr>
                <w:rFonts w:ascii="Arial" w:cs="Arial" w:eastAsia="Arial" w:hAnsi="Arial"/>
                <w:sz w:val="13"/>
                <w:szCs w:val="13"/>
                <w:b w:val="1"/>
                <w:bCs w:val="1"/>
                <w:color w:val="auto"/>
              </w:rPr>
              <w:t>Treasury</w:t>
            </w:r>
          </w:p>
        </w:tc>
        <w:tc>
          <w:tcPr>
            <w:tcW w:w="20" w:type="dxa"/>
            <w:vAlign w:val="bottom"/>
            <w:vMerge w:val="restart"/>
          </w:tcPr>
          <w:p>
            <w:pPr>
              <w:spacing w:after="0"/>
              <w:rPr>
                <w:sz w:val="3"/>
                <w:szCs w:val="3"/>
                <w:color w:val="auto"/>
              </w:rPr>
            </w:pPr>
          </w:p>
        </w:tc>
        <w:tc>
          <w:tcPr>
            <w:tcW w:w="860" w:type="dxa"/>
            <w:vAlign w:val="bottom"/>
            <w:gridSpan w:val="4"/>
            <w:vMerge w:val="restart"/>
          </w:tcPr>
          <w:p>
            <w:pPr>
              <w:jc w:val="center"/>
              <w:ind w:right="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2"/>
            <w:vMerge w:val="restart"/>
          </w:tcPr>
          <w:p>
            <w:pPr>
              <w:jc w:val="right"/>
              <w:ind w:right="60"/>
              <w:spacing w:after="0" w:line="122" w:lineRule="exact"/>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61"/>
        </w:trPr>
        <w:tc>
          <w:tcPr>
            <w:tcW w:w="50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8"/>
              </w:rPr>
              <w:t>Loss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3"/>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1,666,739,708</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$ 9,997,176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5"/>
              </w:rPr>
              <w:t>(20,716)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1"/>
              </w:rPr>
              <w:t>$ (6,147,158)</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$ 3,829,469</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6"/>
                <w:szCs w:val="16"/>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4"/>
                <w:szCs w:val="14"/>
                <w:color w:val="auto"/>
              </w:rPr>
              <w:t>(220,425)</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(220,425)</w:t>
            </w:r>
          </w:p>
        </w:tc>
        <w:tc>
          <w:tcPr>
            <w:tcW w:w="0" w:type="dxa"/>
            <w:vAlign w:val="bottom"/>
          </w:tcPr>
          <w:p>
            <w:pPr>
              <w:spacing w:after="0"/>
              <w:rPr>
                <w:sz w:val="1"/>
                <w:szCs w:val="1"/>
                <w:color w:val="auto"/>
              </w:rPr>
            </w:pPr>
          </w:p>
        </w:tc>
      </w:tr>
      <w:tr>
        <w:trPr>
          <w:trHeight w:val="192"/>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Net unrealized losses on investments, net of tax</w:t>
            </w:r>
          </w:p>
        </w:tc>
        <w:tc>
          <w:tcPr>
            <w:tcW w:w="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w w:val="97"/>
              </w:rPr>
              <w:t>(691)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Issuance and sale of common stock for tax withholdings of employee RSUs</w:t>
            </w:r>
          </w:p>
        </w:tc>
        <w:tc>
          <w:tcPr>
            <w:tcW w:w="60" w:type="dxa"/>
            <w:vAlign w:val="bottom"/>
          </w:tcPr>
          <w:p>
            <w:pPr>
              <w:spacing w:after="0"/>
              <w:rPr>
                <w:sz w:val="16"/>
                <w:szCs w:val="16"/>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(8,976)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(8,976)</w:t>
            </w:r>
          </w:p>
        </w:tc>
        <w:tc>
          <w:tcPr>
            <w:tcW w:w="0" w:type="dxa"/>
            <w:vAlign w:val="bottom"/>
          </w:tcPr>
          <w:p>
            <w:pPr>
              <w:spacing w:after="0"/>
              <w:rPr>
                <w:sz w:val="1"/>
                <w:szCs w:val="1"/>
                <w:color w:val="auto"/>
              </w:rPr>
            </w:pPr>
          </w:p>
        </w:tc>
      </w:tr>
      <w:tr>
        <w:trPr>
          <w:trHeight w:val="192"/>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of common stock upon vesting of employee RSUs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960,651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Issuance of common stock under employee stock purchase plan</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751,036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12,882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12,882</w:t>
            </w:r>
          </w:p>
        </w:tc>
        <w:tc>
          <w:tcPr>
            <w:tcW w:w="0" w:type="dxa"/>
            <w:vAlign w:val="bottom"/>
          </w:tcPr>
          <w:p>
            <w:pPr>
              <w:spacing w:after="0"/>
              <w:rPr>
                <w:sz w:val="1"/>
                <w:szCs w:val="1"/>
                <w:color w:val="auto"/>
              </w:rPr>
            </w:pPr>
          </w:p>
        </w:tc>
      </w:tr>
      <w:tr>
        <w:trPr>
          <w:trHeight w:val="192"/>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of common stock upon exercise of stock options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4,092,216</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3,735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3,735</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Stock-based compensation</w:t>
            </w:r>
          </w:p>
        </w:tc>
        <w:tc>
          <w:tcPr>
            <w:tcW w:w="60" w:type="dxa"/>
            <w:vAlign w:val="bottom"/>
          </w:tcPr>
          <w:p>
            <w:pPr>
              <w:spacing w:after="0"/>
              <w:rPr>
                <w:sz w:val="16"/>
                <w:szCs w:val="16"/>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94,392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94,392</w:t>
            </w:r>
          </w:p>
        </w:tc>
        <w:tc>
          <w:tcPr>
            <w:tcW w:w="0" w:type="dxa"/>
            <w:vAlign w:val="bottom"/>
          </w:tcPr>
          <w:p>
            <w:pPr>
              <w:spacing w:after="0"/>
              <w:rPr>
                <w:sz w:val="1"/>
                <w:szCs w:val="1"/>
                <w:color w:val="auto"/>
              </w:rPr>
            </w:pPr>
          </w:p>
        </w:tc>
      </w:tr>
      <w:tr>
        <w:trPr>
          <w:trHeight w:val="211"/>
        </w:trPr>
        <w:tc>
          <w:tcPr>
            <w:tcW w:w="50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1,672,543,611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$ 10,099,209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5"/>
              </w:rPr>
              <w:t>(20,716)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w w:val="97"/>
              </w:rPr>
              <w:t>(691)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1"/>
              </w:rPr>
              <w:t>$ (6,367,583)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$ 3,710,386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7"/>
            <w:vMerge w:val="restart"/>
          </w:tcPr>
          <w:p>
            <w:pPr>
              <w:jc w:val="right"/>
              <w:ind w:right="560"/>
              <w:spacing w:after="0"/>
              <w:rPr>
                <w:sz w:val="20"/>
                <w:szCs w:val="20"/>
                <w:color w:val="auto"/>
              </w:rPr>
            </w:pPr>
            <w:r>
              <w:rPr>
                <w:rFonts w:ascii="Arial" w:cs="Arial" w:eastAsia="Arial" w:hAnsi="Arial"/>
                <w:sz w:val="13"/>
                <w:szCs w:val="13"/>
                <w:b w:val="1"/>
                <w:bCs w:val="1"/>
                <w:color w:val="auto"/>
              </w:rPr>
              <w:t>Convertible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7"/>
            <w:vMerge w:val="restart"/>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8"/>
        </w:trPr>
        <w:tc>
          <w:tcPr>
            <w:tcW w:w="5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7"/>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7"/>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40" w:type="dxa"/>
            <w:vAlign w:val="bottom"/>
            <w:gridSpan w:val="7"/>
          </w:tcPr>
          <w:p>
            <w:pPr>
              <w:jc w:val="right"/>
              <w:ind w:right="440"/>
              <w:spacing w:after="0" w:line="126" w:lineRule="exact"/>
              <w:rPr>
                <w:sz w:val="20"/>
                <w:szCs w:val="20"/>
                <w:color w:val="auto"/>
              </w:rPr>
            </w:pPr>
            <w:r>
              <w:rPr>
                <w:rFonts w:ascii="Arial" w:cs="Arial" w:eastAsia="Arial" w:hAnsi="Arial"/>
                <w:sz w:val="13"/>
                <w:szCs w:val="13"/>
                <w:b w:val="1"/>
                <w:bCs w:val="1"/>
                <w:color w:val="auto"/>
              </w:rPr>
              <w:t>Preferred Stock</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40"/>
        </w:trPr>
        <w:tc>
          <w:tcPr>
            <w:tcW w:w="5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2021</w:t>
            </w:r>
          </w:p>
        </w:tc>
        <w:tc>
          <w:tcPr>
            <w:tcW w:w="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restart"/>
          </w:tcPr>
          <w:p>
            <w:pPr>
              <w:ind w:left="80"/>
              <w:spacing w:after="0" w:line="122"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2"/>
            <w:vMerge w:val="restart"/>
          </w:tcPr>
          <w:p>
            <w:pPr>
              <w:jc w:val="right"/>
              <w:ind w:right="8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61"/>
        </w:trPr>
        <w:tc>
          <w:tcPr>
            <w:tcW w:w="50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83"/>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1,088,999,959</w:t>
            </w: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3"/>
              </w:rPr>
              <w:t>4,454,811</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6"/>
              </w:rPr>
              <w:t>35,689,218</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6,196</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(4,234,062)</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 (4,227,863)</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(261,726)</w:t>
            </w:r>
          </w:p>
        </w:tc>
        <w:tc>
          <w:tcPr>
            <w:tcW w:w="4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(261,726)</w:t>
            </w:r>
          </w:p>
        </w:tc>
        <w:tc>
          <w:tcPr>
            <w:tcW w:w="0" w:type="dxa"/>
            <w:vAlign w:val="bottom"/>
          </w:tcPr>
          <w:p>
            <w:pPr>
              <w:spacing w:after="0"/>
              <w:rPr>
                <w:sz w:val="1"/>
                <w:szCs w:val="1"/>
                <w:color w:val="auto"/>
              </w:rPr>
            </w:pPr>
          </w:p>
        </w:tc>
      </w:tr>
      <w:tr>
        <w:trPr>
          <w:trHeight w:val="192"/>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of Series E convertible preferred stock</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66,909,408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1,361,273</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15,719</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Stock-based compensation related to Series E convertible preferred stock</w:t>
            </w:r>
          </w:p>
        </w:tc>
        <w:tc>
          <w:tcPr>
            <w:tcW w:w="6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20,701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of common stock upon exercise of stock options</w:t>
            </w:r>
          </w:p>
        </w:tc>
        <w:tc>
          <w:tcPr>
            <w:tcW w:w="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1,109,932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Stock-based compensation</w:t>
            </w:r>
          </w:p>
        </w:tc>
        <w:tc>
          <w:tcPr>
            <w:tcW w:w="6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3,748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3,748</w:t>
            </w:r>
          </w:p>
        </w:tc>
        <w:tc>
          <w:tcPr>
            <w:tcW w:w="0" w:type="dxa"/>
            <w:vAlign w:val="bottom"/>
          </w:tcPr>
          <w:p>
            <w:pPr>
              <w:spacing w:after="0"/>
              <w:rPr>
                <w:sz w:val="1"/>
                <w:szCs w:val="1"/>
                <w:color w:val="auto"/>
              </w:rPr>
            </w:pPr>
          </w:p>
        </w:tc>
      </w:tr>
      <w:tr>
        <w:trPr>
          <w:trHeight w:val="211"/>
        </w:trPr>
        <w:tc>
          <w:tcPr>
            <w:tcW w:w="50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1,155,909,367</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3"/>
              </w:rPr>
              <w:t>5,836,785</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6"/>
              </w:rPr>
              <w:t>36,799,150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26,613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(4,495,788)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 (4,469,172)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______________________________________________________________</w:t>
      </w:r>
    </w:p>
    <w:p>
      <w:pPr>
        <w:spacing w:after="0" w:line="52" w:lineRule="exact"/>
        <w:rPr>
          <w:sz w:val="20"/>
          <w:szCs w:val="20"/>
          <w:color w:val="auto"/>
        </w:rPr>
      </w:pPr>
    </w:p>
    <w:p>
      <w:pPr>
        <w:ind w:right="120" w:firstLine="8"/>
        <w:spacing w:after="0" w:line="325" w:lineRule="auto"/>
        <w:tabs>
          <w:tab w:leader="none" w:pos="132"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The number of shares of convertible preferred stock and common stock issued and outstanding prior to the Merger have been retroactively adjusted by the Exchange Ratio to give effect to the reverse recapitalization treatment of the Merger. See Note 1 “Description of Business” and Note 3 “Reverse Capitalization” for more information.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7"/>
            <w:vMerge w:val="restart"/>
          </w:tcPr>
          <w:p>
            <w:pPr>
              <w:jc w:val="right"/>
              <w:ind w:right="5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1"/>
        </w:trPr>
        <w:tc>
          <w:tcPr>
            <w:tcW w:w="5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4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5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Six Months Ended June 30, 2022</w:t>
            </w:r>
          </w:p>
        </w:tc>
        <w:tc>
          <w:tcPr>
            <w:tcW w:w="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740" w:type="dxa"/>
            <w:vAlign w:val="bottom"/>
            <w:gridSpan w:val="2"/>
            <w:vMerge w:val="restart"/>
          </w:tcPr>
          <w:p>
            <w:pPr>
              <w:jc w:val="right"/>
              <w:ind w:right="280"/>
              <w:spacing w:after="0" w:line="122" w:lineRule="exact"/>
              <w:rPr>
                <w:sz w:val="20"/>
                <w:szCs w:val="20"/>
                <w:color w:val="auto"/>
              </w:rPr>
            </w:pPr>
            <w:r>
              <w:rPr>
                <w:rFonts w:ascii="Arial" w:cs="Arial" w:eastAsia="Arial" w:hAnsi="Arial"/>
                <w:sz w:val="13"/>
                <w:szCs w:val="13"/>
                <w:b w:val="1"/>
                <w:bCs w:val="1"/>
                <w:color w:val="auto"/>
              </w:rPr>
              <w:t>Paid-In</w:t>
            </w:r>
          </w:p>
        </w:tc>
        <w:tc>
          <w:tcPr>
            <w:tcW w:w="2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720" w:type="dxa"/>
            <w:vAlign w:val="bottom"/>
            <w:gridSpan w:val="3"/>
            <w:vMerge w:val="restart"/>
          </w:tcPr>
          <w:p>
            <w:pPr>
              <w:ind w:left="40"/>
              <w:spacing w:after="0" w:line="122" w:lineRule="exact"/>
              <w:rPr>
                <w:sz w:val="20"/>
                <w:szCs w:val="20"/>
                <w:color w:val="auto"/>
              </w:rPr>
            </w:pPr>
            <w:r>
              <w:rPr>
                <w:rFonts w:ascii="Arial" w:cs="Arial" w:eastAsia="Arial" w:hAnsi="Arial"/>
                <w:sz w:val="13"/>
                <w:szCs w:val="13"/>
                <w:b w:val="1"/>
                <w:bCs w:val="1"/>
                <w:color w:val="auto"/>
              </w:rPr>
              <w:t>Treasury</w:t>
            </w:r>
          </w:p>
        </w:tc>
        <w:tc>
          <w:tcPr>
            <w:tcW w:w="20" w:type="dxa"/>
            <w:vAlign w:val="bottom"/>
            <w:vMerge w:val="restart"/>
          </w:tcPr>
          <w:p>
            <w:pPr>
              <w:spacing w:after="0"/>
              <w:rPr>
                <w:sz w:val="3"/>
                <w:szCs w:val="3"/>
                <w:color w:val="auto"/>
              </w:rPr>
            </w:pPr>
          </w:p>
        </w:tc>
        <w:tc>
          <w:tcPr>
            <w:tcW w:w="860" w:type="dxa"/>
            <w:vAlign w:val="bottom"/>
            <w:gridSpan w:val="4"/>
            <w:vMerge w:val="restart"/>
          </w:tcPr>
          <w:p>
            <w:pPr>
              <w:jc w:val="center"/>
              <w:ind w:right="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2"/>
            <w:vMerge w:val="restart"/>
          </w:tcPr>
          <w:p>
            <w:pPr>
              <w:jc w:val="right"/>
              <w:ind w:right="60"/>
              <w:spacing w:after="0" w:line="122" w:lineRule="exact"/>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61"/>
        </w:trPr>
        <w:tc>
          <w:tcPr>
            <w:tcW w:w="50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8"/>
              </w:rPr>
              <w:t>Loss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3"/>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2022</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1,647,555,590</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$ 9,995,778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5"/>
              </w:rPr>
              <w:t>(20,716)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1"/>
              </w:rPr>
              <w:t>$ (6,065,872)</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$ 3,909,355</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6"/>
                <w:szCs w:val="16"/>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4"/>
                <w:szCs w:val="14"/>
                <w:color w:val="auto"/>
              </w:rPr>
              <w:t>(301,711)</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(301,711)</w:t>
            </w:r>
          </w:p>
        </w:tc>
        <w:tc>
          <w:tcPr>
            <w:tcW w:w="0" w:type="dxa"/>
            <w:vAlign w:val="bottom"/>
          </w:tcPr>
          <w:p>
            <w:pPr>
              <w:spacing w:after="0"/>
              <w:rPr>
                <w:sz w:val="1"/>
                <w:szCs w:val="1"/>
                <w:color w:val="auto"/>
              </w:rPr>
            </w:pPr>
          </w:p>
        </w:tc>
      </w:tr>
      <w:tr>
        <w:trPr>
          <w:trHeight w:val="192"/>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Net unrealized losses on investments, net of tax</w:t>
            </w:r>
          </w:p>
        </w:tc>
        <w:tc>
          <w:tcPr>
            <w:tcW w:w="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(691)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Issuance and sale of common stock for tax withholdings of employee RSUs</w:t>
            </w:r>
          </w:p>
        </w:tc>
        <w:tc>
          <w:tcPr>
            <w:tcW w:w="60" w:type="dxa"/>
            <w:vAlign w:val="bottom"/>
          </w:tcPr>
          <w:p>
            <w:pPr>
              <w:spacing w:after="0"/>
              <w:rPr>
                <w:sz w:val="16"/>
                <w:szCs w:val="16"/>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(191,241)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(191,241)</w:t>
            </w:r>
          </w:p>
        </w:tc>
        <w:tc>
          <w:tcPr>
            <w:tcW w:w="0" w:type="dxa"/>
            <w:vAlign w:val="bottom"/>
          </w:tcPr>
          <w:p>
            <w:pPr>
              <w:spacing w:after="0"/>
              <w:rPr>
                <w:sz w:val="1"/>
                <w:szCs w:val="1"/>
                <w:color w:val="auto"/>
              </w:rPr>
            </w:pPr>
          </w:p>
        </w:tc>
      </w:tr>
      <w:tr>
        <w:trPr>
          <w:trHeight w:val="192"/>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of common stock upon vesting of employee RSUs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8,041,659</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Issuance of common stock under employee stock purchase plan</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751,036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12,882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12,882</w:t>
            </w:r>
          </w:p>
        </w:tc>
        <w:tc>
          <w:tcPr>
            <w:tcW w:w="0" w:type="dxa"/>
            <w:vAlign w:val="bottom"/>
          </w:tcPr>
          <w:p>
            <w:pPr>
              <w:spacing w:after="0"/>
              <w:rPr>
                <w:sz w:val="1"/>
                <w:szCs w:val="1"/>
                <w:color w:val="auto"/>
              </w:rPr>
            </w:pPr>
          </w:p>
        </w:tc>
      </w:tr>
      <w:tr>
        <w:trPr>
          <w:trHeight w:val="192"/>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of common stock upon exercise of stock options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16,195,326</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12,848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12,849</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Stock-based compensation</w:t>
            </w:r>
          </w:p>
        </w:tc>
        <w:tc>
          <w:tcPr>
            <w:tcW w:w="60" w:type="dxa"/>
            <w:vAlign w:val="bottom"/>
          </w:tcPr>
          <w:p>
            <w:pPr>
              <w:spacing w:after="0"/>
              <w:rPr>
                <w:sz w:val="16"/>
                <w:szCs w:val="16"/>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268,943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268,943</w:t>
            </w:r>
          </w:p>
        </w:tc>
        <w:tc>
          <w:tcPr>
            <w:tcW w:w="0" w:type="dxa"/>
            <w:vAlign w:val="bottom"/>
          </w:tcPr>
          <w:p>
            <w:pPr>
              <w:spacing w:after="0"/>
              <w:rPr>
                <w:sz w:val="1"/>
                <w:szCs w:val="1"/>
                <w:color w:val="auto"/>
              </w:rPr>
            </w:pPr>
          </w:p>
        </w:tc>
      </w:tr>
      <w:tr>
        <w:trPr>
          <w:trHeight w:val="211"/>
        </w:trPr>
        <w:tc>
          <w:tcPr>
            <w:tcW w:w="50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1,672,543,611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$ 10,099,209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5"/>
              </w:rPr>
              <w:t>(20,716)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(691)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1"/>
              </w:rPr>
              <w:t>$ (6,367,583)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$ 3,710,386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7"/>
            <w:vMerge w:val="restart"/>
          </w:tcPr>
          <w:p>
            <w:pPr>
              <w:jc w:val="right"/>
              <w:ind w:right="560"/>
              <w:spacing w:after="0"/>
              <w:rPr>
                <w:sz w:val="20"/>
                <w:szCs w:val="20"/>
                <w:color w:val="auto"/>
              </w:rPr>
            </w:pPr>
            <w:r>
              <w:rPr>
                <w:rFonts w:ascii="Arial" w:cs="Arial" w:eastAsia="Arial" w:hAnsi="Arial"/>
                <w:sz w:val="13"/>
                <w:szCs w:val="13"/>
                <w:b w:val="1"/>
                <w:bCs w:val="1"/>
                <w:color w:val="auto"/>
              </w:rPr>
              <w:t>Convertible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7"/>
            <w:vMerge w:val="restart"/>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8"/>
              </w:rPr>
              <w:t>Additional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8"/>
        </w:trPr>
        <w:tc>
          <w:tcPr>
            <w:tcW w:w="5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7"/>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7"/>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40" w:type="dxa"/>
            <w:vAlign w:val="bottom"/>
            <w:gridSpan w:val="7"/>
          </w:tcPr>
          <w:p>
            <w:pPr>
              <w:jc w:val="right"/>
              <w:ind w:right="440"/>
              <w:spacing w:after="0" w:line="126" w:lineRule="exact"/>
              <w:rPr>
                <w:sz w:val="20"/>
                <w:szCs w:val="20"/>
                <w:color w:val="auto"/>
              </w:rPr>
            </w:pPr>
            <w:r>
              <w:rPr>
                <w:rFonts w:ascii="Arial" w:cs="Arial" w:eastAsia="Arial" w:hAnsi="Arial"/>
                <w:sz w:val="13"/>
                <w:szCs w:val="13"/>
                <w:b w:val="1"/>
                <w:bCs w:val="1"/>
                <w:color w:val="auto"/>
              </w:rPr>
              <w:t>Preferred Stock</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41"/>
        </w:trPr>
        <w:tc>
          <w:tcPr>
            <w:tcW w:w="5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restart"/>
          </w:tcPr>
          <w:p>
            <w:pPr>
              <w:jc w:val="center"/>
              <w:ind w:right="120"/>
              <w:spacing w:after="0" w:line="122" w:lineRule="exact"/>
              <w:rPr>
                <w:sz w:val="20"/>
                <w:szCs w:val="20"/>
                <w:color w:val="auto"/>
              </w:rPr>
            </w:pPr>
            <w:r>
              <w:rPr>
                <w:rFonts w:ascii="Arial" w:cs="Arial" w:eastAsia="Arial" w:hAnsi="Arial"/>
                <w:sz w:val="13"/>
                <w:szCs w:val="13"/>
                <w:b w:val="1"/>
                <w:bCs w:val="1"/>
                <w:color w:val="auto"/>
                <w:w w:val="92"/>
              </w:rPr>
              <w:t>Paid-In</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2"/>
            <w:vMerge w:val="restart"/>
          </w:tcPr>
          <w:p>
            <w:pPr>
              <w:jc w:val="right"/>
              <w:ind w:right="8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61"/>
        </w:trPr>
        <w:tc>
          <w:tcPr>
            <w:tcW w:w="50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83"/>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957,159,704</w:t>
            </w: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3"/>
              </w:rPr>
              <w:t>2,494,076</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6"/>
              </w:rPr>
              <w:t>28,791,702</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38,113</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(1,356,893)</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 (1,318,777)</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(1,009,678)</w:t>
            </w:r>
          </w:p>
        </w:tc>
        <w:tc>
          <w:tcPr>
            <w:tcW w:w="4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(1,009,678)</w:t>
            </w:r>
          </w:p>
        </w:tc>
        <w:tc>
          <w:tcPr>
            <w:tcW w:w="0" w:type="dxa"/>
            <w:vAlign w:val="bottom"/>
          </w:tcPr>
          <w:p>
            <w:pPr>
              <w:spacing w:after="0"/>
              <w:rPr>
                <w:sz w:val="1"/>
                <w:szCs w:val="1"/>
                <w:color w:val="auto"/>
              </w:rPr>
            </w:pPr>
          </w:p>
        </w:tc>
      </w:tr>
      <w:tr>
        <w:trPr>
          <w:trHeight w:val="192"/>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Repurchase of Series B convertible preferred stock</w:t>
            </w:r>
          </w:p>
        </w:tc>
        <w:tc>
          <w:tcPr>
            <w:tcW w:w="96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w w:val="94"/>
              </w:rPr>
              <w:t>(3,525,365)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Issuance of Series D convertible preferred stock upon exercise of warrants</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1,546,799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12,936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of Series E convertible preferred stock</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200,728,229</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3,206,159</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(22,396)</w:t>
            </w:r>
          </w:p>
        </w:tc>
        <w:tc>
          <w:tcPr>
            <w:tcW w:w="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(2,129,217)</w:t>
            </w:r>
          </w:p>
        </w:tc>
        <w:tc>
          <w:tcPr>
            <w:tcW w:w="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(2,151,613)</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Stock-based compensation related to Series E convertible preferred stock</w:t>
            </w:r>
          </w:p>
        </w:tc>
        <w:tc>
          <w:tcPr>
            <w:tcW w:w="6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123,614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of common stock upon exercise of stock options</w:t>
            </w:r>
          </w:p>
        </w:tc>
        <w:tc>
          <w:tcPr>
            <w:tcW w:w="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8,007,448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5,266</w:t>
            </w:r>
          </w:p>
        </w:tc>
        <w:tc>
          <w:tcPr>
            <w:tcW w:w="0" w:type="dxa"/>
            <w:vAlign w:val="bottom"/>
          </w:tcPr>
          <w:p>
            <w:pPr>
              <w:spacing w:after="0"/>
              <w:rPr>
                <w:sz w:val="1"/>
                <w:szCs w:val="1"/>
                <w:color w:val="auto"/>
              </w:rPr>
            </w:pPr>
          </w:p>
        </w:tc>
      </w:tr>
      <w:tr>
        <w:trPr>
          <w:trHeight w:val="186"/>
        </w:trPr>
        <w:tc>
          <w:tcPr>
            <w:tcW w:w="5080" w:type="dxa"/>
            <w:vAlign w:val="bottom"/>
            <w:gridSpan w:val="3"/>
          </w:tcPr>
          <w:p>
            <w:pPr>
              <w:ind w:left="140"/>
              <w:spacing w:after="0"/>
              <w:rPr>
                <w:sz w:val="20"/>
                <w:szCs w:val="20"/>
                <w:color w:val="auto"/>
              </w:rPr>
            </w:pPr>
            <w:r>
              <w:rPr>
                <w:rFonts w:ascii="Arial" w:cs="Arial" w:eastAsia="Arial" w:hAnsi="Arial"/>
                <w:sz w:val="14"/>
                <w:szCs w:val="14"/>
                <w:color w:val="auto"/>
              </w:rPr>
              <w:t>Stock-based compensation</w:t>
            </w:r>
          </w:p>
        </w:tc>
        <w:tc>
          <w:tcPr>
            <w:tcW w:w="6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5,630</w:t>
            </w:r>
          </w:p>
        </w:tc>
        <w:tc>
          <w:tcPr>
            <w:tcW w:w="0" w:type="dxa"/>
            <w:vAlign w:val="bottom"/>
          </w:tcPr>
          <w:p>
            <w:pPr>
              <w:spacing w:after="0"/>
              <w:rPr>
                <w:sz w:val="1"/>
                <w:szCs w:val="1"/>
                <w:color w:val="auto"/>
              </w:rPr>
            </w:pPr>
          </w:p>
        </w:tc>
      </w:tr>
      <w:tr>
        <w:trPr>
          <w:trHeight w:val="211"/>
        </w:trPr>
        <w:tc>
          <w:tcPr>
            <w:tcW w:w="50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1,155,909,367</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3"/>
              </w:rPr>
              <w:t>5,836,785</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6"/>
              </w:rPr>
              <w:t>36,799,150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26,613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(4,495,788)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 (4,469,172)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______________________________________________________________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The number of shares of convertible preferred stock and common stock issued and outstanding prior to the Merger have been retroactively adjusted by the Exchange Ratio to give effect to the</w:t>
      </w:r>
    </w:p>
    <w:p>
      <w:pPr>
        <w:spacing w:after="0" w:line="186" w:lineRule="auto"/>
        <w:rPr>
          <w:sz w:val="20"/>
          <w:szCs w:val="20"/>
          <w:color w:val="auto"/>
        </w:rPr>
      </w:pPr>
      <w:r>
        <w:rPr>
          <w:rFonts w:ascii="Arial" w:cs="Arial" w:eastAsia="Arial" w:hAnsi="Arial"/>
          <w:sz w:val="10"/>
          <w:szCs w:val="10"/>
          <w:color w:val="auto"/>
        </w:rPr>
        <w:t>reverse recapitalization treatment of the Merger. See Note 1 - Description of Business and Note 3 - Reverse Capitalization for more information.</w:t>
      </w: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2021</w:t>
            </w:r>
          </w:p>
        </w:tc>
      </w:tr>
      <w:tr>
        <w:trPr>
          <w:trHeight w:val="211"/>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(301,711)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(1,009,678)</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80,690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11,738</w:t>
            </w:r>
          </w:p>
        </w:tc>
      </w:tr>
      <w:tr>
        <w:trPr>
          <w:trHeight w:val="229"/>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insurance premium</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rPr>
              <w:t>Non-cash operating lease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13,502</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129,244</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rPr>
              <w:t>Amortization of debt discounts and issuance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write-downs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rPr>
              <w:t>Change in fair value of contingent forward contract liability</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454,546</w:t>
            </w:r>
          </w:p>
        </w:tc>
      </w:tr>
      <w:tr>
        <w:trPr>
          <w:trHeight w:val="229"/>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preferred stock warrant liability</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Change in fair value of common stock warrant liability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(858,173)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non-cash items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(603,852)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(27,181)</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(22,183)</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(2,380)</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49,596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(11,871)</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w:t>
            </w: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(7,742)</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29"/>
        </w:trPr>
        <w:tc>
          <w:tcPr>
            <w:tcW w:w="8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w:t>
            </w:r>
          </w:p>
        </w:tc>
      </w:tr>
      <w:tr>
        <w:trPr>
          <w:trHeight w:val="223"/>
        </w:trPr>
        <w:tc>
          <w:tcPr>
            <w:tcW w:w="8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(1,008,277)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(453,804)</w:t>
            </w:r>
          </w:p>
        </w:tc>
      </w:tr>
      <w:tr>
        <w:trPr>
          <w:trHeight w:val="209"/>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(206,533)</w:t>
            </w: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Proceed from sale of property, plant and equipment</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(1,419,223)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(1,914,123)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(206,514)</w:t>
            </w:r>
          </w:p>
        </w:tc>
      </w:tr>
      <w:tr>
        <w:trPr>
          <w:trHeight w:val="21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rPr>
              <w:t>Payment for short-term insurance financing note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(2,747)</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 finance lease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Proceeds from short-term insurance financing note</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10,950</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borrowings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rPr>
              <w:t>Repurchase of Series B convertible preferred stock</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Series D convertible preferred stock</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Proceeds from issuance of Series E convertible preferred stock</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repurchases from employees for tax withholdings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Payment for credit facility issuance costs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(183,209)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612,105</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(3,105,609)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(48,213)</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cash,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6,298,020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640,418</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Ending cash, cash equivalents, and restricted cash</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3,192,411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592,205</w:t>
            </w:r>
          </w:p>
        </w:tc>
      </w:tr>
      <w:tr>
        <w:trPr>
          <w:trHeight w:val="21"/>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0"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197"/>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7"/>
                <w:szCs w:val="17"/>
                <w:color w:val="auto"/>
              </w:rPr>
              <w:t>Cash paid for interest, net of amounts capitalized</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12,282</w:t>
            </w:r>
          </w:p>
        </w:tc>
        <w:tc>
          <w:tcPr>
            <w:tcW w:w="8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taxes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 of non-cash investing and financing activity:</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Increases (decreases) in purchases of property, plant and equipment included in accounts payable and accrued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(24,661)</w:t>
            </w:r>
          </w:p>
        </w:tc>
      </w:tr>
      <w:tr>
        <w:trPr>
          <w:trHeight w:val="216"/>
        </w:trPr>
        <w:tc>
          <w:tcPr>
            <w:tcW w:w="8480" w:type="dxa"/>
            <w:vAlign w:val="bottom"/>
          </w:tcPr>
          <w:p>
            <w:pPr>
              <w:ind w:left="20"/>
              <w:spacing w:after="0"/>
              <w:rPr>
                <w:sz w:val="20"/>
                <w:szCs w:val="20"/>
                <w:color w:val="auto"/>
              </w:rPr>
            </w:pPr>
            <w:r>
              <w:rPr>
                <w:rFonts w:ascii="Arial" w:cs="Arial" w:eastAsia="Arial" w:hAnsi="Arial"/>
                <w:sz w:val="17"/>
                <w:szCs w:val="17"/>
                <w:color w:val="auto"/>
              </w:rPr>
              <w:t>Property, plant and equipment and right-of-use assets obtained through leases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4,437</w:t>
            </w: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Issuance of Series D convertible preferred stock upon exercise of preferred stock warrants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9,936</w:t>
            </w:r>
          </w:p>
        </w:tc>
      </w:tr>
      <w:tr>
        <w:trPr>
          <w:trHeight w:val="216"/>
        </w:trPr>
        <w:tc>
          <w:tcPr>
            <w:tcW w:w="8480" w:type="dxa"/>
            <w:vAlign w:val="bottom"/>
          </w:tcPr>
          <w:p>
            <w:pPr>
              <w:ind w:left="20"/>
              <w:spacing w:after="0"/>
              <w:rPr>
                <w:sz w:val="20"/>
                <w:szCs w:val="20"/>
                <w:color w:val="auto"/>
              </w:rPr>
            </w:pPr>
            <w:r>
              <w:rPr>
                <w:rFonts w:ascii="Arial" w:cs="Arial" w:eastAsia="Arial" w:hAnsi="Arial"/>
                <w:sz w:val="17"/>
                <w:szCs w:val="17"/>
                <w:color w:val="auto"/>
              </w:rPr>
              <w:t>Issuance of Series E convertible preferred stock contingent forward contracts</w:t>
            </w: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2,167,332</w:t>
            </w: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contribution upon forfeit of Series E awards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15,719</w:t>
            </w:r>
          </w:p>
        </w:tc>
      </w:tr>
      <w:tr>
        <w:trPr>
          <w:trHeight w:val="216"/>
        </w:trPr>
        <w:tc>
          <w:tcPr>
            <w:tcW w:w="8480" w:type="dxa"/>
            <w:vAlign w:val="bottom"/>
          </w:tcPr>
          <w:p>
            <w:pPr>
              <w:ind w:left="20"/>
              <w:spacing w:after="0"/>
              <w:rPr>
                <w:sz w:val="20"/>
                <w:szCs w:val="20"/>
                <w:color w:val="auto"/>
              </w:rPr>
            </w:pPr>
            <w:r>
              <w:rPr>
                <w:rFonts w:ascii="Arial" w:cs="Arial" w:eastAsia="Arial" w:hAnsi="Arial"/>
                <w:sz w:val="17"/>
                <w:szCs w:val="17"/>
                <w:color w:val="auto"/>
              </w:rPr>
              <w:t>Issuance of Series E convertible preferred stock upon settlement of contingent forward contracts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(2,621,878)</w:t>
            </w: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leases retired upon adoption of new lease accounting standard</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3,257</w:t>
            </w: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Lucid Group, Inc. (“Lucid”) is a technology and automotive company focused on designing, developing, manufacturing, and selling the next generation of EV, EV powertrains and battery systems.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 See Note 3 “Reverse Recapitalization” for more information.</w:t>
      </w:r>
    </w:p>
    <w:p>
      <w:pPr>
        <w:spacing w:after="0" w:line="192"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Throughout the notes to the condensed consolidated financial statements, unless otherwise noted, the “Company,” “we,” “us” or “our” and similar terms refer to Legacy Lucid and its subsidiaries prior to the consummation of the Merger, and Lucid and its subsidiaries after the consummation of the Merger.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devotes its efforts to business planning, research and development, recruiting of management and technical staff, acquiring operating assets, and raising capital.</w:t>
      </w:r>
    </w:p>
    <w:p>
      <w:pPr>
        <w:spacing w:after="0" w:line="17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From inception through June 30, 2022, the Company has incurred operating losses and negative cash flows from operating activities. For the six months ended June 30, 2022 and 2021, the Company has incurred operating losses, including net losses of $301.7 million and $1,009.7 million, respectively. The Company has an accumulated deficit of $6.4 billion as of June 30, 2022.</w:t>
      </w:r>
    </w:p>
    <w:p>
      <w:pPr>
        <w:spacing w:after="0" w:line="1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quarter ended June 30, 2021, the Company completed the first phase of the construction of its newly built manufacturing plant in Casa Grande, Arizona (the “Arizona plant”). The Company began commercial production of its first vehicle, the Lucid Air, in September 2021 and delivered its first vehicles in late October 2021. The Company continues to expand the Arizona plant, start the construction of a manufacturing facility in the Kingdom of Saudi Arabia (the “KSA Facility”), and build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are not identified and confirmed.</w:t>
      </w:r>
    </w:p>
    <w:p>
      <w:pPr>
        <w:spacing w:after="0" w:line="19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Company’s existing sources of liquidity include cash, cash equivalents and investments. Historically, the Company funded operations primarily with issuances of convertible preferred stock and convertible notes. Upon the completion of the Merger, the Company received $4,400.3 million in cash proceeds, net of transaction costs. In December 2021, the Company issued an aggregate of $2,012.5 million principal amount of 1.25% convertible senior notes due in December 2026. In addition, during the six months ended June 30, 2022, the Company entered into a loan agreement with the Saudi Industrial Development Fund (“SIDF”) with an aggregate principal amount of up to approximately $1.4 billion, revolving credit facilities with Gulf International Bank (“GIB”) in an aggregate principal amount of approximately $266.5 million and a new five-year senior secured asset-based revolving credit facility (“ABL Credit Facility”) with an initial aggregate principal commitment amount of up to $1.0 billion, See Note 6 “Long-term Debt”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production and manufacturing ramps at existing manufacturing facilities in Casa Grande, Arizona, (iv) Phase 2 of construction at Advanced Manufacturing Plant 1 (“AMP-1”) in Casa Grande, Arizona, (v) the start of construction of a manufacturing facility in the Kingdom of Saudi Arabia, and</w:t>
      </w:r>
    </w:p>
    <w:p>
      <w:pPr>
        <w:spacing w:after="0" w:line="1" w:lineRule="exact"/>
        <w:rPr>
          <w:sz w:val="20"/>
          <w:szCs w:val="20"/>
          <w:color w:val="auto"/>
        </w:rPr>
      </w:pPr>
    </w:p>
    <w:p>
      <w:pPr>
        <w:ind w:right="80" w:firstLine="8"/>
        <w:spacing w:after="0" w:line="253" w:lineRule="auto"/>
        <w:tabs>
          <w:tab w:leader="none" w:pos="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retail studios and service centers capabilities throughout North America and across the globe.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our ability to access potential markets, and secure long-term financing.</w:t>
      </w:r>
    </w:p>
    <w:p>
      <w:pPr>
        <w:sectPr>
          <w:pgSz w:w="11900" w:h="16838" w:orient="portrait"/>
          <w:cols w:equalWidth="0" w:num="1">
            <w:col w:w="11240"/>
          </w:cols>
          <w:pgMar w:left="320" w:top="769" w:right="3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 w:name="page14"/>
    <w:bookmarkEnd w:id="13"/>
    <w:p>
      <w:pPr>
        <w:ind w:right="180"/>
        <w:spacing w:after="0" w:line="301" w:lineRule="auto"/>
        <w:rPr>
          <w:sz w:val="20"/>
          <w:szCs w:val="20"/>
          <w:color w:val="auto"/>
        </w:rPr>
      </w:pPr>
      <w:r>
        <w:rPr>
          <w:rFonts w:ascii="Arial" w:cs="Arial" w:eastAsia="Arial" w:hAnsi="Arial"/>
          <w:sz w:val="16"/>
          <w:szCs w:val="16"/>
          <w:color w:val="auto"/>
        </w:rPr>
        <w:t>The Company participates in a dynamic high-technology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COVID-19 pandemic continues to impact the global economy and cause significant macroeconomic uncertainty. Infection rates vary across the jurisdictions in which the Company operates. Governmental authorities have continued to implement numerous and constantly evolving measures to attempt to contain the virus, such as travel bans and restrictions, masking recommendations and mandates, vaccine recommendations and mandates, limits on gatherings, quarantines, shelter-in-place orders and business shutdowns. The Company has taken proactive action to protect the health and safety of its employees, customers, partners and suppliers, consistent with the latest and evolving governmental guidelines. Until the COVID-19 pandemic is adequately contained, the Company expects to continue to implement appropriate measures. The Company continues to monitor the rapidly evolving situation and guidance from international and domestic authorities, including federal, state and local public health authorities, and may take additional actions based on their recommendations and requirements or as the Company otherwise sees fit to protect the health and safety of its employees, customers, partners and suppliers.</w:t>
      </w:r>
    </w:p>
    <w:p>
      <w:pPr>
        <w:spacing w:after="0" w:line="19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While certain of the Company and its suppliers’ operations have from time-to-time been temporarily affected by government-mandated restrictions, the Company was able to commence deliveries of the Lucid Air to customers and to proceed with the construction of the Arizona plant. Broader impacts of the pandemic have included inflationary pressure as well as ongoing, industry-wide challenges in logistics and supply chains, such as increased port congestion, intermittent supplier delays and a shortfall of semiconductor supply. Because the Company relies on third party suppliers for the development, manufacture, and/or provision and development of many of the key components and materials used in its vehicles, as well as provisioning and servicing equipment in its manufacturing facilities, the Company has been affected by inflation and such industry-wide challenges in logistics and supply chains. While the Company continues to focus on mitigating risks to its operations and supply chain in the current industry environment, the Company expects that these industry-wide trends will continue to impact its cost structure as well as its ability and the ability of its suppliers to obtain parts, components and manufacturing equipment on a timely basis for the foreseeable future.</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current circumstances, given the dynamic nature of the situation, any impact on the Company’s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the Company’s suppliers and on global logistics. See “Risk Factors” in Part II, Item 1A of this Quarterly Report on Form 10-Q (the “Quarterly Report”) for additional information regarding risks associated with the COVID-19 pandemic, including under the caption “The ongoing COVID-19 pandemic has adversely affected, and we cannot predict its ultimate impact on,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28, 2022.</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June 30, 2022 and the results of operations for the three and six months ended June 30, 2022 and 2021. The results of operations for the three and six months ended June 30, 2022 are not necessarily indicative of the results to be expected for the full year ending December 31, 2022 or any other future interim or annual period.</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the determination of the useful lives of property and equipment, fair value of preferred stock warrants, fair value of common stock warrants, fair value of contingent forward contracts liability, valuation of deferred income tax assets and uncertain tax positions, fair value of common stock and other assumptions used to measure stock-based compensation expense, and estimated incremental borrowing rates for assessing operating and financing lease liabilities.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 liquid investments with an original maturity at the date of purchase of three months or less to be cash equivalents.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Restricted cash in other current assets and noncurrent assets is primarily related to letters of credit issued to the landlords for certain of the Company’s leasehold facilities.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amounts shown in the statements of cash flows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5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6,262,905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614,412</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11,278</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14,728</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3,192,411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6,298,020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592,205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640,418</w:t>
            </w: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investments. The Company places its cash primarily with domestic financial institutions that are federally insured within statutory limits, but at times its deposits may exceed federally insured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Supply Risk</w:t>
      </w:r>
    </w:p>
    <w:p>
      <w:pPr>
        <w:spacing w:after="0" w:line="229"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The Company is dependent on its suppliers, the majority of which are single-source suppliers, and the inability of these suppliers to deliver necessary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The Company’s significant accounting policies are discussed in Note 2 of the notes to the consolidated financial statements included in the Company’s Form 10-K filed with the SEC on February 28, 2022. Except for the policy described below, there have been no significant changes to the Company’s accounting policies during the three and six months ended June 30,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Company’s investments in marketable debt securities have been classified and accounted for as available-for-sale and they are stated at fair value. The Company classifies its investments as either short-term or long-term based on each instrument’s underlying contractual maturity date. Unrealized gains and losses on our investments of available-for-sale securities are recorded in accumulated other comprehensive loss which is included within stockholders’ equity. Interest, dividends, amortization and accretion of purchase premiums and discounts on our investments of available-for-sale securities are included in other income (expense), net. The cost of securities sold is determined using the specific identification method. Realized gains and losses on the sale of available-for-sale securities are recorded in other income (expense), net.</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November 2021, the Financial Accounting Standards Board (“FASB”) issued ASU No. 2021-10, Government Assistance (Topic 832): Disclosures by Business Entities about Government Assistance, which requires annual disclosures about transactions with a government that are accounted for by applying a grant or contribution accounting model by analogy. The disclosure requirements include information about the nature of the transactions and the related accounting policy, the line items on the balance sheet and income statement that are affected by the transactions, the amount applicable to each financial statement line and significant terms and conditions of the transactions. The guidance is effective for annual periods beginning after December 15, 2021 and can be applied either prospectively or retrospectively. The Company adopted ASU 2021-10 prospectively on January 1, 2022. The adoption of this ASU did not have an impact to the condensed consolidated financial statements and related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REVERSE RECAPITALIZATION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July 23, 2021, upon the consummation of the Merger,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 of Lucid common stock at a deemed value of $10.00 per share after giving effect to the Exchange Ratio, based on the following events contemplated by the Merger Agreement:</w:t>
      </w:r>
    </w:p>
    <w:p>
      <w:pPr>
        <w:spacing w:after="0" w:line="68" w:lineRule="exact"/>
        <w:rPr>
          <w:sz w:val="20"/>
          <w:szCs w:val="20"/>
          <w:color w:val="auto"/>
        </w:rPr>
      </w:pPr>
    </w:p>
    <w:p>
      <w:pPr>
        <w:ind w:left="660" w:right="1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cancellation and conversion of all 437,182,072 issued and outstanding shares of Legacy Lucid preferred stock into 437,182,072 shares of Legacy Lucid common stock at the conversion rate as calculated pursuant to Legacy Lucid’s memorandum and articles of association at the date and time that the Merger became effective;</w:t>
      </w:r>
    </w:p>
    <w:p>
      <w:pPr>
        <w:spacing w:after="0" w:line="75"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surrender and exchange of all 451,295,965 issued and outstanding shares of Legacy Lucid common stock (including Legacy Lucid common stock resulting from the conversion of the Legacy Lucid preferred stock) into 1,193,226,511 shares of Lucid common stock as adjusted by the Exchange Ratio;</w:t>
      </w:r>
    </w:p>
    <w:p>
      <w:pPr>
        <w:spacing w:after="0" w:line="75"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cancellation and exchange of all 25,764,610 granted and outstanding vested and unvested Legacy Lucid options, which became 68,121,210 Lucid options exercisable for shares of Lucid common stock with the same terms and vesting conditions except for the number of shares exercisable and the exercise price, each of which was adjusted by the Exchange Ratio; and</w:t>
      </w:r>
    </w:p>
    <w:p>
      <w:pPr>
        <w:spacing w:after="0" w:line="75"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cancellation and exchange of all 16,418,321 granted and outstanding vested and unvested Legacy Lucid RSUs, which became 43,409,870 Lucid RSUs for shares of Lucid common stock with the same terms and vesting conditions except for the number of shares, which was adjusted by the Exchange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other related events that occurred in connection with the Closing are summarized below:</w:t>
      </w:r>
    </w:p>
    <w:p>
      <w:pPr>
        <w:spacing w:after="0" w:line="117" w:lineRule="exact"/>
        <w:rPr>
          <w:sz w:val="20"/>
          <w:szCs w:val="20"/>
          <w:color w:val="auto"/>
        </w:rPr>
      </w:pPr>
    </w:p>
    <w:p>
      <w:pPr>
        <w:ind w:left="660" w:right="14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Churchill entered into separate private placement subscription agreements (the “PIPE Investment”) contemporaneously with the execution of the Merger Agreement pursuant to which Churchill agreed to sell and issue an aggregate of 166,666,667 shares of common stock at a purchase price of $15.00 per share for an aggregate purchase price of $2,500.0 million. The PIPE Investment closed simultaneously with the Closing of the Merger;</w:t>
      </w:r>
    </w:p>
    <w:p>
      <w:pPr>
        <w:spacing w:after="0" w:line="78" w:lineRule="exact"/>
        <w:rPr>
          <w:rFonts w:ascii="Arial" w:cs="Arial" w:eastAsia="Arial" w:hAnsi="Arial"/>
          <w:sz w:val="18"/>
          <w:szCs w:val="18"/>
          <w:color w:val="auto"/>
        </w:rPr>
      </w:pPr>
    </w:p>
    <w:p>
      <w:pPr>
        <w:jc w:val="both"/>
        <w:ind w:left="660" w:right="18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Churchill Sponsor IV LLC (the “Churchill Sponsor”) exercised its right to convert the outstanding and unpaid amount of $1.5 million under the working capital loan provided by the Churchill Sponsor to Churchill into an additional 1,500,000 Private Placement Warrants at a price of $1.00 per warrant in satisfaction of such loan;</w:t>
      </w:r>
    </w:p>
    <w:p>
      <w:pPr>
        <w:spacing w:after="0" w:line="75" w:lineRule="exact"/>
        <w:rPr>
          <w:rFonts w:ascii="Arial" w:cs="Arial" w:eastAsia="Arial" w:hAnsi="Arial"/>
          <w:sz w:val="18"/>
          <w:szCs w:val="18"/>
          <w:color w:val="auto"/>
        </w:rPr>
      </w:pPr>
    </w:p>
    <w:p>
      <w:pPr>
        <w:ind w:left="660" w:right="20" w:hanging="328"/>
        <w:spacing w:after="0" w:line="272"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Churchill and the Churchill Sponsor entered into a letter agreement (the “Sponsor Agreement”), pursuant to which the Churchill Sponsor agreed that 17,250,000 shares of Churchill’s issued and outstanding common stock beneficially held by the Churchill Sponsor (the “Sponsor Earnback Shares”) and 14,783,333 Private Placement Warrants beneficially held by the Churchill Sponsor (the “Sponsor Earnback Warrants”) to purchase shares of the Churchill’s common stock shall become subject to transfer restrictions and contingent forfeiture provisions upon the Closing of the Merger until Lucid’s stock price exceeded certain predetermined levels in the post-Merger period. Any such shares and warrants not released from these transfer restrictions during the earnback period, which expires on the fifth anniversary of the Closing, will be forfeited back to Lucid for no consideration. See Note 12 “Earnback Shares and Warrants” for more information; and</w:t>
      </w:r>
    </w:p>
    <w:p>
      <w:pPr>
        <w:spacing w:after="0" w:line="69" w:lineRule="exact"/>
        <w:rPr>
          <w:rFonts w:ascii="Arial" w:cs="Arial" w:eastAsia="Arial" w:hAnsi="Arial"/>
          <w:sz w:val="17"/>
          <w:szCs w:val="17"/>
          <w:color w:val="auto"/>
        </w:rPr>
      </w:pPr>
    </w:p>
    <w:p>
      <w:pPr>
        <w:ind w:left="660" w:right="3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Churchill redeemed 21,644 public shares of Churchill’s Class A common stock at approximately $10.00 per share for an aggregate payment of $0.2 million.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After giving effect to the Merger and the redemption of Churchill shares as described above, the number of shares of common stock issued and outstanding immediately following the consummation of the Merger was as follows: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Churchill public shares, prior to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redemption of Churchill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Churchill public shares, net of redemptions</w:t>
      </w:r>
    </w:p>
    <w:p>
      <w:pPr>
        <w:ind w:left="20"/>
        <w:spacing w:after="0" w:line="232" w:lineRule="auto"/>
        <w:rPr>
          <w:sz w:val="20"/>
          <w:szCs w:val="20"/>
          <w:color w:val="auto"/>
        </w:rPr>
      </w:pPr>
      <w:r>
        <w:rPr>
          <w:rFonts w:ascii="Arial" w:cs="Arial" w:eastAsia="Arial" w:hAnsi="Arial"/>
          <w:sz w:val="18"/>
          <w:szCs w:val="18"/>
          <w:color w:val="auto"/>
        </w:rPr>
        <w:t>Churchill Sponsor shares</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31" w:lineRule="auto"/>
        <w:rPr>
          <w:sz w:val="20"/>
          <w:szCs w:val="20"/>
          <w:color w:val="auto"/>
        </w:rPr>
      </w:pPr>
      <w:r>
        <w:rPr>
          <w:rFonts w:ascii="Arial" w:cs="Arial" w:eastAsia="Arial" w:hAnsi="Arial"/>
          <w:sz w:val="18"/>
          <w:szCs w:val="18"/>
          <w:color w:val="auto"/>
        </w:rPr>
        <w:t>PIPE shares</w:t>
      </w:r>
      <w:r>
        <w:rPr>
          <w:rFonts w:ascii="Arial" w:cs="Arial" w:eastAsia="Arial" w:hAnsi="Arial"/>
          <w:sz w:val="23"/>
          <w:szCs w:val="23"/>
          <w:color w:val="auto"/>
          <w:vertAlign w:val="superscript"/>
        </w:rPr>
        <w:t>(2)</w:t>
      </w:r>
    </w:p>
    <w:p>
      <w:pPr>
        <w:spacing w:after="0" w:line="1" w:lineRule="exact"/>
        <w:rPr>
          <w:sz w:val="20"/>
          <w:szCs w:val="20"/>
          <w:color w:val="auto"/>
        </w:rPr>
      </w:pPr>
    </w:p>
    <w:p>
      <w:pPr>
        <w:ind w:left="20" w:right="3260"/>
        <w:spacing w:after="0" w:line="274" w:lineRule="auto"/>
        <w:rPr>
          <w:sz w:val="20"/>
          <w:szCs w:val="20"/>
          <w:color w:val="auto"/>
        </w:rPr>
      </w:pPr>
      <w:r>
        <w:rPr>
          <w:rFonts w:ascii="Arial" w:cs="Arial" w:eastAsia="Arial" w:hAnsi="Arial"/>
          <w:sz w:val="18"/>
          <w:szCs w:val="18"/>
          <w:color w:val="auto"/>
        </w:rPr>
        <w:t>Total shares of Churchill common stock outstanding immediately prior to the Merger Legacy Lucid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shares of Lucid common stock outstanding immediately after the Merger</w:t>
      </w:r>
      <w:r>
        <w:rPr>
          <w:rFonts w:ascii="Arial" w:cs="Arial" w:eastAsia="Arial" w:hAnsi="Arial"/>
          <w:sz w:val="23"/>
          <w:szCs w:val="23"/>
          <w:color w:val="auto"/>
          <w:vertAlign w:val="superscript"/>
        </w:rPr>
        <w:t>(3)(4)</w:t>
      </w:r>
    </w:p>
    <w:p>
      <w:pPr>
        <w:spacing w:after="0" w:line="180"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The 51,750,000 shares beneficially owned by the Churchill Sponsor as of the Closing of the Merger includes the 17,250,000 Sponsor Earnback Shares.</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Reflects the sale and issuance of 166,666,667 shares of common stock to the PIPE Investors at $15.00 per share.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Shares</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207,000,000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(21,644)</w:t>
      </w:r>
    </w:p>
    <w:p>
      <w:pPr>
        <w:spacing w:after="0" w:line="3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206,978,356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51,750,000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166,666,667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14605</wp:posOffset>
            </wp:positionV>
            <wp:extent cx="9944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425,395,023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1,193,226,511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29210</wp:posOffset>
            </wp:positionV>
            <wp:extent cx="9944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1,618,621,534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29210</wp:posOffset>
            </wp:positionV>
            <wp:extent cx="9944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-295275</wp:posOffset>
            </wp:positionH>
            <wp:positionV relativeFrom="paragraph">
              <wp:posOffset>55245</wp:posOffset>
            </wp:positionV>
            <wp:extent cx="9944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811" w:lineRule="exact"/>
        <w:rPr>
          <w:sz w:val="20"/>
          <w:szCs w:val="20"/>
          <w:color w:val="auto"/>
        </w:rPr>
      </w:pPr>
    </w:p>
    <w:p>
      <w:pPr>
        <w:sectPr>
          <w:pgSz w:w="11900" w:h="16838" w:orient="portrait"/>
          <w:cols w:equalWidth="0" w:num="2">
            <w:col w:w="9420" w:space="720"/>
            <w:col w:w="1100"/>
          </w:cols>
          <w:pgMar w:left="320" w:top="989" w:right="339" w:bottom="1440" w:gutter="0" w:footer="0" w:header="0"/>
          <w:type w:val="continuous"/>
        </w:sectPr>
      </w:pPr>
    </w:p>
    <w:p>
      <w:pPr>
        <w:ind w:left="160" w:hanging="152"/>
        <w:spacing w:after="0"/>
        <w:tabs>
          <w:tab w:leader="none" w:pos="16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Excludes 111,531,080 shares of common stock as of the Closing of the Merger to be reserved for potential future issuance upon the exercise of Lucid options or settlement of Lucid RSUs.</w:t>
      </w:r>
    </w:p>
    <w:p>
      <w:pPr>
        <w:spacing w:after="0" w:line="87" w:lineRule="exact"/>
        <w:rPr>
          <w:rFonts w:ascii="Arial" w:cs="Arial" w:eastAsia="Arial" w:hAnsi="Arial"/>
          <w:sz w:val="17"/>
          <w:szCs w:val="17"/>
          <w:color w:val="auto"/>
          <w:vertAlign w:val="superscript"/>
        </w:rPr>
      </w:pPr>
    </w:p>
    <w:p>
      <w:pPr>
        <w:ind w:right="140" w:firstLine="8"/>
        <w:spacing w:after="0" w:line="266" w:lineRule="auto"/>
        <w:tabs>
          <w:tab w:leader="none" w:pos="145"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Excludes the 85,750,000 warrants issued and outstanding as of the Closing of the Merger, which includes the 41,400,000 public warrants and the 44,350,000 Private Placement Warrants held by the Churchill Sponsor. The 44,350,000 Private Placement Warrants beneficially owned by the Churchill Sponsor as of the consummation of the Merger includes the 14,783,333 Sponsor Earnback Warrants.</w:t>
      </w:r>
    </w:p>
    <w:p>
      <w:pPr>
        <w:spacing w:after="0" w:line="35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periods prior to the Merger have been retrospectively adjusted using the Exchange Ratio for the equivalent number of shares outstanding immediately after the Closing to effect the reverse recapitalization.</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Closing of the Merger, the Company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The Company additionally incurred $38.9 million of transaction costs, consisting of banking, legal, and other professional fees, of which $36.2 million was recorded as a reduction to additional paid-in capital of proceeds and the remaining $2.7 million was expensed in July 2021. The total net cash proceeds to the Company were $4,400.3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SHEETS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as of June 30, 2022 and December 31, 2021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87,646</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103,721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30,641</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553,045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127,250</w:t>
            </w:r>
          </w:p>
        </w:tc>
      </w:tr>
      <w:tr>
        <w:trPr>
          <w:trHeight w:val="21"/>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Inventory as of June 30, 2022 and December 31, 2021 was comprised of raw materials, work in progress related to the production of vehicles for sale and finished goods inventory including vehicles in transit to fulfill customer orders and new vehicles available for sale. We write down inventory for any excess or obsolete inventories or when we believe that the net realizable value of inventories is less than the carrying value.</w:t>
      </w:r>
    </w:p>
    <w:p>
      <w:pPr>
        <w:sectPr>
          <w:pgSz w:w="11900" w:h="16838" w:orient="portrait"/>
          <w:cols w:equalWidth="0" w:num="1">
            <w:col w:w="11240"/>
          </w:cols>
          <w:pgMar w:left="320" w:top="989" w:right="339" w:bottom="1440" w:gutter="0" w:footer="0" w:header="0"/>
          <w:type w:val="continuous"/>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7" w:name="page18"/>
    <w:bookmarkEnd w:id="17"/>
    <w:p>
      <w:pPr>
        <w:ind w:right="160"/>
        <w:spacing w:after="0" w:line="277" w:lineRule="auto"/>
        <w:rPr>
          <w:sz w:val="20"/>
          <w:szCs w:val="20"/>
          <w:color w:val="auto"/>
        </w:rPr>
      </w:pPr>
      <w:r>
        <w:rPr>
          <w:rFonts w:ascii="Arial" w:cs="Arial" w:eastAsia="Arial" w:hAnsi="Arial"/>
          <w:sz w:val="18"/>
          <w:szCs w:val="18"/>
          <w:color w:val="auto"/>
        </w:rPr>
        <w:t>During the three and six months ended June 30, 2022, we recorded write-downs of $81.7 million and $178.1 million, respectively, in cost of revenues. No write-downs were recorded during the three and six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as of June 30, 2022 and December 31, 2021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197,252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195,952</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Tooling and Vehicles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601,791</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27,968</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135,533</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15,352</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626,294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276,919</w:t>
            </w:r>
          </w:p>
        </w:tc>
      </w:tr>
      <w:tr>
        <w:trPr>
          <w:trHeight w:val="223"/>
        </w:trPr>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property, plant and equipment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1,781,938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1,268,166</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(86,013)</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1,615,435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1,182,153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tooling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132,943</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Construction of Arizona plant and KSA Facility</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310,685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112,970</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31,006</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construction in progress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626,294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276,919</w:t>
            </w: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was $42.5 million and $80.7 million, respectively, for the three and six months ended June 30, 2022, and $6.8 million and $11.7 million, respectively, for the same periods in the prior year. The amount of interest capitalized on construction in progress related to significant capital asset construction was immaterial for the three and six months ended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as of June 30, 2022 and December 31, 2021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24"/>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design, and testing accrual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33,950</w:t>
            </w: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110,405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92,590</w:t>
            </w:r>
          </w:p>
        </w:tc>
      </w:tr>
      <w:tr>
        <w:trPr>
          <w:trHeight w:val="230"/>
        </w:trPr>
        <w:tc>
          <w:tcPr>
            <w:tcW w:w="8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Accrued purchases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Retail leasehold improvements accrual</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15,796</w:t>
            </w: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professional services accrual</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w:t>
            </w: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Tooling liability</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23,966</w:t>
            </w: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insurance financing note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15,281</w:t>
            </w: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11,056</w:t>
            </w: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99,404</w:t>
            </w: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Total other current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318,212</w:t>
            </w:r>
          </w:p>
        </w:tc>
      </w:tr>
      <w:tr>
        <w:trPr>
          <w:trHeight w:val="21"/>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Accrued purchases primarily reflect inventory purchases and related transportation charges that had not been invoiced.</w:t>
      </w:r>
    </w:p>
    <w:p>
      <w:pPr>
        <w:sectPr>
          <w:pgSz w:w="11900" w:h="16838" w:orient="portrait"/>
          <w:cols w:equalWidth="0" w:num="1">
            <w:col w:w="11240"/>
          </w:cols>
          <w:pgMar w:left="320" w:top="989" w:right="33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as of June 30, 2022 and December 31, 2021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2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185,323</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188,575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 AND FINANCIAL INSTRUMENTS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9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(unadjusted) in active markets for identical assets or liabilities.</w:t>
      </w:r>
    </w:p>
    <w:p>
      <w:pPr>
        <w:spacing w:after="0" w:line="225"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—Inputs that are generally unobservable and typically reflect management’s estimates of assumptions that market participants would use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4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Cash, cash equivalents and investments are reported at their respective fair values on the Company's condensed consolidated balance sheets. The Company's short-term and long-term investments are classified as available-for-sale.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the Company’s financial assets subject to fair value measurements on a recurring basis by level within the fair value hierarchy as of June 30, 2022 and December 31, 2021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June 30, 2022</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Reported As: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95"/>
              </w:rPr>
              <w:t>Gross</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Estimated Fair</w:t>
            </w:r>
          </w:p>
        </w:tc>
        <w:tc>
          <w:tcPr>
            <w:tcW w:w="10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Cash and cash</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Short-Term</w:t>
            </w:r>
          </w:p>
        </w:tc>
        <w:tc>
          <w:tcPr>
            <w:tcW w:w="100" w:type="dxa"/>
            <w:vAlign w:val="bottom"/>
          </w:tcPr>
          <w:p>
            <w:pPr>
              <w:spacing w:after="0"/>
              <w:rPr>
                <w:sz w:val="10"/>
                <w:szCs w:val="10"/>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060" w:type="dxa"/>
            <w:vAlign w:val="bottom"/>
            <w:gridSpan w:val="3"/>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equivalents</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Investments</w:t>
            </w:r>
          </w:p>
        </w:tc>
        <w:tc>
          <w:tcPr>
            <w:tcW w:w="100" w:type="dxa"/>
            <w:vAlign w:val="bottom"/>
          </w:tcPr>
          <w:p>
            <w:pPr>
              <w:spacing w:after="0"/>
              <w:rPr>
                <w:sz w:val="16"/>
                <w:szCs w:val="16"/>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2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2,710,148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2,710,148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2,710,148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945,082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944,724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684,916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194,806</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3,655,230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3,654,872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2,775,150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194,806</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221,573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221,543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200,544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194,712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194,569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110,283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83,249</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737,648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737,315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451,717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83,249</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4,572,828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4,572,137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3,157,449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1,136,633</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278,055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Money market funds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assets measured at fair value</w:t>
      </w:r>
    </w:p>
    <w:p>
      <w:pPr>
        <w:spacing w:after="0" w:line="20" w:lineRule="exact"/>
        <w:rPr>
          <w:sz w:val="20"/>
          <w:szCs w:val="20"/>
          <w:color w:val="auto"/>
        </w:rPr>
      </w:pPr>
      <w:r>
        <w:rPr>
          <w:sz w:val="20"/>
          <w:szCs w:val="20"/>
          <w:color w:val="auto"/>
        </w:rPr>
        <w:br w:type="column"/>
      </w:r>
    </w:p>
    <w:p>
      <w:pPr>
        <w:jc w:val="center"/>
        <w:ind w:right="33"/>
        <w:spacing w:after="0"/>
        <w:rPr>
          <w:sz w:val="20"/>
          <w:szCs w:val="20"/>
          <w:color w:val="auto"/>
        </w:rPr>
      </w:pP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2858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2" w:lineRule="exact"/>
        <w:rPr>
          <w:sz w:val="20"/>
          <w:szCs w:val="20"/>
          <w:color w:val="auto"/>
        </w:rPr>
      </w:pPr>
    </w:p>
    <w:p>
      <w:pPr>
        <w:jc w:val="center"/>
        <w:ind w:right="33"/>
        <w:spacing w:after="0"/>
        <w:rPr>
          <w:sz w:val="20"/>
          <w:szCs w:val="20"/>
          <w:color w:val="auto"/>
        </w:rPr>
      </w:pPr>
      <w:r>
        <w:rPr>
          <w:rFonts w:ascii="Arial" w:cs="Arial" w:eastAsia="Arial" w:hAnsi="Arial"/>
          <w:sz w:val="14"/>
          <w:szCs w:val="14"/>
          <w:b w:val="1"/>
          <w:bCs w:val="1"/>
          <w:color w:val="auto"/>
        </w:rPr>
        <w:t>Reported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2858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2" w:lineRule="exact"/>
        <w:rPr>
          <w:sz w:val="20"/>
          <w:szCs w:val="20"/>
          <w:color w:val="auto"/>
        </w:rPr>
      </w:pPr>
    </w:p>
    <w:p>
      <w:pPr>
        <w:ind w:left="187"/>
        <w:spacing w:after="0"/>
        <w:rPr>
          <w:sz w:val="20"/>
          <w:szCs w:val="20"/>
          <w:color w:val="auto"/>
        </w:rPr>
      </w:pPr>
      <w:r>
        <w:rPr>
          <w:rFonts w:ascii="Arial" w:cs="Arial" w:eastAsia="Arial" w:hAnsi="Arial"/>
          <w:sz w:val="13"/>
          <w:szCs w:val="13"/>
          <w:b w:val="1"/>
          <w:bCs w:val="1"/>
          <w:color w:val="auto"/>
        </w:rPr>
        <w:t>Cash and cash equivalents</w:t>
      </w:r>
    </w:p>
    <w:p>
      <w:pPr>
        <w:spacing w:after="0" w:line="61" w:lineRule="exact"/>
        <w:rPr>
          <w:sz w:val="20"/>
          <w:szCs w:val="20"/>
          <w:color w:val="auto"/>
        </w:rPr>
      </w:pPr>
    </w:p>
    <w:p>
      <w:pPr>
        <w:ind w:left="7"/>
        <w:spacing w:after="0"/>
        <w:tabs>
          <w:tab w:leader="none" w:pos="1327"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160,888</w:t>
      </w:r>
    </w:p>
    <w:p>
      <w:pPr>
        <w:spacing w:after="0" w:line="275" w:lineRule="exact"/>
        <w:rPr>
          <w:sz w:val="20"/>
          <w:szCs w:val="20"/>
          <w:color w:val="auto"/>
        </w:rPr>
      </w:pPr>
    </w:p>
    <w:p>
      <w:pPr>
        <w:ind w:left="1207"/>
        <w:spacing w:after="0"/>
        <w:rPr>
          <w:sz w:val="20"/>
          <w:szCs w:val="20"/>
          <w:color w:val="auto"/>
        </w:rPr>
      </w:pPr>
      <w:r>
        <w:rPr>
          <w:rFonts w:ascii="Arial" w:cs="Arial" w:eastAsia="Arial" w:hAnsi="Arial"/>
          <w:sz w:val="16"/>
          <w:szCs w:val="16"/>
          <w:color w:val="auto"/>
        </w:rPr>
        <w:t>6,102,017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2858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9" w:lineRule="exact"/>
        <w:rPr>
          <w:sz w:val="20"/>
          <w:szCs w:val="20"/>
          <w:color w:val="auto"/>
        </w:rPr>
      </w:pPr>
    </w:p>
    <w:p>
      <w:pPr>
        <w:ind w:left="1207" w:hanging="1207"/>
        <w:spacing w:after="0"/>
        <w:tabs>
          <w:tab w:leader="none" w:pos="1207" w:val="left"/>
        </w:tabs>
        <w:numPr>
          <w:ilvl w:val="0"/>
          <w:numId w:val="13"/>
        </w:numPr>
        <w:rPr>
          <w:rFonts w:ascii="Arial" w:cs="Arial" w:eastAsia="Arial" w:hAnsi="Arial"/>
          <w:sz w:val="16"/>
          <w:szCs w:val="16"/>
          <w:color w:val="auto"/>
        </w:rPr>
      </w:pPr>
      <w:r>
        <w:rPr>
          <w:rFonts w:ascii="Arial" w:cs="Arial" w:eastAsia="Arial" w:hAnsi="Arial"/>
          <w:sz w:val="16"/>
          <w:szCs w:val="16"/>
          <w:color w:val="auto"/>
        </w:rPr>
        <w:t>6,262,905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2858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12858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513" w:space="720"/>
            <w:col w:w="2007"/>
          </w:cols>
          <w:pgMar w:left="320" w:top="1021" w:right="339" w:bottom="1440" w:gutter="0" w:footer="0" w:header="0"/>
        </w:sect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June 30, 2022, there were no realized gains or losses on the sale of available-for-sale securities. Accrued interest receivable excluded from both the fair value and amortized cost basis of the available-for-sale securities was $4.2 million as of June 30, 2022, and is recorded in Other current assets on our condensed consolidated balance sheets. As of June 30, 2022, no allowance for credit losses was recorded related to an impairment of available-for-sale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available-for-sale securities by contractual maturity: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135"/>
        </w:trPr>
        <w:tc>
          <w:tcPr>
            <w:tcW w:w="918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9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88"/>
        </w:trPr>
        <w:tc>
          <w:tcPr>
            <w:tcW w:w="91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9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1,137,726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1,136,633</w:t>
            </w:r>
          </w:p>
        </w:tc>
        <w:tc>
          <w:tcPr>
            <w:tcW w:w="0" w:type="dxa"/>
            <w:vAlign w:val="bottom"/>
          </w:tcPr>
          <w:p>
            <w:pPr>
              <w:spacing w:after="0"/>
              <w:rPr>
                <w:sz w:val="1"/>
                <w:szCs w:val="1"/>
                <w:color w:val="auto"/>
              </w:rPr>
            </w:pPr>
          </w:p>
        </w:tc>
      </w:tr>
      <w:tr>
        <w:trPr>
          <w:trHeight w:val="229"/>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one year through three years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277,646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278,055</w:t>
            </w:r>
          </w:p>
        </w:tc>
        <w:tc>
          <w:tcPr>
            <w:tcW w:w="0" w:type="dxa"/>
            <w:vAlign w:val="bottom"/>
          </w:tcPr>
          <w:p>
            <w:pPr>
              <w:spacing w:after="0"/>
              <w:rPr>
                <w:sz w:val="1"/>
                <w:szCs w:val="1"/>
                <w:color w:val="auto"/>
              </w:rPr>
            </w:pPr>
          </w:p>
        </w:tc>
      </w:tr>
      <w:tr>
        <w:trPr>
          <w:trHeight w:val="248"/>
        </w:trPr>
        <w:tc>
          <w:tcPr>
            <w:tcW w:w="9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1,415,372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1,414,688</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Level 3 liabilities consist of convertible preferred stock warrant liability, contingent forward contract liability and common stock warrant liability, of which the fair value was measured upon issuance and is remeasured at each reporting date. The valuation methodology and underlying assumptions are discussed further in Note 7 “Contingent Forward Contracts,” Note 8 “Convertible Preferred Stock Warrant Liability” and Note 9 “Common Stock Warrant Liability”. Significant increases (decreases) in the unobservable inputs used in determining the fair value would result in a significantly higher (lower) fair value measurement. The following table presents a reconciliation of the contingent forward contract liability, convertible preferred stock warrant liability and common stock warrant liability measured and recorded at fair value on a recurring basis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right"/>
              <w:ind w:right="517"/>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30"/>
        </w:trPr>
        <w:tc>
          <w:tcPr>
            <w:tcW w:w="6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right="38"/>
              <w:spacing w:after="0" w:line="130" w:lineRule="exact"/>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jc w:val="center"/>
              <w:ind w:right="17"/>
              <w:spacing w:after="0" w:line="130" w:lineRule="exact"/>
              <w:rPr>
                <w:sz w:val="20"/>
                <w:szCs w:val="20"/>
                <w:color w:val="auto"/>
              </w:rPr>
            </w:pPr>
            <w:r>
              <w:rPr>
                <w:rFonts w:ascii="Arial" w:cs="Arial" w:eastAsia="Arial" w:hAnsi="Arial"/>
                <w:sz w:val="14"/>
                <w:szCs w:val="14"/>
                <w:b w:val="1"/>
                <w:bCs w:val="1"/>
                <w:color w:val="auto"/>
                <w:w w:val="96"/>
              </w:rPr>
              <w:t>Contingent Forward</w:t>
            </w:r>
          </w:p>
        </w:tc>
        <w:tc>
          <w:tcPr>
            <w:tcW w:w="0" w:type="dxa"/>
            <w:vAlign w:val="bottom"/>
          </w:tcPr>
          <w:p>
            <w:pPr>
              <w:spacing w:after="0"/>
              <w:rPr>
                <w:sz w:val="1"/>
                <w:szCs w:val="1"/>
                <w:color w:val="auto"/>
              </w:rPr>
            </w:pPr>
          </w:p>
        </w:tc>
      </w:tr>
      <w:tr>
        <w:trPr>
          <w:trHeight w:val="188"/>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Warrant Liability</w:t>
            </w:r>
          </w:p>
        </w:tc>
        <w:tc>
          <w:tcPr>
            <w:tcW w:w="80" w:type="dxa"/>
            <w:vAlign w:val="bottom"/>
          </w:tcPr>
          <w:p>
            <w:pPr>
              <w:spacing w:after="0"/>
              <w:rPr>
                <w:sz w:val="16"/>
                <w:szCs w:val="16"/>
                <w:color w:val="auto"/>
              </w:rPr>
            </w:pPr>
          </w:p>
        </w:tc>
        <w:tc>
          <w:tcPr>
            <w:tcW w:w="138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 xml:space="preserve">Contract Liability </w:t>
            </w:r>
            <w:r>
              <w:rPr>
                <w:rFonts w:ascii="Arial" w:cs="Arial" w:eastAsia="Arial" w:hAnsi="Arial"/>
                <w:sz w:val="9"/>
                <w:szCs w:val="9"/>
                <w:b w:val="1"/>
                <w:bCs w:val="1"/>
                <w:color w:val="auto"/>
                <w:w w:val="97"/>
              </w:rPr>
              <w:t>(1)</w:t>
            </w:r>
          </w:p>
        </w:tc>
        <w:tc>
          <w:tcPr>
            <w:tcW w:w="0" w:type="dxa"/>
            <w:vAlign w:val="bottom"/>
          </w:tcPr>
          <w:p>
            <w:pPr>
              <w:spacing w:after="0"/>
              <w:rPr>
                <w:sz w:val="1"/>
                <w:szCs w:val="1"/>
                <w:color w:val="auto"/>
              </w:rPr>
            </w:pPr>
          </w:p>
        </w:tc>
      </w:tr>
      <w:tr>
        <w:trPr>
          <w:trHeight w:val="224"/>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value-beginning of period</w:t>
            </w: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871,478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1,164,610</w:t>
            </w:r>
          </w:p>
        </w:tc>
        <w:tc>
          <w:tcPr>
            <w:tcW w:w="0" w:type="dxa"/>
            <w:vAlign w:val="bottom"/>
          </w:tcPr>
          <w:p>
            <w:pPr>
              <w:spacing w:after="0"/>
              <w:rPr>
                <w:sz w:val="1"/>
                <w:szCs w:val="1"/>
                <w:color w:val="auto"/>
              </w:rPr>
            </w:pPr>
          </w:p>
        </w:tc>
      </w:tr>
      <w:tr>
        <w:trPr>
          <w:trHeight w:val="230"/>
        </w:trPr>
        <w:tc>
          <w:tcPr>
            <w:tcW w:w="662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(334,843)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12,382</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(1,176,992)</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Fair value-end of period</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536,635</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6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1"/>
              </w:rPr>
              <w:t>Common 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Contingent Forward</w:t>
            </w:r>
          </w:p>
        </w:tc>
        <w:tc>
          <w:tcPr>
            <w:tcW w:w="80" w:type="dxa"/>
            <w:vAlign w:val="bottom"/>
          </w:tcPr>
          <w:p>
            <w:pPr>
              <w:spacing w:after="0"/>
              <w:rPr>
                <w:sz w:val="11"/>
                <w:szCs w:val="11"/>
                <w:color w:val="auto"/>
              </w:rPr>
            </w:pPr>
          </w:p>
        </w:tc>
        <w:tc>
          <w:tcPr>
            <w:tcW w:w="1380" w:type="dxa"/>
            <w:vAlign w:val="bottom"/>
          </w:tcPr>
          <w:p>
            <w:pPr>
              <w:jc w:val="center"/>
              <w:ind w:right="17"/>
              <w:spacing w:after="0" w:line="130"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35"/>
        </w:trPr>
        <w:tc>
          <w:tcPr>
            <w:tcW w:w="6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2"/>
              </w:rPr>
              <w:t>Preferred Stock</w:t>
            </w:r>
          </w:p>
        </w:tc>
        <w:tc>
          <w:tcPr>
            <w:tcW w:w="0" w:type="dxa"/>
            <w:vAlign w:val="bottom"/>
          </w:tcPr>
          <w:p>
            <w:pPr>
              <w:spacing w:after="0"/>
              <w:rPr>
                <w:sz w:val="1"/>
                <w:szCs w:val="1"/>
                <w:color w:val="auto"/>
              </w:rPr>
            </w:pPr>
          </w:p>
        </w:tc>
      </w:tr>
      <w:tr>
        <w:trPr>
          <w:trHeight w:val="189"/>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rPr>
              <w:t>Warrant Liability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jc w:val="center"/>
              <w:ind w:right="220"/>
              <w:spacing w:after="0" w:line="189" w:lineRule="exact"/>
              <w:rPr>
                <w:sz w:val="20"/>
                <w:szCs w:val="20"/>
                <w:color w:val="auto"/>
              </w:rPr>
            </w:pPr>
            <w:r>
              <w:rPr>
                <w:rFonts w:ascii="Arial" w:cs="Arial" w:eastAsia="Arial" w:hAnsi="Arial"/>
                <w:sz w:val="14"/>
                <w:szCs w:val="14"/>
                <w:b w:val="1"/>
                <w:bCs w:val="1"/>
                <w:color w:val="auto"/>
                <w:w w:val="94"/>
              </w:rPr>
              <w:t xml:space="preserve">Contract Liability </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6"/>
                <w:szCs w:val="16"/>
                <w:color w:val="auto"/>
              </w:rPr>
            </w:pPr>
          </w:p>
        </w:tc>
        <w:tc>
          <w:tcPr>
            <w:tcW w:w="1380" w:type="dxa"/>
            <w:vAlign w:val="bottom"/>
          </w:tcPr>
          <w:p>
            <w:pPr>
              <w:jc w:val="center"/>
              <w:ind w:right="17"/>
              <w:spacing w:after="0" w:line="189" w:lineRule="exact"/>
              <w:rPr>
                <w:sz w:val="20"/>
                <w:szCs w:val="20"/>
                <w:color w:val="auto"/>
              </w:rPr>
            </w:pPr>
            <w:r>
              <w:rPr>
                <w:rFonts w:ascii="Arial" w:cs="Arial" w:eastAsia="Arial" w:hAnsi="Arial"/>
                <w:sz w:val="14"/>
                <w:szCs w:val="14"/>
                <w:b w:val="1"/>
                <w:bCs w:val="1"/>
                <w:color w:val="auto"/>
                <w:w w:val="96"/>
              </w:rPr>
              <w:t xml:space="preserve">Warrant Liability </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1,394,808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30"/>
        </w:trPr>
        <w:tc>
          <w:tcPr>
            <w:tcW w:w="6620" w:type="dxa"/>
            <w:vAlign w:val="bottom"/>
          </w:tcPr>
          <w:p>
            <w:pPr>
              <w:ind w:left="180"/>
              <w:spacing w:after="0"/>
              <w:rPr>
                <w:sz w:val="20"/>
                <w:szCs w:val="20"/>
                <w:color w:val="auto"/>
              </w:rPr>
            </w:pPr>
            <w:r>
              <w:rPr>
                <w:rFonts w:ascii="Arial" w:cs="Arial" w:eastAsia="Arial" w:hAnsi="Arial"/>
                <w:sz w:val="18"/>
                <w:szCs w:val="18"/>
                <w:color w:val="auto"/>
              </w:rPr>
              <w:t>Issuance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2,167,332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Settlement</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(2,621,878)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536,635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Convertible preferred stock warrant liability and contingent forward contract liability were fully settled during the six months ended June 30, 2021.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2026 Notes have been designated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2026 Notes are unsecured obligations which bear regular interest at 1.25% per annum and will be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Holders of the 2026 Notes may convert all or a portion of their 2026 Notes at their option prior to September 15, 2026, in multiples of $1,000 principal amounts, only under the following circumstances:</w:t>
      </w:r>
    </w:p>
    <w:p>
      <w:pPr>
        <w:spacing w:after="0" w:line="116" w:lineRule="exact"/>
        <w:rPr>
          <w:sz w:val="20"/>
          <w:szCs w:val="20"/>
          <w:color w:val="auto"/>
        </w:rPr>
      </w:pPr>
    </w:p>
    <w:p>
      <w:pPr>
        <w:ind w:left="660" w:right="28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any calendar quarter commencing after the quarter ending on March 31, 2022 (and only during such calendar quarter), if the Company’s common stock price exceeds 130% of the conversion price for at least 20 trading days during the 30 consecutive trading days at the end of the prior calendar quarter;</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or</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Company calls any or all 2026 Notes for redemption, at any time prior to the close of business on the scheduled trading day immediately preceding the redemption date, but only with respect to the notes called for redemption.</w:t>
      </w:r>
    </w:p>
    <w:p>
      <w:pPr>
        <w:spacing w:after="0" w:line="170"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spacing w:after="0" w:line="14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Company accounted for the issuance of the 2026 Notes as a single liability measured at its amortized cost, as no other embedded features require bifurcation and recognition as derivatives. The following is a summary of the 2026 Notes as of June 30, 2022 and December 31, 2021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31, 2021</w:t>
            </w:r>
          </w:p>
        </w:tc>
      </w:tr>
      <w:tr>
        <w:trPr>
          <w:trHeight w:val="22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36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2,012.5</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36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3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(Level 2)</w:t>
            </w:r>
          </w:p>
        </w:tc>
        <w:tc>
          <w:tcPr>
            <w:tcW w:w="3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w:t>
            </w:r>
          </w:p>
        </w:tc>
      </w:tr>
      <w:tr>
        <w:trPr>
          <w:trHeight w:val="567"/>
        </w:trPr>
        <w:tc>
          <w:tcPr>
            <w:tcW w:w="4540" w:type="dxa"/>
            <w:vAlign w:val="bottom"/>
          </w:tcPr>
          <w:p>
            <w:pPr>
              <w:spacing w:after="0"/>
              <w:rPr>
                <w:sz w:val="24"/>
                <w:szCs w:val="24"/>
                <w:color w:val="auto"/>
              </w:rPr>
            </w:pPr>
          </w:p>
        </w:tc>
        <w:tc>
          <w:tcPr>
            <w:tcW w:w="3680" w:type="dxa"/>
            <w:vAlign w:val="bottom"/>
          </w:tcPr>
          <w:p>
            <w:pPr>
              <w:jc w:val="right"/>
              <w:ind w:right="241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29"/>
        </w:trPr>
        <w:tc>
          <w:tcPr>
            <w:tcW w:w="4540" w:type="dxa"/>
            <w:vAlign w:val="bottom"/>
            <w:tcBorders>
              <w:bottom w:val="single" w:sz="8" w:color="9A9A9A"/>
            </w:tcBorders>
          </w:tcPr>
          <w:p>
            <w:pPr>
              <w:spacing w:after="0"/>
              <w:rPr>
                <w:sz w:val="11"/>
                <w:szCs w:val="11"/>
                <w:color w:val="auto"/>
              </w:rPr>
            </w:pPr>
          </w:p>
        </w:tc>
        <w:tc>
          <w:tcPr>
            <w:tcW w:w="36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The effective interest rate for the convertible note is 1.5%. The components of interest expense related to the 2026 Notes were as follows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34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Six Months Ended</w:t>
            </w:r>
          </w:p>
        </w:tc>
      </w:tr>
      <w:tr>
        <w:trPr>
          <w:trHeight w:val="188"/>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 2022</w:t>
            </w:r>
          </w:p>
        </w:tc>
        <w:tc>
          <w:tcPr>
            <w:tcW w:w="140" w:type="dxa"/>
            <w:vAlign w:val="bottom"/>
          </w:tcPr>
          <w:p>
            <w:pPr>
              <w:spacing w:after="0"/>
              <w:rPr>
                <w:sz w:val="16"/>
                <w:szCs w:val="16"/>
                <w:color w:val="auto"/>
              </w:rPr>
            </w:pPr>
          </w:p>
        </w:tc>
        <w:tc>
          <w:tcPr>
            <w:tcW w:w="1340" w:type="dxa"/>
            <w:vAlign w:val="bottom"/>
          </w:tcPr>
          <w:p>
            <w:pPr>
              <w:jc w:val="right"/>
              <w:ind w:right="237"/>
              <w:spacing w:after="0"/>
              <w:rPr>
                <w:sz w:val="20"/>
                <w:szCs w:val="20"/>
                <w:color w:val="auto"/>
              </w:rPr>
            </w:pPr>
            <w:r>
              <w:rPr>
                <w:rFonts w:ascii="Arial" w:cs="Arial" w:eastAsia="Arial" w:hAnsi="Arial"/>
                <w:sz w:val="14"/>
                <w:szCs w:val="14"/>
                <w:b w:val="1"/>
                <w:bCs w:val="1"/>
                <w:color w:val="auto"/>
              </w:rPr>
              <w:t>June 30, 2022</w:t>
            </w:r>
          </w:p>
        </w:tc>
      </w:tr>
      <w:tr>
        <w:trPr>
          <w:trHeight w:val="224"/>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discounts and debt issuance costs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2026 Notes were not eligible for conversion as of June 30, 2022 and December 31, 2021. No sinking fund is provided for the 2026 Notes, which means that the Company is not required to redeem or retire them periodically. As of June 30, 2022, the Company was in compliance with applicable covenants under the indenture governing the 2026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SIDF Loan Agreement</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February 27, 2022, Lucid, LLC, a limited liability company established in the Kingdom of Saudi Arabia and a subsidiary of the Company (“Lucid LLC”) entered into a loan agreement (as subsequently amended, the “SIDF Loan Agreement”) with the SIDF, an affiliate of Public Investment Fund (“PIF”), which is an affiliate of Ayar, the controlling stockholder of the Company.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the Company’s planned KSA Facility. Lucid LLC may repay SIDF Loans earlier than the maturity date without penalty. Obligations under the SIDF Loan Agreement do not extend to the Company or any of its other subsidiaries.</w:t>
      </w:r>
    </w:p>
    <w:p>
      <w:pPr>
        <w:spacing w:after="0" w:line="181"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 xml:space="preserve">SIDF Loans will not bear interest. Instead, Lucid LLC will be required to pay SIDF service fees, consisting of follow-up and technical evaluation fees, ranging, in aggregate, from SAR 415 million (approximately $110.6 million) to SAR 1.77 billion (approximately $471.7 million), over the term of the SIDF Loans. SIDF Loans will be secured by security interests in the </w:t>
      </w:r>
      <w:r>
        <w:rPr>
          <w:rFonts w:ascii="Arial" w:cs="Arial" w:eastAsia="Arial" w:hAnsi="Arial"/>
          <w:sz w:val="17"/>
          <w:szCs w:val="17"/>
          <w:color w:val="242424"/>
        </w:rPr>
        <w:t>equipment, machines and assets funded thereby.</w:t>
      </w:r>
    </w:p>
    <w:p>
      <w:pPr>
        <w:spacing w:after="0" w:line="16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Arial" w:cs="Arial" w:eastAsia="Arial" w:hAnsi="Arial"/>
          <w:sz w:val="17"/>
          <w:szCs w:val="17"/>
          <w:color w:val="242424"/>
        </w:rPr>
        <w:t>As of</w:t>
      </w:r>
      <w:r>
        <w:rPr>
          <w:rFonts w:ascii="Arial" w:cs="Arial" w:eastAsia="Arial" w:hAnsi="Arial"/>
          <w:sz w:val="17"/>
          <w:szCs w:val="17"/>
          <w:color w:val="auto"/>
        </w:rPr>
        <w:t xml:space="preserve"> June 30, 2022</w:t>
      </w:r>
      <w:r>
        <w:rPr>
          <w:rFonts w:ascii="Arial" w:cs="Arial" w:eastAsia="Arial" w:hAnsi="Arial"/>
          <w:sz w:val="17"/>
          <w:szCs w:val="17"/>
          <w:color w:val="242424"/>
        </w:rPr>
        <w:t>,</w:t>
      </w:r>
      <w:r>
        <w:rPr>
          <w:rFonts w:ascii="Arial" w:cs="Arial" w:eastAsia="Arial" w:hAnsi="Arial"/>
          <w:sz w:val="17"/>
          <w:szCs w:val="17"/>
          <w:color w:val="auto"/>
        </w:rPr>
        <w:t xml:space="preserve"> no </w:t>
      </w:r>
      <w:r>
        <w:rPr>
          <w:rFonts w:ascii="Arial" w:cs="Arial" w:eastAsia="Arial" w:hAnsi="Arial"/>
          <w:sz w:val="17"/>
          <w:szCs w:val="17"/>
          <w:color w:val="242424"/>
        </w:rPr>
        <w:t>amounts were outstanding under the SIDF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GIB Facility Agreement</w:t>
      </w:r>
    </w:p>
    <w:p>
      <w:pPr>
        <w:spacing w:after="0" w:line="22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On April 29, 2022, Lucid LLC entered into a revolving credit facility agreement (the “GIB Facility Agreement”) with GIB, maturing on February 28, 2025. GIB is an affiliate of PIF, which is an affiliate of Ayar, the controlling stockholder of the Company. The GIB Facility Agreement provides for two committed revolving credit facilities in an aggregate principal amount of SAR 1 billion (approximately $266.5 million). SAR $650 million (approximately $173.2 million) under the GIB Facility Agreement is available as bridge financing (the “Bridge Facility”) of Lucid LLC’s capital expenditures in connection with the KSA Facility. The remaining SAR 350 million (approximately $93.3 million) may be used for general corporate purposes (the “Working Capital Facility”). Loans under the Bridge Facility and the Working Capital Facility will have a maturity of no more than 12 months. The Bridge Facility will bear interest at a rate of 1.25% per annum over 3-month SAIBOR and the Working Capital Facility will bear interest at a rate of 1.70% per annum over 3-month SAIBOR and associated fees. The Company is required to pay a quarterly commitment fee of 0.15% per annum based on the unutilized portion of the GIB Credit Facility. Commitments under the GIB Facility Agreement will terminate, and all amounts then outstanding thereunder will become payable, on the maturity date of the GIB Facility Agreement. The GIB Facility Agreement contains certain conditions precedent to drawdowns, representations and warranties and covenants of Lucid LLC and events of default. As of June 30, 2022</w:t>
      </w:r>
      <w:r>
        <w:rPr>
          <w:rFonts w:ascii="Arial" w:cs="Arial" w:eastAsia="Arial" w:hAnsi="Arial"/>
          <w:sz w:val="16"/>
          <w:szCs w:val="16"/>
          <w:color w:val="242424"/>
        </w:rPr>
        <w:t>, the Company had outstanding</w:t>
      </w:r>
      <w:r>
        <w:rPr>
          <w:rFonts w:ascii="Arial" w:cs="Arial" w:eastAsia="Arial" w:hAnsi="Arial"/>
          <w:sz w:val="16"/>
          <w:szCs w:val="16"/>
          <w:color w:val="auto"/>
        </w:rPr>
        <w:t xml:space="preserve"> </w:t>
      </w:r>
      <w:r>
        <w:rPr>
          <w:rFonts w:ascii="Arial" w:cs="Arial" w:eastAsia="Arial" w:hAnsi="Arial"/>
          <w:sz w:val="16"/>
          <w:szCs w:val="16"/>
          <w:color w:val="242424"/>
        </w:rPr>
        <w:t xml:space="preserve">borrowings of SAR </w:t>
      </w:r>
      <w:r>
        <w:rPr>
          <w:rFonts w:ascii="Arial" w:cs="Arial" w:eastAsia="Arial" w:hAnsi="Arial"/>
          <w:sz w:val="16"/>
          <w:szCs w:val="16"/>
          <w:color w:val="000000"/>
        </w:rPr>
        <w:t>25 million</w:t>
      </w:r>
      <w:r>
        <w:rPr>
          <w:rFonts w:ascii="Arial" w:cs="Arial" w:eastAsia="Arial" w:hAnsi="Arial"/>
          <w:sz w:val="16"/>
          <w:szCs w:val="16"/>
          <w:color w:val="242424"/>
        </w:rPr>
        <w:t xml:space="preserve"> (approximat</w:t>
      </w:r>
      <w:r>
        <w:rPr>
          <w:rFonts w:ascii="Arial" w:cs="Arial" w:eastAsia="Arial" w:hAnsi="Arial"/>
          <w:sz w:val="16"/>
          <w:szCs w:val="16"/>
          <w:color w:val="000000"/>
        </w:rPr>
        <w:t>ely $6.7 million)</w:t>
      </w:r>
      <w:r>
        <w:rPr>
          <w:rFonts w:ascii="Arial" w:cs="Arial" w:eastAsia="Arial" w:hAnsi="Arial"/>
          <w:sz w:val="16"/>
          <w:szCs w:val="16"/>
          <w:color w:val="242424"/>
        </w:rPr>
        <w:t xml:space="preserve"> from the Working Capital Facility, which was recorded within other current liabilities on condensed consolidated balance sheets. As </w:t>
      </w:r>
      <w:r>
        <w:rPr>
          <w:rFonts w:ascii="Arial" w:cs="Arial" w:eastAsia="Arial" w:hAnsi="Arial"/>
          <w:sz w:val="16"/>
          <w:szCs w:val="16"/>
          <w:color w:val="000000"/>
        </w:rPr>
        <w:t>of June 30, 2022, available borrowings are SAR 650 million (approximately $173.2 million) and SAR</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325 million (approximately $86.6 million) under the Bridge Facility and Working Capital Facility, respectively. As of June 30, 2022, the Company was in compliance with applicable covenants under the GIB Facility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ABL Credit Facility</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June 2022, the Company entered into a new five-year senior secured asset-based revolving credit facility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(“FCCR”) financial covenant, in each case on terms set forth in the credit agreement governing the ABL Credit Facility. As of June 30, 2022, the Company was in compliance with applicable covenants under the ABL Credit Facility.</w:t>
      </w:r>
    </w:p>
    <w:p>
      <w:pPr>
        <w:spacing w:after="0" w:line="19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As of June 30, 2022, the Company had no outstanding borrowings under the ABL Credit Facility. Availability under the ABL Credit Facility was $252.9 million as of June 30, 2022, after giving effect to the borrowing base. The Company incurred issuance costs of $6.3 million to obtain the ABL Credit Facility, which was capitalized within other noncurrent assets on condensed consolidated balance sheets and amortized over the facility term using the straight-line method. During the three months ended June 30, 2022, amortization of the deferred issuance costs and commitment fee were not material.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CONTINGENT FORWARD CONTRACTS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September 2018, the Company entered into a securities purchase agreement with PIF. Along with the execution of the securities purchase agreement, the Company granted PIF the right to purchase the Company’s Series D convertible preferred stock in future periods. The Company determined PIF’s right to participate in future Series D convertible preferred stock financing to be freestanding similar to a derivative in the form of contingent forward contracts and recorded the initial valuation of $18.6 million as a debt discount to the Convertible Notes issued in September 2018.</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March 2020, the Company received $200.0 million in exchange for 82,496,092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stock. In June 2020, upon satisfaction of the second set of milestones (refer to Note 10 “Convertible Preferred Stock”), the Company received the remaining $200.0 million in exchange for 82,496,121 shares of Series D convertible preferred stock as final settlement of the Series D contingent forward contract liability and revalued the contingent forward contracts liability to the then fair value of $39.6 million and reclassified the liability into Series D convertible preferred stock. The Series D contingent forward contract liability incurred a total fair value loss of $8.7 million during the year ended December 31, 2020. Since the Series D contingent forward contract liability was fully settled in June 2020, there was no related outstanding contingent forward contract liability as of December 31, 2020.</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discussed in Note 10 “Convertible Preferred Stock”, in September 2020, along with the execution of the Securities Purchase Agreement, the Company granted Ayar Third Investment Company (“Ayar”) the right to purchase the Company’s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into contingent forward contract liabilities.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December 2020, Ayar waived the Company’s remaining outstanding obligations, and the Company received $400.0 million for the issuance of Series E convertible preferred stock. Upon settlement, the Company revalued the Series E contingent forward contracts to the then fair value of $110.5 million and reclassified the contingent forward contract liability into Series E convertible preferred stock. The Company recorded a loss of $109.7 million related to fair value remeasurements of the Series E contingent forward contracts during the year ended December 31, 2020.</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2021, the Company and Ayar entered into Amendment No. 1 to the original Series E Preferred Stock Purchase Agreement (“Amendment No. 1”). Under the Amendment No. 1, Ayar and the Company agreed to enter into the third closing of additional 133,818,821 Series E convertible preferred stock at $2.99 per share, aggregating to $400.0 million. Upon the signing of the Amendment No. 1, the Company received the issuance proceeds of $400.0 million from Ayar in February 2021.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3" w:name="page24"/>
    <w:bookmarkEnd w:id="23"/>
    <w:p>
      <w:pPr>
        <w:ind w:right="120"/>
        <w:spacing w:after="0" w:line="257" w:lineRule="auto"/>
        <w:rPr>
          <w:sz w:val="20"/>
          <w:szCs w:val="20"/>
          <w:color w:val="auto"/>
        </w:rPr>
      </w:pPr>
      <w:r>
        <w:rPr>
          <w:rFonts w:ascii="Arial" w:cs="Arial" w:eastAsia="Arial" w:hAnsi="Arial"/>
          <w:sz w:val="18"/>
          <w:szCs w:val="18"/>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and Ayar. Refer to Note 10 “Convertible Preferred Stock”.</w:t>
      </w:r>
    </w:p>
    <w:p>
      <w:pPr>
        <w:spacing w:after="0" w:line="188"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 April 2021, the Company issued 66,909,408 Series E convertible preferred stock from the fourth closing at $2.99 per share for cash consideration of $200.0 million. The Company received $107.1 million of the total issuance proceeds in March 2021 and the remaining $92.9 million in April 2021. See Note 10 “Convertible Preferred Stock” for more information.</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determined the right to participate in future Series E convertible preferred share financing to be a freestanding financial instrument similar to a derivative in the form of contingent forward contracts and recorded the initial valuation of $1,444.9 million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condensed consolidated statements of operations.</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included 535,275 shares offered to the CEO in April 2021. The offer to employees in the fourth closing to participate in future Series E convertible preferred stock financing represent a fully vested, equity classified award. The Company recorded the award’s full fair value on each recipient’s grant date as stock-based compensation, and derecognized the related contingent forward contract liability. The Company revalued the contingent forward contract liability for the remaining participants and recorded $12.4 million and $454.5 million fair value remeasurement loss related to the contingent forward contract liability for the three and six months ended June 30, 2021, respectively, with the final fair value of the contingent forward contract liability of $1.2 billion reclassified into Series E convertible preferred stock upon the fourth closing in April 2021. There was no related outstanding contingent forward contract liability as of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Series E convertible preferred stock contingent forward contract liability for the third closing was determined using a forward payoff.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inputs used in determining the fair value on the issuance date and settlement date,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4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13.79</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4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100.00 %</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4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0.03 %</w:t>
            </w:r>
          </w:p>
        </w:tc>
      </w:tr>
    </w:tbl>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Series E convertible preferred stock contingent forward contract liability for the fourth closing was determined using a forward and an option payoff. The Company’s inputs used in determining the fair value on the issuance date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Series E convertible preferred share</w:t>
            </w:r>
          </w:p>
        </w:tc>
        <w:tc>
          <w:tcPr>
            <w:tcW w:w="3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3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100.00 %</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3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3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0.03 %</w:t>
            </w:r>
          </w:p>
        </w:tc>
      </w:tr>
    </w:tbl>
    <w:p>
      <w:pPr>
        <w:spacing w:after="0" w:line="28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fair value of the Series E convertible preferred stock contingent forward contract liability for the fourth closing was determined as the difference between the Series E convertible preferred stock fair value and the purchase price. The Company estimated the fair value of each of the Series E convertible preferred stock on the settlement date by taking the closing price of Churchill’s Class A common stock on April 1, 2021 of $23.78 multiplied by the expected exchange ratio at the time, and discounted for lack of marketability.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CONVERTIBLE PREFERRED STOCK WARRANT LIABILITY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and September 2017, the Company issued two convertible preferred stock warrants to purchase a total of 1,546,799 shares of Series D convertible preferred stock, with an exercise price of $1.94 per share. The Company recorded the convertible preferred stock warrants at fair value using a Monte-Carlo simulation at issuance, which had been subsequently remeasured to fair value each reporting period with the changes recorded in the condensed consolidated statements of operations. In February 2021, all the outstanding warrants were settled in its entirety at an exercise price of $1.94 per share for an aggregate purchase price of $3.0 million. Upon final settlement, the Company converted the warrant into $12.9 million Series D convertible preferred stock, and recorded $7.0 million losses related to fair value remeasurements of the warrants in the condensed consolidated statements of operations for the six months ended June 30, 2021.</w:t>
      </w:r>
    </w:p>
    <w:p>
      <w:pPr>
        <w:sectPr>
          <w:pgSz w:w="11900" w:h="16838" w:orient="portrait"/>
          <w:cols w:equalWidth="0" w:num="1">
            <w:col w:w="11240"/>
          </w:cols>
          <w:pgMar w:left="320" w:top="989" w:right="339" w:bottom="144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9 - COMMON STOCK WARRANT LIABILITY</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July 23, 2021, in connection with the reverse recapitalization treatment of the Merger, the Company effectively issued 44,350,000 Private Placement Warrants to purchase shares of Lucid’s common stock at an exercise price of $11.50. The Private Placement Warrants were initially recognized as a liability with a fair value of $812.0 million and was remeasured to fair value of $1,394.8 million as of December 31, 2021. The Private Placement Warrants remained unexercised and were remeasured to fair value of $536.6 million as of June 30, 2022, resulting in a gain of $334.8 million and $858.2 million, respectively, for the three and six months ended June 30, 2022 recognized in the condensed consolidated statements of operations.</w:t>
      </w:r>
    </w:p>
    <w:p>
      <w:pPr>
        <w:spacing w:after="0" w:line="16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44,350,000 Private Placement Warrants included the 14,783,333 Sponsor Earnback Warrants subject to the contingent forfeiture provisions. The earnback triggering events were satisfied during the year ended December 31, 2021 such that the 14,783,333 Sponsor Earnback Warrants vested and are no longer subject to the transfer restrictions and contingent forfeiture provisions. See Note 12 “Earnback Shares and Warrants” for more information.</w:t>
      </w:r>
    </w:p>
    <w:p>
      <w:pPr>
        <w:spacing w:after="0" w:line="13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The Company initially estimated the fair value of the Private Placement Warrants that were subject to the contingent forfeiture provisions using a Monte-Carlo simulation which estimates a distribution of potential outcomes over the earnback period related to the achievement of the volume-weighted average trading sale price (the “VWAP”) thresholds. The present value of the payoff in each simulation is calculated, and the fair value of the liability is determined by taking the average of all present values. The fair value of the Private Placement Warrants that were subject to the contingent forfeiture provisions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July 23, 2021</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Tranche 1 with $20.00 VWAP threshold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Fair value of Tranche 2 with $25.00 VWAP threshold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18.07</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Tranche 3 with $30.00 VWAP threshold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Private Placement Warrants that are not subject to the contingent forfeiture provisions was estimated using a Black-Scholes option pricing model, and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6"/>
                <w:szCs w:val="16"/>
                <w:color w:val="auto"/>
              </w:rPr>
            </w:pP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December 31, 2021</w:t>
            </w:r>
          </w:p>
        </w:tc>
      </w:tr>
      <w:tr>
        <w:trPr>
          <w:trHeight w:val="256"/>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Private Placement Warrants per share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r>
    </w:tbl>
    <w:p>
      <w:pPr>
        <w:spacing w:after="0" w:line="296"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Assumptions used in the Monte-Carlo simulation models and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Monte-Carlo simulation models and Black-Scholes option pricing models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 2022</w:t>
            </w:r>
          </w:p>
        </w:tc>
        <w:tc>
          <w:tcPr>
            <w:tcW w:w="1600" w:type="dxa"/>
            <w:vAlign w:val="bottom"/>
          </w:tcPr>
          <w:p>
            <w:pPr>
              <w:jc w:val="right"/>
              <w:ind w:right="134"/>
              <w:spacing w:after="0"/>
              <w:rPr>
                <w:sz w:val="20"/>
                <w:szCs w:val="20"/>
                <w:color w:val="auto"/>
              </w:rPr>
            </w:pPr>
            <w:r>
              <w:rPr>
                <w:rFonts w:ascii="Arial" w:cs="Arial" w:eastAsia="Arial" w:hAnsi="Arial"/>
                <w:sz w:val="14"/>
                <w:szCs w:val="14"/>
                <w:b w:val="1"/>
                <w:bCs w:val="1"/>
                <w:color w:val="auto"/>
              </w:rPr>
              <w:t>December 31, 2021</w:t>
            </w:r>
          </w:p>
        </w:tc>
      </w:tr>
      <w:tr>
        <w:trPr>
          <w:trHeight w:val="22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85.00 %</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85.00 %</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CONVERTIBLE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the Closing of the Merger, the Company cancelled and converted all 1,155,909,367 shares of issued and outstanding convertible preferred stock into 1,155,909,367 shares of Lucid common stock based upon the conversion rate as calculated pursuant to Legacy Lucid’s memorandum and articles of association at the date and time that the Merger became effective. As of June 30, 2022 and December 31, 2021, there were no issued and outstanding shares of convertible preferred stock.</w:t>
      </w:r>
    </w:p>
    <w:p>
      <w:pPr>
        <w:spacing w:after="0" w:line="17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In 2014 through April 2021, the Company had issued Series A, Series B, Series C, and Series D and Series E convertible preferred stock (“Series A,” “Series B,” “Series C,” “Series D,” “Series E,” respectively) (collectively, the “Convertible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was carried at its issuance price, net of issuance costs.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line="279" w:lineRule="auto"/>
        <w:rPr>
          <w:sz w:val="20"/>
          <w:szCs w:val="20"/>
          <w:color w:val="auto"/>
        </w:rPr>
      </w:pPr>
      <w:r>
        <w:rPr>
          <w:rFonts w:ascii="Arial" w:cs="Arial" w:eastAsia="Arial" w:hAnsi="Arial"/>
          <w:sz w:val="17"/>
          <w:szCs w:val="17"/>
          <w:color w:val="auto"/>
        </w:rPr>
        <w:t>In September 2018, concurrent with the execution of the Security Purchase Agreement with PIF, the Company entered into a Stock Repurchase Agreement (the “Repurchase Agreement”) with Blitz Technology Hong Kong Co. Limited and LeSoar Holdings, Limited (the “Sellers”) to repurchase Series C convertible preferred stock. From September 2018 to December 31, 2019, the Company repurchased in aggregate 11,331,430 shares of Series C convertible preferred stock with $60.0 million at a per share price of $5.30 from the first and second Company repurchase.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Company Repurchase (Series C - August 2020)</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August 2020, the Company entered into a Stock Repurchase Agreement with the Sellers. Pursuant to the Stock Repurchase Agreement, the Company agreed to repurchase 9,656,589 shares of Series C convertible preferred stock owned by the Sellers in August 2020 at a price of $1.02 per share for total of $9.9 million. The carrying value of the repurchased Series C convertible preferred stock is $20.4 million. As such, the Company recognized $10.5 million in additional paid-in capital under stockholder’s equity in the condensed consolidated balance sheet as of December 31, 2020 related to the difference in fair value and carrying value of the Series C stock repurchased.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Company Repurchase (Series C - December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2020, the Company entered into a Stock Repurchase Agreement with Blitz Technology Hong Kong Co. Limited (“Blitz”).</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agreed to repurchase 1,850,800 Series C convertible preferred stock from Blitz at a price of $1.21 per share, aggregating to $2.2 million. As the carrying amount of each share of Series C was $2.42 aggregating to $4.5 million in September 2020, the Company recognized $2.2 million as additional paid-in capital under stockholders’ deficit in the condensed consolidated balance sheet as of December 31, 2020, related to the difference in fair value and carrying value of the Series C shares repurchased.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Fifth Company Repurchase (Series B - December 2020)</w:t>
      </w:r>
    </w:p>
    <w:p>
      <w:pPr>
        <w:spacing w:after="0" w:line="22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On December 22, 2020, the Company entered into an agreement with JAFCO Asia Technology Fund V (“JAFCO”) whereby the Company agreed to repurchase 3,525,332 Series B convertible preferred stock having a carrying value of $4.0 million, from JAFCO for a total consideration of $3.0 million. The agreement resulted in an extinguishment of the Series B convertible preferred stock and the Company recognized $1.0 million in additional paid-in capital being the difference in fair value of the consideration payable and the carrying value of the Series B convertible preferred stock. As of the date of extinguishment and as of December 31, 2020 the Series B convertible preferred stock subject to repurchase had been mandatorily redeemable within 45 days of the agreement and accordingly had been reclassified to other accrued liabilities on the condensed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Issuance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2018, the Security Purchase Agreement with PIF granted PIF rights to purchase the Company’s Series D convertible stock at various tranches. The first tranche of $200.0 million had been issuable upon the approval of the PIF’s equity investment into the Company by CFIUS (refer to Note 7 “Contingent Forward Contracts”). The second and third tranches of $400.0 million each had been issuable upon the Company’s satisfaction of certain milestones related to further development and enhancement in marketing, product, and administrative activities.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374,777,280 shares of Series D convertible preferred stock at a price of $2.33 per share, for net proceeds of approximately $872.0 million during the year ended December 31, 2019.</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March 2020, the Company received $200.0 million of the remaining $400.0 million in proceeds from PIF and issued 82,496,092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82,496,121 shares of Series D convertible preferred stock.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See activities related to the PIF Convertible Notes and Series D convertible preferred stock funding as below (in thousands):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Conversion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October 2019</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forward contract liability reclassified to Series D in March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forward contract liability reclassified to Series D in June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Conversion of preferred stock warrant to Series 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Reclassification of preferred stock warrant liability to Series D in February 2021</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proceeds of Series 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Convertible Preferred Stock Issuance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497" w:hanging="497"/>
        <w:spacing w:after="0"/>
        <w:tabs>
          <w:tab w:leader="none" w:pos="497" w:val="left"/>
        </w:tabs>
        <w:numPr>
          <w:ilvl w:val="0"/>
          <w:numId w:val="16"/>
        </w:numPr>
        <w:rPr>
          <w:rFonts w:ascii="Arial" w:cs="Arial" w:eastAsia="Arial" w:hAnsi="Arial"/>
          <w:sz w:val="16"/>
          <w:szCs w:val="16"/>
          <w:color w:val="auto"/>
        </w:rPr>
      </w:pPr>
      <w:r>
        <w:rPr>
          <w:rFonts w:ascii="Arial" w:cs="Arial" w:eastAsia="Arial" w:hAnsi="Arial"/>
          <w:sz w:val="16"/>
          <w:szCs w:val="16"/>
          <w:color w:val="auto"/>
        </w:rPr>
        <w:t>271,985</w:t>
      </w:r>
    </w:p>
    <w:p>
      <w:pPr>
        <w:spacing w:after="0" w:line="46" w:lineRule="exact"/>
        <w:rPr>
          <w:rFonts w:ascii="Arial" w:cs="Arial" w:eastAsia="Arial" w:hAnsi="Arial"/>
          <w:sz w:val="16"/>
          <w:szCs w:val="16"/>
          <w:color w:val="auto"/>
        </w:rPr>
      </w:pPr>
    </w:p>
    <w:p>
      <w:pPr>
        <w:ind w:left="49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45" w:lineRule="exact"/>
        <w:rPr>
          <w:rFonts w:ascii="Arial" w:cs="Arial" w:eastAsia="Arial" w:hAnsi="Arial"/>
          <w:sz w:val="16"/>
          <w:szCs w:val="16"/>
          <w:color w:val="auto"/>
        </w:rPr>
      </w:pPr>
    </w:p>
    <w:p>
      <w:pPr>
        <w:ind w:left="497"/>
        <w:spacing w:after="0"/>
        <w:rPr>
          <w:rFonts w:ascii="Arial" w:cs="Arial" w:eastAsia="Arial" w:hAnsi="Arial"/>
          <w:sz w:val="16"/>
          <w:szCs w:val="16"/>
          <w:color w:val="auto"/>
        </w:rPr>
      </w:pPr>
      <w:r>
        <w:rPr>
          <w:rFonts w:ascii="Arial" w:cs="Arial" w:eastAsia="Arial" w:hAnsi="Arial"/>
          <w:sz w:val="16"/>
          <w:szCs w:val="16"/>
          <w:color w:val="auto"/>
        </w:rPr>
        <w:t>400,000</w:t>
      </w:r>
    </w:p>
    <w:p>
      <w:pPr>
        <w:spacing w:after="0" w:line="45" w:lineRule="exact"/>
        <w:rPr>
          <w:rFonts w:ascii="Arial" w:cs="Arial" w:eastAsia="Arial" w:hAnsi="Arial"/>
          <w:sz w:val="16"/>
          <w:szCs w:val="16"/>
          <w:color w:val="auto"/>
        </w:rPr>
      </w:pPr>
    </w:p>
    <w:p>
      <w:pPr>
        <w:ind w:left="49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45" w:lineRule="exact"/>
        <w:rPr>
          <w:rFonts w:ascii="Arial" w:cs="Arial" w:eastAsia="Arial" w:hAnsi="Arial"/>
          <w:sz w:val="16"/>
          <w:szCs w:val="16"/>
          <w:color w:val="auto"/>
        </w:rPr>
      </w:pPr>
    </w:p>
    <w:p>
      <w:pPr>
        <w:ind w:left="597"/>
        <w:spacing w:after="0"/>
        <w:rPr>
          <w:rFonts w:ascii="Arial" w:cs="Arial" w:eastAsia="Arial" w:hAnsi="Arial"/>
          <w:sz w:val="16"/>
          <w:szCs w:val="16"/>
          <w:color w:val="auto"/>
        </w:rPr>
      </w:pPr>
      <w:r>
        <w:rPr>
          <w:rFonts w:ascii="Arial" w:cs="Arial" w:eastAsia="Arial" w:hAnsi="Arial"/>
          <w:sz w:val="15"/>
          <w:szCs w:val="15"/>
          <w:color w:val="auto"/>
        </w:rPr>
        <w:t>18,180</w:t>
      </w:r>
    </w:p>
    <w:p>
      <w:pPr>
        <w:spacing w:after="0" w:line="57" w:lineRule="exact"/>
        <w:rPr>
          <w:rFonts w:ascii="Arial" w:cs="Arial" w:eastAsia="Arial" w:hAnsi="Arial"/>
          <w:sz w:val="16"/>
          <w:szCs w:val="16"/>
          <w:color w:val="auto"/>
        </w:rPr>
      </w:pPr>
    </w:p>
    <w:p>
      <w:pPr>
        <w:ind w:left="49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45" w:lineRule="exact"/>
        <w:rPr>
          <w:rFonts w:ascii="Arial" w:cs="Arial" w:eastAsia="Arial" w:hAnsi="Arial"/>
          <w:sz w:val="16"/>
          <w:szCs w:val="16"/>
          <w:color w:val="auto"/>
        </w:rPr>
      </w:pPr>
    </w:p>
    <w:p>
      <w:pPr>
        <w:ind w:left="597"/>
        <w:spacing w:after="0"/>
        <w:rPr>
          <w:rFonts w:ascii="Arial" w:cs="Arial" w:eastAsia="Arial" w:hAnsi="Arial"/>
          <w:sz w:val="16"/>
          <w:szCs w:val="16"/>
          <w:color w:val="auto"/>
        </w:rPr>
      </w:pPr>
      <w:r>
        <w:rPr>
          <w:rFonts w:ascii="Arial" w:cs="Arial" w:eastAsia="Arial" w:hAnsi="Arial"/>
          <w:sz w:val="15"/>
          <w:szCs w:val="15"/>
          <w:color w:val="auto"/>
        </w:rPr>
        <w:t>21,384</w:t>
      </w:r>
    </w:p>
    <w:p>
      <w:pPr>
        <w:spacing w:after="0" w:line="57" w:lineRule="exact"/>
        <w:rPr>
          <w:rFonts w:ascii="Arial" w:cs="Arial" w:eastAsia="Arial" w:hAnsi="Arial"/>
          <w:sz w:val="16"/>
          <w:szCs w:val="16"/>
          <w:color w:val="auto"/>
        </w:rPr>
      </w:pPr>
    </w:p>
    <w:p>
      <w:pPr>
        <w:ind w:left="677"/>
        <w:spacing w:after="0"/>
        <w:rPr>
          <w:rFonts w:ascii="Arial" w:cs="Arial" w:eastAsia="Arial" w:hAnsi="Arial"/>
          <w:sz w:val="16"/>
          <w:szCs w:val="16"/>
          <w:color w:val="auto"/>
        </w:rPr>
      </w:pPr>
      <w:r>
        <w:rPr>
          <w:rFonts w:ascii="Arial" w:cs="Arial" w:eastAsia="Arial" w:hAnsi="Arial"/>
          <w:sz w:val="15"/>
          <w:szCs w:val="15"/>
          <w:color w:val="auto"/>
        </w:rPr>
        <w:t>3,000</w:t>
      </w:r>
    </w:p>
    <w:p>
      <w:pPr>
        <w:spacing w:after="0" w:line="57" w:lineRule="exact"/>
        <w:rPr>
          <w:rFonts w:ascii="Arial" w:cs="Arial" w:eastAsia="Arial" w:hAnsi="Arial"/>
          <w:sz w:val="16"/>
          <w:szCs w:val="16"/>
          <w:color w:val="auto"/>
        </w:rPr>
      </w:pPr>
    </w:p>
    <w:p>
      <w:pPr>
        <w:ind w:left="677"/>
        <w:spacing w:after="0"/>
        <w:rPr>
          <w:rFonts w:ascii="Arial" w:cs="Arial" w:eastAsia="Arial" w:hAnsi="Arial"/>
          <w:sz w:val="16"/>
          <w:szCs w:val="16"/>
          <w:color w:val="auto"/>
        </w:rPr>
      </w:pPr>
      <w:r>
        <w:rPr>
          <w:rFonts w:ascii="Arial" w:cs="Arial" w:eastAsia="Arial" w:hAnsi="Arial"/>
          <w:sz w:val="15"/>
          <w:szCs w:val="15"/>
          <w:color w:val="auto"/>
        </w:rPr>
        <w:t>9,936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454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46" w:lineRule="exact"/>
        <w:rPr>
          <w:sz w:val="20"/>
          <w:szCs w:val="20"/>
          <w:color w:val="auto"/>
        </w:rPr>
      </w:pPr>
    </w:p>
    <w:p>
      <w:pPr>
        <w:ind w:left="357" w:hanging="357"/>
        <w:spacing w:after="0"/>
        <w:tabs>
          <w:tab w:leader="none" w:pos="357"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1,324,485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7454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54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7454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9363" w:space="720"/>
            <w:col w:w="1137"/>
          </w:cols>
          <w:pgMar w:left="320" w:top="989" w:right="359" w:bottom="1440" w:gutter="0" w:footer="0" w:header="0"/>
        </w:sectPr>
      </w:pPr>
    </w:p>
    <w:p>
      <w:pPr>
        <w:spacing w:after="0" w:line="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September 2020, the Company entered into an arrangement with Ayar to issue and sell Series E convertible preferred stock pursuant to a securities purchase agreement (the “SPAE”). Along with the execution of the SPAE, the Company granted Ayar the right to purchase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$2.99 per share of Series E convertible preferred stock. The Company needed to satisfy two sets of milestone conditions relating to further development and enhancement in marketing, product, and administrative activities for Ayar to provide funding under the SPAE.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Immediately upon closing of the SPAE, the Company received the full first tranche of $500.0 million in funding in exchange for 167,273,525 Series 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as the requirement for the first milestones were met prior to execution of the purchase agreement. Subsequently,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successfully satisfied certain of the second set of milestones and received a waiver from PIF for the remaining milestones; and on December 24, 2020,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 provided $400.0 million of funding in exchange for 133,818,821 shares as the final issuance of Series E convertible preferred stock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second milestones. Upon final settlement, the Company re-valued the liability associated with the contingent forward contract to the then fair value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$110.5 million from a contingent liability of $0.8 million and derecognized the liability as the contract was settled in its entirety. The Company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fair value of $109.7 million in the consolidated statements of operations and reclassified the liability into convertible preferred stock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as of December 31, 2020.</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February 2021, the Company and Ayar entered into Amendment No. 1 to the original Series E Preferred Stock Purchase Agreement (“Amendment No. 1”). Under the Amendment No. 1, Ayar and the Company agreed to enter into the third closing of additional 133,818,821 shares of Series E convertible preferred stock at $2.99 per share, aggregating to $400.0 million. Upon the signing of the Amendment No. 1, the Company received the issuance proceeds of $400.0 million from Ayar in February 2021.</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The aggregate number of Series E Preferred Stock sold at the third closing and fourth closing would not exceed 200.7 million shares (“Extension Amount”). Ayar committed to purchase the entire Extension Amount to the extent not subscribed by Eligible Holders or Additional Purchasers.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April 2021, the Company issued 66,909,408 Series E convertible preferred stock from the fourth closing at $2.99 per share for cash consideration of</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includes 535,275 shares offered to the CEO in April 2021. The offer to employees to participate in a future Series E convertible preferred stock financing represented a fully vested, equity classified award. The excess of the award’s fair value over the purchase price of $123.6 million on each recipient’s grant date during the year ended December 31, 2021 was recorded as stock-based compensation.</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27" w:name="page28"/>
    <w:bookmarkEnd w:id="27"/>
    <w:p>
      <w:pPr>
        <w:ind w:right="220"/>
        <w:spacing w:after="0" w:line="277" w:lineRule="auto"/>
        <w:rPr>
          <w:sz w:val="20"/>
          <w:szCs w:val="20"/>
          <w:color w:val="auto"/>
        </w:rPr>
      </w:pPr>
      <w:r>
        <w:rPr>
          <w:rFonts w:ascii="Arial" w:cs="Arial" w:eastAsia="Arial" w:hAnsi="Arial"/>
          <w:sz w:val="18"/>
          <w:szCs w:val="18"/>
          <w:color w:val="auto"/>
        </w:rPr>
        <w:t>Along with the execution of Amendment No. 1, the Company also increased the authorized number of common shares and convertible preferred stock to 1,316,758,889 and 1,155,909,398 stock,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has authorized the issuance of 10,000,000 shares of undesignated preferred stock with a par value of $0.0001 per share with rights and preferences, including voting rights, designated from time to time by the Board of Directors. As of June 30, 2022 and December 31, 2021, there were no issued and outstanding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On July 23, 2021, in connection with the reverse recapitalization treatment of the Merger, the Company effectively issued 425,395,023 new shares of common stock upon the Closing. The Company also converted all 1,155,909,367 shares of its issued and outstanding convertible preferred stock into 1,155,909,367 new shares of common stock as of the Closing of the Merger based upon the conversion rate as calculated pursuant to Legacy Lucid’s memorandum and articles of association. Immediately following the Merger, there were 1,618,621,534 shares of common stock outstanding with a par value of $0.0001. The holder of each share of common stock is entitled to one vote.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41,400,000 publicly-traded warrants to purchase shares of its common stock. Each whole warrant entitled the holder to purchase one share of the Company’s common stock at a price of $11.50 per share. The public warrants were exercisable as of August 22, 2021 and expire on July 23, 2026, if not yet exercised by the holder or redeemed by the Company.</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the year ended December 31, 2021, an aggregate of 41,034,197 public warrants were exercised, of which 25,966,976 were exercised on a cashless basis. The aggregate cash proceeds received from the exercise of these public warrants were $173.3 million. The Company redeemed the remaining 365,803 public warrants that were not exercised by the holders at a redemption price of $0.01 per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of the Company’s issued and outstanding public warrants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680" w:type="dxa"/>
            <w:vAlign w:val="bottom"/>
          </w:tcPr>
          <w:p>
            <w:pPr>
              <w:jc w:val="right"/>
              <w:ind w:right="336"/>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956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r>
      <w:tr>
        <w:trPr>
          <w:trHeight w:val="224"/>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 issued in connection with Merger on July 23, 2021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41,400,000</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Number of public warrants exercised</w:t>
            </w:r>
          </w:p>
        </w:tc>
        <w:tc>
          <w:tcPr>
            <w:tcW w:w="1680" w:type="dxa"/>
            <w:vAlign w:val="bottom"/>
          </w:tcPr>
          <w:p>
            <w:pPr>
              <w:jc w:val="right"/>
              <w:spacing w:after="0"/>
              <w:rPr>
                <w:sz w:val="20"/>
                <w:szCs w:val="20"/>
                <w:color w:val="auto"/>
              </w:rPr>
            </w:pPr>
            <w:r>
              <w:rPr>
                <w:rFonts w:ascii="Arial" w:cs="Arial" w:eastAsia="Arial" w:hAnsi="Arial"/>
                <w:sz w:val="18"/>
                <w:szCs w:val="18"/>
                <w:color w:val="auto"/>
              </w:rPr>
              <w:t>(41,034,197)</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 redeemed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(365,803)</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Issued and outstanding public warrants as of December 31, 2021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52"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In fiscal year 2021, the Company repurchased an aggregate of 857,825 shares of its common stock, including 712,742 shares from certain employees and 145,083 shares from Board of Directors of the Company’s predecessor, Atieva, Inc. at $24.15 per share. No common stock was repurchased for the three and six months ended June 30, 2022 and 2021.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Issuance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reserved for future issuances as of June 30, 2022 and December 31, 2021,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w:t>
            </w: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warrants to purchase common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44,350,000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44,350,000</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Stock options outstanding</w:t>
            </w:r>
          </w:p>
        </w:tc>
        <w:tc>
          <w:tcPr>
            <w:tcW w:w="1280" w:type="dxa"/>
            <w:vAlign w:val="bottom"/>
          </w:tcPr>
          <w:p>
            <w:pPr>
              <w:jc w:val="right"/>
              <w:spacing w:after="0"/>
              <w:rPr>
                <w:sz w:val="20"/>
                <w:szCs w:val="20"/>
                <w:color w:val="auto"/>
              </w:rPr>
            </w:pPr>
            <w:r>
              <w:rPr>
                <w:rFonts w:ascii="Arial" w:cs="Arial" w:eastAsia="Arial" w:hAnsi="Arial"/>
                <w:sz w:val="18"/>
                <w:szCs w:val="18"/>
                <w:color w:val="auto"/>
              </w:rPr>
              <w:t>46,268,897</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64,119,902</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outstanding</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41,975,024</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48,234,611</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Shares available for future grants under equity plans</w:t>
            </w:r>
          </w:p>
        </w:tc>
        <w:tc>
          <w:tcPr>
            <w:tcW w:w="1280" w:type="dxa"/>
            <w:vAlign w:val="bottom"/>
          </w:tcPr>
          <w:p>
            <w:pPr>
              <w:jc w:val="right"/>
              <w:spacing w:after="0"/>
              <w:rPr>
                <w:sz w:val="20"/>
                <w:szCs w:val="20"/>
                <w:color w:val="auto"/>
              </w:rPr>
            </w:pPr>
            <w:r>
              <w:rPr>
                <w:rFonts w:ascii="Arial" w:cs="Arial" w:eastAsia="Arial" w:hAnsi="Arial"/>
                <w:sz w:val="18"/>
                <w:szCs w:val="18"/>
                <w:color w:val="auto"/>
              </w:rPr>
              <w:t>31,744,524</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16,761,960</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If-converted common shares from convertible note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36,737,785</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36,737,785</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shares of common stock reserved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201,076,230</w:t>
            </w: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210,204,258</w:t>
            </w:r>
          </w:p>
        </w:tc>
      </w:tr>
      <w:tr>
        <w:trPr>
          <w:trHeight w:val="20"/>
        </w:trPr>
        <w:tc>
          <w:tcPr>
            <w:tcW w:w="86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9" w:right="339" w:bottom="1440" w:gutter="0" w:footer="0" w:header="0"/>
        </w:sectPr>
      </w:pP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12 – EARNBACK SHARES AND WARRANTS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period between the Closing and the five-year anniversary of the Closing, the Churchill Sponsor has subjected the 17,250,000 Sponsor Earnback Shares of issued and outstanding common stock and 14,783,333 Sponsor Earnback Warrants of issued and outstanding Private Placement Warrants to potential forfeiture to Lucid for no consideration until the occurrence of each tranche’s respective earnback triggering event. The earnback triggering events related to achieving a volume-weighted average trading sale price greater than or equal to $20.00, $25.00, and $30.00, respectively, for any 40 trading days within any 60 consecutive trading day period were satisfied during the year ended December 31, 2021. As a result, the 17,250,000 Sponsor Earnback Shares of issued and outstanding common stock and 14,783,333 Sponsor Earnback Warrants of issued and outstanding Private Placement Warrants were vested and no longer subject to the transfer restrictions and contingent forfeiture provisions.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six months ended June 30, 2022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Outstanding Options</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40" w:type="dxa"/>
            <w:vAlign w:val="bottom"/>
          </w:tcPr>
          <w:p>
            <w:pPr>
              <w:spacing w:after="0"/>
              <w:rPr>
                <w:sz w:val="13"/>
                <w:szCs w:val="13"/>
                <w:color w:val="auto"/>
              </w:rPr>
            </w:pPr>
          </w:p>
        </w:tc>
        <w:tc>
          <w:tcPr>
            <w:tcW w:w="11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Weighted Average</w:t>
            </w:r>
          </w:p>
        </w:tc>
        <w:tc>
          <w:tcPr>
            <w:tcW w:w="19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13"/>
                <w:szCs w:val="13"/>
                <w:color w:val="auto"/>
              </w:rPr>
            </w:pPr>
          </w:p>
        </w:tc>
        <w:tc>
          <w:tcPr>
            <w:tcW w:w="138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7"/>
              </w:rPr>
              <w:t>Intrinsic Value (in</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1180" w:type="dxa"/>
            <w:vAlign w:val="bottom"/>
          </w:tcPr>
          <w:p>
            <w:pPr>
              <w:jc w:val="right"/>
              <w:ind w:right="255"/>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w:t>
            </w:r>
          </w:p>
        </w:tc>
        <w:tc>
          <w:tcPr>
            <w:tcW w:w="180" w:type="dxa"/>
            <w:vAlign w:val="bottom"/>
          </w:tcPr>
          <w:p>
            <w:pPr>
              <w:spacing w:after="0"/>
              <w:rPr>
                <w:sz w:val="16"/>
                <w:szCs w:val="16"/>
                <w:color w:val="auto"/>
              </w:rPr>
            </w:pPr>
          </w:p>
        </w:tc>
        <w:tc>
          <w:tcPr>
            <w:tcW w:w="1380" w:type="dxa"/>
            <w:vAlign w:val="bottom"/>
          </w:tcPr>
          <w:p>
            <w:pPr>
              <w:jc w:val="right"/>
              <w:ind w:right="357"/>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4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64,119,902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2,370,666</w:t>
            </w:r>
          </w:p>
        </w:tc>
        <w:tc>
          <w:tcPr>
            <w:tcW w:w="0" w:type="dxa"/>
            <w:vAlign w:val="bottom"/>
          </w:tcPr>
          <w:p>
            <w:pPr>
              <w:spacing w:after="0"/>
              <w:rPr>
                <w:sz w:val="1"/>
                <w:szCs w:val="1"/>
                <w:color w:val="auto"/>
              </w:rPr>
            </w:pPr>
          </w:p>
        </w:tc>
      </w:tr>
      <w:tr>
        <w:trPr>
          <w:trHeight w:val="237"/>
        </w:trPr>
        <w:tc>
          <w:tcPr>
            <w:tcW w:w="524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(16,195,326)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(1,655,679)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1.85</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46,268,897</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742,613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ind w:left="20"/>
              <w:spacing w:after="0"/>
              <w:rPr>
                <w:sz w:val="20"/>
                <w:szCs w:val="20"/>
                <w:color w:val="auto"/>
              </w:rPr>
            </w:pPr>
            <w:r>
              <w:rPr>
                <w:rFonts w:ascii="Arial" w:cs="Arial" w:eastAsia="Arial" w:hAnsi="Arial"/>
                <w:sz w:val="18"/>
                <w:szCs w:val="18"/>
                <w:color w:val="auto"/>
              </w:rPr>
              <w:t>Options vested and exercisable June 30, 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31,731,833</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0.93</w:t>
            </w:r>
          </w:p>
        </w:tc>
        <w:tc>
          <w:tcPr>
            <w:tcW w:w="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515,722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As of June 30, 2022, unrecognized stock-based compensation cost related to outstanding unvested stock options that are expected to vest was $8.6 million, which is expected to be recognized over a weighted-average period of 2.1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award activity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Performance-Based</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Time-Based Shares</w:t>
            </w:r>
          </w:p>
        </w:tc>
        <w:tc>
          <w:tcPr>
            <w:tcW w:w="1360" w:type="dxa"/>
            <w:vAlign w:val="bottom"/>
            <w:gridSpan w:val="2"/>
            <w:vMerge w:val="continue"/>
          </w:tcPr>
          <w:p>
            <w:pPr>
              <w:spacing w:after="0"/>
              <w:rPr>
                <w:sz w:val="11"/>
                <w:szCs w:val="11"/>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 Shares</w:t>
            </w:r>
          </w:p>
        </w:tc>
        <w:tc>
          <w:tcPr>
            <w:tcW w:w="120" w:type="dxa"/>
            <w:vAlign w:val="bottom"/>
          </w:tcPr>
          <w:p>
            <w:pPr>
              <w:spacing w:after="0"/>
              <w:rPr>
                <w:sz w:val="11"/>
                <w:szCs w:val="11"/>
                <w:color w:val="auto"/>
              </w:rPr>
            </w:pPr>
          </w:p>
        </w:tc>
        <w:tc>
          <w:tcPr>
            <w:tcW w:w="116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2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5"/>
              </w:rPr>
              <w:t>32,210,200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16,024,411</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48,234,611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ind w:left="420"/>
              <w:spacing w:after="0"/>
              <w:rPr>
                <w:sz w:val="20"/>
                <w:szCs w:val="20"/>
                <w:color w:val="auto"/>
              </w:rPr>
            </w:pPr>
            <w:r>
              <w:rPr>
                <w:rFonts w:ascii="Arial" w:cs="Arial" w:eastAsia="Arial" w:hAnsi="Arial"/>
                <w:sz w:val="18"/>
                <w:szCs w:val="18"/>
                <w:color w:val="auto"/>
                <w:w w:val="93"/>
              </w:rPr>
              <w:t>11,441,063</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11,441,063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(2,616,301)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(13,934,271)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(16,550,572)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280" w:type="dxa"/>
            <w:vAlign w:val="bottom"/>
          </w:tcPr>
          <w:p>
            <w:pPr>
              <w:ind w:left="420"/>
              <w:spacing w:after="0"/>
              <w:rPr>
                <w:sz w:val="20"/>
                <w:szCs w:val="20"/>
                <w:color w:val="auto"/>
              </w:rPr>
            </w:pPr>
            <w:r>
              <w:rPr>
                <w:rFonts w:ascii="Arial" w:cs="Arial" w:eastAsia="Arial" w:hAnsi="Arial"/>
                <w:sz w:val="18"/>
                <w:szCs w:val="18"/>
                <w:color w:val="auto"/>
                <w:w w:val="91"/>
              </w:rPr>
              <w:t>(1,150,078)</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(1,150,078)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12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5"/>
              </w:rPr>
              <w:t>39,884,884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2,090,140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41,975,024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As of June 30, 2022, unrecognized stock-based compensation cost related to outstanding unvested time-based RSUs that are expected to vest was $563.3 million, which is expected to be recognized over a weighted-average period of 2.9 years.</w:t>
      </w:r>
    </w:p>
    <w:p>
      <w:pPr>
        <w:spacing w:after="0" w:line="18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All performance-based RSUs granted to the CEO are subject to performance and market conditions. The performance condition was satisfied upon the closing of the Merger. The fair value of these performance-based RSUs was measured on the grant date, March 27, 2021, using a Monte Carlo simulation model,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volatility</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4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488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9" w:name="page30"/>
    <w:bookmarkEnd w:id="29"/>
    <w:p>
      <w:pPr>
        <w:ind w:right="100"/>
        <w:spacing w:after="0" w:line="285" w:lineRule="auto"/>
        <w:rPr>
          <w:sz w:val="20"/>
          <w:szCs w:val="20"/>
          <w:color w:val="auto"/>
        </w:rPr>
      </w:pPr>
      <w:r>
        <w:rPr>
          <w:rFonts w:ascii="Arial" w:cs="Arial" w:eastAsia="Arial" w:hAnsi="Arial"/>
          <w:sz w:val="16"/>
          <w:szCs w:val="16"/>
          <w:color w:val="auto"/>
        </w:rPr>
        <w:t>The Company recognizes compensation expense on a graded vesting schedule over the requisite vesting period for the time-based awards and over the derived service period for the CEO performance-based awards. Stock-based compensation expense is recognized when the relevant performance condition is considered probable of achievement for the performance-based award. During the six months ended June 30, 2022, the market capitalization condition was met for the CEO performance-based awards for four of the five tranches and certified by the Board of Directors, representing an aggregate of 13,934,271 performance RSUs. We recorded stock-based compensation expense of $85.4 million for the four tranches during the six months ended</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June 30, 2022, and no such expense was recognized in the same period in the prior year. As of June 30, 2022, the unamortized expense for the fifth tranche, representing 2,090,140 RSUs, was $13.9 million which will be recognized over a period of 1.2 years. For the three and six months ended June 30, 2022, the Company withheld approximately 0.5 million and 8.5 million shares of common stock, respectively, by net settlement to meet the related tax withholding requirements related to the CEO time-based and performance-based RSUs.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ESPP authorizes the issuance of shares of common stock pursuant to purchase rights granted to employees. The purchase price for each share purchased during an offering period will be the lesser of 85% of the fair market value of the share on the purchase date or 85% of the fair market value of the share on the offering date. As of June 30, 2022, unrecognized stock-based compensation cost related to the ESPP was $35.9 million, which is expected to be recognized over a weighted-average period of 1.9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employee and nonemployee stock-based compensation expense for the three and six months ended June 30, 2022 and 2021, was classified in the condensed consolidated statements of operations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6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8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88,976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26,703</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160,987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102,541</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268,943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129,244</w:t>
            </w:r>
          </w:p>
        </w:tc>
      </w:tr>
      <w:tr>
        <w:trPr>
          <w:trHeight w:val="21"/>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Total stock-based compensation expense for the three and six months ended June 30, 2021 included the $20.7 million and $123.6 million share-based compensation expense, respectively, related to the Series E convertible preferred shares issuance in March 2021 and April 2021. Refer to Note 7 “Contingent Forward Contracts” and Note 10 “Convertible Preferred Stock” for further detail.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has entered into various non-cancellable operating and finance lease agreements for certain of the Company’s offices, manufacturing and warehouse facilities, retail and service locations, equipment and vehicles, worldwide.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ind w:right="20"/>
        <w:spacing w:after="0" w:line="277" w:lineRule="auto"/>
        <w:rPr>
          <w:sz w:val="20"/>
          <w:szCs w:val="20"/>
          <w:color w:val="auto"/>
        </w:rPr>
      </w:pPr>
      <w:r>
        <w:rPr>
          <w:rFonts w:ascii="Arial" w:cs="Arial" w:eastAsia="Arial" w:hAnsi="Arial"/>
          <w:sz w:val="18"/>
          <w:szCs w:val="18"/>
          <w:color w:val="auto"/>
        </w:rPr>
        <w:t>The balances for the operating and finance leases where the Company is the lessee are presented as follows within the Company’s condensed consolidated balance sheets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1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198,207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161,974</w:t>
            </w:r>
          </w:p>
        </w:tc>
      </w:tr>
      <w:tr>
        <w:trPr>
          <w:trHeight w:val="270"/>
        </w:trPr>
        <w:tc>
          <w:tcPr>
            <w:tcW w:w="8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0"/>
        </w:trPr>
        <w:tc>
          <w:tcPr>
            <w:tcW w:w="860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11,721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11,056</w:t>
            </w:r>
          </w:p>
        </w:tc>
      </w:tr>
      <w:tr>
        <w:trPr>
          <w:trHeight w:val="229"/>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222,457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185,323</w:t>
            </w:r>
          </w:p>
        </w:tc>
      </w:tr>
      <w:tr>
        <w:trPr>
          <w:trHeight w:val="223"/>
        </w:trPr>
        <w:tc>
          <w:tcPr>
            <w:tcW w:w="860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234,178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196,379</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w:t>
            </w:r>
          </w:p>
        </w:tc>
      </w:tr>
      <w:tr>
        <w:trPr>
          <w:trHeight w:val="223"/>
        </w:trPr>
        <w:tc>
          <w:tcPr>
            <w:tcW w:w="8600" w:type="dxa"/>
            <w:vAlign w:val="bottom"/>
          </w:tcPr>
          <w:p>
            <w:pPr>
              <w:ind w:left="240"/>
              <w:spacing w:after="0"/>
              <w:rPr>
                <w:sz w:val="20"/>
                <w:szCs w:val="20"/>
                <w:color w:val="auto"/>
              </w:rPr>
            </w:pPr>
            <w:r>
              <w:rPr>
                <w:rFonts w:ascii="Arial" w:cs="Arial" w:eastAsia="Arial" w:hAnsi="Arial"/>
                <w:sz w:val="18"/>
                <w:szCs w:val="18"/>
                <w:color w:val="auto"/>
              </w:rPr>
              <w:t>Total finance lease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10,567</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Finance lease liabilities, current portion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4,657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4,183</w:t>
            </w:r>
          </w:p>
        </w:tc>
      </w:tr>
      <w:tr>
        <w:trPr>
          <w:trHeight w:val="229"/>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 liabilities, net of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223"/>
        </w:trPr>
        <w:tc>
          <w:tcPr>
            <w:tcW w:w="8600" w:type="dxa"/>
            <w:vAlign w:val="bottom"/>
          </w:tcPr>
          <w:p>
            <w:pPr>
              <w:ind w:left="240"/>
              <w:spacing w:after="0"/>
              <w:rPr>
                <w:sz w:val="20"/>
                <w:szCs w:val="20"/>
                <w:color w:val="auto"/>
              </w:rPr>
            </w:pPr>
            <w:r>
              <w:rPr>
                <w:rFonts w:ascii="Arial" w:cs="Arial" w:eastAsia="Arial" w:hAnsi="Arial"/>
                <w:sz w:val="18"/>
                <w:szCs w:val="18"/>
                <w:color w:val="auto"/>
              </w:rPr>
              <w:t>Total finance lease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10,266</w:t>
            </w:r>
          </w:p>
        </w:tc>
      </w:tr>
      <w:tr>
        <w:trPr>
          <w:trHeight w:val="21"/>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within the Company’s condensed consolidated statement of operations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6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8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1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expense: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58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3"/>
                <w:szCs w:val="23"/>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10,749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7,219</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20,327</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13,522</w:t>
            </w:r>
          </w:p>
        </w:tc>
      </w:tr>
      <w:tr>
        <w:trPr>
          <w:trHeight w:val="230"/>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Variable lease expense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57"/>
        </w:trPr>
        <w:tc>
          <w:tcPr>
            <w:tcW w:w="5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 expense: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Amortization of leased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2,229</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1,232</w:t>
            </w:r>
          </w:p>
        </w:tc>
      </w:tr>
      <w:tr>
        <w:trPr>
          <w:trHeight w:val="230"/>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on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3"/>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finance lease expense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12,923</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16,126</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9"/>
          <w:szCs w:val="9"/>
          <w:color w:val="auto"/>
        </w:rPr>
      </w:pPr>
      <w:r>
        <w:rPr>
          <w:rFonts w:ascii="Arial" w:cs="Arial" w:eastAsia="Arial" w:hAnsi="Arial"/>
          <w:sz w:val="14"/>
          <w:szCs w:val="14"/>
          <w:color w:val="auto"/>
        </w:rPr>
        <w:t>Includes short-term leases, which are immaterial.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where the Company is the lessee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8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w:t>
            </w:r>
          </w:p>
        </w:tc>
        <w:tc>
          <w:tcPr>
            <w:tcW w:w="142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4720" w:type="dxa"/>
            <w:vAlign w:val="bottom"/>
          </w:tcPr>
          <w:p>
            <w:pPr>
              <w:spacing w:after="0"/>
              <w:rPr>
                <w:sz w:val="16"/>
                <w:szCs w:val="16"/>
                <w:color w:val="auto"/>
              </w:rPr>
            </w:pPr>
          </w:p>
        </w:tc>
        <w:tc>
          <w:tcPr>
            <w:tcW w:w="502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211"/>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36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4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7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36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10.46 %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10.98 %</w:t>
            </w:r>
          </w:p>
        </w:tc>
      </w:tr>
      <w:tr>
        <w:trPr>
          <w:trHeight w:val="229"/>
        </w:trPr>
        <w:tc>
          <w:tcPr>
            <w:tcW w:w="4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5.58 %</w:t>
            </w:r>
          </w:p>
        </w:tc>
      </w:tr>
      <w:tr>
        <w:trPr>
          <w:trHeight w:val="567"/>
        </w:trPr>
        <w:tc>
          <w:tcPr>
            <w:tcW w:w="4720" w:type="dxa"/>
            <w:vAlign w:val="bottom"/>
          </w:tcPr>
          <w:p>
            <w:pPr>
              <w:spacing w:after="0"/>
              <w:rPr>
                <w:sz w:val="24"/>
                <w:szCs w:val="24"/>
                <w:color w:val="auto"/>
              </w:rPr>
            </w:pPr>
          </w:p>
        </w:tc>
        <w:tc>
          <w:tcPr>
            <w:tcW w:w="3620" w:type="dxa"/>
            <w:vAlign w:val="bottom"/>
          </w:tcPr>
          <w:p>
            <w:pPr>
              <w:jc w:val="right"/>
              <w:ind w:right="2533"/>
              <w:spacing w:after="0"/>
              <w:rPr>
                <w:sz w:val="20"/>
                <w:szCs w:val="20"/>
                <w:color w:val="auto"/>
              </w:rPr>
            </w:pPr>
            <w:r>
              <w:rPr>
                <w:rFonts w:ascii="Arial" w:cs="Arial" w:eastAsia="Arial" w:hAnsi="Arial"/>
                <w:sz w:val="18"/>
                <w:szCs w:val="18"/>
                <w:color w:val="auto"/>
              </w:rPr>
              <w:t>31</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29"/>
        </w:trPr>
        <w:tc>
          <w:tcPr>
            <w:tcW w:w="4720" w:type="dxa"/>
            <w:vAlign w:val="bottom"/>
            <w:tcBorders>
              <w:bottom w:val="single" w:sz="8" w:color="9A9A9A"/>
            </w:tcBorders>
          </w:tcPr>
          <w:p>
            <w:pPr>
              <w:spacing w:after="0"/>
              <w:rPr>
                <w:sz w:val="11"/>
                <w:szCs w:val="11"/>
                <w:color w:val="auto"/>
              </w:rPr>
            </w:pPr>
          </w:p>
        </w:tc>
        <w:tc>
          <w:tcPr>
            <w:tcW w:w="362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As of June 30, 2022, the maturities of the Company’s operating and finance lease liabilities (excluding short-term leases) were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Finance Leases</w:t>
            </w:r>
          </w:p>
        </w:tc>
      </w:tr>
      <w:tr>
        <w:trPr>
          <w:trHeight w:val="229"/>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(remainder of the year)</w:t>
            </w: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4,782</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46,401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165,176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(126,735)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obligations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 of lease obligations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222,457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June 30, 2022 and December 31, 2021, the Company had $746.7 million and $286.0 million, respectively, in commitments related to the Arizona manufacturing plant and equipment. These commitments represent future expected payments on open purchase orders entered into as of June 30, 2022 and December 31, 2021.</w:t>
      </w:r>
    </w:p>
    <w:p>
      <w:pPr>
        <w:spacing w:after="0" w:line="181" w:lineRule="exact"/>
        <w:rPr>
          <w:sz w:val="20"/>
          <w:szCs w:val="20"/>
          <w:color w:val="auto"/>
        </w:rPr>
      </w:pPr>
    </w:p>
    <w:p>
      <w:pPr>
        <w:ind w:right="260"/>
        <w:spacing w:after="0" w:line="242"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 Company entered into a non-cancellable long-term commitment to purchase certain inventory components. The estimated future payments having a</w:t>
      </w:r>
      <w:r>
        <w:rPr>
          <w:rFonts w:ascii="Arial" w:cs="Arial" w:eastAsia="Arial" w:hAnsi="Arial"/>
          <w:sz w:val="20"/>
          <w:szCs w:val="20"/>
          <w:color w:val="auto"/>
        </w:rPr>
        <w:t xml:space="preserve"> </w:t>
      </w:r>
      <w:r>
        <w:rPr>
          <w:rFonts w:ascii="Arial" w:cs="Arial" w:eastAsia="Arial" w:hAnsi="Arial"/>
          <w:sz w:val="17"/>
          <w:szCs w:val="17"/>
          <w:color w:val="auto"/>
        </w:rPr>
        <w:t>remaining term in excess of one year as of June 30, 2022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78"/>
              <w:spacing w:after="0"/>
              <w:rPr>
                <w:sz w:val="20"/>
                <w:szCs w:val="20"/>
                <w:color w:val="auto"/>
              </w:rPr>
            </w:pPr>
            <w:r>
              <w:rPr>
                <w:rFonts w:ascii="Arial" w:cs="Arial" w:eastAsia="Arial" w:hAnsi="Arial"/>
                <w:sz w:val="14"/>
                <w:szCs w:val="14"/>
                <w:b w:val="1"/>
                <w:bCs w:val="1"/>
                <w:color w:val="auto"/>
                <w:w w:val="97"/>
              </w:rPr>
              <w:t>Minimum</w:t>
            </w:r>
          </w:p>
        </w:tc>
        <w:tc>
          <w:tcPr>
            <w:tcW w:w="0" w:type="dxa"/>
            <w:vAlign w:val="bottom"/>
          </w:tcPr>
          <w:p>
            <w:pPr>
              <w:spacing w:after="0"/>
              <w:rPr>
                <w:sz w:val="1"/>
                <w:szCs w:val="1"/>
                <w:color w:val="auto"/>
              </w:rPr>
            </w:pPr>
          </w:p>
        </w:tc>
      </w:tr>
      <w:tr>
        <w:trPr>
          <w:trHeight w:val="135"/>
        </w:trPr>
        <w:tc>
          <w:tcPr>
            <w:tcW w:w="9960" w:type="dxa"/>
            <w:vAlign w:val="bottom"/>
            <w:vMerge w:val="restart"/>
          </w:tcPr>
          <w:p>
            <w:pPr>
              <w:ind w:left="20"/>
              <w:spacing w:after="0"/>
              <w:rPr>
                <w:sz w:val="20"/>
                <w:szCs w:val="20"/>
                <w:color w:val="auto"/>
              </w:rPr>
            </w:pPr>
            <w:r>
              <w:rPr>
                <w:rFonts w:ascii="Arial" w:cs="Arial" w:eastAsia="Arial" w:hAnsi="Arial"/>
                <w:sz w:val="18"/>
                <w:szCs w:val="18"/>
                <w:color w:val="auto"/>
              </w:rPr>
              <w:t>Years ended December 31,</w:t>
            </w:r>
          </w:p>
        </w:tc>
        <w:tc>
          <w:tcPr>
            <w:tcW w:w="160" w:type="dxa"/>
            <w:vAlign w:val="bottom"/>
          </w:tcPr>
          <w:p>
            <w:pPr>
              <w:spacing w:after="0"/>
              <w:rPr>
                <w:sz w:val="11"/>
                <w:szCs w:val="11"/>
                <w:color w:val="auto"/>
              </w:rPr>
            </w:pPr>
          </w:p>
        </w:tc>
        <w:tc>
          <w:tcPr>
            <w:tcW w:w="112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89"/>
        </w:trPr>
        <w:tc>
          <w:tcPr>
            <w:tcW w:w="99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223"/>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0" w:type="dxa"/>
            <w:vAlign w:val="bottom"/>
          </w:tcPr>
          <w:p>
            <w:pPr>
              <w:spacing w:after="0"/>
              <w:rPr>
                <w:sz w:val="1"/>
                <w:szCs w:val="1"/>
                <w:color w:val="auto"/>
              </w:rPr>
            </w:pPr>
          </w:p>
        </w:tc>
      </w:tr>
      <w:tr>
        <w:trPr>
          <w:trHeight w:val="230"/>
        </w:trPr>
        <w:tc>
          <w:tcPr>
            <w:tcW w:w="996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42,900</w:t>
            </w:r>
          </w:p>
        </w:tc>
        <w:tc>
          <w:tcPr>
            <w:tcW w:w="0" w:type="dxa"/>
            <w:vAlign w:val="bottom"/>
          </w:tcPr>
          <w:p>
            <w:pPr>
              <w:spacing w:after="0"/>
              <w:rPr>
                <w:sz w:val="1"/>
                <w:szCs w:val="1"/>
                <w:color w:val="auto"/>
              </w:rPr>
            </w:pPr>
          </w:p>
        </w:tc>
      </w:tr>
      <w:tr>
        <w:trPr>
          <w:trHeight w:val="230"/>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49,800</w:t>
            </w:r>
          </w:p>
        </w:tc>
        <w:tc>
          <w:tcPr>
            <w:tcW w:w="0" w:type="dxa"/>
            <w:vAlign w:val="bottom"/>
          </w:tcPr>
          <w:p>
            <w:pPr>
              <w:spacing w:after="0"/>
              <w:rPr>
                <w:sz w:val="1"/>
                <w:szCs w:val="1"/>
                <w:color w:val="auto"/>
              </w:rPr>
            </w:pPr>
          </w:p>
        </w:tc>
      </w:tr>
      <w:tr>
        <w:trPr>
          <w:trHeight w:val="223"/>
        </w:trPr>
        <w:tc>
          <w:tcPr>
            <w:tcW w:w="99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124,200</w:t>
            </w:r>
          </w:p>
        </w:tc>
        <w:tc>
          <w:tcPr>
            <w:tcW w:w="0" w:type="dxa"/>
            <w:vAlign w:val="bottom"/>
          </w:tcPr>
          <w:p>
            <w:pPr>
              <w:spacing w:after="0"/>
              <w:rPr>
                <w:sz w:val="1"/>
                <w:szCs w:val="1"/>
                <w:color w:val="auto"/>
              </w:rPr>
            </w:pPr>
          </w:p>
        </w:tc>
      </w:tr>
      <w:tr>
        <w:trPr>
          <w:trHeight w:val="20"/>
        </w:trPr>
        <w:tc>
          <w:tcPr>
            <w:tcW w:w="9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From time to 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ind w:right="40"/>
        <w:spacing w:after="0" w:line="259" w:lineRule="auto"/>
        <w:rPr>
          <w:sz w:val="20"/>
          <w:szCs w:val="20"/>
          <w:color w:val="auto"/>
        </w:rPr>
      </w:pPr>
      <w:r>
        <w:rPr>
          <w:rFonts w:ascii="Arial" w:cs="Arial" w:eastAsia="Arial" w:hAnsi="Arial"/>
          <w:sz w:val="18"/>
          <w:szCs w:val="18"/>
          <w:color w:val="auto"/>
        </w:rPr>
        <w:t>On December 3, 2021, the Company received a subpoena from the Securities and Exchange Commission (the “SEC”) requesting the production of certain documents related to an investigation by the SEC. Although there is no assurance as to the scope or outcome of this matter, the investigation appears to concern the merger between Churchill Capital Corp. IV and Atieva, Inc. and certain projections and statements. The Company is cooperating fully with the SEC in its review.</w:t>
      </w:r>
    </w:p>
    <w:p>
      <w:pPr>
        <w:spacing w:after="0" w:line="18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Arial" w:cs="Arial" w:eastAsia="Arial" w:hAnsi="Arial"/>
          <w:sz w:val="16"/>
          <w:szCs w:val="16"/>
          <w:i w:val="1"/>
          <w:iCs w:val="1"/>
          <w:color w:val="auto"/>
        </w:rPr>
        <w:t>Victor W. Mangino v. Lucid Group, Inc., et al.</w:t>
      </w:r>
      <w:r>
        <w:rPr>
          <w:rFonts w:ascii="Arial" w:cs="Arial" w:eastAsia="Arial" w:hAnsi="Arial"/>
          <w:sz w:val="16"/>
          <w:szCs w:val="16"/>
          <w:color w:val="auto"/>
        </w:rPr>
        <w:t xml:space="preserve">, Case No. 3:22-cv-02094-JD, and </w:t>
      </w:r>
      <w:r>
        <w:rPr>
          <w:rFonts w:ascii="Arial" w:cs="Arial" w:eastAsia="Arial" w:hAnsi="Arial"/>
          <w:sz w:val="16"/>
          <w:szCs w:val="16"/>
          <w:i w:val="1"/>
          <w:iCs w:val="1"/>
          <w:color w:val="auto"/>
        </w:rPr>
        <w:t>Anant Goel v. Lucid Group, Inc., et al.</w:t>
      </w:r>
      <w:r>
        <w:rPr>
          <w:rFonts w:ascii="Arial" w:cs="Arial" w:eastAsia="Arial" w:hAnsi="Arial"/>
          <w:sz w:val="16"/>
          <w:szCs w:val="16"/>
          <w:color w:val="auto"/>
        </w:rPr>
        <w:t>, Case No. 3:22-cv-03176-JD. The complaints name as defendants Lucid Group, Inc. and the Company’s chief executive officer and chief financial officer, and generally allege that defendants purportedly made false or misleading statements regarding delivery and revenue projections and related matters. The complaints in these actions seek certification of the actions as class actions, as well as compensatory damages, interest thereon, and attorneys’ fees and expenses.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Arial" w:cs="Arial" w:eastAsia="Arial" w:hAnsi="Arial"/>
          <w:sz w:val="17"/>
          <w:szCs w:val="17"/>
          <w:i w:val="1"/>
          <w:iCs w:val="1"/>
          <w:color w:val="auto"/>
        </w:rPr>
        <w:t>Floyd Taylor v. Glenn August, et al.</w:t>
      </w:r>
      <w:r>
        <w:rPr>
          <w:rFonts w:ascii="Arial" w:cs="Arial" w:eastAsia="Arial" w:hAnsi="Arial"/>
          <w:sz w:val="17"/>
          <w:szCs w:val="17"/>
          <w:color w:val="auto"/>
        </w:rPr>
        <w:t xml:space="preserve">, Superior Court, Alameda County, Case No. 22CV014130. The complaint also names the Company as a nominal defendant. Based on allegations that are similar to those in the </w:t>
      </w:r>
      <w:r>
        <w:rPr>
          <w:rFonts w:ascii="Arial" w:cs="Arial" w:eastAsia="Arial" w:hAnsi="Arial"/>
          <w:sz w:val="17"/>
          <w:szCs w:val="17"/>
          <w:i w:val="1"/>
          <w:iCs w:val="1"/>
          <w:color w:val="auto"/>
        </w:rPr>
        <w:t>Mangino</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Goel </w:t>
      </w:r>
      <w:r>
        <w:rPr>
          <w:rFonts w:ascii="Arial" w:cs="Arial" w:eastAsia="Arial" w:hAnsi="Arial"/>
          <w:sz w:val="17"/>
          <w:szCs w:val="17"/>
          <w:color w:val="auto"/>
        </w:rPr>
        <w:t>actions, the</w:t>
      </w:r>
      <w:r>
        <w:rPr>
          <w:rFonts w:ascii="Arial" w:cs="Arial" w:eastAsia="Arial" w:hAnsi="Arial"/>
          <w:sz w:val="17"/>
          <w:szCs w:val="17"/>
          <w:i w:val="1"/>
          <w:iCs w:val="1"/>
          <w:color w:val="auto"/>
        </w:rPr>
        <w:t xml:space="preserve"> Taylor </w:t>
      </w:r>
      <w:r>
        <w:rPr>
          <w:rFonts w:ascii="Arial" w:cs="Arial" w:eastAsia="Arial" w:hAnsi="Arial"/>
          <w:sz w:val="17"/>
          <w:szCs w:val="17"/>
          <w:color w:val="auto"/>
        </w:rPr>
        <w:t>complaint asserts claims for breach of fiduciary duty, unjust enrichment, waste of corporate assets and aiding and abetting breach</w:t>
      </w:r>
      <w:r>
        <w:rPr>
          <w:rFonts w:ascii="Arial" w:cs="Arial" w:eastAsia="Arial" w:hAnsi="Arial"/>
          <w:sz w:val="17"/>
          <w:szCs w:val="17"/>
          <w:i w:val="1"/>
          <w:iCs w:val="1"/>
          <w:color w:val="auto"/>
        </w:rPr>
        <w:t xml:space="preserve"> </w:t>
      </w:r>
      <w:r>
        <w:rPr>
          <w:rFonts w:ascii="Arial" w:cs="Arial" w:eastAsia="Arial" w:hAnsi="Arial"/>
          <w:sz w:val="17"/>
          <w:szCs w:val="17"/>
          <w:color w:val="auto"/>
        </w:rPr>
        <w:t>of fiduciary duty. The complaint seek compensatory damages, punitive damages, interest, and attorneys’ fees and expenses. To the Company’s understanding, the matter has not been served on any defendant to date.</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$43.9 million and $30.4 million as of June 30, 2022 and December 31, 2021, respectively, for which no liabilities are recorded on the condensed consolidated balance sheets.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16 -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 xml:space="preserve">The Company's provision from income taxes for interim periods is determined using its effective tax rate that </w:t>
      </w:r>
      <w:r>
        <w:rPr>
          <w:rFonts w:ascii="Arial" w:cs="Arial" w:eastAsia="Arial" w:hAnsi="Arial"/>
          <w:sz w:val="18"/>
          <w:szCs w:val="18"/>
          <w:color w:val="000000"/>
        </w:rPr>
        <w:t>arise during the period. The Company's</w:t>
      </w:r>
      <w:r>
        <w:rPr>
          <w:rFonts w:ascii="Arial" w:cs="Arial" w:eastAsia="Arial" w:hAnsi="Arial"/>
          <w:sz w:val="18"/>
          <w:szCs w:val="18"/>
          <w:color w:val="231F20"/>
        </w:rPr>
        <w:t xml:space="preserve"> </w:t>
      </w:r>
      <w:r>
        <w:rPr>
          <w:rFonts w:ascii="Arial" w:cs="Arial" w:eastAsia="Arial" w:hAnsi="Arial"/>
          <w:sz w:val="18"/>
          <w:szCs w:val="18"/>
          <w:color w:val="000000"/>
        </w:rPr>
        <w:t>quarterly tax provision is subject to variation due to several factors, including variability in pre-tax income (or loss), the mix of jurisdictions to which such income relates, changes in how the Company does business, and tax law developments.</w:t>
      </w:r>
    </w:p>
    <w:p>
      <w:pPr>
        <w:spacing w:after="0" w:line="18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Company's effective tax rate for the three and six months ended June 30, 2022 and the same periods in the prior year differs from the U.S. statutory rate of 21% as a result of our U.S. losses for which no benefit will be realized, as well as state taxes and our foreign operations which are subject to tax rates that differ from those in the United States. The Company recorded an income tax provision for the three and six months ended June 30, 2022 of $68 thousand and $391 thousand, respectively, as compared to $5 thousand and $9 thousand for the same periods in the prior year. The increase in the income tax provision was driven by the increased activities in foreign jurisdictions. This resulted in an effective tax rate of 0.0% and (0.1)%, respectively, for the three and six months ended June 30, 2022, and 0.0% for the same periods in the prior year.</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There we</w:t>
      </w:r>
      <w:r>
        <w:rPr>
          <w:rFonts w:ascii="Arial" w:cs="Arial" w:eastAsia="Arial" w:hAnsi="Arial"/>
          <w:sz w:val="18"/>
          <w:szCs w:val="18"/>
          <w:color w:val="000000"/>
        </w:rPr>
        <w:t>re no material ch</w:t>
      </w:r>
      <w:r>
        <w:rPr>
          <w:rFonts w:ascii="Arial" w:cs="Arial" w:eastAsia="Arial" w:hAnsi="Arial"/>
          <w:sz w:val="18"/>
          <w:szCs w:val="18"/>
          <w:color w:val="231F20"/>
        </w:rPr>
        <w:t xml:space="preserve">anges to the Company’s unrecognized tax benefits during the </w:t>
      </w:r>
      <w:r>
        <w:rPr>
          <w:rFonts w:ascii="Arial" w:cs="Arial" w:eastAsia="Arial" w:hAnsi="Arial"/>
          <w:sz w:val="18"/>
          <w:szCs w:val="18"/>
          <w:color w:val="000000"/>
        </w:rPr>
        <w:t>three and six</w:t>
      </w:r>
      <w:r>
        <w:rPr>
          <w:rFonts w:ascii="Arial" w:cs="Arial" w:eastAsia="Arial" w:hAnsi="Arial"/>
          <w:sz w:val="18"/>
          <w:szCs w:val="18"/>
          <w:color w:val="231F20"/>
        </w:rPr>
        <w:t xml:space="preserve"> months ended </w:t>
      </w:r>
      <w:r>
        <w:rPr>
          <w:rFonts w:ascii="Arial" w:cs="Arial" w:eastAsia="Arial" w:hAnsi="Arial"/>
          <w:sz w:val="18"/>
          <w:szCs w:val="18"/>
          <w:color w:val="000000"/>
        </w:rPr>
        <w:t>June 30, 2022</w:t>
      </w:r>
      <w:r>
        <w:rPr>
          <w:rFonts w:ascii="Arial" w:cs="Arial" w:eastAsia="Arial" w:hAnsi="Arial"/>
          <w:sz w:val="18"/>
          <w:szCs w:val="18"/>
          <w:color w:val="231F20"/>
        </w:rPr>
        <w:t xml:space="preserve">, and the </w:t>
      </w:r>
      <w:r>
        <w:rPr>
          <w:rFonts w:ascii="Arial" w:cs="Arial" w:eastAsia="Arial" w:hAnsi="Arial"/>
          <w:sz w:val="18"/>
          <w:szCs w:val="18"/>
          <w:color w:val="000000"/>
        </w:rPr>
        <w:t>Company does</w:t>
      </w:r>
      <w:r>
        <w:rPr>
          <w:rFonts w:ascii="Arial" w:cs="Arial" w:eastAsia="Arial" w:hAnsi="Arial"/>
          <w:sz w:val="18"/>
          <w:szCs w:val="18"/>
          <w:color w:val="231F20"/>
        </w:rPr>
        <w:t xml:space="preserve"> </w:t>
      </w:r>
      <w:r>
        <w:rPr>
          <w:rFonts w:ascii="Arial" w:cs="Arial" w:eastAsia="Arial" w:hAnsi="Arial"/>
          <w:sz w:val="18"/>
          <w:szCs w:val="18"/>
          <w:color w:val="000000"/>
        </w:rPr>
        <w:t>not expect to have any significant changes to unrecognized tax benefits through the end of the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NET LOSS PER SHARE</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weighted-average number of shares of common stock outstanding prior to the Merger have been retroactively adjusted by the Exchange Ratio to give effect to the reverse recapitalization treatment of the Merger. Shares of common stock issued as a result of the conversion of Legacy Lucid convertible preferred stock in connection with the Closing have been included in the basic net loss per share calculation on a prospective basis.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net loss per share attributable to common stockholders are calculated as follows (in thousands, except share and per share 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250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8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(1,009,678)</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w w:val="91"/>
              </w:rPr>
              <w:t>Deemed dividend related to the issuance of Series E convertible preferred stock</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(2,167,332)</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 basic</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(3,177,010)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Change in fair value of dilutive warrants</w:t>
            </w: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60" w:type="dxa"/>
            <w:vAlign w:val="bottom"/>
            <w:tcBorders>
              <w:top w:val="single" w:sz="8" w:color="CCEEFF"/>
              <w:bottom w:val="single" w:sz="8" w:color="CCEEFF"/>
            </w:tcBorders>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(334,843)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(858,173)</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(261,726)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(1,159,884)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(3,177,010)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basic</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1,669,303,813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36,298,508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1,661,960,471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34,484,767</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Private Placement Warrants using the treasury stock method</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17,511,591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22,367,536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Weighted-average shares outstanding, diluted</w:t>
            </w:r>
            <w:r>
              <w:rPr>
                <w:rFonts w:ascii="Arial" w:cs="Arial" w:eastAsia="Arial" w:hAnsi="Arial"/>
                <w:sz w:val="23"/>
                <w:szCs w:val="23"/>
                <w:color w:val="auto"/>
                <w:vertAlign w:val="superscript"/>
              </w:rPr>
              <w:t>(1)</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1,686,815,404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36,298,508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1,684,328,007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34,484,767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8"/>
        <w:spacing w:after="0" w:line="304" w:lineRule="auto"/>
        <w:tabs>
          <w:tab w:leader="none" w:pos="132" w:val="left"/>
        </w:tabs>
        <w:numPr>
          <w:ilvl w:val="0"/>
          <w:numId w:val="19"/>
        </w:numPr>
        <w:rPr>
          <w:rFonts w:ascii="Arial" w:cs="Arial" w:eastAsia="Arial" w:hAnsi="Arial"/>
          <w:sz w:val="15"/>
          <w:szCs w:val="15"/>
          <w:color w:val="auto"/>
          <w:vertAlign w:val="superscript"/>
        </w:rPr>
      </w:pPr>
      <w:r>
        <w:rPr>
          <w:rFonts w:ascii="Arial" w:cs="Arial" w:eastAsia="Arial" w:hAnsi="Arial"/>
          <w:sz w:val="11"/>
          <w:szCs w:val="11"/>
          <w:color w:val="auto"/>
        </w:rPr>
        <w:t>The presentation of our diluted loss per share for the six months ended June 30, 2022 reflects correction of an immaterial error in our previously reported diluted loss per share for the three months ended March 31, 2022 for the inclusion of the dilutive effect of our Private Placement Warrants. The adjustment resulted in a change in diluted loss per share from $(0.05) to $(0.36) and the diluted weighted average shares outstanding from 1,654,322,379 to 1,681,545,859 for the three months ended March 31, 2022.</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1013"/>
              <w:spacing w:after="0"/>
              <w:rPr>
                <w:sz w:val="20"/>
                <w:szCs w:val="20"/>
                <w:color w:val="auto"/>
              </w:rPr>
            </w:pPr>
            <w:r>
              <w:rPr>
                <w:rFonts w:ascii="Arial" w:cs="Arial" w:eastAsia="Arial" w:hAnsi="Arial"/>
                <w:sz w:val="14"/>
                <w:szCs w:val="14"/>
                <w:b w:val="1"/>
                <w:bCs w:val="1"/>
                <w:color w:val="auto"/>
              </w:rPr>
              <w:t>June 30,</w:t>
            </w:r>
          </w:p>
        </w:tc>
      </w:tr>
      <w:tr>
        <w:trPr>
          <w:trHeight w:val="216"/>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Excluded Securities</w:t>
            </w: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1,155,909,367</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Options outstanding to purchase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46,268,897</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69,006,644</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outstanding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39,884,884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41,678,953</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20" w:type="dxa"/>
            <w:vAlign w:val="bottom"/>
          </w:tcPr>
          <w:p>
            <w:pPr>
              <w:jc w:val="right"/>
              <w:spacing w:after="0"/>
              <w:rPr>
                <w:sz w:val="20"/>
                <w:szCs w:val="20"/>
                <w:color w:val="auto"/>
              </w:rPr>
            </w:pPr>
            <w:r>
              <w:rPr>
                <w:rFonts w:ascii="Arial" w:cs="Arial" w:eastAsia="Arial" w:hAnsi="Arial"/>
                <w:sz w:val="18"/>
                <w:szCs w:val="18"/>
                <w:color w:val="auto"/>
              </w:rPr>
              <w:t>4,482,280</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If-converted common shares from convertible note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36,737,785</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127,373,846</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1,266,594,964</w:t>
            </w:r>
          </w:p>
        </w:tc>
      </w:tr>
      <w:tr>
        <w:trPr>
          <w:trHeight w:val="20"/>
        </w:trPr>
        <w:tc>
          <w:tcPr>
            <w:tcW w:w="8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The 2,090,140 shares of common stock equivalents subject to RSUs are excluded from the anti-dilutive table above as the underlying shares remain contingently issuable since the market conditions have not been satisfied as of June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EMPLOYEE BENEFIT PLAN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three and six months ended June 30, 2022 and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Investment Fund Internship Agreement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July 2021, we entered into an agreement with PIF, which is an affiliate of Ayar, the controlling stockholder of the Company,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We expect to be reimbursed by PIF in an aggregate of approximately $1 million in 2022 for such expenses. The expenses incurred under the agreement were $0.7 million for the three and six months ended June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 Contract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2021, we entered into an agreement with The Klein Group, LLC (“Klein”), an affiliate of Churchill Sponsor IV LLC who owns more than 5% of our common stock. Pursuant to the agreement, Klein will provide strategic advice and assistance in connection with capital markets and other strategic matters. The cost incurred under the agreement was $0.3 million and $0.6 million for the three and six months ended June 30, 2022, and nil for the same periods in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February 2022, we entered into a lease agreement with KAEC, an affiliate of PIF, for our first international manufacturing plant in the Kingdom of Saudi Arabia. The lease has an initial term of 25 years expiring in Year 2047. As of June 30, 2022, the right-of-use assets and lease liabilities related to this lease were $5.0 million and $5.2 million, respectively. The lease expense recorded during the three and six months ended June 30, 2022 was immaterial.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SIDF Loan Agreement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February 2022, Lucid LLC entered into the SIDF Loan Agreement with the SIDF, an affiliate of PIF, which is an affiliate of Ayar, the controlling stockholder of the Company. Under the SIDF Loan Agreement, SIDF has committed to provide the SIDF Loans to Lucid LLC in an aggregate principal amount of up to SAR 5.19 billion (approximately $1.4 billion); provided that SIDF may reduce the availability of SIDF Loans under the facility in certain circumstances. See Note 6 “Long-Term Debt”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Ministry of Investment of Saudi Arabia </w:t>
      </w:r>
      <w:r>
        <w:rPr>
          <w:rFonts w:ascii="Arial" w:cs="Arial" w:eastAsia="Arial" w:hAnsi="Arial"/>
          <w:sz w:val="18"/>
          <w:szCs w:val="18"/>
          <w:color w:val="auto"/>
        </w:rPr>
        <w:t>(“</w:t>
      </w:r>
      <w:r>
        <w:rPr>
          <w:rFonts w:ascii="Arial" w:cs="Arial" w:eastAsia="Arial" w:hAnsi="Arial"/>
          <w:sz w:val="18"/>
          <w:szCs w:val="18"/>
          <w:b w:val="1"/>
          <w:bCs w:val="1"/>
          <w:i w:val="1"/>
          <w:iCs w:val="1"/>
          <w:color w:val="242424"/>
        </w:rPr>
        <w:t>MISA”) Agreements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February 2022, Lucid LLC entered into agreements with MISA, an affiliate of PIF, under which the Company will receive economic incentives over time, subject to certain conditions and milestones, in connection with Lucid LLC’s on-going design and construction of the Company’s KSA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June 30, 2022, no payments or incentives were received under these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GIB Facility Agreement</w:t>
      </w:r>
    </w:p>
    <w:p>
      <w:pPr>
        <w:spacing w:after="0" w:line="21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April 2022, Lucid LLC entered into the GIB Facility Agreement with GIB. GIB is an affiliate of PIF, which is an affiliate of Ayar, the controlling stockholder of the Company. The GIB Facility Agreement provides for two committed revolving credit facilities in an aggregate principal amount of SAR 1 billion (approximately $266.5 million). See Note 6 “Long-Term Debt” for more information.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our Annual Report on Form 10-K for the year ended December 31, 2021, filed with the SEC on February 28, 2022.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are a technology and automotive company with a mission to inspire the adoption of sustainable energy by creating advanced technologies and the most captivating luxury electric vehicles, centered around the human experience. Our focus on in-house technological innovation, vertical integration, and a “clean sheet” approach to engineering and design have led to the development of our groundbreaking electric vehicle, the Lucid Air.</w:t>
      </w:r>
    </w:p>
    <w:p>
      <w:pPr>
        <w:spacing w:after="0" w:line="1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sell vehicles directly to consumers through our retail sales network and through direct online sales. We believe that owning our sales network provides an opportunity to closely manage the customer experience, gather direct customer feedback, and ensure that customer interactions are on-brand and tailored to our customers’ need. We also operate an in-house vehicle service network, with brick-and-mortar service centers in various geographies and a mobile service fleet. In addition to our in-house service capabilities, we established and continue to grow an approved list of specially trained collision repair shops which also serve as a repair hub for our mobile service offerings in some cases.</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began delivering the Lucid Air to customers in October 2021. We expect to launch additional vehicles over the coming decade. We have already commenced design and engineering work for Project Gravity, a luxury SUV that is expected to leverage many of the technological advancements and learnings from the Lucid Air. We expect to begin production of Project Gravity in the first half of 2024.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w:t>
      </w:r>
      <w:r>
        <w:rPr>
          <w:rFonts w:ascii="Arial" w:cs="Arial" w:eastAsia="Arial" w:hAnsi="Arial"/>
          <w:sz w:val="18"/>
          <w:szCs w:val="18"/>
          <w:i w:val="1"/>
          <w:iCs w:val="1"/>
          <w:color w:val="auto"/>
        </w:rPr>
        <w:t>ESS</w:t>
      </w:r>
      <w:r>
        <w:rPr>
          <w:rFonts w:ascii="Arial" w:cs="Arial" w:eastAsia="Arial" w:hAnsi="Arial"/>
          <w:sz w:val="18"/>
          <w:szCs w:val="18"/>
          <w:color w:val="auto"/>
        </w:rPr>
        <w:t>”) products. ESS is a technologically adjacent opportunity which can leverage the modular design of our battery packs and our extensive experience with battery pack and battery management systems.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on our Business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COVID-19 pandemic continues to impact the global economy and cause significant macroeconomic uncertainty. Infection rates vary across the jurisdictions in which we operate. Governmental authorities have continued to implement numerous and constantly evolving measures to attempt to contain the virus, such as travel bans and restrictions, masking recommendations and mandates, vaccine recommendations and mandates, limits on gatherings, quarantines, shelter-in-place orders and business shutdowns. We have taken proactive action to protect the health and safety of our employees, customers, partners and suppliers, consistent with the latest and evolving governmental guidelines. We expect to continue to implement appropriate measures until the adequate containment of the COVID-19 pandemic. We continue to monitor the rapidly evolving situation and guidance from international and domestic authorities, including federal, state and local public health authorities, and may take additional actions based on their recommendations and requirements or as we otherwise see fit to protect the health and safety of our employees, customers, partners and suppliers.</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While certain of our and our suppliers’ operations have from time-to-time been temporarily affected by government-mandated restrictions, we were able to commence deliveries of the Lucid Air to customers and to proceed with the construction of the Arizona plant. Broader impacts of the pandemic have included inflationary pressure as well as ongoing, industry-wide challenges in logistics and supply chains, such as increased port congestion,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inflation and such industry-wide challenges in logistics and supply chains. While we continue to focus on mitigating risks to our operations and supply chain in the current industry environment, we expect that these industry-wide trends will continue to impact our cost structure as well as our ability and the ability of our suppliers to obtain parts, components and manufacturing equipment on a timely basis for the foreseeable future.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6" w:name="page37"/>
    <w:bookmarkEnd w:id="36"/>
    <w:p>
      <w:pPr>
        <w:ind w:right="80"/>
        <w:spacing w:after="0" w:line="253" w:lineRule="auto"/>
        <w:rPr>
          <w:sz w:val="20"/>
          <w:szCs w:val="20"/>
          <w:color w:val="auto"/>
        </w:rPr>
      </w:pPr>
      <w:r>
        <w:rPr>
          <w:rFonts w:ascii="Arial" w:cs="Arial" w:eastAsia="Arial" w:hAnsi="Arial"/>
          <w:sz w:val="18"/>
          <w:szCs w:val="18"/>
          <w:color w:val="auto"/>
        </w:rPr>
        <w:t>In the current circumstances, given the dynamic nature of the situation, any impact on our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our suppliers and on global logistics. See “Risk Factors” in Part II, Item 1A of this Quarterly Report for additional information regarding risks associated with the COVID-19 pandemic, including under the caption “The ongoing COVID-19 pandemic has adversely affected, and we cannot predict its ultimate impact on, our business,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 xml:space="preserve">We believe that our future success and financial performance depend on a number of factors that present significant opportunities for our business, but also pose risks and challenges, including those discussed below and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II, Item 1A of this Quarterly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Technology Leadership</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believe that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We have received significant interest in the Lucid Air from potential customers. As of the date of this filing, we had refundable reservations and non-refundable orders of cars yet to be delivered that reflect potential sales of approximately $3.5 billion.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 Model</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operate a direct-to-consumer sales and service model, which we believe will allow us to offer a personalized experience for our customers based on their purchase and ownership preferences. We expect to continue to incur significant expenses in our sales and marketing operations for sale of the Lucid Air, including to open Studios, hire a sales force, invest in marketing and brand awareness, and stand up a service center operation. As of June 30, 2022, we have opened twenty-nine Studios and service centers, one in Germany, two in Canada, twenty-six in the United States (one in each of Colorado, Massachusetts, Michigan, New Jersey, Texas, and Virginia, and two in each of Arizona, Illinois, New York, and Washington, three in Florida, as well as nine in California). We also intend to hire additional sales, customer service, and service center personnel. We believe that investing in our direct-to-consumer sales and service model will be critical to deliver and service the Lucid electric vehicles we plan to manufacture and sell.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Manufacturing Capacity</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phased construction of our AMP-1 facilities and international expansion.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225"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Inflationary Pressure</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for the periods presented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4120" w:type="dxa"/>
            <w:vAlign w:val="bottom"/>
          </w:tcPr>
          <w:p>
            <w:pPr>
              <w:spacing w:after="0"/>
              <w:rPr>
                <w:sz w:val="16"/>
                <w:szCs w:val="16"/>
                <w:color w:val="auto"/>
              </w:rPr>
            </w:pPr>
          </w:p>
        </w:tc>
        <w:tc>
          <w:tcPr>
            <w:tcW w:w="1140" w:type="dxa"/>
            <w:vAlign w:val="bottom"/>
            <w:tcBorders>
              <w:bottom w:val="single" w:sz="8" w:color="auto"/>
            </w:tcBorders>
            <w:gridSpan w:val="3"/>
          </w:tcPr>
          <w:p>
            <w:pPr>
              <w:jc w:val="center"/>
              <w:ind w:left="486"/>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326"/>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3"/>
        </w:trPr>
        <w:tc>
          <w:tcPr>
            <w:tcW w:w="4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r>
      <w:tr>
        <w:trPr>
          <w:trHeight w:val="211"/>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   97,336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   97,162</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20"/>
              <w:spacing w:after="0"/>
              <w:rPr>
                <w:sz w:val="20"/>
                <w:szCs w:val="20"/>
                <w:color w:val="auto"/>
              </w:rPr>
            </w:pPr>
            <w:r>
              <w:rPr>
                <w:rFonts w:ascii="Arial" w:cs="Arial" w:eastAsia="Arial" w:hAnsi="Arial"/>
                <w:sz w:val="16"/>
                <w:szCs w:val="16"/>
                <w:i w:val="1"/>
                <w:iCs w:val="1"/>
                <w:color w:val="auto"/>
              </w:rPr>
              <w:t xml:space="preserve">*nm  </w:t>
            </w: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487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95"/>
              </w:rPr>
              <w:t>$  154,524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6"/>
                <w:szCs w:val="16"/>
                <w:i w:val="1"/>
                <w:iCs w:val="1"/>
                <w:color w:val="auto"/>
                <w:w w:val="98"/>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5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began generating sales from the deliveries of vehicles in the fourth quarter of 2021. We recognize vehicle sales when the customer obtains control of the vehicle which is upon delivery. We also generate revenue from the sale of powertrain kits, battery pack systems, supplies and related services for vehicles to a single customer.</w:t>
      </w:r>
    </w:p>
    <w:p>
      <w:pPr>
        <w:spacing w:after="0" w:line="21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Revenue increased by $97.2 million and $154.5 million, respectively, for the three and six months ended June 30, 2022, as compared to the same periods in the prior year, primarily driven by customer deliveries of Lucid Air vehicles.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cost of revenue for the periods presented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4120" w:type="dxa"/>
            <w:vAlign w:val="bottom"/>
          </w:tcPr>
          <w:p>
            <w:pPr>
              <w:spacing w:after="0"/>
              <w:rPr>
                <w:sz w:val="16"/>
                <w:szCs w:val="16"/>
                <w:color w:val="auto"/>
              </w:rPr>
            </w:pPr>
          </w:p>
        </w:tc>
        <w:tc>
          <w:tcPr>
            <w:tcW w:w="1140" w:type="dxa"/>
            <w:vAlign w:val="bottom"/>
            <w:tcBorders>
              <w:bottom w:val="single" w:sz="8" w:color="auto"/>
            </w:tcBorders>
            <w:gridSpan w:val="3"/>
          </w:tcPr>
          <w:p>
            <w:pPr>
              <w:jc w:val="center"/>
              <w:ind w:left="486"/>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326"/>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3"/>
        </w:trPr>
        <w:tc>
          <w:tcPr>
            <w:tcW w:w="4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r>
      <w:tr>
        <w:trPr>
          <w:trHeight w:val="211"/>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w w:val="95"/>
              </w:rPr>
              <w:t>$  292,342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97"/>
              </w:rPr>
              <w:t>$  292,323</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20"/>
              <w:spacing w:after="0"/>
              <w:rPr>
                <w:sz w:val="20"/>
                <w:szCs w:val="20"/>
                <w:color w:val="auto"/>
              </w:rPr>
            </w:pPr>
            <w:r>
              <w:rPr>
                <w:rFonts w:ascii="Arial" w:cs="Arial" w:eastAsia="Arial" w:hAnsi="Arial"/>
                <w:sz w:val="16"/>
                <w:szCs w:val="16"/>
                <w:i w:val="1"/>
                <w:iCs w:val="1"/>
                <w:color w:val="auto"/>
              </w:rPr>
              <w:t xml:space="preserve">*nm  </w:t>
            </w: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538,312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95"/>
              </w:rPr>
              <w:t>$  538,208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6"/>
                <w:szCs w:val="16"/>
                <w:i w:val="1"/>
                <w:iCs w:val="1"/>
                <w:color w:val="auto"/>
                <w:w w:val="98"/>
              </w:rPr>
              <w:t>*nm</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Cost of revenue related to vehicle sales primarily include direct parts, materials, shipping and handling costs, allocable overhead costs such as depreciation of manufacturing related equipment and facilities, information technology costs, personnel costs including wages and stock-based compensation, estimated warranty costs and charges to reduce inventories to their net realizable value or charges for inventory obsolescence.</w:t>
      </w:r>
    </w:p>
    <w:p>
      <w:pPr>
        <w:spacing w:after="0" w:line="19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Cost of revenue related to powertrain kits, battery pack systems, supplies and related services for electric vehicles primarily consists of direct parts and materials, shipping and handling costs, personnel costs including wages and stock-based compensation, and estimated warranty costs related to battery pack systems. Cost of battery pack systems also includes allocated overhead costs such as depreciation of manufacturing related equipment and facilities, and information technology costs.</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Cost of revenue increased by $292.3 million and $538.2 million, respectively, for the three and six months ended June 30, 2022 as compared to the same periods in the prior year, primarily due to the manufacture and sale of Lucid Air vehicles in 2022. We incurred significant personnel and overhead costs to operate our large-scale manufacturing facilities while ramping up production, with production activity for a limited quantity of vehicles in the three and six months ended June 30, 2022. In the near term, we expect our production volume of vehicles to continue to be significantly less than our manufacturing capacity. Additionally, we recorded write downs of $81.7 million and $178.1 million, respectively, in the three and six months ended June 30, 2022 to reduce our inventories to their net realizable values and for any excess or obsolete inventories. We expect inventory write downs could negatively affect our costs of vehicle sales in upcoming periods in the near term as we ramp production volumes up toward our manufacturing capacity.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for the periods presented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6"/>
        </w:trPr>
        <w:tc>
          <w:tcPr>
            <w:tcW w:w="3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4"/>
        </w:trPr>
        <w:tc>
          <w:tcPr>
            <w:tcW w:w="39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Change</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200,381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6"/>
              </w:rPr>
              <w:t>176,802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386,457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344,171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42,286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163,812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72,272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91,540</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127 %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386,971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203,924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183,047</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90 %</w:t>
            </w:r>
          </w:p>
        </w:tc>
      </w:tr>
      <w:tr>
        <w:trPr>
          <w:trHeight w:val="238"/>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364,193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6"/>
              </w:rPr>
              <w:t>249,074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115,119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773,428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548,095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225,333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spacing w:after="0" w:line="16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Research and development expense increased by $23.6 million, or 13%, for the three months ended June 30, 2022 as compared to the same period in the prior year. The increase was primarily attributable to higher personnel-related expenses of $27.4 million due to higher stock-based compensation expense of $25.7 million, and an increase of $24.6 million for prototype material, engineering, design and testing services, partially offset by decreases of $23.0 million from lower utilization of contractor and professional fees and $9.5 million in allocated facilities costs.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 increased by $42.3 million, or 12%, for the six months ended June 30, 2022 as compared to the same period in the prior year. The increase was primarily attributable to higher personnel-related expenses of $72.7 million due to higher stock-based compensation expense of $62.3 million, partially offset by decreases of $16.4 million from lower utilization of contractor and professional fees and $15.2 million in allocated facilities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7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general, and administrative expense increased by $91.5 million, or 127%, for the three months ended June 30, 2022 as compared to the same period in the prior year. The increase was primarily attributable to higher personnel-related expenses of $64.5 million due to growth in headcount (which included stock-based compensation expense of $33.8 million), increases in general corporate expenses of $10.6 million and higher utilization of contractors and professional fees of $7.1 million.</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general, and administrative expense increased by $183.0 million, or 90%, for the six months ended June 30, 2022 as compared to the same period in the prior year. The increase was primarily attributable to higher personnel-related expenses of $126.1 million due to growth in headcount (which included stock-based compensation expense of $58.4 million), increases in general corporate expenses of $18.6 million and higher utilization of contractors and professional fees of $18.1 million.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other income and expense, net for the periods presented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5"/>
                <w:szCs w:val="15"/>
                <w:color w:val="auto"/>
              </w:rPr>
            </w:pPr>
          </w:p>
        </w:tc>
        <w:tc>
          <w:tcPr>
            <w:tcW w:w="940" w:type="dxa"/>
            <w:vAlign w:val="bottom"/>
          </w:tcPr>
          <w:p>
            <w:pPr>
              <w:jc w:val="right"/>
              <w:ind w:right="6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140"/>
              <w:spacing w:after="0"/>
              <w:rPr>
                <w:sz w:val="20"/>
                <w:szCs w:val="20"/>
                <w:color w:val="auto"/>
              </w:rPr>
            </w:pPr>
            <w:r>
              <w:rPr>
                <w:rFonts w:ascii="Arial" w:cs="Arial" w:eastAsia="Arial" w:hAnsi="Arial"/>
                <w:sz w:val="16"/>
                <w:szCs w:val="16"/>
                <w:color w:val="auto"/>
              </w:rPr>
              <w:t>Change in fair value of forward contracts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0"/>
              </w:rPr>
              <w:t>(12,382)</w:t>
            </w:r>
          </w:p>
        </w:tc>
        <w:tc>
          <w:tcPr>
            <w:tcW w:w="8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12,382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2"/>
              </w:rPr>
              <w:t>$ (454,546)</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   454,546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9"/>
        </w:trPr>
        <w:tc>
          <w:tcPr>
            <w:tcW w:w="38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Change in fair value of convertible preferred stock</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*nm</w:t>
            </w:r>
          </w:p>
        </w:tc>
        <w:tc>
          <w:tcPr>
            <w:tcW w:w="1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 liability</w:t>
            </w: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140"/>
              <w:spacing w:after="0"/>
              <w:rPr>
                <w:sz w:val="20"/>
                <w:szCs w:val="20"/>
                <w:color w:val="auto"/>
              </w:rPr>
            </w:pPr>
            <w:r>
              <w:rPr>
                <w:rFonts w:ascii="Arial" w:cs="Arial" w:eastAsia="Arial" w:hAnsi="Arial"/>
                <w:sz w:val="16"/>
                <w:szCs w:val="16"/>
                <w:color w:val="auto"/>
                <w:w w:val="97"/>
              </w:rPr>
              <w:t>Change in fair value of common stock warrant liability</w:t>
            </w:r>
          </w:p>
        </w:tc>
        <w:tc>
          <w:tcPr>
            <w:tcW w:w="14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334,843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334,843</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*nm</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w w:val="96"/>
              </w:rPr>
              <w:t>858,173</w:t>
            </w:r>
          </w:p>
        </w:tc>
        <w:tc>
          <w:tcPr>
            <w:tcW w:w="8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858,173</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(7,159)</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*nm</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13"/>
        </w:trPr>
        <w:tc>
          <w:tcPr>
            <w:tcW w:w="3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11,188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11,578</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i w:val="1"/>
                <w:iCs w:val="1"/>
                <w:color w:val="auto"/>
              </w:rPr>
              <w:t>*nm</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12,144</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12,544</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38"/>
        </w:trPr>
        <w:tc>
          <w:tcPr>
            <w:tcW w:w="3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338,842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(12,802)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351,644</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*nm</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6"/>
              </w:rPr>
              <w:t>855,409</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(461,957)</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$ 1,317,366</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Forward Contracts</w:t>
      </w:r>
    </w:p>
    <w:p>
      <w:pPr>
        <w:spacing w:after="0" w:line="22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Our contingent forward contracts provided the holder the right to purchase Legacy Lucid Series D preferred stock and Legacy Lucid Series E preferred stock in future periods and were subject to remeasurement to fair value at each balance sheet date. Changes in the fair value of our contingent forward contracts were recognized in the condensed consolidated statements of operations and comprehensive loss.</w:t>
      </w:r>
    </w:p>
    <w:p>
      <w:pPr>
        <w:spacing w:after="0" w:line="16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Change in contingent forward contracts liability decreased by $12.4 million and $454.5 million, respectively, for the three and six months ended June 30, 2022, as compared to the same periods in the prior year. The Legacy Lucid Series E contingent forward contracts were settled during six months ended June 30, 2021, and there are no future earnings adjustments pertaining to the contingent forward contracts.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Convertible Preferred Stock Warrant Liability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convertible preferred stock warrant liability related to the warrants to purchase shares of Legacy Lucid Series D preferred stock was subject to remeasurement to fair value at each balance sheet date. Changes in the fair value of our convertible preferred stock warrant liability were recognized in the condensed consolidated statements of operations and comprehensive loss. All issued and outstanding shares of Legacy Lucid Series D preferred stock were settled in February 2021 and there will no longer be future earnings adjustments pertaining to the convertible preferred share warrant liability related to Legacy Lucid Series D preferred stock.</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recorded a loss of $7.0 million for the six months ended June 30, 2021 due to the changes in fair value of the convertible preferred stock warrant liability related to Legacy Lucid Series D preferred stock upon the exercise and settlement of all outstanding warrants to purchase Legacy Lucid Series D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Common Stock Warrant Liability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 xml:space="preserve">Our common stock warrant liability relates to the Private Placement Warrants to purchase shares of Lucid Group common stock that were effectively issued upon the Closing in connection with the reverse recapitalization treatment of the Merger. Our common stock warrant liability is subject to remeasurement to fair value at each balance sheet date. Changes in the fair value of our common stock warrant liability were recognized in the </w:t>
      </w:r>
      <w:r>
        <w:rPr>
          <w:rFonts w:ascii="Arial" w:cs="Arial" w:eastAsia="Arial" w:hAnsi="Arial"/>
          <w:sz w:val="18"/>
          <w:szCs w:val="18"/>
          <w:color w:val="000000"/>
        </w:rPr>
        <w:t>condensed</w:t>
      </w:r>
      <w:r>
        <w:rPr>
          <w:rFonts w:ascii="Arial" w:cs="Arial" w:eastAsia="Arial" w:hAnsi="Arial"/>
          <w:sz w:val="18"/>
          <w:szCs w:val="18"/>
          <w:color w:val="231F20"/>
        </w:rPr>
        <w:t xml:space="preserve"> consolidated statements of operations and comprehensive loss.</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Private Placement Warrants remained unexercised as of June 30, 2022. The liability was remeasured to fair value, resulting in gains of $334.8 million and $858.2 million, respectively, for the three and six months ended June 30, 2022, and was classified within change in fair value of common stock warrant liability in the condensed consolidated statements of operations and comprehensive loss. See Note 9 “Common Stock Warrant Liability” to our condensed consolidated financial statements included elsewhere in this Quarterly Report for more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Interest expense consists primarily of contractual interest and amortization of debt discounts and debt issuance costs incurred related to the 2026 Notes issued in December 2021, interest and commitment fee as well as amortization of issuance costs incurred associated with ABL Credit Facility and GIB Credit Agreement, and interest on our finance leases.</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Interest expense increased by $7.2 million and $14.9 million, respectively, for the three and six months ended June 30, 2022 as compared to the same periods in the prior year, primarily related to the 2026 Notes issued in December 2021.</w:t>
      </w:r>
    </w:p>
    <w:p>
      <w:pPr>
        <w:sectPr>
          <w:pgSz w:w="11900" w:h="16838" w:orient="portrait"/>
          <w:cols w:equalWidth="0" w:num="1">
            <w:col w:w="11240"/>
          </w:cols>
          <w:pgMar w:left="320" w:top="989"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Other income (expense), net consists primarily of income on money market funds and investments, and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6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Other income (expense), net increased by $11.6 million and $12.5 million, respectively, during the three and six months ended June 30, 2022 as compared to the same periods in the prior year, primarily due to higher income from money market funds and investments, as well as foreign currency gains.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Six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6"/>
        </w:trPr>
        <w:tc>
          <w:tcPr>
            <w:tcW w:w="41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gridSpan w:val="3"/>
          </w:tcPr>
          <w:p>
            <w:pPr>
              <w:jc w:val="center"/>
              <w:ind w:left="506"/>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09"/>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6"/>
                <w:szCs w:val="16"/>
                <w:i w:val="1"/>
                <w:iCs w:val="1"/>
                <w:color w:val="auto"/>
              </w:rPr>
              <w:t>*nm</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6"/>
                <w:szCs w:val="16"/>
                <w:i w:val="1"/>
                <w:iCs w:val="1"/>
                <w:color w:val="auto"/>
                <w:w w:val="98"/>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5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provision for income taxes consist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provision for income taxes increased by $0.1 million and $0.4 million, respectively, for the three and six months ended June 30, 2022 as compared to the same periods in the prior year, primarily due to changes in taxable income of our foreign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2022, Lucid had $4.6 billion of cash, cash equivalents and investments. Our sources of cash are predominantly from proceeds from Lucid’s de-SPAC transaction with Churchill (plus PIPE), and the issuance of convertible debt.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expect that our current sources of liquidity together with our projection of cash flows from operating activities will provide us with adequate liquidity over at least the next 12 months, including investment in funding (i) ongoing operations, (ii) research and development projects for new products/ technologies, (iii) production and manufacturing ramps at existing manufacturing facilities in Casa Grande, Arizona, (iv) Phase 2 of construction at AMP-1 in Casa Grande, Arizona, (v) the start of construction of a manufacturing facility in the Kingdom of Saudi Arabia, (vi) retail Studios and service centers, and (vii) other initiatives related to the sale of vehicles and/ or technology.</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anticipate our cumulative spending on capital expenditures to be approximately $2.0 billion for the fiscal year 2022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We expect our operating expenses to increase in the 2022 calendar year to grow and support the operations of a global automotive company targeting volumes in line with Lucid’s aspirations.</w:t>
      </w:r>
    </w:p>
    <w:p>
      <w:pPr>
        <w:spacing w:after="0" w:line="18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As of June 30, 2022, our total minimum lease payments are $371.7 million, of which $15.3 million is due in the current fiscal year. We also have a non-cancellable long-term commitment of $124.2 million to purchase certain inventory components. For details regarding these obligations, refer to Note 14 “Leases” and Note 15 “Commitments and Contingencies”.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2026 Notes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December 2021, Lucid entered into a purchase agreement pursuant to which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June 30, 2022, we were in compliance with applicable covenants under the indenture governing the 2026 Notes.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Manufacturing Expansion</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February 27, 2022, the Company announced that it has selected King Abdullah Economic City (“KAEC”) in the Kingdom of Saudi Arabia as the location of its first international manufacturing plant and signed related agreements with the Ministry of Investment of Saudi Arabia, the Saudi Industrial Development Fund, and the Economic City at KAEC. The agreements are estimated to provide financing and incentives of up to $3.4 billion in aggregate over the next 15 years to build and operate a manufacturing facility in the Kingdom. The operations at the new plant would initially consist of re-assembly of Lucid Air vehicle “kits” pre-manufactured in the U.S. and, over time, production of complete vehicles.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Saudi Industrial Development Fund (“SIDF”) Loan Agreement</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February 27, 2022, Lucid, LLC, a limited liability company established in the Kingdom of Saudi Arabia and a subsidiary of the Company (“Lucid LLC”) entered into a loan agreement (as subsequently amended, the “SIDF Loan Agreement”) with the SIDF, an affiliate of Public Investment Fund (“PIF”), which is an affiliate of Ayar, the controlling stockholder of the Company.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the Company’s planned manufacturing facility in the Kingdom of Saudi Arabia (“the KSA Facility”). Lucid LLC may repay SIDF Loans earlier than the maturity date without penalty. Obligations under the SIDF Loan Agreement do not extend to the Company or any of its other subsidiaries.</w:t>
      </w:r>
    </w:p>
    <w:p>
      <w:pPr>
        <w:spacing w:after="0" w:line="166"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SIDF Loans will not bear interest. Instead, Lucid LLC will be required to pay SIDF service fees, consisting of follow-up and technical evaluation fees, ranging, in aggregate, from SAR 415 million (approximately $110.6 million) to SAR 1.77 billion (approximately $471.7 million), over the term of the SIDF Loans. SIDF Loans will be secured by security interests in the equipment, machines and assets funded thereby.</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June 30, 2022, no amounts were outstanding under the SIDF Loan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Ministry of Investment of Saudi Arabia </w:t>
      </w:r>
      <w:r>
        <w:rPr>
          <w:rFonts w:ascii="Arial" w:cs="Arial" w:eastAsia="Arial" w:hAnsi="Arial"/>
          <w:sz w:val="18"/>
          <w:szCs w:val="18"/>
          <w:color w:val="auto"/>
        </w:rPr>
        <w:t>(“</w:t>
      </w:r>
      <w:r>
        <w:rPr>
          <w:rFonts w:ascii="Arial" w:cs="Arial" w:eastAsia="Arial" w:hAnsi="Arial"/>
          <w:sz w:val="18"/>
          <w:szCs w:val="18"/>
          <w:i w:val="1"/>
          <w:iCs w:val="1"/>
          <w:color w:val="242424"/>
        </w:rPr>
        <w:t>MISA”)</w:t>
      </w:r>
      <w:r>
        <w:rPr>
          <w:rFonts w:ascii="Arial" w:cs="Arial" w:eastAsia="Arial" w:hAnsi="Arial"/>
          <w:sz w:val="18"/>
          <w:szCs w:val="18"/>
          <w:i w:val="1"/>
          <w:iCs w:val="1"/>
          <w:color w:val="auto"/>
        </w:rPr>
        <w:t xml:space="preserve"> Agreements</w:t>
      </w:r>
    </w:p>
    <w:p>
      <w:pPr>
        <w:spacing w:after="0" w:line="22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February 2022, Lucid LLC entered into certain agreements with MISA, an affiliate of PIF, under which the Company will receive economic incentives over time, subject to certain conditions and milestones, in connection with Lucid LLC’s on-going design and construction of the Company’s KSA Facility. In the three and six months ended June 30, 2022, no payments or incentives were received under these agreements.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242424"/>
        </w:rPr>
        <w:t>Gulf International Bank (“GIB”) Facility Agreement</w:t>
      </w:r>
    </w:p>
    <w:p>
      <w:pPr>
        <w:spacing w:after="0" w:line="22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On April 29, 2022, Lucid LLC entered into a revolving credit facility agreement (the “GIB Facility Agreement”) with GIB, maturing on February 28, 2025. GIB is an affiliate of PIF, which is an affiliate of Ayar, the controlling stockholder of the Company. The GIB Facility Agreement provides for two committed revolving credit facilities in an aggregate principal amount of SAR 1 billion (approximately $266.5 million). SAR $650 million (approximately $173.2 million) under the GIB Facility Agreement is available as bridge financing (the “Bridge Facility”) of Lucid LLC’s capital expenditures in connection with the KSA Facility. The remaining SAR 350 million (approximately $93.3 million) may be used for general corporate purposes (the “Working Capital Facility”). Loans under the Bridge Facility and the Working Capital Facility will have a maturity of no more than 12 months. The Bridge Facility will bear interest at a rate of 1.25% per annum over 3-month SAIBOR and the Working Capital Facility will bear interest at a rate of 1.70% per annum over 3-month SAIBOR and associated fees. The Company is required to pay a quarterly commitment fee of 0.15% per annum based on the unutilized portion of the GIB Credit Facility. Commitments under the GIB Facility Agreement will terminate, and all amounts then outstanding thereunder will become payable, on the maturity date of the GIB Facility Agreement. The GIB Facility Agreement contains certain conditions precedent to drawdowns, representations and warranties and covenants of Lucid LLC and events of default. As of June 30, 2022</w:t>
      </w:r>
      <w:r>
        <w:rPr>
          <w:rFonts w:ascii="Arial" w:cs="Arial" w:eastAsia="Arial" w:hAnsi="Arial"/>
          <w:sz w:val="16"/>
          <w:szCs w:val="16"/>
          <w:color w:val="242424"/>
        </w:rPr>
        <w:t>, the Company had outstanding</w:t>
      </w:r>
      <w:r>
        <w:rPr>
          <w:rFonts w:ascii="Arial" w:cs="Arial" w:eastAsia="Arial" w:hAnsi="Arial"/>
          <w:sz w:val="16"/>
          <w:szCs w:val="16"/>
          <w:color w:val="auto"/>
        </w:rPr>
        <w:t xml:space="preserve"> </w:t>
      </w:r>
      <w:r>
        <w:rPr>
          <w:rFonts w:ascii="Arial" w:cs="Arial" w:eastAsia="Arial" w:hAnsi="Arial"/>
          <w:sz w:val="16"/>
          <w:szCs w:val="16"/>
          <w:color w:val="242424"/>
        </w:rPr>
        <w:t>borrowings of SA</w:t>
      </w:r>
      <w:r>
        <w:rPr>
          <w:rFonts w:ascii="Arial" w:cs="Arial" w:eastAsia="Arial" w:hAnsi="Arial"/>
          <w:sz w:val="16"/>
          <w:szCs w:val="16"/>
          <w:color w:val="000000"/>
        </w:rPr>
        <w:t>R 25 million (approximately $6.7 million) from the Working Capital Facility, which was recorded within other current liabilities on</w:t>
      </w:r>
      <w:r>
        <w:rPr>
          <w:rFonts w:ascii="Arial" w:cs="Arial" w:eastAsia="Arial" w:hAnsi="Arial"/>
          <w:sz w:val="16"/>
          <w:szCs w:val="16"/>
          <w:color w:val="242424"/>
        </w:rPr>
        <w:t xml:space="preserve"> </w:t>
      </w:r>
      <w:r>
        <w:rPr>
          <w:rFonts w:ascii="Arial" w:cs="Arial" w:eastAsia="Arial" w:hAnsi="Arial"/>
          <w:sz w:val="16"/>
          <w:szCs w:val="16"/>
          <w:color w:val="000000"/>
        </w:rPr>
        <w:t>condensed consolidated balance sheets. As of June 30, 2022, available borrowings are SAR 650 million (approximately $173.2 million) and SAR</w:t>
      </w:r>
    </w:p>
    <w:p>
      <w:pPr>
        <w:spacing w:after="0" w:line="2" w:lineRule="exact"/>
        <w:rPr>
          <w:sz w:val="20"/>
          <w:szCs w:val="20"/>
          <w:color w:val="auto"/>
        </w:rPr>
      </w:pPr>
    </w:p>
    <w:p>
      <w:pPr>
        <w:ind w:right="840"/>
        <w:spacing w:after="0" w:line="260" w:lineRule="auto"/>
        <w:rPr>
          <w:sz w:val="20"/>
          <w:szCs w:val="20"/>
          <w:color w:val="auto"/>
        </w:rPr>
      </w:pPr>
      <w:r>
        <w:rPr>
          <w:rFonts w:ascii="Arial" w:cs="Arial" w:eastAsia="Arial" w:hAnsi="Arial"/>
          <w:sz w:val="18"/>
          <w:szCs w:val="18"/>
          <w:color w:val="auto"/>
        </w:rPr>
        <w:t>325 million (approximately $86.6 million) under the Bridge Facility and Working Capital Facility, respectively. As of June 30, 2022, we were in compliance with applicable covenants under the GIB Facility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Credit Facility</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June 2022, the Company entered into a new five-year senior secured asset-based revolving credit facility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w:t>
      </w:r>
    </w:p>
    <w:p>
      <w:pPr>
        <w:spacing w:after="0" w:line="1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(“FCCR”) financial covenant, in each case on terms set forth in the credit agreement governing the ABL Credit Facility. As of June 30, 2022, we were in compliance with applicable covenants under the ABL Credit Facility.</w:t>
      </w:r>
    </w:p>
    <w:p>
      <w:pPr>
        <w:spacing w:after="0" w:line="1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June 30, 2022, the Company had no outstanding borrowings under the ABL Credit Facility. Availability under the ABL Credit Facility was $252.9 million as of June 30, 2022, after giving effect to the borrowing base.</w:t>
      </w:r>
    </w:p>
    <w:p>
      <w:pPr>
        <w:spacing w:after="0" w:line="15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We have generated significant losses from our operations as reflected in our accumulated deficit of $6.4 billion and $6.1 billion as of June 30, 2022 and December 31, 2021, respectively. Additionally, we have generated significant negative cash flows from operations and investing activities as we continue to support the growth of our business.</w:t>
      </w:r>
    </w:p>
    <w:p>
      <w:pPr>
        <w:spacing w:after="0" w:line="188"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 Part II, Item 1A.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47"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Six Months Ended</w:t>
      </w:r>
    </w:p>
    <w:p>
      <w:pPr>
        <w:jc w:val="center"/>
        <w:ind w:left="83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r>
      <w:tr>
        <w:trPr>
          <w:trHeight w:val="211"/>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(1,008,277)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(453,804)</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(1,914,123)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(206,514)</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(183,209)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612,105</w:t>
            </w:r>
          </w:p>
        </w:tc>
      </w:tr>
      <w:tr>
        <w:trPr>
          <w:trHeight w:val="210"/>
        </w:trPr>
        <w:tc>
          <w:tcPr>
            <w:tcW w:w="84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(3,105,609)</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(48,213)</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21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Net cash used in operating activities increased by $554.5 million to $1,008.3 million during the six months ended June 30, 2022, compared to the same period in the prior year. The increase was primarily due to the increase in net loss excluding non-cash expenses and gains of $215.1 million and an overall increase in net operating assets and liabilities of $339.4 million. The change in net operating assets and liabilities was mainly attributable to an increase in inventory driven by higher production plan, and other current liabilities related to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We continue to experience negative cash flows from investing activities as we expand our business and continue to build our infrastructure. Cash flows from investing activities primarily relate to purchases of investments and capital expenditures to support our growth.</w:t>
      </w:r>
    </w:p>
    <w:p>
      <w:pPr>
        <w:spacing w:after="0" w:line="255" w:lineRule="auto"/>
        <w:rPr>
          <w:sz w:val="20"/>
          <w:szCs w:val="20"/>
          <w:color w:val="auto"/>
        </w:rPr>
      </w:pPr>
      <w:r>
        <w:rPr>
          <w:rFonts w:ascii="Arial" w:cs="Arial" w:eastAsia="Arial" w:hAnsi="Arial"/>
          <w:sz w:val="18"/>
          <w:szCs w:val="18"/>
          <w:color w:val="auto"/>
        </w:rPr>
        <w:t>Net cash used in investing activities increased by $1,707.6 million to $1,914.1 million during the six months ended June 30, 2022, compared to the same period in the prior year, primarily attributable to purchases of investments of $1,419.2 million during the six months ended June 30, 2022 and an increase in capital expenditures of $288.4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Since inception, we have financed our operations primarily from the issuances of equity securities, including convertible preferred stock, the proceeds of the Merger, and the 2026 Notes.</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Net cash used in financing activities were $183.2 million during the six months ended June 30, 2022, compared to $612.1 million of net cash provided by financing activities for the same period in the prior year. The change was primarily attributable to proceeds from the issuance of Legacy Lucid Series E preferred stock of $600.0 million during the six months ended June 30, 2021, and remittance for tax withholding obligations in connection with vesting of the CEO time-based and performance-based RSUs through net settlement of $189.3 million during the six months ended June 30,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condensed consolidated financial statements and the related notes thereto included elsewhere in this Quarterly Report are prepared in accordance with generally accepted accounting principles in the United States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a description of our critical accounting policies and estimates, refer to Part II, Item 7, Critical Accounting Policies and Estimates in our Annual Report on Form 10-K for the year ended December 31, 2021 and Note 2 “Summary of Significant Accounting Policies” to our condensed consolidated financial statements in Item 1 of Part I of this Quarterly Report. There have been no material changes to our critical accounting policies and estimates since our Annual Report on Form 10-K for the year ended December 31, 2021.</w:t>
      </w:r>
    </w:p>
    <w:p>
      <w:pPr>
        <w:sectPr>
          <w:pgSz w:w="11900" w:h="16838" w:orient="portrait"/>
          <w:cols w:equalWidth="0" w:num="1">
            <w:col w:w="11220"/>
          </w:cols>
          <w:pgMar w:left="320" w:top="985" w:right="359"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Disclosures about Market Risk.</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due to inflationary pressure.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exposed to market risk for changes in interest rates applicable to our cash and cash equivalents, restricted cash, and investments. We had cash, cash equivalents, restricted cash, and investments totaling $4.6 billion as of June 30, 2022.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June 30, 2022, a hypothetical 100 basis point increase in interest rates would result in approximately $9.0 million incremental decline in the fair market value of our portfolio.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Inflationary Pressure</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their evaluation, our principal executive officer and principal financial officer concluded that as of June 30, 2022,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under the Exchange Act) that occurred during the fiscal quarter ended June 30, 2022,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For a description of our legal proceedings, see the description set forth in the “Legal Matters” section in Note 15 “Commitments and Contingencies” to our condensed consolidated financial statements in Item 1 of Part I of this Quarterly Report, which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spacing w:after="0" w:line="49" w:lineRule="exact"/>
        <w:rPr>
          <w:sz w:val="20"/>
          <w:szCs w:val="20"/>
          <w:color w:val="auto"/>
        </w:rPr>
      </w:pPr>
    </w:p>
    <w:p>
      <w:pPr>
        <w:ind w:left="660" w:right="2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ongoing COVID-19 pandemic has adversely affected, and we cannot predict its ultimate impact on, our business, results of operations and financial condition.</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limited operating history makes evaluating our business and future prospects difficult and may increase the risk of investing in our common stock.</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incurred net losses each year since our inception and expect to incur increasing expenses and substantial losses for the foreseeable future.</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adequately control the substantial costs associated with our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received only a limited number of reservations and orders for the Lucid Air, all of which may be cancelled.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automotive industry has significant barriers to entry that we must overcome in order to manufacture and sell electric vehicles at scale.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automotive market is highly competitive, and we may not be successful in competing in this industry.</w:t>
      </w:r>
    </w:p>
    <w:p>
      <w:pPr>
        <w:spacing w:after="0" w:line="117"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initially depend on revenue generated from a single model and in the foreseeable future will be significantly dependent on a limited number of models.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not have a third-party retail product distribution and full-service network.</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experienced and may in the future experience significant delays in the design, manufacture, launch and financing of our vehicles, including the Lucid Air and Project Gravity, which could harm our business and prospects.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our vehicles fail to perform as expected, our ability to develop, market and sell or lease our products could be harmed.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face challenges providing charging solutions for our vehicles, both domestically and internationally.</w:t>
      </w:r>
    </w:p>
    <w:p>
      <w:pPr>
        <w:spacing w:after="0" w:line="117" w:lineRule="exact"/>
        <w:rPr>
          <w:rFonts w:ascii="Arial" w:cs="Arial" w:eastAsia="Arial" w:hAnsi="Arial"/>
          <w:sz w:val="18"/>
          <w:szCs w:val="18"/>
          <w:color w:val="auto"/>
        </w:rPr>
      </w:pPr>
    </w:p>
    <w:p>
      <w:pPr>
        <w:ind w:left="660" w:right="620" w:hanging="328"/>
        <w:spacing w:after="0" w:line="342"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5" w:lineRule="exact"/>
        <w:rPr>
          <w:rFonts w:ascii="Arial" w:cs="Arial" w:eastAsia="Arial" w:hAnsi="Arial"/>
          <w:sz w:val="16"/>
          <w:szCs w:val="16"/>
          <w:color w:val="auto"/>
        </w:rPr>
      </w:pPr>
    </w:p>
    <w:p>
      <w:pPr>
        <w:ind w:left="660" w:right="36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no experience to date in high volume manufacture of our vehicles.</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successfully tool our manufacturing facilities or if our manufacturing facilities become inoperable, we will be unable to produce our vehicles and our business will be harmed.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46" w:name="page47"/>
    <w:bookmarkEnd w:id="46"/>
    <w:p>
      <w:pPr>
        <w:ind w:left="660" w:right="20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production and our ability to sustain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75" w:lineRule="exact"/>
        <w:rPr>
          <w:rFonts w:ascii="Arial" w:cs="Arial" w:eastAsia="Arial" w:hAnsi="Arial"/>
          <w:sz w:val="18"/>
          <w:szCs w:val="18"/>
          <w:color w:val="auto"/>
        </w:rPr>
      </w:pPr>
    </w:p>
    <w:p>
      <w:pPr>
        <w:ind w:left="660" w:right="320" w:hanging="328"/>
        <w:spacing w:after="0" w:line="30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49" w:lineRule="exact"/>
        <w:rPr>
          <w:rFonts w:ascii="Arial" w:cs="Arial" w:eastAsia="Arial" w:hAnsi="Arial"/>
          <w:sz w:val="16"/>
          <w:szCs w:val="16"/>
          <w:color w:val="auto"/>
        </w:rPr>
      </w:pPr>
    </w:p>
    <w:p>
      <w:pPr>
        <w:ind w:left="660" w:right="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Increases in costs, disruption of supply or shortage of materials, in particular for lithium-ion cells, or semiconductors, could harm our business.</w:t>
      </w:r>
    </w:p>
    <w:p>
      <w:pPr>
        <w:spacing w:after="0" w:line="140" w:lineRule="exact"/>
        <w:rPr>
          <w:rFonts w:ascii="Arial" w:cs="Arial" w:eastAsia="Arial" w:hAnsi="Arial"/>
          <w:sz w:val="16"/>
          <w:szCs w:val="16"/>
          <w:color w:val="auto"/>
        </w:rPr>
      </w:pPr>
    </w:p>
    <w:p>
      <w:pPr>
        <w:jc w:val="both"/>
        <w:ind w:left="660" w:right="12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loss of key personnel or an inability to attract, retain and motivate qualified personnel may impair our ability to expand our business.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highly dependent on the services of Peter Rawlinson, our Chief Executive Officer and Chief Technology Officer.</w:t>
      </w:r>
    </w:p>
    <w:p>
      <w:pPr>
        <w:spacing w:after="0" w:line="117"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75"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face regulatory limitations on our ability to sell vehicles directly, which could materially and adversely affect its ability to sell our vehicles.</w:t>
      </w:r>
    </w:p>
    <w:p>
      <w:pPr>
        <w:spacing w:after="0" w:line="62"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fail to adequately obtain, maintain, enforce and protect our intellectual property and may not be able to prevent third parties from unauthorized use of its intellectual property and proprietary technology. If we are unsuccessful in any of the foregoing, our competitive position could be harmed and we could be required to incur significant expenses to enforce our rights.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will require additional capital to support business growth, and this capital might not be available on commercially reasonable terms, or at all.</w:t>
      </w:r>
    </w:p>
    <w:p>
      <w:pPr>
        <w:spacing w:after="0" w:line="140" w:lineRule="exact"/>
        <w:rPr>
          <w:rFonts w:ascii="Arial" w:cs="Arial" w:eastAsia="Arial" w:hAnsi="Arial"/>
          <w:sz w:val="16"/>
          <w:szCs w:val="16"/>
          <w:color w:val="auto"/>
        </w:rPr>
      </w:pPr>
    </w:p>
    <w:p>
      <w:pPr>
        <w:ind w:left="660" w:right="2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75" w:lineRule="exact"/>
        <w:rPr>
          <w:rFonts w:ascii="Arial" w:cs="Arial" w:eastAsia="Arial" w:hAnsi="Arial"/>
          <w:sz w:val="18"/>
          <w:szCs w:val="18"/>
          <w:color w:val="auto"/>
        </w:rPr>
      </w:pPr>
    </w:p>
    <w:p>
      <w:pPr>
        <w:jc w:val="both"/>
        <w:ind w:left="660" w:righ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Sponsor and Ayar beneficially own a significant equity interest in us and may take actions that conflict with other shareholder interests.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 and Operations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231F20"/>
        </w:rPr>
        <w:t>The ongoing COVID-19 pandemic has adversely affected, and we cannot predict its ultimate impact on, our business, results of operations and financial condition.</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our vehicles, cancel their refundable deposits for our vehicles, or cancel their orders for our vehicles prior to delivery.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7" w:name="page48"/>
    <w:bookmarkEnd w:id="47"/>
    <w:p>
      <w:pPr>
        <w:ind w:right="80"/>
        <w:spacing w:after="0" w:line="296" w:lineRule="auto"/>
        <w:rPr>
          <w:sz w:val="20"/>
          <w:szCs w:val="20"/>
          <w:color w:val="auto"/>
        </w:rPr>
      </w:pPr>
      <w:r>
        <w:rPr>
          <w:rFonts w:ascii="Arial" w:cs="Arial" w:eastAsia="Arial" w:hAnsi="Arial"/>
          <w:sz w:val="16"/>
          <w:szCs w:val="16"/>
          <w:color w:val="231F20"/>
        </w:rPr>
        <w:t>The spread of COVID-19 has also periodically disrupted our manufacturing operations and those of our suppliers. For example, the recent COVID-19 outbreak in China and the resulting lockdowns have caused parts supply delays with some impact on manufacturing operations in Arizona. Such disruptions to us and our suppliers have negatively impacted, and could continue to negatively impact the production volume of our first vehicle, the Lucid Air sedan, as well other vehicles that we may introduce from time to time. Our manufacturing operations at a limited number of facilities in Casa Grande, Arizona concentrate this risk. In addition, broader impacts of the pandemic have included inflationary pressure, which impacts our cost structure.</w:t>
      </w:r>
    </w:p>
    <w:p>
      <w:pPr>
        <w:spacing w:after="0" w:line="16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231F20"/>
        </w:rPr>
        <w:t>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or be required to cause a substantial number of employees and/or contractors to quarantine,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remote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In addition, the COVID-19 pandemic has resulted in extreme volatility in the global financial markets, which could increase our cost of capital or limit our ability to access financing when we need it.</w:t>
      </w:r>
    </w:p>
    <w:p>
      <w:pPr>
        <w:spacing w:after="0" w:line="17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231F20"/>
        </w:rPr>
        <w:t>To address the uncertainties of COVID-19 and to help ensure the safety of our team members, we have implemented a vaccination mandate for certain of our employees and for certain individuals to enter many of our facilities and may implement further similar requirements in the future, which may have an impact on our hiring and/or our workforce and adversely impact our manufacturing capabilities and overall business operations.</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The severity, magnitude and duration of the COVID-19 pandemic, including as a result of new variant and subvariant strains such as the Omicron strain and subvariants, and our economic and regulatory consequences are rapidly changing and uncertain. Accordingly, we cannot predict the ultimate impact of the COVID-19 pandemic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limited operating history makes evaluating our business and future prospects difficult and may increase the risk of your investment.</w:t>
      </w:r>
    </w:p>
    <w:p>
      <w:pPr>
        <w:spacing w:after="0" w:line="23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31F20"/>
        </w:rPr>
        <w:t>We are an early-stage company with a limited operating history, operating in a rapidly evolving and highly regulated market. Furthermore, we have only released one commercially available vehicle, and we have no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We have encountered and expect to continue to encounter risks and uncertainties frequently experienced by early-stage companies in rapidly changing markets, including risks relating to our ability to, among other things:</w:t>
      </w:r>
    </w:p>
    <w:p>
      <w:pPr>
        <w:spacing w:after="0" w:line="6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hire, integrate and retain professional and technical talent, including key members of management;</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continue to make significant investments in research, development, manufacturing, marketing and sales;</w:t>
      </w:r>
    </w:p>
    <w:p>
      <w:pPr>
        <w:spacing w:after="0" w:line="117" w:lineRule="exact"/>
        <w:rPr>
          <w:rFonts w:ascii="Arial" w:cs="Arial" w:eastAsia="Arial" w:hAnsi="Arial"/>
          <w:sz w:val="18"/>
          <w:szCs w:val="18"/>
          <w:color w:val="231F20"/>
        </w:rPr>
      </w:pPr>
    </w:p>
    <w:p>
      <w:pPr>
        <w:ind w:left="660" w:right="620" w:hanging="328"/>
        <w:spacing w:after="0" w:line="277" w:lineRule="auto"/>
        <w:tabs>
          <w:tab w:leader="none" w:pos="655"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successfully obtain, maintain, protect and enforce our intellectual property and defend against claims of intellectual property infringement, misappropriation or other violation;</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build a well-recognized and respected brand;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establish, implement, refine and scale our commercial manufacturing capabilities and distribution infrastructure;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establish and maintain satisfactory arrangements with third-party suppliers;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establish and expand a customer base;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navigate an evolving and complex regulatory environment;</w:t>
      </w:r>
    </w:p>
    <w:p>
      <w:pPr>
        <w:spacing w:after="0" w:line="117" w:lineRule="exact"/>
        <w:rPr>
          <w:rFonts w:ascii="Arial" w:cs="Arial" w:eastAsia="Arial" w:hAnsi="Arial"/>
          <w:sz w:val="18"/>
          <w:szCs w:val="18"/>
          <w:color w:val="231F20"/>
        </w:rPr>
      </w:pPr>
    </w:p>
    <w:p>
      <w:pPr>
        <w:ind w:left="660" w:right="340" w:hanging="328"/>
        <w:spacing w:after="0" w:line="277" w:lineRule="auto"/>
        <w:tabs>
          <w:tab w:leader="none" w:pos="655"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anticipate and adapt to changing market conditions, including consumer demand for certain vehicle types, models or trim levels, technological developments and changes in competitive landscape;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successfully design, build, manufacture and market new variants and models of electric vehicles, such as Project Gravity.</w:t>
      </w:r>
    </w:p>
    <w:p>
      <w:pPr>
        <w:sectPr>
          <w:pgSz w:w="11900" w:h="16838" w:orient="portrait"/>
          <w:cols w:equalWidth="0" w:num="1">
            <w:col w:w="11240"/>
          </w:cols>
          <w:pgMar w:left="320" w:top="989" w:right="339" w:bottom="1440"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5"/>
          <w:szCs w:val="15"/>
          <w:b w:val="1"/>
          <w:bCs w:val="1"/>
          <w:i w:val="1"/>
          <w:iCs w:val="1"/>
          <w:color w:val="231F20"/>
        </w:rPr>
        <w:t>We have incurred net losses each year since our inception and expect to incur increasing expenses and substantial losses for the foreseeable future.</w:t>
      </w:r>
    </w:p>
    <w:p>
      <w:pPr>
        <w:spacing w:after="0" w:line="26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231F20"/>
        </w:rPr>
        <w:t>We have incurred net losses each year since our inception, including net loss of approxi</w:t>
      </w:r>
      <w:r>
        <w:rPr>
          <w:rFonts w:ascii="Arial" w:cs="Arial" w:eastAsia="Arial" w:hAnsi="Arial"/>
          <w:sz w:val="18"/>
          <w:szCs w:val="18"/>
          <w:color w:val="000000"/>
        </w:rPr>
        <w:t>mately $220.4 million and $301.7 million for the three and six</w:t>
      </w:r>
      <w:r>
        <w:rPr>
          <w:rFonts w:ascii="Arial" w:cs="Arial" w:eastAsia="Arial" w:hAnsi="Arial"/>
          <w:sz w:val="18"/>
          <w:szCs w:val="18"/>
          <w:color w:val="231F20"/>
        </w:rPr>
        <w:t xml:space="preserve"> </w:t>
      </w:r>
      <w:r>
        <w:rPr>
          <w:rFonts w:ascii="Arial" w:cs="Arial" w:eastAsia="Arial" w:hAnsi="Arial"/>
          <w:sz w:val="18"/>
          <w:szCs w:val="18"/>
          <w:color w:val="000000"/>
        </w:rPr>
        <w:t>months ended June 30, 2022, respectively. As of June 30, 2022, our accumulated deficit was approximately $6.4 billion. We expect to continue to incur substantial losses and increasing expenses in the foreseeable future as we:</w:t>
      </w:r>
    </w:p>
    <w:p>
      <w:pPr>
        <w:spacing w:after="0" w:line="7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continue to design, develop and manufacture our vehicles;</w:t>
      </w:r>
    </w:p>
    <w:p>
      <w:pPr>
        <w:spacing w:after="0" w:line="117" w:lineRule="exact"/>
        <w:rPr>
          <w:rFonts w:ascii="Arial" w:cs="Arial" w:eastAsia="Arial" w:hAnsi="Arial"/>
          <w:sz w:val="18"/>
          <w:szCs w:val="18"/>
          <w:color w:val="231F20"/>
        </w:rPr>
      </w:pPr>
    </w:p>
    <w:p>
      <w:pPr>
        <w:ind w:left="660" w:right="380" w:hanging="328"/>
        <w:spacing w:after="0" w:line="277" w:lineRule="auto"/>
        <w:tabs>
          <w:tab w:leader="none" w:pos="655"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equip and expand our manufacturing facilities to produce our vehicles in Arizona and in international locations such as the Kingdom of Saudi Arabia;</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build up inventories of parts and components for our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manufacture an available inventory of our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develop and deploy vehicle charging partnerships;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expand our design, research, development, maintenance and repair capabilities;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increase our sales and marketing activities and develop our distribution infrastructure; 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expand our general and administrative functions to support our growing operations and status as a public company.</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231F20"/>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unable to adequately control the substantial costs associated with our operations.</w:t>
      </w:r>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231F20"/>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do not have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received only a limited number of reservations and orders for the Lucid Air, all of which may be cancelled.</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Our customers may cancel their reservations without penalty and for any reason until they place an order for their vehicle. In addition, our customers may also cancel their orders with only the loss of their deposit. Any delays in customer deliveries or the changes in the pricing of the Lucid Air could result in significant customer cancellations. In addition, any event or incident which generates negative media coverage about us or the safety or quality of our vehicles could also result in significant customer cancellations. No assurance can be given that reservations or orders will not be cancelled and will ultimately result in the final purchase, delivery and sale or lease of vehicles. Accordingly, the number of reservations and orders have significant limitations as a measure of demand for our vehicles, including demand for particular body styles, models or trim levels, or for future vehicle sales. If we encounter delays in customer deliveries of the Lucid Air that further lengthen wait times or in the event of negative media coverage, a significant number of reservations may be cancelled.</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i w:val="1"/>
          <w:iCs w:val="1"/>
          <w:color w:val="231F20"/>
        </w:rPr>
        <w:t>The automotive industry has significant barriers to entry that we must overcome in order to manufacture and sell electric vehicles at scale.</w:t>
      </w:r>
    </w:p>
    <w:p>
      <w:pPr>
        <w:spacing w:after="0" w:line="237"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our commercial manufacturing facility in Casa Grande, Arizona, we have not finished tooling all production lines at our Casa Grande facilities. If we are not able to overcome these barriers, our business, prospects, results of operations and financial condition will be negatively impacted, and our ability to grow our business will be harmed.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automotive market is highly competitive, and we may not be successful in competing in this industry.</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231F20"/>
        </w:rPr>
        <w:t>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We currently depend on revenue generated from a single model and in the foreseeable future will be significantly dependent on a limited number of models.</w:t>
      </w:r>
    </w:p>
    <w:p>
      <w:pPr>
        <w:spacing w:after="0" w:line="17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231F20"/>
        </w:rPr>
        <w:t>We currently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2024.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will not have a third-party retail product distribution and full-service network.</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231F20"/>
        </w:rPr>
        <w:t>Third-party dealer networks are the traditional method of vehicle sales distribution and service. Because we sell directly to consumers,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IT infrastructure to support them, which may prove costly, time-consuming or ineffective. If our use of an in-house sales, marketing and service team is not effective, our results of operations and financial conditions could be adversely affected.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0" w:name="page51"/>
    <w:bookmarkEnd w:id="50"/>
    <w:p>
      <w:pPr>
        <w:ind w:right="180"/>
        <w:spacing w:after="0" w:line="277" w:lineRule="auto"/>
        <w:rPr>
          <w:sz w:val="20"/>
          <w:szCs w:val="20"/>
          <w:color w:val="auto"/>
        </w:rPr>
      </w:pPr>
      <w:r>
        <w:rPr>
          <w:rFonts w:ascii="Arial" w:cs="Arial" w:eastAsia="Arial" w:hAnsi="Arial"/>
          <w:sz w:val="18"/>
          <w:szCs w:val="18"/>
          <w:b w:val="1"/>
          <w:bCs w:val="1"/>
          <w:i w:val="1"/>
          <w:iCs w:val="1"/>
          <w:color w:val="231F20"/>
        </w:rPr>
        <w:t>Our sales will depend in part on our ability to establish and maintain confidence in our long-term business prospects among consumers, analysts and others within our industry.</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231F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31F20"/>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generate meaningful product revenue will depend on consumer adoption of electric vehicles.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231F20"/>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231F20"/>
        </w:rPr>
        <w:t>Other factors that may influence the adoption of electric vehicles include:</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perceptions about electric vehicle quality, safety, design, performance and cost;</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perceptions about the limited range over which electric vehicles may be driven on a single battery charge;</w:t>
      </w:r>
    </w:p>
    <w:p>
      <w:pPr>
        <w:spacing w:after="0" w:line="117" w:lineRule="exact"/>
        <w:rPr>
          <w:rFonts w:ascii="Arial" w:cs="Arial" w:eastAsia="Arial" w:hAnsi="Arial"/>
          <w:sz w:val="18"/>
          <w:szCs w:val="18"/>
          <w:color w:val="231F20"/>
        </w:rPr>
      </w:pPr>
    </w:p>
    <w:p>
      <w:pPr>
        <w:ind w:left="660" w:right="260" w:hanging="328"/>
        <w:spacing w:after="0" w:line="342" w:lineRule="auto"/>
        <w:tabs>
          <w:tab w:leader="none" w:pos="655" w:val="left"/>
        </w:tabs>
        <w:numPr>
          <w:ilvl w:val="0"/>
          <w:numId w:val="24"/>
        </w:numPr>
        <w:rPr>
          <w:rFonts w:ascii="Arial" w:cs="Arial" w:eastAsia="Arial" w:hAnsi="Arial"/>
          <w:sz w:val="16"/>
          <w:szCs w:val="16"/>
          <w:color w:val="231F20"/>
        </w:rPr>
      </w:pPr>
      <w:r>
        <w:rPr>
          <w:rFonts w:ascii="Arial" w:cs="Arial" w:eastAsia="Arial" w:hAnsi="Arial"/>
          <w:sz w:val="16"/>
          <w:szCs w:val="16"/>
          <w:color w:val="231F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15" w:lineRule="exact"/>
        <w:rPr>
          <w:rFonts w:ascii="Arial" w:cs="Arial" w:eastAsia="Arial" w:hAnsi="Arial"/>
          <w:sz w:val="16"/>
          <w:szCs w:val="16"/>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concerns about electric grid capacity and reliability;</w:t>
      </w:r>
    </w:p>
    <w:p>
      <w:pPr>
        <w:spacing w:after="0" w:line="117" w:lineRule="exact"/>
        <w:rPr>
          <w:rFonts w:ascii="Arial" w:cs="Arial" w:eastAsia="Arial" w:hAnsi="Arial"/>
          <w:sz w:val="18"/>
          <w:szCs w:val="18"/>
          <w:color w:val="231F20"/>
        </w:rPr>
      </w:pPr>
    </w:p>
    <w:p>
      <w:pPr>
        <w:ind w:left="660" w:right="42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availability of other alternative fuel vehicles, including plug-in hybrid electric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improvements in the fuel economy of the internal combustion engine;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quality and availability of service for electric vehicles, especially in international markets;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volatility in the cost of oil and gasoline;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government regulations and economic incentives promoting fuel efficiency and alternate forms of energy;</w:t>
      </w:r>
    </w:p>
    <w:p>
      <w:pPr>
        <w:spacing w:after="0" w:line="117" w:lineRule="exact"/>
        <w:rPr>
          <w:rFonts w:ascii="Arial" w:cs="Arial" w:eastAsia="Arial" w:hAnsi="Arial"/>
          <w:sz w:val="18"/>
          <w:szCs w:val="18"/>
          <w:color w:val="231F20"/>
        </w:rPr>
      </w:pPr>
    </w:p>
    <w:p>
      <w:pPr>
        <w:ind w:left="660" w:right="80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access to charging stations and cost to charge an electric vehicle, especially in international markets, and related infrastructure costs and standardization;</w:t>
      </w:r>
    </w:p>
    <w:p>
      <w:pPr>
        <w:sectPr>
          <w:pgSz w:w="11900" w:h="16838" w:orient="portrait"/>
          <w:cols w:equalWidth="0" w:num="1">
            <w:col w:w="11240"/>
          </w:cols>
          <w:pgMar w:left="320" w:top="989"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1" w:name="page52"/>
    <w:bookmarkEnd w:id="51"/>
    <w:p>
      <w:pPr>
        <w:ind w:left="660" w:right="200" w:hanging="328"/>
        <w:spacing w:after="0" w:line="277" w:lineRule="auto"/>
        <w:tabs>
          <w:tab w:leader="none" w:pos="655"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availability of tax and other governmental incentives to purchase and operate electric vehicles or future regulation requiring increased use of nonpolluting vehicles;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macroeconomic factors.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231F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Developments in electric vehicle or alternative fuel technology or improvements in the internal combustion engine may adversely affect the demand for our vehicles.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Extended periods of low gasoline or other petroleum-based fuel prices could adversely affect demand for our vehicles, which would adversely affect our business, prospects, results of operations and financial condition.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19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231F20"/>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The unavailability, reduction or elimination of certain government and economic programs could have a material adverse effect on our business, prospects, financial condition and results of operations.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2" w:name="page53"/>
    <w:bookmarkEnd w:id="52"/>
    <w:p>
      <w:pPr>
        <w:ind w:right="260"/>
        <w:spacing w:after="0" w:line="263" w:lineRule="auto"/>
        <w:rPr>
          <w:sz w:val="20"/>
          <w:szCs w:val="20"/>
          <w:color w:val="auto"/>
        </w:rPr>
      </w:pPr>
      <w:r>
        <w:rPr>
          <w:rFonts w:ascii="Arial" w:cs="Arial" w:eastAsia="Arial" w:hAnsi="Arial"/>
          <w:sz w:val="18"/>
          <w:szCs w:val="18"/>
          <w:color w:val="231F20"/>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231F20"/>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we fail to manage our future growth effectively, we may not be able to develop, manufacture, distribute, market and sell our vehicles successfully.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231F20"/>
        </w:rPr>
        <w:t>Any failure to manage our growth effectively could materially and adversely affect our business, prospects, results of operations and financial condition.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We intend to expand our operations significantly. We expect our future expansion will include:</w:t>
      </w:r>
    </w:p>
    <w:p>
      <w:pPr>
        <w:spacing w:after="0" w:line="10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expanding our management team;</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hiring and training new personnel;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establishing or expanding design, manufacturing, sales and service facilities;</w:t>
      </w:r>
    </w:p>
    <w:p>
      <w:pPr>
        <w:spacing w:after="0" w:line="117" w:lineRule="exact"/>
        <w:rPr>
          <w:rFonts w:ascii="Arial" w:cs="Arial" w:eastAsia="Arial" w:hAnsi="Arial"/>
          <w:sz w:val="18"/>
          <w:szCs w:val="18"/>
          <w:color w:val="231F20"/>
        </w:rPr>
      </w:pPr>
    </w:p>
    <w:p>
      <w:pPr>
        <w:ind w:left="660" w:right="28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implementing and enhancing administrative and business infrastructure, systems and processes, including in connection with our transition to a public company;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expanding into new markets and establishing sales, service and/or manufacturing operations in many of those markets.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in supply chain management and logistics as well as designing, engineering, manufacturing and servicing electric vehicles is intense, and we may not be able to identify, attract, integrate, train, motivate or retain additional highly qualified personnel in the future. The failure to identify, attract, integrate, train, motivate and retain these additional employees could seriously harm our business and pros</w:t>
      </w:r>
      <w:r>
        <w:rPr>
          <w:rFonts w:ascii="Arial" w:cs="Arial" w:eastAsia="Arial" w:hAnsi="Arial"/>
          <w:sz w:val="16"/>
          <w:szCs w:val="16"/>
          <w:color w:val="000000"/>
        </w:rPr>
        <w:t>pects. Our</w:t>
      </w:r>
      <w:r>
        <w:rPr>
          <w:rFonts w:ascii="Arial" w:cs="Arial" w:eastAsia="Arial" w:hAnsi="Arial"/>
          <w:sz w:val="16"/>
          <w:szCs w:val="16"/>
          <w:color w:val="231F20"/>
        </w:rPr>
        <w:t xml:space="preserve"> </w:t>
      </w:r>
      <w:r>
        <w:rPr>
          <w:rFonts w:ascii="Arial" w:cs="Arial" w:eastAsia="Arial" w:hAnsi="Arial"/>
          <w:sz w:val="16"/>
          <w:szCs w:val="16"/>
          <w:color w:val="000000"/>
        </w:rPr>
        <w:t xml:space="preserve">employee equity program is a key factor in our ability to attract and retain talent and continue to support the growth of the company. If </w:t>
      </w:r>
      <w:r>
        <w:rPr>
          <w:rFonts w:ascii="Arial" w:cs="Arial" w:eastAsia="Arial" w:hAnsi="Arial"/>
          <w:sz w:val="16"/>
          <w:szCs w:val="16"/>
          <w:color w:val="231F20"/>
        </w:rPr>
        <w:t>we are unable to</w:t>
      </w:r>
      <w:r>
        <w:rPr>
          <w:rFonts w:ascii="Arial" w:cs="Arial" w:eastAsia="Arial" w:hAnsi="Arial"/>
          <w:sz w:val="16"/>
          <w:szCs w:val="16"/>
          <w:color w:val="000000"/>
        </w:rPr>
        <w:t xml:space="preserve"> </w:t>
      </w:r>
      <w:r>
        <w:rPr>
          <w:rFonts w:ascii="Arial" w:cs="Arial" w:eastAsia="Arial" w:hAnsi="Arial"/>
          <w:sz w:val="16"/>
          <w:szCs w:val="16"/>
          <w:color w:val="231F20"/>
        </w:rPr>
        <w:t>grant equity awards, or if we are forced to reduce the value of equity awards we grant due to shortage of shares available for issuance under our stock incentive plan,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personnel were to terminate their employment with us, such termination would likely increase the difficulty of managing our future growth and heighten the foregoing risks.</w:t>
      </w:r>
    </w:p>
    <w:p>
      <w:pPr>
        <w:spacing w:after="0" w:line="16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231F20"/>
        </w:rPr>
        <w:t>We also have no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logistics challenges with respect to our manufacturing and warehousing facilities. Any failure to develop and implement such manufacturing processes and capabilities within our projected costs and timelines could stunt our future growth and impair our ability to produce, market, service and sell or lease our vehicles successfully. In addition, our rapid growth, competitive real estate markets, and increasing rental rates, may impact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3" w:name="page54"/>
    <w:bookmarkEnd w:id="53"/>
    <w:p>
      <w:pPr>
        <w:jc w:val="both"/>
        <w:ind w:right="500"/>
        <w:spacing w:after="0" w:line="381" w:lineRule="auto"/>
        <w:rPr>
          <w:sz w:val="20"/>
          <w:szCs w:val="20"/>
          <w:color w:val="auto"/>
        </w:rPr>
      </w:pPr>
      <w:r>
        <w:rPr>
          <w:rFonts w:ascii="Arial" w:cs="Arial" w:eastAsia="Arial" w:hAnsi="Arial"/>
          <w:sz w:val="15"/>
          <w:szCs w:val="15"/>
          <w:b w:val="1"/>
          <w:bCs w:val="1"/>
          <w:i w:val="1"/>
          <w:iCs w:val="1"/>
          <w:color w:val="231F20"/>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10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231F20"/>
        </w:rPr>
        <w:t>We offer leasing and financing of our vehicles to potential customers in the United States through a third-party financing partner and intend to do the same in other markets through third-party financing partners, but we cannot provide any assurance that such third-party financing partners will continue, or would be able or willing, to provide such services on terms acceptable to us or our customers. Furthermore, because we have only sold a limited number of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pacing w:after="0" w:line="1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31F20"/>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caused by the ongoing COVID-19 pandemic and the recent conflict in Ukraine.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178"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231F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51"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Our vehicles are designed with advanced driver assistance system (“</w:t>
      </w:r>
      <w:r>
        <w:rPr>
          <w:rFonts w:ascii="Arial" w:cs="Arial" w:eastAsia="Arial" w:hAnsi="Arial"/>
          <w:sz w:val="17"/>
          <w:szCs w:val="17"/>
          <w:i w:val="1"/>
          <w:iCs w:val="1"/>
          <w:color w:val="231F20"/>
        </w:rPr>
        <w:t>ADAS</w:t>
      </w:r>
      <w:r>
        <w:rPr>
          <w:rFonts w:ascii="Arial" w:cs="Arial" w:eastAsia="Arial" w:hAnsi="Arial"/>
          <w:sz w:val="17"/>
          <w:szCs w:val="17"/>
          <w:color w:val="231F20"/>
        </w:rPr>
        <w:t xml:space="preserve">”) hardware, and we expect to release a Lucid Air software update and launch Project Gravity with Level 2 (partial automation) ADAS functionality, which we plan to upgrade with additional capabilities over time. </w:t>
      </w:r>
      <w:r>
        <w:rPr>
          <w:rFonts w:ascii="Arial" w:cs="Arial" w:eastAsia="Arial" w:hAnsi="Arial"/>
          <w:sz w:val="17"/>
          <w:szCs w:val="17"/>
          <w:color w:val="000000"/>
        </w:rPr>
        <w:t>ADAS</w:t>
      </w:r>
      <w:r>
        <w:rPr>
          <w:rFonts w:ascii="Arial" w:cs="Arial" w:eastAsia="Arial" w:hAnsi="Arial"/>
          <w:sz w:val="17"/>
          <w:szCs w:val="17"/>
          <w:color w:val="231F20"/>
        </w:rPr>
        <w:t xml:space="preserve">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w:t>
      </w:r>
      <w:r>
        <w:rPr>
          <w:rFonts w:ascii="Arial" w:cs="Arial" w:eastAsia="Arial" w:hAnsi="Arial"/>
          <w:sz w:val="17"/>
          <w:szCs w:val="17"/>
          <w:color w:val="000000"/>
        </w:rPr>
        <w:t>ADAS</w:t>
      </w:r>
      <w:r>
        <w:rPr>
          <w:rFonts w:ascii="Arial" w:cs="Arial" w:eastAsia="Arial" w:hAnsi="Arial"/>
          <w:sz w:val="17"/>
          <w:szCs w:val="17"/>
          <w:color w:val="231F20"/>
        </w:rPr>
        <w:t xml:space="preserve"> features were active, and these crash reports will become publicly available. To the extent accidents associated with our </w:t>
      </w:r>
      <w:r>
        <w:rPr>
          <w:rFonts w:ascii="Arial" w:cs="Arial" w:eastAsia="Arial" w:hAnsi="Arial"/>
          <w:sz w:val="17"/>
          <w:szCs w:val="17"/>
          <w:color w:val="000000"/>
        </w:rPr>
        <w:t>ADAS</w:t>
      </w:r>
      <w:r>
        <w:rPr>
          <w:rFonts w:ascii="Arial" w:cs="Arial" w:eastAsia="Arial" w:hAnsi="Arial"/>
          <w:sz w:val="17"/>
          <w:szCs w:val="17"/>
          <w:color w:val="231F20"/>
        </w:rPr>
        <w:t xml:space="preserve">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8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231F20"/>
        </w:rPr>
        <w:t xml:space="preserve">In addition, we face substantial competition in the development and deployment of </w:t>
      </w:r>
      <w:r>
        <w:rPr>
          <w:rFonts w:ascii="Arial" w:cs="Arial" w:eastAsia="Arial" w:hAnsi="Arial"/>
          <w:sz w:val="18"/>
          <w:szCs w:val="18"/>
          <w:color w:val="000000"/>
        </w:rPr>
        <w:t>ADAS</w:t>
      </w:r>
      <w:r>
        <w:rPr>
          <w:rFonts w:ascii="Arial" w:cs="Arial" w:eastAsia="Arial" w:hAnsi="Arial"/>
          <w:sz w:val="18"/>
          <w:szCs w:val="18"/>
          <w:color w:val="231F20"/>
        </w:rPr>
        <w:t xml:space="preserve"> technologies. Many of our competitors, including established automakers and technology companies, have devoted significant time and resources to developing self-driving technologies. If we are unable to develop competitive Level 2 or more advanced </w:t>
      </w:r>
      <w:r>
        <w:rPr>
          <w:rFonts w:ascii="Arial" w:cs="Arial" w:eastAsia="Arial" w:hAnsi="Arial"/>
          <w:sz w:val="18"/>
          <w:szCs w:val="18"/>
          <w:color w:val="000000"/>
        </w:rPr>
        <w:t>ADAS</w:t>
      </w:r>
      <w:r>
        <w:rPr>
          <w:rFonts w:ascii="Arial" w:cs="Arial" w:eastAsia="Arial" w:hAnsi="Arial"/>
          <w:sz w:val="18"/>
          <w:szCs w:val="18"/>
          <w:color w:val="231F20"/>
        </w:rPr>
        <w:t xml:space="preserve"> technologies in-house or acquire access to such technologies via partnerships or investments in other companies or assets, we may be unable to equip our vehicles with competitive </w:t>
      </w:r>
      <w:r>
        <w:rPr>
          <w:rFonts w:ascii="Arial" w:cs="Arial" w:eastAsia="Arial" w:hAnsi="Arial"/>
          <w:sz w:val="18"/>
          <w:szCs w:val="18"/>
          <w:color w:val="000000"/>
        </w:rPr>
        <w:t>ADAS</w:t>
      </w:r>
      <w:r>
        <w:rPr>
          <w:rFonts w:ascii="Arial" w:cs="Arial" w:eastAsia="Arial" w:hAnsi="Arial"/>
          <w:sz w:val="18"/>
          <w:szCs w:val="18"/>
          <w:color w:val="231F20"/>
        </w:rPr>
        <w:t xml:space="preserve"> features, which could damage our brand, reduce consumer demand for our vehicles or trigger cancellations of reservations and could have a material adverse effect on our business, results of operations, prospects and financial condition.</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31F20"/>
        </w:rPr>
        <w:t xml:space="preserve">ADAS technology is also subject to considerable regulatory uncertainty, which exposes us to additional risks. See “— Risks Related to Litigation and Regulation </w:t>
      </w:r>
      <w:r>
        <w:rPr>
          <w:rFonts w:ascii="Arial" w:cs="Arial" w:eastAsia="Arial" w:hAnsi="Arial"/>
          <w:sz w:val="18"/>
          <w:szCs w:val="18"/>
          <w:i w:val="1"/>
          <w:iCs w:val="1"/>
          <w:color w:val="231F20"/>
        </w:rPr>
        <w:t>— ADAS technology is subject to uncertain and evolving regulations.</w:t>
      </w:r>
      <w:r>
        <w:rPr>
          <w:rFonts w:ascii="Arial" w:cs="Arial" w:eastAsia="Arial" w:hAnsi="Arial"/>
          <w:sz w:val="18"/>
          <w:szCs w:val="18"/>
          <w:color w:val="231F20"/>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business and prospects depend significantly on our brand.</w:t>
      </w:r>
    </w:p>
    <w:p>
      <w:pPr>
        <w:spacing w:after="0" w:line="225"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231F20"/>
        </w:rPr>
        <w:t>Our business and prospects will heavily depend on our ability to develop, maintain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we may be required to change our customer development and branding practices, which could result in substantially increased expenses, including the need to use traditional media such as television, radio and print advertising.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4" w:name="page55"/>
    <w:bookmarkEnd w:id="54"/>
    <w:p>
      <w:pPr>
        <w:spacing w:after="0" w:line="290" w:lineRule="auto"/>
        <w:rPr>
          <w:sz w:val="20"/>
          <w:szCs w:val="20"/>
          <w:color w:val="auto"/>
        </w:rPr>
      </w:pPr>
      <w:r>
        <w:rPr>
          <w:rFonts w:ascii="Arial" w:cs="Arial" w:eastAsia="Arial" w:hAnsi="Arial"/>
          <w:sz w:val="16"/>
          <w:szCs w:val="16"/>
          <w:color w:val="231F20"/>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 to 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We face risks associated with international operations, including unfavorable regulatory, political, tax and labor conditions, which could harm our business.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We anticipate having operations and subsidiaries in Europe, the Middle East and China that are subject to the legal, political, regulatory and social requirements and economic conditions in these jurisdictions. Additionally, as part of our growth strategy, we intend to expand our sales, maintenance and repair services outside of the United States and may also expand our manufacturing activities outside the United States. However, we have no experience to date manufacturing, selling or servicing our vehicles outside of the United States, and such expansion would require us to make significant expenditures, including the hiring of local employees and establishing facilities,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8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conforming our vehicles to various international regulatory requirements where our vehicles are sold, or homologation;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establishing localized supply chains and managing international supply chain and logistics costs;</w:t>
      </w:r>
    </w:p>
    <w:p>
      <w:pPr>
        <w:spacing w:after="0" w:line="117" w:lineRule="exact"/>
        <w:rPr>
          <w:rFonts w:ascii="Arial" w:cs="Arial" w:eastAsia="Arial" w:hAnsi="Arial"/>
          <w:sz w:val="18"/>
          <w:szCs w:val="18"/>
          <w:color w:val="231F20"/>
        </w:rPr>
      </w:pPr>
    </w:p>
    <w:p>
      <w:pPr>
        <w:ind w:left="660" w:right="50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establishing sufficient charging points for our customers in those jurisdictions, via partnerships or, if necessary, via development of our own charging networks;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difficulty in staffing and managing foreign operations;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difficulties attracting customers in new jurisdictions;</w:t>
      </w:r>
    </w:p>
    <w:p>
      <w:pPr>
        <w:spacing w:after="0" w:line="117" w:lineRule="exact"/>
        <w:rPr>
          <w:rFonts w:ascii="Arial" w:cs="Arial" w:eastAsia="Arial" w:hAnsi="Arial"/>
          <w:sz w:val="18"/>
          <w:szCs w:val="18"/>
          <w:color w:val="231F20"/>
        </w:rPr>
      </w:pPr>
    </w:p>
    <w:p>
      <w:pPr>
        <w:jc w:val="both"/>
        <w:ind w:left="660" w:right="420" w:hanging="328"/>
        <w:spacing w:after="0" w:line="263"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spacing w:after="0" w:line="75" w:lineRule="exact"/>
        <w:rPr>
          <w:rFonts w:ascii="Arial" w:cs="Arial" w:eastAsia="Arial" w:hAnsi="Arial"/>
          <w:sz w:val="18"/>
          <w:szCs w:val="18"/>
          <w:color w:val="231F20"/>
        </w:rPr>
      </w:pPr>
    </w:p>
    <w:p>
      <w:pPr>
        <w:ind w:left="660" w:right="260" w:hanging="328"/>
        <w:spacing w:after="0" w:line="308" w:lineRule="auto"/>
        <w:tabs>
          <w:tab w:leader="none" w:pos="655" w:val="left"/>
        </w:tabs>
        <w:numPr>
          <w:ilvl w:val="0"/>
          <w:numId w:val="27"/>
        </w:numPr>
        <w:rPr>
          <w:rFonts w:ascii="Arial" w:cs="Arial" w:eastAsia="Arial" w:hAnsi="Arial"/>
          <w:sz w:val="17"/>
          <w:szCs w:val="17"/>
          <w:color w:val="231F20"/>
        </w:rPr>
      </w:pPr>
      <w:r>
        <w:rPr>
          <w:rFonts w:ascii="Arial" w:cs="Arial" w:eastAsia="Arial" w:hAnsi="Arial"/>
          <w:sz w:val="17"/>
          <w:szCs w:val="17"/>
          <w:color w:val="231F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38" w:lineRule="exact"/>
        <w:rPr>
          <w:rFonts w:ascii="Arial" w:cs="Arial" w:eastAsia="Arial" w:hAnsi="Arial"/>
          <w:sz w:val="17"/>
          <w:szCs w:val="17"/>
          <w:color w:val="231F20"/>
        </w:rPr>
      </w:pPr>
    </w:p>
    <w:p>
      <w:pPr>
        <w:ind w:left="660" w:right="32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inflation as well as fluctuations in foreign currency exchange rates and interest rates, including risks related to any forward currency contracts, interest rate swaps or other hedging activities we undertake;</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United States and foreign government trade restrictions, tariffs and price or exchange controls;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foreign labor laws, regulations and restrictions;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foreign data privacy and security laws, regulations and obligations;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changes in diplomatic and trade relationships, including political risk and customer perceptions based on such changes and risks;</w:t>
      </w:r>
    </w:p>
    <w:p>
      <w:pPr>
        <w:spacing w:after="0" w:line="117" w:lineRule="exact"/>
        <w:rPr>
          <w:rFonts w:ascii="Arial" w:cs="Arial" w:eastAsia="Arial" w:hAnsi="Arial"/>
          <w:sz w:val="18"/>
          <w:szCs w:val="18"/>
          <w:color w:val="231F20"/>
        </w:rPr>
      </w:pPr>
    </w:p>
    <w:p>
      <w:pPr>
        <w:ind w:left="660" w:right="14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political instability, natural disasters, pandemics (including severity, magnitude and the duration of the COVID-19 pandemic), war (including the conflict between Ukraine and Russia) or events of terrorism;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strength of international economies.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231F20"/>
        </w:rPr>
        <w:t>If we fail to successfully address these risks, our business, prospects, results of operations and financial condition could be materially harmed.</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5" w:name="page56"/>
    <w:bookmarkEnd w:id="55"/>
    <w:p>
      <w:pPr>
        <w:ind w:right="40"/>
        <w:spacing w:after="0" w:line="277" w:lineRule="auto"/>
        <w:rPr>
          <w:sz w:val="20"/>
          <w:szCs w:val="20"/>
          <w:color w:val="auto"/>
        </w:rPr>
      </w:pPr>
      <w:r>
        <w:rPr>
          <w:rFonts w:ascii="Arial" w:cs="Arial" w:eastAsia="Arial" w:hAnsi="Arial"/>
          <w:sz w:val="18"/>
          <w:szCs w:val="18"/>
          <w:b w:val="1"/>
          <w:bCs w:val="1"/>
          <w:i w:val="1"/>
          <w:iCs w:val="1"/>
          <w:color w:val="231F20"/>
        </w:rPr>
        <w:t>Uninsured losses could result in payment of substantial damages, which would decrease our cash reserves and could harm our cash flow and financial condition.</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231F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our size and operations, we may not maintain as much insurance coverage as other original equipment manufacturers, and in some cases, we may not maintain any at all. Additionally, the policies that we have may include significant deductibles or exclusions, and we cannot be certain that our insurance coverage will be sufficient to cover all or any future claims against us. A loss that is uninsured or exceeds existing policy limits may require us to pay substantial amounts, which could adversely affect our financial condition and results of operations. Further, insurance coverage may not continue to be available to us or, if available, may be at a significantly higher cost, especially if insurance providers perceive any increase in our risk profile in the future. This may lead to a change in our insurance purchasing strategy which can result in us assuming greater risks to offset insurance market fluctuations.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Increasing scrutiny and changing expectations from global regulations, our investors, customers and employees with respect to our ESG practices may impose additional costs on us or expose us to new or additional risks.</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There is increased focus, including from governmental organizations and our investors, customers and employees, on ESG issues such as environmental stewardship, climate change, diversity and inclusion, racial justice, workplace conduct, recyclability, sourcing and ESG disclosure.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It is possible that our stakeholders may not be satisfied with our ESG practices or the speed of their adoption and our systems may not be adequate to meet increasing global regulations on ESG topics. Actual or perceived shortcomings with respect to our ESG initiatives and reporting may subject us to litigation and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ratings of our company or our industries, as well as non-inclusion of our stock on ESG-oriented investment funds, may lead to negative investor sentiment and the diversion of investment to other companies or industries, which could have a negative impact on our stock price.</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due to the impacts of climate change, there are increasing risks to our business, including physical risks such as wildfires, floods, tornadoes or other events, that could cause disruptions to our supply chain, manufacturing, and corporate functions. We may incur additional costs and resources preparing for and addressing such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Manufacturing and Supply Chain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have experienced and may in the future experience significant delays in the design, manufacture, launch and financing of our vehicles, including the Lucid Air and Project Gravity, which could harm our business and prospects.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including as a result of design changes to components. Any future delays in the financing, design, manufacture and launch of the Lucid Air, including planned future variants, and any future electric vehicles could materially damage our business, prospects, financial condition and results of operations.</w:t>
      </w:r>
    </w:p>
    <w:p>
      <w:pPr>
        <w:spacing w:after="0" w:line="1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Many of our vehicles are still in the development and/or testing phase, including all of the variants of the Lucid Air other than the Dream Edition and the Grand Touring, and production of the Project Gravity SUV is not expected to begin until 2024, and may occur later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the Casa Grande manufacturing facilities, or other future manufacturing facilities.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6" w:name="page57"/>
    <w:bookmarkEnd w:id="56"/>
    <w:p>
      <w:pPr>
        <w:spacing w:after="0" w:line="291" w:lineRule="auto"/>
        <w:rPr>
          <w:sz w:val="20"/>
          <w:szCs w:val="20"/>
          <w:color w:val="auto"/>
        </w:rPr>
      </w:pPr>
      <w:r>
        <w:rPr>
          <w:rFonts w:ascii="Arial" w:cs="Arial" w:eastAsia="Arial" w:hAnsi="Arial"/>
          <w:sz w:val="16"/>
          <w:szCs w:val="16"/>
          <w:color w:val="231F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These challenges have affected our ability, and the ability of our suppliers, to obtain parts, components and manufacturing equipment on a timely basis, and in some instances have resulted in increased costs. We expect that these industry-wide trends will continue for the foreseeable future. To the extent our suppliers experience any delays in providing us with or developing necessary components, we could experience delays in delivering on our timelines.</w:t>
      </w:r>
    </w:p>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31F20"/>
        </w:rPr>
        <w:t>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231F20"/>
        </w:rPr>
        <w:t>The continued development of and the ability to manufacture our vehicles, including the Lucid Air and Project Gravity, are and will be subject to risks, including with respect to:</w:t>
      </w:r>
    </w:p>
    <w:p>
      <w:pPr>
        <w:spacing w:after="0" w:line="11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7"/>
          <w:szCs w:val="17"/>
          <w:color w:val="231F20"/>
        </w:rPr>
      </w:pPr>
      <w:r>
        <w:rPr>
          <w:rFonts w:ascii="Arial" w:cs="Arial" w:eastAsia="Arial" w:hAnsi="Arial"/>
          <w:sz w:val="17"/>
          <w:szCs w:val="17"/>
          <w:color w:val="231F20"/>
        </w:rPr>
        <w:t>our ability to ensure readiness of firmware features and functions to be integrated into the Lucid Air as planned and on the desired timeline;</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finalize release candidate specifications for Project Gravity as planned and on the desired timeline;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any delays by us in delivering final component designs to our suppliers or any changes to such component designs;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or our suppliers’ ability to successfully tool their manufacturing facilities as planned and on the desired timeline;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ensure a working supply chain and desired supplier part quality and quantity as planned and on the desired timeline;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accurately manufacture vehicles within specified design tolerances;</w:t>
      </w:r>
    </w:p>
    <w:p>
      <w:pPr>
        <w:spacing w:after="0" w:line="117" w:lineRule="exact"/>
        <w:rPr>
          <w:rFonts w:ascii="Arial" w:cs="Arial" w:eastAsia="Arial" w:hAnsi="Arial"/>
          <w:sz w:val="18"/>
          <w:szCs w:val="18"/>
          <w:color w:val="231F20"/>
        </w:rPr>
      </w:pPr>
    </w:p>
    <w:p>
      <w:pPr>
        <w:ind w:left="660" w:right="400" w:hanging="328"/>
        <w:spacing w:after="0" w:line="277" w:lineRule="auto"/>
        <w:tabs>
          <w:tab w:leader="none" w:pos="655"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establish, implement, refine and scale, as well as make significant investments in manufacturing, supply chain management and logistics functions, including the related information technology systems and software applications;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adequately reduce and control the costs of key parts and materials;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manage any transitions or changes in our production process, planned or unplanned;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the occurrence of product defects that cannot be remedied without adversely affecting the production;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secure necessary funding;</w:t>
      </w:r>
    </w:p>
    <w:p>
      <w:pPr>
        <w:spacing w:after="0" w:line="117" w:lineRule="exact"/>
        <w:rPr>
          <w:rFonts w:ascii="Arial" w:cs="Arial" w:eastAsia="Arial" w:hAnsi="Arial"/>
          <w:sz w:val="18"/>
          <w:szCs w:val="18"/>
          <w:color w:val="231F20"/>
        </w:rPr>
      </w:pPr>
    </w:p>
    <w:p>
      <w:pPr>
        <w:ind w:left="660" w:right="480" w:hanging="328"/>
        <w:spacing w:after="0" w:line="277" w:lineRule="auto"/>
        <w:tabs>
          <w:tab w:leader="none" w:pos="655"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negotiate and execute definitive agreements with various suppliers for hardware, software, or services necessary to engineer or manufacture our vehicles;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obtain required regulatory approvals and certifications;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comply with environmental, safety, and similar regulations and in a timely manner;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secure necessary components, services, or licenses on acceptable terms and in a timely manner;</w:t>
      </w:r>
    </w:p>
    <w:p>
      <w:pPr>
        <w:spacing w:after="0" w:line="117" w:lineRule="exact"/>
        <w:rPr>
          <w:rFonts w:ascii="Arial" w:cs="Arial" w:eastAsia="Arial" w:hAnsi="Arial"/>
          <w:sz w:val="18"/>
          <w:szCs w:val="18"/>
          <w:color w:val="231F20"/>
        </w:rPr>
      </w:pPr>
    </w:p>
    <w:p>
      <w:pPr>
        <w:ind w:left="660" w:right="400" w:hanging="328"/>
        <w:spacing w:after="0" w:line="277" w:lineRule="auto"/>
        <w:tabs>
          <w:tab w:leader="none" w:pos="655"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attract, recruit, hire, retain and train skilled employees including supply chain management, supplier quality, manufacturing and logistics personnel;</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design and implement effective and efficient quality control and inventory management processes;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delays or disruptions in our supply chain including raw material supplies;</w:t>
      </w:r>
    </w:p>
    <w:p>
      <w:pPr>
        <w:spacing w:after="0" w:line="117" w:lineRule="exact"/>
        <w:rPr>
          <w:rFonts w:ascii="Arial" w:cs="Arial" w:eastAsia="Arial" w:hAnsi="Arial"/>
          <w:sz w:val="18"/>
          <w:szCs w:val="18"/>
          <w:color w:val="231F20"/>
        </w:rPr>
      </w:pPr>
    </w:p>
    <w:p>
      <w:pPr>
        <w:ind w:left="660" w:right="700" w:hanging="328"/>
        <w:spacing w:after="0" w:line="277" w:lineRule="auto"/>
        <w:tabs>
          <w:tab w:leader="none" w:pos="655"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maintain arrangements on commercially reasonable terms with our suppliers, delivery and other partners, after sales service providers, and other operationally significant third parties;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other delays, backlog in manufacturing and research and development of new models, and cost overruns;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7"/>
          <w:szCs w:val="17"/>
          <w:color w:val="231F20"/>
        </w:rPr>
      </w:pPr>
      <w:r>
        <w:rPr>
          <w:rFonts w:ascii="Arial" w:cs="Arial" w:eastAsia="Arial" w:hAnsi="Arial"/>
          <w:sz w:val="17"/>
          <w:szCs w:val="17"/>
          <w:color w:val="231F20"/>
        </w:rPr>
        <w:t>the severity, magnitude and duration of the ongoing COVID-19 pandemic, including related business interruptions and other effects; and</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any other risks identified herein.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rFonts w:ascii="Arial" w:cs="Arial" w:eastAsia="Arial" w:hAnsi="Arial"/>
          <w:sz w:val="18"/>
          <w:szCs w:val="18"/>
          <w:i w:val="1"/>
          <w:iCs w:val="1"/>
          <w:color w:val="231F20"/>
        </w:rPr>
        <w:t>—</w:t>
      </w:r>
      <w:r>
        <w:rPr>
          <w:rFonts w:ascii="Arial" w:cs="Arial" w:eastAsia="Arial" w:hAnsi="Arial"/>
          <w:sz w:val="18"/>
          <w:szCs w:val="18"/>
          <w:color w:val="231F20"/>
        </w:rPr>
        <w:t xml:space="preserve">Risks Related to Financing and Strategic Transactions </w:t>
      </w:r>
      <w:r>
        <w:rPr>
          <w:rFonts w:ascii="Arial" w:cs="Arial" w:eastAsia="Arial" w:hAnsi="Arial"/>
          <w:sz w:val="18"/>
          <w:szCs w:val="18"/>
          <w:i w:val="1"/>
          <w:iCs w:val="1"/>
          <w:color w:val="231F20"/>
        </w:rPr>
        <w:t>— We will require additional capital to support business growth, and this capital</w:t>
      </w:r>
      <w:r>
        <w:rPr>
          <w:rFonts w:ascii="Arial" w:cs="Arial" w:eastAsia="Arial" w:hAnsi="Arial"/>
          <w:sz w:val="18"/>
          <w:szCs w:val="18"/>
          <w:color w:val="231F20"/>
        </w:rPr>
        <w:t xml:space="preserve"> </w:t>
      </w:r>
      <w:r>
        <w:rPr>
          <w:rFonts w:ascii="Arial" w:cs="Arial" w:eastAsia="Arial" w:hAnsi="Arial"/>
          <w:sz w:val="18"/>
          <w:szCs w:val="18"/>
          <w:i w:val="1"/>
          <w:iCs w:val="1"/>
          <w:color w:val="231F20"/>
        </w:rPr>
        <w:t>might not be available on commercially reasonable terms, or at all.”</w:t>
      </w:r>
    </w:p>
    <w:p>
      <w:pPr>
        <w:sectPr>
          <w:pgSz w:w="11900" w:h="16838" w:orient="portrait"/>
          <w:cols w:equalWidth="0" w:num="1">
            <w:col w:w="11220"/>
          </w:cols>
          <w:pgMar w:left="320" w:top="935" w:right="359" w:bottom="1440" w:gutter="0" w:footer="0" w:header="0"/>
        </w:sect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type w:val="continuous"/>
        </w:sectPr>
      </w:pPr>
    </w:p>
    <w:bookmarkStart w:id="57" w:name="page58"/>
    <w:bookmarkEnd w:id="57"/>
    <w:p>
      <w:pPr>
        <w:jc w:val="both"/>
        <w:ind w:right="280"/>
        <w:spacing w:after="0" w:line="381" w:lineRule="auto"/>
        <w:rPr>
          <w:sz w:val="20"/>
          <w:szCs w:val="20"/>
          <w:color w:val="auto"/>
        </w:rPr>
      </w:pPr>
      <w:r>
        <w:rPr>
          <w:rFonts w:ascii="Arial" w:cs="Arial" w:eastAsia="Arial" w:hAnsi="Arial"/>
          <w:sz w:val="15"/>
          <w:szCs w:val="15"/>
          <w:b w:val="1"/>
          <w:bCs w:val="1"/>
          <w:i w:val="1"/>
          <w:iCs w:val="1"/>
          <w:color w:val="231F20"/>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such as battery cells, and our supply agreements do not guarantee sufficient quantities of components for our vehicle production ramp curve. The supplier agreements we have or may enter into with key suppliers in the future may have provisions where such agreements can be terminated in various circumstances, including potentially without cause.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Substantial increases in the prices for such components, materials and equipment, whether due to supply chain or logistics issues or due to inflation,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99"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We may also be at a disadvantage in negotiating supply agreements for the production of our vehicles due to our limited operating history. In addition, given that in many cases we are an aggregator of automotive parts produced by third party manufacturers, there is the possibility that supply agreements for the parts and components for our vehicles could be at costs that make it difficult for us to operate profitably.</w:t>
      </w:r>
    </w:p>
    <w:p>
      <w:pPr>
        <w:spacing w:after="0" w:line="21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231F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231F20"/>
        </w:rPr>
        <w:t>We rely on hundreds of third-party suppliers for the provision and development of many of the key components and materials used in our vehicles. While we plan to obtain components from multiple sources whenever possible, many of the components used in our vehicles will be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w:t>
      </w:r>
    </w:p>
    <w:p>
      <w:pPr>
        <w:spacing w:after="0" w:line="191"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We expect that these industry-wide trends will continue to affect the ability of us and our suppliers to obtain parts, components and manufacturing equipment on a timely basis for the foreseeable future, and may result in increased costs. We have also been impacted by changes in our supply chain or production needs, including cost increases from our suppliers, in order to meet our quality targets and development timelines as well as due to design changes. Likewise, any significant increases in our production may in the future require us to procure additional components in a short amount of time.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In addition, we have experienced, and in the future could continue to experience, delays if our suppliers do not meet agreed upon timelines, experience capacity constraints, or deliver components that do not meet our quality standards and other requirements. Any disruption in the supply of components,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58" w:name="page59"/>
    <w:bookmarkEnd w:id="58"/>
    <w:p>
      <w:pPr>
        <w:ind w:right="40"/>
        <w:spacing w:after="0" w:line="269" w:lineRule="auto"/>
        <w:rPr>
          <w:sz w:val="20"/>
          <w:szCs w:val="20"/>
          <w:color w:val="auto"/>
        </w:rPr>
      </w:pPr>
      <w:r>
        <w:rPr>
          <w:rFonts w:ascii="Arial" w:cs="Arial" w:eastAsia="Arial" w:hAnsi="Arial"/>
          <w:sz w:val="17"/>
          <w:szCs w:val="17"/>
          <w:color w:val="231F20"/>
        </w:rPr>
        <w:t>Furthermore, as the scale of our vehicle production increases,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In addition, we have not yet begun servicing vehicles at significant volumes. Accordingly, our ability to scale production and vehicle servicing and mitigate risks associated with these activities has not been thoroughly tested.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spacing w:after="0" w:line="212"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Increases in costs, disruption of supply or shortage of materials, in particular for lithium-ion cells or semiconductors, could harm our business.</w:t>
      </w:r>
    </w:p>
    <w:p>
      <w:pPr>
        <w:spacing w:after="0" w:line="26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231F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steel prices and cost of construction labor. In addition, we use various materials in our business, including aluminum, steel, lithium, nickel, copper, cobalt, neodymium, terbium, praseodymium and manganese, as well as lithium-ion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cells. These risks include:</w:t>
      </w:r>
    </w:p>
    <w:p>
      <w:pPr>
        <w:spacing w:after="0" w:line="328" w:lineRule="exact"/>
        <w:rPr>
          <w:sz w:val="20"/>
          <w:szCs w:val="20"/>
          <w:color w:val="auto"/>
        </w:rPr>
      </w:pPr>
    </w:p>
    <w:p>
      <w:pPr>
        <w:ind w:left="660" w:right="480" w:hanging="328"/>
        <w:spacing w:after="0" w:line="277" w:lineRule="auto"/>
        <w:tabs>
          <w:tab w:leader="none" w:pos="655"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an increase in the cost, or decrease in the available supply, of materials, such as cobalt, used in lithium-ion cells;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disruption in the supply of cells due to quality issues or recalls by battery cell manufacturers; and</w:t>
      </w:r>
    </w:p>
    <w:p>
      <w:pPr>
        <w:spacing w:after="0" w:line="117" w:lineRule="exact"/>
        <w:rPr>
          <w:rFonts w:ascii="Arial" w:cs="Arial" w:eastAsia="Arial" w:hAnsi="Arial"/>
          <w:sz w:val="18"/>
          <w:szCs w:val="18"/>
          <w:color w:val="231F20"/>
        </w:rPr>
      </w:pPr>
    </w:p>
    <w:p>
      <w:pPr>
        <w:ind w:left="660" w:right="140" w:hanging="328"/>
        <w:spacing w:after="0" w:line="277" w:lineRule="auto"/>
        <w:tabs>
          <w:tab w:leader="none" w:pos="655"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fluctuations in the value of any foreign currencies, and the Korean Won in particular, in which battery cell and related raw material purchases are or may be denominated against the U.S. dollar.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59" w:name="page60"/>
    <w:bookmarkEnd w:id="59"/>
    <w:p>
      <w:pPr>
        <w:spacing w:after="0" w:line="285" w:lineRule="auto"/>
        <w:rPr>
          <w:sz w:val="20"/>
          <w:szCs w:val="20"/>
          <w:color w:val="auto"/>
        </w:rPr>
      </w:pPr>
      <w:r>
        <w:rPr>
          <w:rFonts w:ascii="Arial" w:cs="Arial" w:eastAsia="Arial" w:hAnsi="Arial"/>
          <w:sz w:val="16"/>
          <w:szCs w:val="16"/>
          <w:color w:val="231F20"/>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and of which could have a material adverse effect on our business, prospects and results of operations. In addition, prices and transportation expenses for these materials fluctuate depending on many factors beyond our control, including fluctuations in supply and demand, currency fluctuations, tariffs and taxes, fluctuations and shortages in petroleum supply, freight charges and other economic and political factors. These risks could be further magnified by geographical developments such as the conflict between Ukraine and Russia.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spacing w:after="0" w:line="20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Furthermore, currency fluctuations, tariffs or shortages in petroleum and other economic or political conditions have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spacing w:after="0" w:line="2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We must develop complex software and technology systems, including in coordination with vendors and suppliers, in order to produce our electric vehicles, and there can be no assurance such systems will be successfully developed.</w:t>
      </w:r>
    </w:p>
    <w:p>
      <w:pPr>
        <w:spacing w:after="0" w:line="19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231F20"/>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31F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30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delayed production and delivery of our vehicles, including the Lucid Air;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delayed market acceptance of our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loss of customers or inability to attract new customers;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diversion of engineering or other resources for remedying the defect or error;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damage to our brand or reputation;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increased service and warranty costs;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legal action by customers or third parties, including product liability claims; 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penalties imposed by regulatory authorities.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0" w:name="page61"/>
    <w:bookmarkEnd w:id="60"/>
    <w:p>
      <w:pPr>
        <w:ind w:right="520"/>
        <w:spacing w:after="0" w:line="277" w:lineRule="auto"/>
        <w:rPr>
          <w:sz w:val="20"/>
          <w:szCs w:val="20"/>
          <w:color w:val="auto"/>
        </w:rPr>
      </w:pPr>
      <w:r>
        <w:rPr>
          <w:rFonts w:ascii="Arial" w:cs="Arial" w:eastAsia="Arial" w:hAnsi="Arial"/>
          <w:sz w:val="18"/>
          <w:szCs w:val="18"/>
          <w:b w:val="1"/>
          <w:bCs w:val="1"/>
          <w:i w:val="1"/>
          <w:iCs w:val="1"/>
          <w:color w:val="231F20"/>
        </w:rPr>
        <w:t>If we fail to successfully tool our manufacturing facilities or if our manufacturing facilities become inoperable, we will be unable to produce our vehicles and our business will be harmed.</w:t>
      </w:r>
    </w:p>
    <w:p>
      <w:pPr>
        <w:spacing w:after="0" w:line="19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231F20"/>
        </w:rPr>
        <w:t>While we have completed the initial phase of construction at our manufacturing facilities in Casa Grande, Arizona, tooling our facilities for production of our vehicles and our future expansion plans are complicated and present significant challe</w:t>
      </w:r>
      <w:r>
        <w:rPr>
          <w:rFonts w:ascii="Arial" w:cs="Arial" w:eastAsia="Arial" w:hAnsi="Arial"/>
          <w:sz w:val="16"/>
          <w:szCs w:val="16"/>
          <w:color w:val="000000"/>
        </w:rPr>
        <w:t>nges. In addition, certain o</w:t>
      </w:r>
      <w:r>
        <w:rPr>
          <w:rFonts w:ascii="Arial" w:cs="Arial" w:eastAsia="Arial" w:hAnsi="Arial"/>
          <w:sz w:val="16"/>
          <w:szCs w:val="16"/>
          <w:color w:val="231F20"/>
        </w:rPr>
        <w:t>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For example, the installation and production readiness of certain general assembly equipment for our Phase 2 expansion of AMP-1 is expected to be delayed by our supplier until early 2023 due to its supply chain impacts and disruption related to the conflict in Ukraine. These risks could be exacerbated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our Casa Grande facilities, we have hired and trained and continue to hire and train a significant number of employees and integrate a yet-to-be-fully-developed supply chain. Any failure to continue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231F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require repair or remediation to support future production volumes. We have begun to repair or remediate these issues where possible without impacting manufacturing, and we plan to address the bulk of such repairs or remediation as part of the phased build-out of our Casa Grande facility. Although we do not currently expect that we will be required to take vehicle production offline or reduce our planned manufacturing volumes, the repairs or remediation are expected to entail significant costs, and we may be unable to recover some or all of such costs from the applicable contractor(s).</w:t>
      </w:r>
    </w:p>
    <w:p>
      <w:pPr>
        <w:spacing w:after="0" w:line="21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rely on complex machinery for our operations, and production involves a significant degree of risk and uncertainty in terms of operational performance, safety, security and costs.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231F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Furthermore, our Casa Grande facilities and the equipment we use to manufacture our vehicles will be costly to repair or replace and could require substantial lead-time to repair or replace and qualify for use.</w:t>
      </w:r>
    </w:p>
    <w:p>
      <w:pPr>
        <w:spacing w:after="0" w:line="21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ectPr>
          <w:pgSz w:w="11900" w:h="16838" w:orient="portrait"/>
          <w:cols w:equalWidth="0" w:num="1">
            <w:col w:w="11240"/>
          </w:cols>
          <w:pgMar w:left="320" w:top="773"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1" w:name="page62"/>
    <w:bookmarkEnd w:id="61"/>
    <w:p>
      <w:pPr>
        <w:ind w:right="180"/>
        <w:spacing w:after="0" w:line="381" w:lineRule="auto"/>
        <w:rPr>
          <w:sz w:val="20"/>
          <w:szCs w:val="20"/>
          <w:color w:val="auto"/>
        </w:rPr>
      </w:pPr>
      <w:r>
        <w:rPr>
          <w:rFonts w:ascii="Arial" w:cs="Arial" w:eastAsia="Arial" w:hAnsi="Arial"/>
          <w:sz w:val="15"/>
          <w:szCs w:val="15"/>
          <w:b w:val="1"/>
          <w:bCs w:val="1"/>
          <w:i w:val="1"/>
          <w:iCs w:val="1"/>
          <w:color w:val="231F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no experience to date in high volume manufacture of our vehicles.</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231F20"/>
        </w:rPr>
        <w:t>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store and deliver parts in sufficient quantities to the manufacturing lines in a manner that enables us to maintain our production ramp curve and rates, or to satisfy the requirements of customers and potential customers. Any failure to develop and implement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ramp production of the Lucid Air,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our vehicles fail to perform as expected, our ability to develop, market and sell or lease our products could be harmed.</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Our vehicles or the components installed therein have in the past and may in the future contain defects in design and manufacture that may cause them not to perform as expected or that may require repairs, recalls, and design changes, any of which would require significant financial and other resources to successfully navigate and resolve. Our vehicles will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8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231F20"/>
        </w:rPr>
        <w:t xml:space="preserve">Any defects, delays or legal restrictions on vehicle features, or other failure of our vehicles to perform as expected, could harm our reputation and result in delivery delays, product recalls, product liability claims, breach of warranty claims and significant warranty and other expenses, and could have a material adverse impact on our business, results of operations, prospects and financial condition. </w:t>
      </w:r>
      <w:r>
        <w:rPr>
          <w:rFonts w:ascii="Arial" w:cs="Arial" w:eastAsia="Arial" w:hAnsi="Arial"/>
          <w:sz w:val="17"/>
          <w:szCs w:val="17"/>
          <w:color w:val="000000"/>
        </w:rPr>
        <w:t>Any such defects or noncompliance with legal requirements could</w:t>
      </w:r>
      <w:r>
        <w:rPr>
          <w:rFonts w:ascii="Arial" w:cs="Arial" w:eastAsia="Arial" w:hAnsi="Arial"/>
          <w:sz w:val="17"/>
          <w:szCs w:val="17"/>
          <w:color w:val="231F20"/>
        </w:rPr>
        <w:t xml:space="preserve"> </w:t>
      </w:r>
      <w:r>
        <w:rPr>
          <w:rFonts w:ascii="Arial" w:cs="Arial" w:eastAsia="Arial" w:hAnsi="Arial"/>
          <w:sz w:val="17"/>
          <w:szCs w:val="17"/>
          <w:color w:val="000000"/>
        </w:rPr>
        <w:t xml:space="preserve">also result in safety recalls. See “— Risks Related to Litigation and Regulation — </w:t>
      </w:r>
      <w:r>
        <w:rPr>
          <w:rFonts w:ascii="Arial" w:cs="Arial" w:eastAsia="Arial" w:hAnsi="Arial"/>
          <w:sz w:val="17"/>
          <w:szCs w:val="17"/>
          <w:i w:val="1"/>
          <w:iCs w:val="1"/>
          <w:color w:val="000000"/>
        </w:rPr>
        <w:t>We have in the past and may choose in the future, or we may be</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compelled, to undertake product recalls or take other actions, which could adversely affect our business, prospects, results of operations, reputation and financial condition.” </w:t>
      </w:r>
      <w:r>
        <w:rPr>
          <w:rFonts w:ascii="Arial" w:cs="Arial" w:eastAsia="Arial" w:hAnsi="Arial"/>
          <w:sz w:val="17"/>
          <w:szCs w:val="17"/>
          <w:color w:val="231F20"/>
        </w:rPr>
        <w:t>As a new entrant to the industry attempting to build customer relationships and earn trust, these effects could be significantly</w:t>
      </w:r>
      <w:r>
        <w:rPr>
          <w:rFonts w:ascii="Arial" w:cs="Arial" w:eastAsia="Arial" w:hAnsi="Arial"/>
          <w:sz w:val="17"/>
          <w:szCs w:val="17"/>
          <w:i w:val="1"/>
          <w:iCs w:val="1"/>
          <w:color w:val="000000"/>
        </w:rPr>
        <w:t xml:space="preserve"> </w:t>
      </w:r>
      <w:r>
        <w:rPr>
          <w:rFonts w:ascii="Arial" w:cs="Arial" w:eastAsia="Arial" w:hAnsi="Arial"/>
          <w:sz w:val="17"/>
          <w:szCs w:val="17"/>
          <w:color w:val="231F20"/>
        </w:rPr>
        <w:t>detrimental to us. Additionally, problems and defects experienced by other electric consumer vehicles could by association have a negative impact on perception and customer demand for our vehicles.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2" w:name="page63"/>
    <w:bookmarkEnd w:id="62"/>
    <w:p>
      <w:pPr>
        <w:ind w:right="120"/>
        <w:spacing w:after="0" w:line="289" w:lineRule="auto"/>
        <w:rPr>
          <w:sz w:val="20"/>
          <w:szCs w:val="20"/>
          <w:color w:val="auto"/>
        </w:rPr>
      </w:pPr>
      <w:r>
        <w:rPr>
          <w:rFonts w:ascii="Arial" w:cs="Arial" w:eastAsia="Arial" w:hAnsi="Arial"/>
          <w:sz w:val="16"/>
          <w:szCs w:val="16"/>
          <w:color w:val="231F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face challenges providing charging solutions for our vehicles.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Demand for our vehicles will depend in part on the availability of charging infrastructure both domestically and internationally.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appropriations for such a deployment may not occur at proposed levels, which could serve to limit the development of public charging infrastructure and increase the relative attractiveness to potential customers of a proprietary charging solution.</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231F20"/>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231F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6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231F20"/>
        </w:rPr>
        <w:t>Because commercial production of the Lucid Air has recently begun, we have limited experience servicing or repairing our vehicles.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plan to partner with certain third parties to perform some of the service on our vehicles, and there can be no assurance that we will be able to enter into acceptable arrangements with any such third-party providers or develop and implement the necessary IT infrastructure to support them.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199"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231F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3" w:name="page64"/>
    <w:bookmarkEnd w:id="63"/>
    <w:p>
      <w:pPr>
        <w:ind w:right="60"/>
        <w:spacing w:after="0" w:line="290" w:lineRule="auto"/>
        <w:rPr>
          <w:sz w:val="20"/>
          <w:szCs w:val="20"/>
          <w:color w:val="auto"/>
        </w:rPr>
      </w:pPr>
      <w:r>
        <w:rPr>
          <w:rFonts w:ascii="Arial" w:cs="Arial" w:eastAsia="Arial" w:hAnsi="Arial"/>
          <w:sz w:val="16"/>
          <w:szCs w:val="16"/>
          <w:color w:val="231F20"/>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16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231F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24"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We provide a new vehicle limited warranty on all vehicles and powertrain components and systems we sell. Now that our vehicles are in commercial production, we will need to maintain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17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231F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vehicles to our customers could be delayed, which would harm our business, financial condition and results of operations.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64" w:name="page65"/>
    <w:bookmarkEnd w:id="64"/>
    <w:p>
      <w:pPr>
        <w:ind w:right="20"/>
        <w:spacing w:after="0" w:line="277" w:lineRule="auto"/>
        <w:rPr>
          <w:sz w:val="20"/>
          <w:szCs w:val="20"/>
          <w:color w:val="auto"/>
        </w:rPr>
      </w:pPr>
      <w:r>
        <w:rPr>
          <w:rFonts w:ascii="Arial" w:cs="Arial" w:eastAsia="Arial" w:hAnsi="Arial"/>
          <w:sz w:val="18"/>
          <w:szCs w:val="18"/>
          <w:b w:val="1"/>
          <w:bCs w:val="1"/>
          <w:i w:val="1"/>
          <w:iCs w:val="1"/>
          <w:color w:val="231F20"/>
        </w:rPr>
        <w:t>Our facilities or operations could be adversely affected by events outside of our control, such as natural disasters, wars, health epidemics or pandemics, or security incidents.</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7"/>
          <w:szCs w:val="17"/>
          <w:color w:val="231F20"/>
        </w:rPr>
        <w:t xml:space="preserve">We and our suppliers may be impacted by natural disasters, wars, health epidemics or pandemics or other events outside of our control. For example, our corporate headquarters are located in seismically active regions in Northern California, and our manufacturing facilities in Arizona are located in a sandstorm-, flood- and tornado-prone area. If major disasters such as earthquakes, wildfires, floods, tornadoes or other events occur, or our information system or communications network breaks down or operates improperly, our headquarters and manufacturing facilities may be seriously damaged, or we may have to stop or delay production and shipment of our products. In addition, the ongoing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Arial" w:cs="Arial" w:eastAsia="Arial" w:hAnsi="Arial"/>
          <w:sz w:val="17"/>
          <w:szCs w:val="17"/>
          <w:i w:val="1"/>
          <w:iCs w:val="1"/>
          <w:color w:val="231F20"/>
        </w:rPr>
        <w:t>A failure to properly comply with foreign trade zone</w:t>
      </w:r>
      <w:r>
        <w:rPr>
          <w:rFonts w:ascii="Arial" w:cs="Arial" w:eastAsia="Arial" w:hAnsi="Arial"/>
          <w:sz w:val="17"/>
          <w:szCs w:val="17"/>
          <w:color w:val="231F20"/>
        </w:rPr>
        <w:t xml:space="preserve"> </w:t>
      </w:r>
      <w:r>
        <w:rPr>
          <w:rFonts w:ascii="Arial" w:cs="Arial" w:eastAsia="Arial" w:hAnsi="Arial"/>
          <w:sz w:val="17"/>
          <w:szCs w:val="17"/>
          <w:i w:val="1"/>
          <w:iCs w:val="1"/>
          <w:color w:val="231F20"/>
        </w:rPr>
        <w:t>laws and regulations could increase the cost of our duties and tariffs.</w:t>
      </w:r>
      <w:r>
        <w:rPr>
          <w:rFonts w:ascii="Arial" w:cs="Arial" w:eastAsia="Arial" w:hAnsi="Arial"/>
          <w:sz w:val="17"/>
          <w:szCs w:val="17"/>
          <w:color w:val="231F20"/>
        </w:rPr>
        <w:t>”</w:t>
      </w:r>
      <w:r>
        <w:rPr>
          <w:rFonts w:ascii="Arial" w:cs="Arial" w:eastAsia="Arial" w:hAnsi="Arial"/>
          <w:sz w:val="17"/>
          <w:szCs w:val="17"/>
          <w:i w:val="1"/>
          <w:iCs w:val="1"/>
          <w:color w:val="231F20"/>
        </w:rPr>
        <w:t xml:space="preserve"> </w:t>
      </w:r>
      <w:r>
        <w:rPr>
          <w:rFonts w:ascii="Arial" w:cs="Arial" w:eastAsia="Arial" w:hAnsi="Arial"/>
          <w:sz w:val="17"/>
          <w:szCs w:val="17"/>
          <w:color w:val="000000"/>
        </w:rPr>
        <w:t>In addition, the military invasion of Ukraine by Russia and the sanctions against</w:t>
      </w:r>
      <w:r>
        <w:rPr>
          <w:rFonts w:ascii="Arial" w:cs="Arial" w:eastAsia="Arial" w:hAnsi="Arial"/>
          <w:sz w:val="17"/>
          <w:szCs w:val="17"/>
          <w:i w:val="1"/>
          <w:iCs w:val="1"/>
          <w:color w:val="231F20"/>
        </w:rPr>
        <w:t xml:space="preserve"> </w:t>
      </w:r>
      <w:r>
        <w:rPr>
          <w:rFonts w:ascii="Arial" w:cs="Arial" w:eastAsia="Arial" w:hAnsi="Arial"/>
          <w:sz w:val="17"/>
          <w:szCs w:val="17"/>
          <w:color w:val="000000"/>
        </w:rPr>
        <w:t xml:space="preserve">Russia resulting from such conflict is expected to delay the installation and production readiness of certain general assembly equipment for our Phase 2 expansion of AMP-1, may increase the likelihood of supply chain interruptions and may impair our ability to compete in current or future markets, or otherwise subject us to potential liability. See “—Risks Related to Manufacturing and Supply Chain — </w:t>
      </w:r>
      <w:r>
        <w:rPr>
          <w:rFonts w:ascii="Arial" w:cs="Arial" w:eastAsia="Arial" w:hAnsi="Arial"/>
          <w:sz w:val="17"/>
          <w:szCs w:val="17"/>
          <w:i w:val="1"/>
          <w:iCs w:val="1"/>
          <w:color w:val="000000"/>
        </w:rPr>
        <w:t>if we fail to successfully tool our manufacturing</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facilities or if our manufacturing facilities become inoperable, we will be unable to produce our vehicles and our business will be harmed.” </w:t>
      </w:r>
      <w:r>
        <w:rPr>
          <w:rFonts w:ascii="Arial" w:cs="Arial" w:eastAsia="Arial" w:hAnsi="Arial"/>
          <w:sz w:val="17"/>
          <w:szCs w:val="17"/>
          <w:color w:val="000000"/>
        </w:rPr>
        <w:t>and “— Risks</w:t>
      </w:r>
      <w:r>
        <w:rPr>
          <w:rFonts w:ascii="Arial" w:cs="Arial" w:eastAsia="Arial" w:hAnsi="Arial"/>
          <w:sz w:val="17"/>
          <w:szCs w:val="17"/>
          <w:i w:val="1"/>
          <w:iCs w:val="1"/>
          <w:color w:val="000000"/>
        </w:rPr>
        <w:t xml:space="preserve"> </w:t>
      </w:r>
      <w:r>
        <w:rPr>
          <w:rFonts w:ascii="Arial" w:cs="Arial" w:eastAsia="Arial" w:hAnsi="Arial"/>
          <w:sz w:val="17"/>
          <w:szCs w:val="17"/>
          <w:color w:val="000000"/>
        </w:rPr>
        <w:t xml:space="preserve">Related to Litigation and Regulation — </w:t>
      </w:r>
      <w:r>
        <w:rPr>
          <w:rFonts w:ascii="Arial" w:cs="Arial" w:eastAsia="Arial" w:hAnsi="Arial"/>
          <w:sz w:val="17"/>
          <w:szCs w:val="17"/>
          <w:i w:val="1"/>
          <w:iCs w:val="1"/>
          <w:color w:val="000000"/>
        </w:rPr>
        <w:t>Changes in U.S. trade policy, including the imposition of tariffs or revocation of normal trade relations and the</w:t>
      </w:r>
      <w:r>
        <w:rPr>
          <w:rFonts w:ascii="Arial" w:cs="Arial" w:eastAsia="Arial" w:hAnsi="Arial"/>
          <w:sz w:val="17"/>
          <w:szCs w:val="17"/>
          <w:color w:val="000000"/>
        </w:rPr>
        <w:t xml:space="preserve"> </w:t>
      </w:r>
      <w:r>
        <w:rPr>
          <w:rFonts w:ascii="Arial" w:cs="Arial" w:eastAsia="Arial" w:hAnsi="Arial"/>
          <w:sz w:val="17"/>
          <w:szCs w:val="17"/>
          <w:i w:val="1"/>
          <w:iCs w:val="1"/>
          <w:color w:val="000000"/>
        </w:rPr>
        <w:t>resulting consequences, could adversely affect our business, prospects, results of operations and financial condition</w:t>
      </w:r>
      <w:r>
        <w:rPr>
          <w:rFonts w:ascii="Arial" w:cs="Arial" w:eastAsia="Arial" w:hAnsi="Arial"/>
          <w:sz w:val="17"/>
          <w:szCs w:val="17"/>
          <w:color w:val="000000"/>
        </w:rPr>
        <w:t>.”</w:t>
      </w:r>
      <w:r>
        <w:rPr>
          <w:rFonts w:ascii="Arial" w:cs="Arial" w:eastAsia="Arial" w:hAnsi="Arial"/>
          <w:sz w:val="17"/>
          <w:szCs w:val="17"/>
          <w:i w:val="1"/>
          <w:iCs w:val="1"/>
          <w:color w:val="000000"/>
        </w:rPr>
        <w:t xml:space="preserve"> </w:t>
      </w:r>
      <w:r>
        <w:rPr>
          <w:rFonts w:ascii="Arial" w:cs="Arial" w:eastAsia="Arial" w:hAnsi="Arial"/>
          <w:sz w:val="17"/>
          <w:szCs w:val="17"/>
          <w:color w:val="231F20"/>
        </w:rPr>
        <w:t>We may incur significant expenses or</w:t>
      </w:r>
      <w:r>
        <w:rPr>
          <w:rFonts w:ascii="Arial" w:cs="Arial" w:eastAsia="Arial" w:hAnsi="Arial"/>
          <w:sz w:val="17"/>
          <w:szCs w:val="17"/>
          <w:i w:val="1"/>
          <w:iCs w:val="1"/>
          <w:color w:val="000000"/>
        </w:rPr>
        <w:t xml:space="preserve"> </w:t>
      </w:r>
      <w:r>
        <w:rPr>
          <w:rFonts w:ascii="Arial" w:cs="Arial" w:eastAsia="Arial" w:hAnsi="Arial"/>
          <w:sz w:val="17"/>
          <w:szCs w:val="17"/>
          <w:color w:val="231F20"/>
        </w:rPr>
        <w:t>delays relating to such events outside of our control, which could have a material adverse impact on our business,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vehicles will make use of lithium-ion battery cells, which have been observed to catch fire or vent smoke and flame.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The battery packs within our vehicles make use of,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231F20"/>
        </w:rPr>
        <w:t>In addition, as we expand our service network and scale the manufacturing of our vehicles and any future energy storage products, we will need to store lithium-ion cells at our facilities and we have,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Cybersecurity and Data Privacy</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231F20"/>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Our products contain complex information technology systems. For example, our vehicles are designed with built-in data connectivity to accept and install periodic remote updates to improve their functionality.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65" w:name="page66"/>
    <w:bookmarkEnd w:id="65"/>
    <w:p>
      <w:pPr>
        <w:ind w:right="60"/>
        <w:spacing w:after="0" w:line="254" w:lineRule="auto"/>
        <w:rPr>
          <w:sz w:val="20"/>
          <w:szCs w:val="20"/>
          <w:color w:val="auto"/>
        </w:rPr>
      </w:pPr>
      <w:r>
        <w:rPr>
          <w:rFonts w:ascii="Arial" w:cs="Arial" w:eastAsia="Arial" w:hAnsi="Arial"/>
          <w:sz w:val="18"/>
          <w:szCs w:val="18"/>
          <w:color w:val="231F20"/>
        </w:rPr>
        <w:t>In addition, we expect to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Furthermore, cyber threat actors may in the future attempt to gain unauthorized access to, modify, alter and use our vehicles, products and systems to (i) gain control of, (ii) change the functionality, user interface and performance characteristics of and/or (iii) gain access to data stored in or generated by, our vehicles, products and systems. Advances in technology,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 source software, which can create additional risks, including potential security vulnerabilities. We and our third-party service providers’ systems have in the past and may in the future be affected by security incidents. Our systems are also vulnerable to damage or interruption from, among other things,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or misuse, mistake or other attempts to harm our products and systems. Our data center and our third-party service providers’ or vendors’ data centers could be subject to break-ins, sabotage and intentional acts of vandalism causing potential disruptions. We may also be subject to certain laws and regulations, such as “Right to Repair” laws, that could require us to provide third-party access to our vehicle systems. Some of our systems will not be fully redundant, and our disaster recovery planning cannot account for all eventualities. Any problems at our or our third-party service providers’ or vendors’ data centers and/or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spacing w:after="0" w:line="18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These risks have been heightened in connection with the ongoing conflict between Russia and Ukraine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sensitive data (including our proprietary software codes), products, and systems, causing data breach, or disruption, modification, destruction to our systems and applications. As a result, we may suffer monetary losses, business interruption, and long-lasting operational issues, damage to our reputation and brand, loss of our intellectual property or trade secrets.</w:t>
      </w:r>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or trade secrets. In addition, regardless of their veracity, reports of unauthorized access to our vehicles, systems or data, as well as other factors that may result in the perception that our vehicles, systems or data are vulnerable to being “hacked,” could negatively affect our brand. Some entities within the U.S. federal government, including certain Members of Congress and the National Highway Traffic Safety Administration (“</w:t>
      </w:r>
      <w:r>
        <w:rPr>
          <w:rFonts w:ascii="Arial" w:cs="Arial" w:eastAsia="Arial" w:hAnsi="Arial"/>
          <w:sz w:val="16"/>
          <w:szCs w:val="16"/>
          <w:i w:val="1"/>
          <w:iCs w:val="1"/>
          <w:color w:val="231F20"/>
        </w:rPr>
        <w:t>NHTSA</w:t>
      </w:r>
      <w:r>
        <w:rPr>
          <w:rFonts w:ascii="Arial" w:cs="Arial" w:eastAsia="Arial" w:hAnsi="Arial"/>
          <w:sz w:val="16"/>
          <w:szCs w:val="16"/>
          <w:color w:val="231F20"/>
        </w:rPr>
        <w:t>”)</w:t>
      </w:r>
      <w:r>
        <w:rPr>
          <w:rFonts w:ascii="Arial" w:cs="Arial" w:eastAsia="Arial" w:hAnsi="Arial"/>
          <w:sz w:val="16"/>
          <w:szCs w:val="16"/>
          <w:i w:val="1"/>
          <w:iCs w:val="1"/>
          <w:color w:val="231F20"/>
        </w:rPr>
        <w:t>,</w:t>
      </w:r>
      <w:r>
        <w:rPr>
          <w:rFonts w:ascii="Arial" w:cs="Arial" w:eastAsia="Arial" w:hAnsi="Arial"/>
          <w:sz w:val="16"/>
          <w:szCs w:val="16"/>
          <w:color w:val="231F20"/>
        </w:rPr>
        <w:t xml:space="preserve"> have recently focused attention on automotive cybersecurity issues and may in the future propose or implement regulations specific to automotive cybersecurity. In addition, the United Nations Economic Commission for Europe (</w:t>
      </w:r>
      <w:r>
        <w:rPr>
          <w:rFonts w:ascii="Arial" w:cs="Arial" w:eastAsia="Arial" w:hAnsi="Arial"/>
          <w:sz w:val="16"/>
          <w:szCs w:val="16"/>
          <w:i w:val="1"/>
          <w:iCs w:val="1"/>
          <w:color w:val="231F20"/>
        </w:rPr>
        <w:t>“UNECE”</w:t>
      </w:r>
      <w:r>
        <w:rPr>
          <w:rFonts w:ascii="Arial" w:cs="Arial" w:eastAsia="Arial" w:hAnsi="Arial"/>
          <w:sz w:val="16"/>
          <w:szCs w:val="16"/>
          <w:color w:val="231F20"/>
        </w:rPr>
        <w:t>) has introduced new regulations governing connected vehicle cybersecurity, which became effective in January 2021 and are expected to apply in the European Union to all new vehicle types beginning in July 2022 and to all existing architectures/new vehicles from July 2024. Such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spacing w:after="0" w:line="17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231F20"/>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66" w:name="page67"/>
    <w:bookmarkEnd w:id="66"/>
    <w:p>
      <w:pPr>
        <w:ind w:right="20"/>
        <w:spacing w:after="0" w:line="286" w:lineRule="auto"/>
        <w:rPr>
          <w:sz w:val="20"/>
          <w:szCs w:val="20"/>
          <w:color w:val="auto"/>
        </w:rPr>
      </w:pPr>
      <w:r>
        <w:rPr>
          <w:rFonts w:ascii="Arial" w:cs="Arial" w:eastAsia="Arial" w:hAnsi="Arial"/>
          <w:sz w:val="16"/>
          <w:szCs w:val="16"/>
          <w:color w:val="231F20"/>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inventory management,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231F20"/>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reside in third-party intellectual property or open 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intellectual property, proprietary information, systems or vehicles or inability to prevent or effectively remedy errors, bugs, vulnerabilities or defects in our software and hardware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16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231F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18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231F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will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206"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231F20"/>
        </w:rPr>
        <w:t>The global data protection landscape is rapidly evolving, and implementation standards and enforcement practices are likely to remain uncertain for the foreseeable future. We may not be able to monitor and react to all developments in a timely manner. For example, the European Union adopted the General Data Protection Regulation (“</w:t>
      </w:r>
      <w:r>
        <w:rPr>
          <w:rFonts w:ascii="Arial" w:cs="Arial" w:eastAsia="Arial" w:hAnsi="Arial"/>
          <w:sz w:val="17"/>
          <w:szCs w:val="17"/>
          <w:i w:val="1"/>
          <w:iCs w:val="1"/>
          <w:color w:val="231F20"/>
        </w:rPr>
        <w:t>GDPR</w:t>
      </w:r>
      <w:r>
        <w:rPr>
          <w:rFonts w:ascii="Arial" w:cs="Arial" w:eastAsia="Arial" w:hAnsi="Arial"/>
          <w:sz w:val="17"/>
          <w:szCs w:val="17"/>
          <w:color w:val="231F20"/>
        </w:rPr>
        <w:t>”)</w:t>
      </w:r>
      <w:r>
        <w:rPr>
          <w:rFonts w:ascii="Arial" w:cs="Arial" w:eastAsia="Arial" w:hAnsi="Arial"/>
          <w:sz w:val="17"/>
          <w:szCs w:val="17"/>
          <w:i w:val="1"/>
          <w:iCs w:val="1"/>
          <w:color w:val="231F20"/>
        </w:rPr>
        <w:t>,</w:t>
      </w:r>
      <w:r>
        <w:rPr>
          <w:rFonts w:ascii="Arial" w:cs="Arial" w:eastAsia="Arial" w:hAnsi="Arial"/>
          <w:sz w:val="17"/>
          <w:szCs w:val="17"/>
          <w:color w:val="231F20"/>
        </w:rPr>
        <w:t xml:space="preserve"> which became effective in May 2018, California adopted the California Consumer Privacy Act of 2018 (“</w:t>
      </w:r>
      <w:r>
        <w:rPr>
          <w:rFonts w:ascii="Arial" w:cs="Arial" w:eastAsia="Arial" w:hAnsi="Arial"/>
          <w:sz w:val="17"/>
          <w:szCs w:val="17"/>
          <w:i w:val="1"/>
          <w:iCs w:val="1"/>
          <w:color w:val="231F20"/>
        </w:rPr>
        <w:t>CCPA</w:t>
      </w:r>
      <w:r>
        <w:rPr>
          <w:rFonts w:ascii="Arial" w:cs="Arial" w:eastAsia="Arial" w:hAnsi="Arial"/>
          <w:sz w:val="17"/>
          <w:szCs w:val="17"/>
          <w:color w:val="231F20"/>
        </w:rPr>
        <w:t>”)</w:t>
      </w:r>
      <w:r>
        <w:rPr>
          <w:rFonts w:ascii="Arial" w:cs="Arial" w:eastAsia="Arial" w:hAnsi="Arial"/>
          <w:sz w:val="17"/>
          <w:szCs w:val="17"/>
          <w:i w:val="1"/>
          <w:iCs w:val="1"/>
          <w:color w:val="231F20"/>
        </w:rPr>
        <w:t>,</w:t>
      </w:r>
      <w:r>
        <w:rPr>
          <w:rFonts w:ascii="Arial" w:cs="Arial" w:eastAsia="Arial" w:hAnsi="Arial"/>
          <w:sz w:val="17"/>
          <w:szCs w:val="17"/>
          <w:color w:val="231F20"/>
        </w:rPr>
        <w:t xml:space="preserve"> which became effective in January 2020, Canada adopted the Personal Information Protection and Electronic Documents Act (“</w:t>
      </w:r>
      <w:r>
        <w:rPr>
          <w:rFonts w:ascii="Arial" w:cs="Arial" w:eastAsia="Arial" w:hAnsi="Arial"/>
          <w:sz w:val="17"/>
          <w:szCs w:val="17"/>
          <w:i w:val="1"/>
          <w:iCs w:val="1"/>
          <w:color w:val="231F20"/>
        </w:rPr>
        <w:t>PIPEDA</w:t>
      </w:r>
      <w:r>
        <w:rPr>
          <w:rFonts w:ascii="Arial" w:cs="Arial" w:eastAsia="Arial" w:hAnsi="Arial"/>
          <w:sz w:val="17"/>
          <w:szCs w:val="17"/>
          <w:color w:val="231F20"/>
        </w:rPr>
        <w:t>”) and continues to amend the statute, the United Arab Emirates adopted the Data Protection Law (“</w:t>
      </w:r>
      <w:r>
        <w:rPr>
          <w:rFonts w:ascii="Arial" w:cs="Arial" w:eastAsia="Arial" w:hAnsi="Arial"/>
          <w:sz w:val="17"/>
          <w:szCs w:val="17"/>
          <w:i w:val="1"/>
          <w:iCs w:val="1"/>
          <w:color w:val="231F20"/>
        </w:rPr>
        <w:t>DPL</w:t>
      </w:r>
      <w:r>
        <w:rPr>
          <w:rFonts w:ascii="Arial" w:cs="Arial" w:eastAsia="Arial" w:hAnsi="Arial"/>
          <w:sz w:val="17"/>
          <w:szCs w:val="17"/>
          <w:color w:val="231F20"/>
        </w:rPr>
        <w:t>”), which became effective in January 2022, and the Kingdom of Saudi Arabia enacted the Personal Data Protection Law (“</w:t>
      </w:r>
      <w:r>
        <w:rPr>
          <w:rFonts w:ascii="Arial" w:cs="Arial" w:eastAsia="Arial" w:hAnsi="Arial"/>
          <w:sz w:val="17"/>
          <w:szCs w:val="17"/>
          <w:i w:val="1"/>
          <w:iCs w:val="1"/>
          <w:color w:val="231F20"/>
        </w:rPr>
        <w:t>PDPL</w:t>
      </w:r>
      <w:r>
        <w:rPr>
          <w:rFonts w:ascii="Arial" w:cs="Arial" w:eastAsia="Arial" w:hAnsi="Arial"/>
          <w:sz w:val="17"/>
          <w:szCs w:val="17"/>
          <w:color w:val="231F20"/>
        </w:rPr>
        <w:t>”) which will take effect in March 2023. Each of the GDPR, the CCPA, the PIPEDA, the DPL and the PDPL impose additional obligations on companies regarding the handling of personal data and provides certain individual privacy rights to persons whose data is collected. Compliance with existing, proposed and recently enacted laws and regulations (including implementation of the privacy and process enhancements called for under the GDPR, CCPA, PIPEDA, DPL and PDPL) can be costly, and any failure to comply with these regulatory standards could subject us to legal and reputational risks.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7" w:name="page68"/>
    <w:bookmarkEnd w:id="67"/>
    <w:p>
      <w:pPr>
        <w:spacing w:after="0" w:line="239" w:lineRule="auto"/>
        <w:rPr>
          <w:sz w:val="20"/>
          <w:szCs w:val="20"/>
          <w:color w:val="auto"/>
        </w:rPr>
      </w:pPr>
      <w:r>
        <w:rPr>
          <w:rFonts w:ascii="Arial" w:cs="Arial" w:eastAsia="Arial" w:hAnsi="Arial"/>
          <w:sz w:val="17"/>
          <w:szCs w:val="17"/>
          <w:color w:val="auto"/>
        </w:rPr>
        <w:t>Specifically, failure to comply with the GDPR can result in significant fines and other liability, including, under the GDPR, fines of up to EUR 20 million or four percent (4%) of global revenue, whichever is greater. The cost of compliance, and the potential for fines and penalties for non-compliance, with GDPR may have a significant adverse effect on our business and operations. Recent legal developments in the European Economic Area (“</w:t>
      </w:r>
      <w:r>
        <w:rPr>
          <w:rFonts w:ascii="Arial" w:cs="Arial" w:eastAsia="Arial" w:hAnsi="Arial"/>
          <w:sz w:val="17"/>
          <w:szCs w:val="17"/>
          <w:i w:val="1"/>
          <w:iCs w:val="1"/>
          <w:color w:val="auto"/>
        </w:rPr>
        <w:t>EEA</w:t>
      </w:r>
      <w:r>
        <w:rPr>
          <w:rFonts w:ascii="Arial" w:cs="Arial" w:eastAsia="Arial" w:hAnsi="Arial"/>
          <w:sz w:val="17"/>
          <w:szCs w:val="17"/>
          <w:color w:val="auto"/>
        </w:rPr>
        <w:t>”), including recent rulings from the Court of Justice of the European Union and from various EU member state data protection authorities, have created complexity and uncertainty regarding transfers of personal data from the EEA to the United States and other so-called third countries outside the EEA. Similar complexities and uncertainties also apply to transfers from the United Kingdom to third countries. While we have taken steps to mitigate the impact on us, the efficacy and longevity of these mechanisms remains uncertain.</w:t>
      </w:r>
    </w:p>
    <w:p>
      <w:pPr>
        <w:spacing w:after="0" w:line="2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At the state level, we are subject to law and regulations such as the CCPA.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we expand our operations, the CCPA may increase our compliance costs and potential liability. Some observers have noted that the CCPA could mark the beginning of a trend toward more stringent privacy legislation in the United States. Additionally, effective in most material respects starting on January 1, 2023, the California Privacy Rights Act (“</w:t>
      </w:r>
      <w:r>
        <w:rPr>
          <w:rFonts w:ascii="Arial" w:cs="Arial" w:eastAsia="Arial" w:hAnsi="Arial"/>
          <w:sz w:val="17"/>
          <w:szCs w:val="17"/>
          <w:i w:val="1"/>
          <w:iCs w:val="1"/>
          <w:color w:val="231F20"/>
        </w:rPr>
        <w:t>CPRA</w:t>
      </w:r>
      <w:r>
        <w:rPr>
          <w:rFonts w:ascii="Arial" w:cs="Arial" w:eastAsia="Arial" w:hAnsi="Arial"/>
          <w:sz w:val="17"/>
          <w:szCs w:val="17"/>
          <w:color w:val="231F20"/>
        </w:rPr>
        <w:t>”)</w:t>
      </w:r>
      <w:r>
        <w:rPr>
          <w:rFonts w:ascii="Arial" w:cs="Arial" w:eastAsia="Arial" w:hAnsi="Arial"/>
          <w:sz w:val="17"/>
          <w:szCs w:val="17"/>
          <w:i w:val="1"/>
          <w:iCs w:val="1"/>
          <w:color w:val="231F20"/>
        </w:rPr>
        <w:t>,</w:t>
      </w:r>
      <w:r>
        <w:rPr>
          <w:rFonts w:ascii="Arial" w:cs="Arial" w:eastAsia="Arial" w:hAnsi="Arial"/>
          <w:sz w:val="17"/>
          <w:szCs w:val="17"/>
          <w:color w:val="231F20"/>
        </w:rPr>
        <w:t xml:space="preserve"> will significantly modify the CCPA, including by expanding California residents’ rights with respect to certain sensitive personal information. The CPRA also creates a new state agency, the California Privacy Protection Agency (“</w:t>
      </w:r>
      <w:r>
        <w:rPr>
          <w:rFonts w:ascii="Arial" w:cs="Arial" w:eastAsia="Arial" w:hAnsi="Arial"/>
          <w:sz w:val="17"/>
          <w:szCs w:val="17"/>
          <w:i w:val="1"/>
          <w:iCs w:val="1"/>
          <w:color w:val="231F20"/>
        </w:rPr>
        <w:t>CPPA</w:t>
      </w:r>
      <w:r>
        <w:rPr>
          <w:rFonts w:ascii="Arial" w:cs="Arial" w:eastAsia="Arial" w:hAnsi="Arial"/>
          <w:sz w:val="17"/>
          <w:szCs w:val="17"/>
          <w:color w:val="231F20"/>
        </w:rPr>
        <w:t>”), that will be vested with the authority to implement and enforce the CCPA and the CPRA. The CPPA has recently published draft regulations under the CCPA and CPRA that, if enacted, would impose additional regulatory obligations on us.</w:t>
      </w:r>
    </w:p>
    <w:p>
      <w:pPr>
        <w:spacing w:after="0" w:line="19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231F20"/>
        </w:rPr>
        <w:t>Other states, including Connecticut, Utah, Virginia, and Colorado, have enacted or are in the process of enacting, or considering similar laws. Compliance with these state statutes, other similar state or federal laws that may be enacted in the future, and other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Certain emerging privacy laws are still subject to a high degree of uncertainty as to their interpretation and application.</w:t>
      </w: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18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231F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204"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Most jurisdictions have enacted laws requiring companies to notify individuals, regulatory authorities and other third parties of security breaches involving certain types of data. For example, laws in all 50 U.S. states generally require business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231F20"/>
        </w:rPr>
        <w:t>Risks Related to Our Employees and 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The loss of key personnel or an inability to attract, retain and motivate qualified personnel may impair our ability to expand our business.</w:t>
      </w:r>
    </w:p>
    <w:p>
      <w:pPr>
        <w:spacing w:after="0" w:line="237"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do not currently anticipate widespread departure of our senior leadership team or other key employees, it is always possible that we could lose some key personnel, especially if we are unable to grant sufficient equity awards or if the volatility of our stock price increases.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in particular, engineers and Arizona, where we have a substantial presence and a need for a large skilled repair, logistics, supply chain, and manufacturing workforce.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and the recent conflict in Ukraine.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highly dependent on the services of Peter Rawlinson, our Chief Executive Officer and Chief Technology Officer.</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We will need to hire and train a significant number of employees to engage in full-scale commercial manufacturing operations, and our business could be adversely affected by labor and union activities.</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We will need to hire and train a significant number of employees to engage in full capacity commercial manufacturing operations. This needs to be accomplished in a very short period of time in order for us to scale commercial production and sales and service operations. There are various risks and challenges associated with hiring, training and managing a large workforce, such as establishing efficient communication channels, procedures and rules of conduct, hiring an adequate number of experienced manufacturing, supply chain management and logistics managerial personnel and creating an effective company culture, and these risks and challenges may be exacerbated by the short period of time in which we intend to scale up our salary and hourly workforce. Although the area surrounding our Casa Grande, Arizona manufacturing facilities is home to a highly trained workforce with experience in engineering and manufacturing, this workforce does not have significant experience with electric vehicle manufacturing, and related processes such as inventory management, logistics and quality control, and many jobs will require significant training and we may need to spend significant resources to ensure employees adhere to such training. Further, competition for employees in the Casa Grande, Arizona has increased and may continue to increase in the future, which may impact the ability or cost to hire in the area. If we are unsuccessful in hiring and training a workforce in a timely and cost-effective manner, our business, financial condition and results of operations could be adversely affected.</w:t>
      </w:r>
    </w:p>
    <w:p>
      <w:pPr>
        <w:spacing w:after="0" w:line="18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31F20"/>
        </w:rPr>
        <w:t>Furthermore, although none of our employees are currently represented by a labor union,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work councils, or similar activities with certain consultation rights with respect to the relevant companies’ operations. In the event our employees seek to join or form a labor union, we could be subject to risks as we engage in an attempt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9" w:name="page70"/>
    <w:bookmarkEnd w:id="69"/>
    <w:p>
      <w:pPr>
        <w:ind w:right="100"/>
        <w:spacing w:after="0" w:line="277" w:lineRule="auto"/>
        <w:rPr>
          <w:sz w:val="20"/>
          <w:szCs w:val="20"/>
          <w:color w:val="auto"/>
        </w:rPr>
      </w:pPr>
      <w:r>
        <w:rPr>
          <w:rFonts w:ascii="Arial" w:cs="Arial" w:eastAsia="Arial" w:hAnsi="Arial"/>
          <w:sz w:val="18"/>
          <w:szCs w:val="18"/>
          <w:b w:val="1"/>
          <w:bCs w:val="1"/>
          <w:i w:val="1"/>
          <w:iCs w:val="1"/>
          <w:color w:val="231F20"/>
        </w:rPr>
        <w:t>Misconduct by our employees and independent contractors during and before their employment with us could expose us to potentially significant legal liabilities, reputational harm and/or other damages to our business.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231F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7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31F20"/>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Litigation and Regulation</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231F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0" w:name="page71"/>
    <w:bookmarkEnd w:id="70"/>
    <w:p>
      <w:pPr>
        <w:ind w:right="40"/>
        <w:spacing w:after="0" w:line="268" w:lineRule="auto"/>
        <w:rPr>
          <w:sz w:val="20"/>
          <w:szCs w:val="20"/>
          <w:color w:val="auto"/>
        </w:rPr>
      </w:pPr>
      <w:r>
        <w:rPr>
          <w:rFonts w:ascii="Arial" w:cs="Arial" w:eastAsia="Arial" w:hAnsi="Arial"/>
          <w:sz w:val="17"/>
          <w:szCs w:val="17"/>
          <w:color w:val="231F20"/>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face regulatory limitations on our ability to sell vehicles directly, which could materially and adversely affect our ability to sell our vehicles.</w:t>
      </w:r>
    </w:p>
    <w:p>
      <w:pPr>
        <w:spacing w:after="0" w:line="27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231F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We are currently licensed as a motor vehicle dealer in several states and anticipate that we can become a licensed dealer in additional states as we open retail locations in those states. In some states, we have also opened or expect to open Lucid Studios to educate and inform customers about our vehicles, but those Lucid Studios will not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1" w:name="page72"/>
    <w:bookmarkEnd w:id="71"/>
    <w:p>
      <w:pPr>
        <w:ind w:right="240"/>
        <w:spacing w:after="0" w:line="277" w:lineRule="auto"/>
        <w:rPr>
          <w:sz w:val="20"/>
          <w:szCs w:val="20"/>
          <w:color w:val="auto"/>
        </w:rPr>
      </w:pPr>
      <w:r>
        <w:rPr>
          <w:rFonts w:ascii="Arial" w:cs="Arial" w:eastAsia="Arial" w:hAnsi="Arial"/>
          <w:sz w:val="18"/>
          <w:szCs w:val="18"/>
          <w:b w:val="1"/>
          <w:bCs w:val="1"/>
          <w:i w:val="1"/>
          <w:iCs w:val="1"/>
          <w:color w:val="231F20"/>
        </w:rPr>
        <w:t>We have in the past and may choose in the future, or we may be compelled, to undertake product recalls or take other actions, which could adversely affect our business, prospects, results of operations, reputation and financial condition.</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Product recalls may result in adverse publicity, damage our reputation and adversely affect our business, prospects, results of operations and financial condition. For example, in February 2022 we voluntarily recalled certain vehicles due to a potential issue regarding the manufacture of the front strut damper by our supplier, and in May 2022 we recalled certain vehicles due to a potential issue regarding the wiring harness connected to in-vehicle displays. We may in the future voluntarily or involuntarily initiate additional recalls if any of our electric vehicles or components (including our batteries)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18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231F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231F20"/>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shareholders, disability access, and employment matters.</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For example, 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7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231F20"/>
        </w:rPr>
        <w:t>On December 3, 2021, we received a subpoena from the Securities and Exchange Commission (the “SEC”) requesting the production of certain documents related to an investigation by the SEC. Although there is no assurance as to the scope or outcome of this matter, the investigation appears to concern the merger between Churchill and Lucid and certain projections and statements. We are cooperating fully with the SEC in its review.</w:t>
      </w:r>
    </w:p>
    <w:p>
      <w:pPr>
        <w:spacing w:after="0" w:line="14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72" w:name="page73"/>
    <w:bookmarkEnd w:id="72"/>
    <w:p>
      <w:pPr>
        <w:ind w:right="20"/>
        <w:spacing w:after="0" w:line="290" w:lineRule="auto"/>
        <w:rPr>
          <w:sz w:val="20"/>
          <w:szCs w:val="20"/>
          <w:color w:val="auto"/>
        </w:rPr>
      </w:pPr>
      <w:r>
        <w:rPr>
          <w:rFonts w:ascii="Arial" w:cs="Arial" w:eastAsia="Arial" w:hAnsi="Arial"/>
          <w:sz w:val="16"/>
          <w:szCs w:val="16"/>
          <w:color w:val="auto"/>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Arial" w:cs="Arial" w:eastAsia="Arial" w:hAnsi="Arial"/>
          <w:sz w:val="16"/>
          <w:szCs w:val="16"/>
          <w:i w:val="1"/>
          <w:iCs w:val="1"/>
          <w:color w:val="auto"/>
        </w:rPr>
        <w:t>Victor W. Mangino v. Lucid Group, Inc., et al.</w:t>
      </w:r>
      <w:r>
        <w:rPr>
          <w:rFonts w:ascii="Arial" w:cs="Arial" w:eastAsia="Arial" w:hAnsi="Arial"/>
          <w:sz w:val="16"/>
          <w:szCs w:val="16"/>
          <w:color w:val="auto"/>
        </w:rPr>
        <w:t xml:space="preserve">, Case No. 3:22-cv-02094-JD, and </w:t>
      </w:r>
      <w:r>
        <w:rPr>
          <w:rFonts w:ascii="Arial" w:cs="Arial" w:eastAsia="Arial" w:hAnsi="Arial"/>
          <w:sz w:val="16"/>
          <w:szCs w:val="16"/>
          <w:i w:val="1"/>
          <w:iCs w:val="1"/>
          <w:color w:val="auto"/>
        </w:rPr>
        <w:t>Anant Goel v. Lucid Group, Inc., et al.</w:t>
      </w:r>
      <w:r>
        <w:rPr>
          <w:rFonts w:ascii="Arial" w:cs="Arial" w:eastAsia="Arial" w:hAnsi="Arial"/>
          <w:sz w:val="16"/>
          <w:szCs w:val="16"/>
          <w:color w:val="auto"/>
        </w:rPr>
        <w:t>, Case No. 3:22-cv-03176-JD. The complaints name as defendants Lucid Group, Inc. and the Company’s chief executive officer and chief financial officer, and generally allege that defendants purportedly made false or misleading statements regarding delivery and revenue projections and related matters. The complaints in these actions seek certification of the actions as class actions, as well as compensatory damages, interest thereon, and attorneys’ fees and expenses.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Arial" w:cs="Arial" w:eastAsia="Arial" w:hAnsi="Arial"/>
          <w:sz w:val="17"/>
          <w:szCs w:val="17"/>
          <w:i w:val="1"/>
          <w:iCs w:val="1"/>
          <w:color w:val="auto"/>
        </w:rPr>
        <w:t>Floyd Taylor v. Glenn August, et al.</w:t>
      </w:r>
      <w:r>
        <w:rPr>
          <w:rFonts w:ascii="Arial" w:cs="Arial" w:eastAsia="Arial" w:hAnsi="Arial"/>
          <w:sz w:val="17"/>
          <w:szCs w:val="17"/>
          <w:color w:val="auto"/>
        </w:rPr>
        <w:t xml:space="preserve">, Superior Court, Alameda County, Case No. 22CV014130. The complaint also names the Company as a nominal defendant. Based on allegations that are similar to those in the </w:t>
      </w:r>
      <w:r>
        <w:rPr>
          <w:rFonts w:ascii="Arial" w:cs="Arial" w:eastAsia="Arial" w:hAnsi="Arial"/>
          <w:sz w:val="17"/>
          <w:szCs w:val="17"/>
          <w:i w:val="1"/>
          <w:iCs w:val="1"/>
          <w:color w:val="auto"/>
        </w:rPr>
        <w:t>Mangino</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Goel </w:t>
      </w:r>
      <w:r>
        <w:rPr>
          <w:rFonts w:ascii="Arial" w:cs="Arial" w:eastAsia="Arial" w:hAnsi="Arial"/>
          <w:sz w:val="17"/>
          <w:szCs w:val="17"/>
          <w:color w:val="auto"/>
        </w:rPr>
        <w:t>actions, the</w:t>
      </w:r>
      <w:r>
        <w:rPr>
          <w:rFonts w:ascii="Arial" w:cs="Arial" w:eastAsia="Arial" w:hAnsi="Arial"/>
          <w:sz w:val="17"/>
          <w:szCs w:val="17"/>
          <w:i w:val="1"/>
          <w:iCs w:val="1"/>
          <w:color w:val="auto"/>
        </w:rPr>
        <w:t xml:space="preserve"> Taylor </w:t>
      </w:r>
      <w:r>
        <w:rPr>
          <w:rFonts w:ascii="Arial" w:cs="Arial" w:eastAsia="Arial" w:hAnsi="Arial"/>
          <w:sz w:val="17"/>
          <w:szCs w:val="17"/>
          <w:color w:val="auto"/>
        </w:rPr>
        <w:t>complaint asserts claims for breach of fiduciary duty, unjust enrichment, waste of corporate assets and aiding and abetting breach</w:t>
      </w:r>
      <w:r>
        <w:rPr>
          <w:rFonts w:ascii="Arial" w:cs="Arial" w:eastAsia="Arial" w:hAnsi="Arial"/>
          <w:sz w:val="17"/>
          <w:szCs w:val="17"/>
          <w:i w:val="1"/>
          <w:iCs w:val="1"/>
          <w:color w:val="auto"/>
        </w:rPr>
        <w:t xml:space="preserve"> </w:t>
      </w:r>
      <w:r>
        <w:rPr>
          <w:rFonts w:ascii="Arial" w:cs="Arial" w:eastAsia="Arial" w:hAnsi="Arial"/>
          <w:sz w:val="17"/>
          <w:szCs w:val="17"/>
          <w:color w:val="auto"/>
        </w:rPr>
        <w:t>of fiduciary duty. The complaint seek compensatory damages, punitive damages, interest, and attorneys’ fees and expenses. To the Company’s understanding, the matter has not been served on any defendant to date.</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231F20"/>
        </w:rPr>
        <w:t>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31F20"/>
        </w:rPr>
        <w:t>We may become subject to product liability claims, which could harm our financial condition and liquidity if we are not able to successfully defend or insure against such claims.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 xml:space="preserve">We may become subject to product liability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w:t>
      </w:r>
      <w:r>
        <w:rPr>
          <w:rFonts w:ascii="Arial" w:cs="Arial" w:eastAsia="Arial" w:hAnsi="Arial"/>
          <w:sz w:val="16"/>
          <w:szCs w:val="16"/>
          <w:i w:val="1"/>
          <w:iCs w:val="1"/>
          <w:color w:val="231F20"/>
        </w:rPr>
        <w:t>ADAS</w:t>
      </w:r>
      <w:r>
        <w:rPr>
          <w:rFonts w:ascii="Arial" w:cs="Arial" w:eastAsia="Arial" w:hAnsi="Arial"/>
          <w:sz w:val="16"/>
          <w:szCs w:val="16"/>
          <w:color w:val="231F20"/>
        </w:rPr>
        <w:t xml:space="preserve"> features in our vehicles. See “— Risks Related to Litigation and Regulation — </w:t>
      </w:r>
      <w:r>
        <w:rPr>
          <w:rFonts w:ascii="Arial" w:cs="Arial" w:eastAsia="Arial" w:hAnsi="Arial"/>
          <w:sz w:val="16"/>
          <w:szCs w:val="16"/>
          <w:i w:val="1"/>
          <w:iCs w:val="1"/>
          <w:color w:val="231F20"/>
        </w:rPr>
        <w:t>ADAS technology is subject to uncertain and evolving regulations</w:t>
      </w:r>
      <w:r>
        <w:rPr>
          <w:rFonts w:ascii="Arial" w:cs="Arial" w:eastAsia="Arial" w:hAnsi="Arial"/>
          <w:sz w:val="16"/>
          <w:szCs w:val="16"/>
          <w:color w:val="231F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231F20"/>
        </w:rPr>
        <w:t>A successful product liability claim against us could require us to pay a substantial monetary award. Our risks in this area are particularly pronounced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3" w:name="page74"/>
    <w:bookmarkEnd w:id="73"/>
    <w:p>
      <w:pPr>
        <w:ind w:right="880"/>
        <w:spacing w:after="0" w:line="277" w:lineRule="auto"/>
        <w:rPr>
          <w:sz w:val="20"/>
          <w:szCs w:val="20"/>
          <w:color w:val="auto"/>
        </w:rPr>
      </w:pPr>
      <w:r>
        <w:rPr>
          <w:rFonts w:ascii="Arial" w:cs="Arial" w:eastAsia="Arial" w:hAnsi="Arial"/>
          <w:sz w:val="18"/>
          <w:szCs w:val="18"/>
          <w:b w:val="1"/>
          <w:bCs w:val="1"/>
          <w:i w:val="1"/>
          <w:iCs w:val="1"/>
          <w:color w:val="231F20"/>
        </w:rPr>
        <w:t>We may be exposed to delays, limitations and risks related to the environmental permits and other operating permits required to operate our manufacturing facilities.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231F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Arial" w:cs="Arial" w:eastAsia="Arial" w:hAnsi="Arial"/>
          <w:sz w:val="16"/>
          <w:szCs w:val="16"/>
          <w:i w:val="1"/>
          <w:iCs w:val="1"/>
          <w:color w:val="231F20"/>
        </w:rPr>
        <w:t>We have experienced and may in the future experience significant delays in the design, manufacture, launch and</w:t>
      </w:r>
      <w:r>
        <w:rPr>
          <w:rFonts w:ascii="Arial" w:cs="Arial" w:eastAsia="Arial" w:hAnsi="Arial"/>
          <w:sz w:val="16"/>
          <w:szCs w:val="16"/>
          <w:color w:val="231F20"/>
        </w:rPr>
        <w:t xml:space="preserve"> </w:t>
      </w:r>
      <w:r>
        <w:rPr>
          <w:rFonts w:ascii="Arial" w:cs="Arial" w:eastAsia="Arial" w:hAnsi="Arial"/>
          <w:sz w:val="16"/>
          <w:szCs w:val="16"/>
          <w:i w:val="1"/>
          <w:iCs w:val="1"/>
          <w:color w:val="231F20"/>
        </w:rPr>
        <w:t>financing of our vehicles, including the Lucid Air and Project Gravity, which could harm our business and prospects.</w:t>
      </w:r>
      <w:r>
        <w:rPr>
          <w:rFonts w:ascii="Arial" w:cs="Arial" w:eastAsia="Arial" w:hAnsi="Arial"/>
          <w:sz w:val="16"/>
          <w:szCs w:val="16"/>
          <w:color w:val="231F20"/>
        </w:rPr>
        <w:t>”</w:t>
      </w:r>
    </w:p>
    <w:p>
      <w:pPr>
        <w:spacing w:after="0" w:line="16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231F20"/>
        </w:rPr>
        <w:t>We are subject to various environmental, health and safety laws and regulations that could impose substantial costs on us and cause delays in expanding our production facilities.</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231F20"/>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complying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31F20"/>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78"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231F20"/>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w:t>
      </w:r>
    </w:p>
    <w:p>
      <w:pPr>
        <w:spacing w:after="0" w:line="2" w:lineRule="exact"/>
        <w:rPr>
          <w:sz w:val="20"/>
          <w:szCs w:val="20"/>
          <w:color w:val="auto"/>
        </w:rPr>
      </w:pPr>
    </w:p>
    <w:p>
      <w:pPr>
        <w:jc w:val="both"/>
        <w:ind w:right="240"/>
        <w:spacing w:after="0" w:line="277" w:lineRule="auto"/>
        <w:rPr>
          <w:sz w:val="20"/>
          <w:szCs w:val="20"/>
          <w:color w:val="auto"/>
        </w:rPr>
      </w:pPr>
      <w:r>
        <w:rPr>
          <w:rFonts w:ascii="Arial" w:cs="Arial" w:eastAsia="Arial" w:hAnsi="Arial"/>
          <w:sz w:val="17"/>
          <w:szCs w:val="17"/>
          <w:color w:val="231F20"/>
        </w:rPr>
        <w:t>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ADAS technology is subject to uncertain and evolving regulations.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31F20"/>
        </w:rPr>
        <w:t>We expect to introduce certain ADAS technologies into our vehicles over time. 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74" w:name="page75"/>
    <w:bookmarkEnd w:id="74"/>
    <w:p>
      <w:pPr>
        <w:ind w:right="300"/>
        <w:spacing w:after="0" w:line="277" w:lineRule="auto"/>
        <w:rPr>
          <w:sz w:val="20"/>
          <w:szCs w:val="20"/>
          <w:color w:val="auto"/>
        </w:rPr>
      </w:pPr>
      <w:r>
        <w:rPr>
          <w:rFonts w:ascii="Arial" w:cs="Arial" w:eastAsia="Arial" w:hAnsi="Arial"/>
          <w:sz w:val="18"/>
          <w:szCs w:val="18"/>
          <w:b w:val="1"/>
          <w:bCs w:val="1"/>
          <w:i w:val="1"/>
          <w:iCs w:val="1"/>
          <w:color w:val="231F20"/>
        </w:rPr>
        <w:t>We are subject to U.S. and foreign anti-corruption, anti-money laundering and anti-boycott laws and regulations. We can face criminal liability and other serious consequences for violations, which can harm our business.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are subject to governmental export and import controls and laws that could subject us to liability if we are not in compliance with such laws.</w:t>
      </w:r>
    </w:p>
    <w:p>
      <w:pPr>
        <w:spacing w:after="0" w:line="24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231F20"/>
        </w:rPr>
        <w:t>Our vehicles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17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231F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Changes in U.S. trade policy, including the imposition of tariffs or revocation of normal trade relations and the resulting consequences, could adversely affect our business, prospects, results of operations and financial condition.</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18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December, the United States adopted the Uyghur Forced Labor Prevention Act (“</w:t>
      </w:r>
      <w:r>
        <w:rPr>
          <w:rFonts w:ascii="Arial" w:cs="Arial" w:eastAsia="Arial" w:hAnsi="Arial"/>
          <w:sz w:val="17"/>
          <w:szCs w:val="17"/>
          <w:i w:val="1"/>
          <w:iCs w:val="1"/>
          <w:color w:val="auto"/>
        </w:rPr>
        <w:t>UFLPA</w:t>
      </w:r>
      <w:r>
        <w:rPr>
          <w:rFonts w:ascii="Arial" w:cs="Arial" w:eastAsia="Arial" w:hAnsi="Arial"/>
          <w:sz w:val="17"/>
          <w:szCs w:val="17"/>
          <w:color w:val="auto"/>
        </w:rPr>
        <w:t xml:space="preserve">”)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come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 </w:t>
      </w:r>
      <w:r>
        <w:rPr>
          <w:rFonts w:ascii="Arial" w:cs="Arial" w:eastAsia="Arial" w:hAnsi="Arial"/>
          <w:sz w:val="17"/>
          <w:szCs w:val="17"/>
          <w:color w:val="231F20"/>
        </w:rPr>
        <w:t>and could have an adverse effect on our business and results of</w:t>
      </w:r>
      <w:r>
        <w:rPr>
          <w:rFonts w:ascii="Arial" w:cs="Arial" w:eastAsia="Arial" w:hAnsi="Arial"/>
          <w:sz w:val="17"/>
          <w:szCs w:val="17"/>
          <w:color w:val="auto"/>
        </w:rPr>
        <w:t xml:space="preserve"> </w:t>
      </w:r>
      <w:r>
        <w:rPr>
          <w:rFonts w:ascii="Arial" w:cs="Arial" w:eastAsia="Arial" w:hAnsi="Arial"/>
          <w:sz w:val="17"/>
          <w:szCs w:val="17"/>
          <w:color w:val="231F20"/>
        </w:rPr>
        <w:t>operations</w:t>
      </w:r>
      <w:r>
        <w:rPr>
          <w:rFonts w:ascii="Arial" w:cs="Arial" w:eastAsia="Arial" w:hAnsi="Arial"/>
          <w:sz w:val="17"/>
          <w:szCs w:val="17"/>
          <w:color w:val="000000"/>
        </w:rPr>
        <w:t>.</w:t>
      </w:r>
    </w:p>
    <w:p>
      <w:pPr>
        <w:spacing w:after="0" w:line="185"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In early 2022, in response to actions taken by the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sectPr>
          <w:pgSz w:w="11900" w:h="16838" w:orient="portrait"/>
          <w:cols w:equalWidth="0" w:num="1">
            <w:col w:w="11240"/>
          </w:cols>
          <w:pgMar w:left="320" w:top="989"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75" w:name="page76"/>
    <w:bookmarkEnd w:id="75"/>
    <w:p>
      <w:pPr>
        <w:ind w:right="80"/>
        <w:spacing w:after="0" w:line="271" w:lineRule="auto"/>
        <w:rPr>
          <w:sz w:val="20"/>
          <w:szCs w:val="20"/>
          <w:color w:val="auto"/>
        </w:rPr>
      </w:pPr>
      <w:r>
        <w:rPr>
          <w:rFonts w:ascii="Arial" w:cs="Arial" w:eastAsia="Arial" w:hAnsi="Arial"/>
          <w:sz w:val="17"/>
          <w:szCs w:val="17"/>
          <w:color w:val="auto"/>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the United States recently enacted federal legislation that revokes normal trade relations between Russia and Belarus. As a result of this and recent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failure to properly comply with foreign trade zone laws and regulations could increase the cost of our duties and tariffs.</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231F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Intellectual Property</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231F20"/>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The measures we take to obtain, maintain, protect and enforce our intellectual property, including preventing unauthorized use by third parties, may not be effective for various reasons, including the following:</w:t>
      </w:r>
    </w:p>
    <w:p>
      <w:pPr>
        <w:spacing w:after="0" w:line="6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any patent applications we file may not result in the issuance of patents;</w:t>
      </w:r>
    </w:p>
    <w:p>
      <w:pPr>
        <w:spacing w:after="0" w:line="117" w:lineRule="exact"/>
        <w:rPr>
          <w:rFonts w:ascii="Arial" w:cs="Arial" w:eastAsia="Arial" w:hAnsi="Arial"/>
          <w:sz w:val="18"/>
          <w:szCs w:val="18"/>
          <w:color w:val="231F20"/>
        </w:rPr>
      </w:pPr>
    </w:p>
    <w:p>
      <w:pPr>
        <w:ind w:left="660" w:right="260" w:hanging="328"/>
        <w:spacing w:after="0" w:line="277" w:lineRule="auto"/>
        <w:tabs>
          <w:tab w:leader="none" w:pos="655"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we may not be the first inventor of the subject matter to which we have filed a particular patent application, and we may not be the first party to file such a patent application;</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scope of our issued patents may not be broad enough to protect our inventions and proprietary technology;</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our issued patents may be challenged or invalidated by our competitors or other third parties;</w:t>
      </w:r>
    </w:p>
    <w:p>
      <w:pPr>
        <w:spacing w:after="0" w:line="117" w:lineRule="exact"/>
        <w:rPr>
          <w:rFonts w:ascii="Arial" w:cs="Arial" w:eastAsia="Arial" w:hAnsi="Arial"/>
          <w:sz w:val="18"/>
          <w:szCs w:val="18"/>
          <w:color w:val="231F20"/>
        </w:rPr>
      </w:pPr>
    </w:p>
    <w:p>
      <w:pPr>
        <w:ind w:left="660" w:right="320" w:hanging="328"/>
        <w:spacing w:after="0" w:line="277" w:lineRule="auto"/>
        <w:tabs>
          <w:tab w:leader="none" w:pos="655"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patents have a finite term, and competitors and other third parties may offer identical or similar products after the expiration of our patents that cover such products;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our employees, contractors or business partners may breach their confidentiality, non-disclosure and non-use obligations;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competitors and other third parties may independently develop technologies that are the same or similar to ours;</w:t>
      </w:r>
    </w:p>
    <w:p>
      <w:pPr>
        <w:sectPr>
          <w:pgSz w:w="11900" w:h="16838" w:orient="portrait"/>
          <w:cols w:equalWidth="0" w:num="1">
            <w:col w:w="11240"/>
          </w:cols>
          <w:pgMar w:left="320" w:top="989" w:right="339" w:bottom="1440"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76" w:name="page77"/>
    <w:bookmarkEnd w:id="76"/>
    <w:p>
      <w:pPr>
        <w:ind w:left="660" w:right="100" w:hanging="328"/>
        <w:spacing w:after="0" w:line="277" w:lineRule="auto"/>
        <w:tabs>
          <w:tab w:leader="none" w:pos="655"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the costs associated with enforcing patents or other intellectual property rights, or confidentiality and invention assignment agreements may make enforcement impracticable;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competitors and other third parties may circumvent or otherwise design around our patents or other intellectual property.</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31F20"/>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231F20"/>
        </w:rPr>
        <w:t>We have licensed and plan to further license patents and other intellectual property from third parties, including, but not limited to,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231F20"/>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231F20"/>
        </w:rPr>
        <w:t>We may be sued by third parties for alleged infringement, misappropriation or other violation of their intellectual property, which could be time-consuming and costly and result in significant legal liability.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There is considerable patent and other intellectual property development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pay substantial damages, including treble damages for willful infringement, or ongoing royalty payments;</w:t>
      </w:r>
    </w:p>
    <w:p>
      <w:pPr>
        <w:spacing w:after="0" w:line="117" w:lineRule="exact"/>
        <w:rPr>
          <w:rFonts w:ascii="Arial" w:cs="Arial" w:eastAsia="Arial" w:hAnsi="Arial"/>
          <w:sz w:val="18"/>
          <w:szCs w:val="18"/>
          <w:color w:val="231F20"/>
        </w:rPr>
      </w:pPr>
    </w:p>
    <w:p>
      <w:pPr>
        <w:ind w:left="660" w:right="60" w:hanging="328"/>
        <w:spacing w:after="0" w:line="277" w:lineRule="auto"/>
        <w:tabs>
          <w:tab w:leader="none" w:pos="655"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cease developing, selling, leasing, using or incorporating certain components into vehicles or offering goods or services that incorporate or use the asserted intellectual property;</w:t>
      </w:r>
    </w:p>
    <w:p>
      <w:pPr>
        <w:sectPr>
          <w:pgSz w:w="11900" w:h="16838" w:orient="portrait"/>
          <w:cols w:equalWidth="0" w:num="1">
            <w:col w:w="11240"/>
          </w:cols>
          <w:pgMar w:left="320" w:top="881"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77" w:name="page78"/>
    <w:bookmarkEnd w:id="77"/>
    <w:p>
      <w:pPr>
        <w:ind w:left="660" w:hanging="328"/>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seek a license from the owner of the asserted intellectual property, which license may not be available on reasonable terms, or at all;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comply with other unfavorable terms; or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establish and maintain alternative branding for our products and services.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231F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231F20"/>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Some of our products contain open source software, which may pose particular risks to our proprietary software, products and services in a manner that could harm our business.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compliance with open source licenses by us and third party suppliers of software to us,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84"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231F20"/>
        </w:rPr>
        <w:t>Additionally, the use of certain open source software can lead to greater risks than use of third-party commercial software, as open source licensors generally do not provide warranties or controls on the origin of software or other contractual protections regarding infringement claims or the quality of the code, including with respect to security vulnerabilities. Moreover, some open source projects have known security and other vulnerabilities and architectural instabilities, or are otherwise subject to security attacks due to their wide availability, and are provided on an “ as-is” basis.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231F20"/>
        </w:rPr>
        <w:t>Risks Related to Financing and Strategic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will require additional capital to support business growth, and this capital might not be available on commercially reasonable terms, or at all.</w:t>
      </w:r>
    </w:p>
    <w:p>
      <w:pPr>
        <w:spacing w:after="0" w:line="27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231F20"/>
        </w:rPr>
        <w:t>We have funded our operations since inception primarily through equity and debt financings. For example, we issued approximately $2 billion of 1.25% convertible senior notes due 2026 in December 2021 (the “2026 Notes”) and we entered into a credit agreement that provides for a $1.0 billion senior secured asset-based revolving credit facility in June 2022 (the “ABL Credit Facility”). In addition, we have, through our subsidiary, entered into a loan agreement with the Saudi Industrial Development Fund for an aggregate principal amount of up to SAR 5.19 billion in February 2022 (the “SIDF Loan Agreement”) and also entered into a revolving credit facility agreement with Gulf International Bank for an aggregate principal amount of SAR 1 billion in April 2022 (the “GIB Facility Agreement”). We anticipate that we will need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In addition, during fiscal year 2022, we have and we expect to settle tax withholding obligations in connection with vesting of the restricted stock units granted to Peter Rawlinson, our Chief Executive Officer and Chief Technology Officer, that were previously granted to him in March 2021 through “net settlement,” i.e., by remitting cash to satisfy the tax 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Our plan to continue the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19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31F20"/>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inflation, interest rate changes and the ongoing conflict between Ukraine and Russia,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results of operations, prospects and financial condition.</w:t>
      </w:r>
    </w:p>
    <w:p>
      <w:pPr>
        <w:spacing w:after="0" w:line="219"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spacing w:after="0" w:line="12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accordance with ASU 2020-06, we expect that the 2026 Notes we issued will be reflected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w:t>
      </w:r>
    </w:p>
    <w:p>
      <w:pPr>
        <w:spacing w:after="0" w:line="21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ectPr>
          <w:pgSz w:w="11900" w:h="16838" w:orient="portrait"/>
          <w:cols w:equalWidth="0" w:num="1">
            <w:col w:w="11240"/>
          </w:cols>
          <w:pgMar w:left="320" w:top="985" w:right="339" w:bottom="1440" w:gutter="0" w:footer="0" w:header="0"/>
        </w:sect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9" w:name="page80"/>
    <w:bookmarkEnd w:id="79"/>
    <w:p>
      <w:pPr>
        <w:ind w:right="120"/>
        <w:spacing w:after="0" w:line="263" w:lineRule="auto"/>
        <w:rPr>
          <w:sz w:val="20"/>
          <w:szCs w:val="20"/>
          <w:color w:val="auto"/>
        </w:rPr>
      </w:pPr>
      <w:r>
        <w:rPr>
          <w:rFonts w:ascii="Arial" w:cs="Arial" w:eastAsia="Arial" w:hAnsi="Arial"/>
          <w:sz w:val="18"/>
          <w:szCs w:val="18"/>
          <w:color w:val="auto"/>
        </w:rPr>
        <w:t>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Servicing our current and future debt may require a significant amount of cash, and we may not have sufficient cash flow from our business to pay our indebtedness. Our payment obligations under such indebtedness may limit the funds available to us, and the terms of our debt agreements may restrict our flexibility in operating our business or otherwise adversely affect our results of operations.</w:t>
      </w:r>
    </w:p>
    <w:p>
      <w:pPr>
        <w:spacing w:after="0" w:line="19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December 2021, we issued approximately $2.0 billion principal amount of 2026 Notes and have entered into several credit facilities in 2022. See Note 6 “Long-Term Debt” to our condensed consolidated financial statements included elsewhere in this Quarterly Report for further information on our outstanding debt obligations. Our ability to make scheduled payments of the principal of, to pay interest on or to refinance our indebtedness from time to time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2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our indebtedness, combined with our other existing and future financial obligations and contractual commitments, could have other important consequences. For example, it could:</w:t>
      </w:r>
    </w:p>
    <w:p>
      <w:pPr>
        <w:spacing w:after="0" w:line="62" w:lineRule="exact"/>
        <w:rPr>
          <w:sz w:val="20"/>
          <w:szCs w:val="20"/>
          <w:color w:val="auto"/>
        </w:rPr>
      </w:pPr>
    </w:p>
    <w:p>
      <w:pPr>
        <w:ind w:left="660" w:right="220" w:hanging="328"/>
        <w:spacing w:after="0" w:line="261" w:lineRule="auto"/>
        <w:tabs>
          <w:tab w:leader="none" w:pos="4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62"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7"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w:t>
      </w:r>
    </w:p>
    <w:p>
      <w:pPr>
        <w:spacing w:after="0" w:line="117"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 and</w:t>
      </w:r>
    </w:p>
    <w:p>
      <w:pPr>
        <w:spacing w:after="0" w:line="117"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an acquisition of our company less attractive or more difficult.</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under the SIDF Loan Agreement, the GIB Facility Agreement, and the ABL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spacing w:after="0" w:line="2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Further, shares of our common stock are subordinate in right of payment to all of our current and future debt. We cannot assure that there would be any remaining funds after the payment of all of our debt for any distribution to our stockholders.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may still incur substantially more debt</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and our subsidiaries have incurred and may be able to incur substantial additional debt in the future, subject to the restrictions contained in our debt instruments, some of which may be secured debt. The ABL Credit Facility imposes certain restrictions on our ability to incur additional debt, but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if triggered, may adversely affect our financial condition and operating results.</w:t>
      </w:r>
    </w:p>
    <w:p>
      <w:pPr>
        <w:spacing w:after="0" w:line="2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From and after September 15, 2026, noteholders may convert their 2026 Notes at any time at their election until the close of business on the second scheduled trading day immediately before the maturity date. In the event the conditional conversion feature of the 2026 Notes is triggered, holders of such 2026 Notes will be entitled under the indenture governing such 2026 Notes to convert their 2026 Notes at any time during specified periods at their option. If one or more holders of 2026 Notes elect to convert such 2026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21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Noteholders may, subject to a limited exception, require us to repurchase their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such as the covenants in the ABL Credit Facility,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rating agency may not rate the 2026 Notes or may assign a rating that is lower than expected.</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do not intend to seek to have the 2026 Notes rated by any rating agency. However, if one or more rating agencies rate the 2026 Notes and assign a rating that is lower than the rating that investors expect, or reduce their rating in the future, then the trading price of our common stock and the 2026 Notes could significantly decline.</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market perceptions of our creditworthiness will directly affect the trading price of the 2026 Notes. Accordingly, if a ratings agency rates any of our indebtedness in the future or downgrades or withdraws the rating, or puts us on credit watch, then the trading price of the 2026 Notes will likely decline.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draw down the full amounts available under the ABL Credit Facility, the SIDF Loan Agreement and the GIB Facility Agreement.</w:t>
      </w:r>
    </w:p>
    <w:p>
      <w:pPr>
        <w:spacing w:after="0" w:line="2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ABL Credit Facility has an initial aggregate principal commitment amount of up to $1.0 billion. However, availability of the committed amounts under the ABL Credit Facility is subject to the value of the eligible borrowing base and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GIB Facility Agreement are only available for certain specific purposes and subject to conditions on drawdowns. Any inability to draw down the full amounts committed under these facilities, should the need arise, may have an </w:t>
      </w:r>
      <w:r>
        <w:rPr>
          <w:rFonts w:ascii="Arial" w:cs="Arial" w:eastAsia="Arial" w:hAnsi="Arial"/>
          <w:sz w:val="17"/>
          <w:szCs w:val="17"/>
          <w:color w:val="231F20"/>
        </w:rPr>
        <w:t>adverse effect on our cash flows and liquidity.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identify adequate strategic relationship opportunities or form strategic relationships, in the future.</w:t>
      </w:r>
    </w:p>
    <w:p>
      <w:pPr>
        <w:spacing w:after="0" w:line="21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231F20"/>
        </w:rPr>
        <w:t>We expect that strategic business relationships will be an important factor in the growth and success of our business. However, there are no assurances that we will be able to identify or secure suitable business relationship opportunities in the future or that our competitors will not capitalize on such opportunities before we do.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sectPr>
          <w:pgSz w:w="11900" w:h="16838" w:orient="portrait"/>
          <w:cols w:equalWidth="0" w:num="1">
            <w:col w:w="11240"/>
          </w:cols>
          <w:pgMar w:left="320" w:top="773"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1" w:name="page82"/>
    <w:bookmarkEnd w:id="81"/>
    <w:p>
      <w:pPr>
        <w:ind w:right="160"/>
        <w:spacing w:after="0" w:line="311" w:lineRule="auto"/>
        <w:rPr>
          <w:sz w:val="20"/>
          <w:szCs w:val="20"/>
          <w:color w:val="auto"/>
        </w:rPr>
      </w:pPr>
      <w:r>
        <w:rPr>
          <w:rFonts w:ascii="Arial" w:cs="Arial" w:eastAsia="Arial" w:hAnsi="Arial"/>
          <w:sz w:val="16"/>
          <w:szCs w:val="16"/>
          <w:color w:val="231F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may acquire other businesses, which could require significant management attention, disrupt our business, dilute stockholder value and adversely affect our results of operations.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spacing w:after="0" w:line="1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Our financial results may vary significantly from period to period due to fluctuations in our production levels, operating costs, product demand and other factors.</w:t>
      </w:r>
    </w:p>
    <w:p>
      <w:pPr>
        <w:spacing w:after="0" w:line="18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231F20"/>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In addition, automotive manufacturers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use net operating loss carryforwards and certain other tax attributes may be limited.</w:t>
      </w:r>
    </w:p>
    <w:p>
      <w:pPr>
        <w:spacing w:after="0" w:line="212" w:lineRule="exact"/>
        <w:rPr>
          <w:sz w:val="20"/>
          <w:szCs w:val="20"/>
          <w:color w:val="auto"/>
        </w:rPr>
      </w:pPr>
    </w:p>
    <w:p>
      <w:pPr>
        <w:spacing w:after="0" w:line="242" w:lineRule="auto"/>
        <w:rPr>
          <w:sz w:val="20"/>
          <w:szCs w:val="20"/>
          <w:color w:val="auto"/>
        </w:rPr>
      </w:pPr>
      <w:r>
        <w:rPr>
          <w:rFonts w:ascii="Arial" w:cs="Arial" w:eastAsia="Arial" w:hAnsi="Arial"/>
          <w:sz w:val="17"/>
          <w:szCs w:val="17"/>
          <w:color w:val="231F20"/>
        </w:rPr>
        <w:t>We have accumulated U.S. federal and state net operating loss (“</w:t>
      </w:r>
      <w:r>
        <w:rPr>
          <w:rFonts w:ascii="Arial" w:cs="Arial" w:eastAsia="Arial" w:hAnsi="Arial"/>
          <w:sz w:val="17"/>
          <w:szCs w:val="17"/>
          <w:i w:val="1"/>
          <w:iCs w:val="1"/>
          <w:color w:val="231F20"/>
        </w:rPr>
        <w:t>NOL</w:t>
      </w:r>
      <w:r>
        <w:rPr>
          <w:rFonts w:ascii="Arial" w:cs="Arial" w:eastAsia="Arial" w:hAnsi="Arial"/>
          <w:sz w:val="17"/>
          <w:szCs w:val="17"/>
          <w:color w:val="231F20"/>
        </w:rPr>
        <w:t>”) carryforwards and research and development credits which may be available to offset and reduce future taxable income. While our U.S. federal NOL carryforwards arising in taxable years beginning after December 31, 2017, will not be subject to ex</w:t>
      </w:r>
      <w:r>
        <w:rPr>
          <w:rFonts w:ascii="Arial" w:cs="Arial" w:eastAsia="Arial" w:hAnsi="Arial"/>
          <w:sz w:val="17"/>
          <w:szCs w:val="17"/>
          <w:color w:val="000000"/>
        </w:rPr>
        <w:t>piration, some of our U.S. federal and state NOL carryforwards from taxable years prior to 2018 will begin to expire in 2028. As of June 30,</w:t>
      </w:r>
      <w:r>
        <w:rPr>
          <w:rFonts w:ascii="Arial" w:cs="Arial" w:eastAsia="Arial" w:hAnsi="Arial"/>
          <w:sz w:val="17"/>
          <w:szCs w:val="17"/>
          <w:color w:val="231F20"/>
        </w:rPr>
        <w:t xml:space="preserve"> </w:t>
      </w:r>
      <w:r>
        <w:rPr>
          <w:rFonts w:ascii="Arial" w:cs="Arial" w:eastAsia="Arial" w:hAnsi="Arial"/>
          <w:sz w:val="17"/>
          <w:szCs w:val="17"/>
          <w:color w:val="000000"/>
        </w:rPr>
        <w:t>2022, we also had U.S. federal research and development credit carryforwards which will begin to expire in 2034 and state research and development credit carryforwards with no expiration. As of June 30, 2022, we maintain a full valuation allowance for our net deferred tax assets.</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U.S. federal and state NOL carryforwa</w:t>
      </w:r>
      <w:r>
        <w:rPr>
          <w:rFonts w:ascii="Arial" w:cs="Arial" w:eastAsia="Arial" w:hAnsi="Arial"/>
          <w:sz w:val="18"/>
          <w:szCs w:val="18"/>
          <w:color w:val="231F20"/>
        </w:rPr>
        <w:t>rds and certain tax credits may be subject to significant limitations under Section 382 and Section 383 of the</w:t>
      </w:r>
      <w:r>
        <w:rPr>
          <w:rFonts w:ascii="Arial" w:cs="Arial" w:eastAsia="Arial" w:hAnsi="Arial"/>
          <w:sz w:val="18"/>
          <w:szCs w:val="18"/>
          <w:color w:val="auto"/>
        </w:rPr>
        <w:t xml:space="preserve"> </w:t>
      </w:r>
      <w:r>
        <w:rPr>
          <w:rFonts w:ascii="Arial" w:cs="Arial" w:eastAsia="Arial" w:hAnsi="Arial"/>
          <w:sz w:val="18"/>
          <w:szCs w:val="18"/>
          <w:color w:val="231F20"/>
        </w:rPr>
        <w:t>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82" w:name="page83"/>
    <w:bookmarkEnd w:id="82"/>
    <w:p>
      <w:pPr>
        <w:ind w:right="240"/>
        <w:spacing w:after="0" w:line="296" w:lineRule="auto"/>
        <w:rPr>
          <w:sz w:val="20"/>
          <w:szCs w:val="20"/>
          <w:color w:val="auto"/>
        </w:rPr>
      </w:pPr>
      <w:r>
        <w:rPr>
          <w:rFonts w:ascii="Arial" w:cs="Arial" w:eastAsia="Arial" w:hAnsi="Arial"/>
          <w:sz w:val="16"/>
          <w:szCs w:val="16"/>
          <w:color w:val="231F20"/>
        </w:rPr>
        <w:t>In general, an “ownership change” will occur if there is a cumulative change in our ownership by “5-percent shareholders” that exceeds 50 percentage poin</w:t>
      </w:r>
      <w:r>
        <w:rPr>
          <w:rFonts w:ascii="Arial" w:cs="Arial" w:eastAsia="Arial" w:hAnsi="Arial"/>
          <w:sz w:val="16"/>
          <w:szCs w:val="16"/>
          <w:color w:val="000000"/>
        </w:rPr>
        <w:t>ts over a rolling three-year period. Similar rules may apply under state tax laws. We have completed a formal Section 382 study of our equity</w:t>
      </w:r>
      <w:r>
        <w:rPr>
          <w:rFonts w:ascii="Arial" w:cs="Arial" w:eastAsia="Arial" w:hAnsi="Arial"/>
          <w:sz w:val="16"/>
          <w:szCs w:val="16"/>
          <w:color w:val="231F20"/>
        </w:rPr>
        <w:t xml:space="preserve"> </w:t>
      </w:r>
      <w:r>
        <w:rPr>
          <w:rFonts w:ascii="Arial" w:cs="Arial" w:eastAsia="Arial" w:hAnsi="Arial"/>
          <w:sz w:val="16"/>
          <w:szCs w:val="16"/>
          <w:color w:val="000000"/>
        </w:rPr>
        <w:t>transactions through December 31, 2020. The study determined that we experienced an “ownership change” in 2016, and we will not be able to utilize approximately $12 million of our gross U.S. federal NOL and $15 million of gross U.S. federal research and development tax credit (or $3 million in net credit) carryforwards. Similar provisions of state law may also apply to limit our use of accumulated state tax attributes from the same period.</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not yet completed an analysis of whether the busin</w:t>
      </w:r>
      <w:r>
        <w:rPr>
          <w:rFonts w:ascii="Arial" w:cs="Arial" w:eastAsia="Arial" w:hAnsi="Arial"/>
          <w:sz w:val="18"/>
          <w:szCs w:val="18"/>
          <w:color w:val="231F20"/>
        </w:rPr>
        <w:t>ess combination also caused an “ownership change.” In addition, future changes in our stock</w:t>
      </w:r>
      <w:r>
        <w:rPr>
          <w:rFonts w:ascii="Arial" w:cs="Arial" w:eastAsia="Arial" w:hAnsi="Arial"/>
          <w:sz w:val="18"/>
          <w:szCs w:val="18"/>
          <w:color w:val="auto"/>
        </w:rPr>
        <w:t xml:space="preserve"> </w:t>
      </w:r>
      <w:r>
        <w:rPr>
          <w:rFonts w:ascii="Arial" w:cs="Arial" w:eastAsia="Arial" w:hAnsi="Arial"/>
          <w:sz w:val="18"/>
          <w:szCs w:val="18"/>
          <w:color w:val="231F20"/>
        </w:rPr>
        <w:t>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31F20"/>
        </w:rPr>
        <w:t>It is possible that we will not generate taxable income in time to use any of our NOL carryforwards and research and development credits before their expiration.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Unanticipated tax laws or any change in the application of existing tax laws to us or our customers or any change to our corporate structure may adversely impact our profitability and business.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31F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231F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231F20"/>
        </w:rPr>
        <w:t>We may change our corporate structure, our business operations or certain agreements that we have entered into relating to taxes in a particular jurisdiction.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These changes may materially and adversely impact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warrants are accounted for as liabilities and the changes in value of our warrants could have a material effect on our financial results.</w:t>
      </w: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86"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231F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sectPr>
          <w:pgSz w:w="11900" w:h="16838" w:orient="portrait"/>
          <w:cols w:equalWidth="0" w:num="1">
            <w:col w:w="11240"/>
          </w:cols>
          <w:pgMar w:left="320" w:top="989" w:right="3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b w:val="1"/>
          <w:bCs w:val="1"/>
          <w:color w:val="231F20"/>
        </w:rPr>
        <w:t>Risks Related to Public Company Requirements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The requirements of being a public company may strain our resources and distract our management, which could make it difficult to manage our business.</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In addition, most members of our management team have limited experience managing a publicly traded company, interacting with public company investors, and complying with the increasingly complex laws pertaining to public companies.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spacing w:after="0" w:line="20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231F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Arial" w:cs="Arial" w:eastAsia="Arial" w:hAnsi="Arial"/>
          <w:sz w:val="16"/>
          <w:szCs w:val="16"/>
          <w:color w:val="000000"/>
        </w:rPr>
        <w:t>In addition, changing laws, regulations, and standards related to corporate governance and public disclosure are</w:t>
      </w:r>
      <w:r>
        <w:rPr>
          <w:rFonts w:ascii="Arial" w:cs="Arial" w:eastAsia="Arial" w:hAnsi="Arial"/>
          <w:sz w:val="16"/>
          <w:szCs w:val="16"/>
          <w:color w:val="231F20"/>
        </w:rPr>
        <w:t xml:space="preserve"> </w:t>
      </w:r>
      <w:r>
        <w:rPr>
          <w:rFonts w:ascii="Arial" w:cs="Arial" w:eastAsia="Arial" w:hAnsi="Arial"/>
          <w:sz w:val="16"/>
          <w:szCs w:val="16"/>
          <w:color w:val="000000"/>
        </w:rPr>
        <w:t>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 xml:space="preserve">To implement, maintain and improve the effectiveness of our disclosure controls and procedures, we will need to commit significant resources, hire additional staff and provide additional management oversight. </w:t>
      </w:r>
      <w:r>
        <w:rPr>
          <w:rFonts w:ascii="Arial" w:cs="Arial" w:eastAsia="Arial" w:hAnsi="Arial"/>
          <w:sz w:val="17"/>
          <w:szCs w:val="17"/>
          <w:color w:val="000000"/>
        </w:rPr>
        <w:t>To comply with the requirements of being a public company, we have undertaken, and</w:t>
      </w:r>
      <w:r>
        <w:rPr>
          <w:rFonts w:ascii="Arial" w:cs="Arial" w:eastAsia="Arial" w:hAnsi="Arial"/>
          <w:sz w:val="17"/>
          <w:szCs w:val="17"/>
          <w:color w:val="231F20"/>
        </w:rPr>
        <w:t xml:space="preserve"> </w:t>
      </w:r>
      <w:r>
        <w:rPr>
          <w:rFonts w:ascii="Arial" w:cs="Arial" w:eastAsia="Arial" w:hAnsi="Arial"/>
          <w:sz w:val="17"/>
          <w:szCs w:val="17"/>
          <w:color w:val="000000"/>
        </w:rPr>
        <w:t xml:space="preserve">expect to continue to further undertake in the future, various actions, such as, hiring additional accounting staff and implementing new internal controls and procedures </w:t>
      </w:r>
      <w:r>
        <w:rPr>
          <w:rFonts w:ascii="Arial" w:cs="Arial" w:eastAsia="Arial" w:hAnsi="Arial"/>
          <w:sz w:val="17"/>
          <w:szCs w:val="17"/>
          <w:color w:val="231F20"/>
        </w:rPr>
        <w:t>for the purpose of addressing the standards and requirements applicable to public companies. Sustaining our growth also will require us to</w:t>
      </w:r>
      <w:r>
        <w:rPr>
          <w:rFonts w:ascii="Arial" w:cs="Arial" w:eastAsia="Arial" w:hAnsi="Arial"/>
          <w:sz w:val="17"/>
          <w:szCs w:val="17"/>
          <w:color w:val="000000"/>
        </w:rPr>
        <w:t xml:space="preserve"> </w:t>
      </w:r>
      <w:r>
        <w:rPr>
          <w:rFonts w:ascii="Arial" w:cs="Arial" w:eastAsia="Arial" w:hAnsi="Arial"/>
          <w:sz w:val="17"/>
          <w:szCs w:val="17"/>
          <w:color w:val="231F20"/>
        </w:rPr>
        <w:t>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20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We recently ceased to be an emerging growth company, and now are required to comply with certain heightened reporting requirements, including those relating to auditing standards and disclosure about our executive compensation.</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231F20"/>
        </w:rPr>
        <w:t>The Jumpstart Our Business Startups Act of 2012, (the “JOBS Act”), contains provisions that, among other things, relax certain reporting requirements for “emerging growth companies,” including certain requirements relating to auditing standards and compensation disclosure. Prior to December 31, 2021,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w:t>
      </w:r>
    </w:p>
    <w:p>
      <w:pPr>
        <w:spacing w:after="0" w:line="20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231F20"/>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w:t>
      </w:r>
    </w:p>
    <w:p>
      <w:pPr>
        <w:sectPr>
          <w:pgSz w:w="11900" w:h="16838" w:orient="portrait"/>
          <w:cols w:equalWidth="0" w:num="1">
            <w:col w:w="11220"/>
          </w:cols>
          <w:pgMar w:left="320" w:top="985" w:right="3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84" w:name="page85"/>
    <w:bookmarkEnd w:id="84"/>
    <w:p>
      <w:pPr>
        <w:jc w:val="both"/>
        <w:ind w:right="200"/>
        <w:spacing w:after="0" w:line="235" w:lineRule="auto"/>
        <w:rPr>
          <w:sz w:val="20"/>
          <w:szCs w:val="20"/>
          <w:color w:val="auto"/>
        </w:rPr>
      </w:pPr>
      <w:r>
        <w:rPr>
          <w:rFonts w:ascii="Arial" w:cs="Arial" w:eastAsia="Arial" w:hAnsi="Arial"/>
          <w:sz w:val="18"/>
          <w:szCs w:val="18"/>
          <w:b w:val="1"/>
          <w:bCs w:val="1"/>
          <w:i w:val="1"/>
          <w:iCs w:val="1"/>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7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are subject to the SEC’s internal control over financial reporting requirements. Internal control over financial reporting is complex and may be revised over time to adapt to changes in our business, or changes in applicable accounting rules.</w:t>
      </w:r>
    </w:p>
    <w:p>
      <w:pPr>
        <w:spacing w:after="0" w:line="18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spacing w:after="0" w:line="18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addition, we are required to report any control deficiencies that constitute a “material weakness” in our internal control over financial reporting. We had previously identified material weaknesses in our internal control over financial reporting in 2020, which has since been remediated. However,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spacing w:after="0" w:line="182"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b w:val="1"/>
          <w:bCs w:val="1"/>
          <w:i w:val="1"/>
          <w:iCs w:val="1"/>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231F20"/>
        </w:rPr>
        <w:t>We may be forced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There is no guarantee that an active and liquid public market for our securities will be sustained.</w:t>
      </w:r>
    </w:p>
    <w:p>
      <w:pPr>
        <w:spacing w:after="0" w:line="22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231F20"/>
        </w:rPr>
        <w:t>Prior to the Merger, Churchill was a blank check company and there was no public market for Legacy Lucid Common Shares since Legacy Lucid was a private company. A liquid trading market for our common stock may not be sustained. In the absence of a liquid public trading market for our common stock:</w:t>
      </w:r>
    </w:p>
    <w:p>
      <w:pPr>
        <w:spacing w:after="0" w:line="7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holders of our common stock may not be able to liquidate their investment in shares of our common stock;</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holders of our common stock may not be able to resell their shares of our common stock at favorable prices, or at all;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the market price of shares of our common stock may experience significant price volatility; 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there may be less efficiency in carrying out purchase and sale orders with respect to our common stock.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31F20"/>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31F20"/>
        </w:rPr>
        <w:t>The price of our common stock is volatile, and this volatility may negatively impact the market price of our common stock and the trading price of the 2026 Notes.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231F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231F20"/>
        </w:rPr>
        <w:t>Factors affecting the trading price of our securities may include:</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market conditions in the broader stock market in general, or in our industry in particular;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6"/>
          <w:szCs w:val="16"/>
          <w:color w:val="231F20"/>
        </w:rPr>
      </w:pPr>
      <w:r>
        <w:rPr>
          <w:rFonts w:ascii="Arial" w:cs="Arial" w:eastAsia="Arial" w:hAnsi="Arial"/>
          <w:sz w:val="16"/>
          <w:szCs w:val="16"/>
          <w:color w:val="231F20"/>
        </w:rPr>
        <w:t>actual or anticipated fluctuations in our quarterly financial results or the quarterly financial results of companies perceived to be similar to ours;</w:t>
      </w:r>
    </w:p>
    <w:p>
      <w:pPr>
        <w:spacing w:after="0" w:line="140" w:lineRule="exact"/>
        <w:rPr>
          <w:rFonts w:ascii="Arial" w:cs="Arial" w:eastAsia="Arial" w:hAnsi="Arial"/>
          <w:sz w:val="16"/>
          <w:szCs w:val="16"/>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changes in the market’s expectations about our operating results;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the public’s reaction to our press releases, other public announcements and filings with the SEC;</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the public’s reaction to the number of unit reservations, financial projections and any other guidance or metrics that we may publicly disclose from time to time;</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speculation in the press or investment community;</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actual or anticipated developments in our business, competitors’ businesses or the competitive landscape generally;</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the operating results failing to meet the expectation of securities analysts or investors in a particular period;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7"/>
          <w:szCs w:val="17"/>
          <w:color w:val="231F20"/>
        </w:rPr>
      </w:pPr>
      <w:r>
        <w:rPr>
          <w:rFonts w:ascii="Arial" w:cs="Arial" w:eastAsia="Arial" w:hAnsi="Arial"/>
          <w:sz w:val="17"/>
          <w:szCs w:val="17"/>
          <w:color w:val="231F20"/>
        </w:rPr>
        <w:t>the timing of the achievement of objectives under our business plan and the timing and amount of costs we incur in connection therewith;</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changes in financial estimates and recommendations by securities analysts concerning us or the market in general;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operating and stock price performance of other companies that investors deem comparable to ours;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changes in laws and regulations affecting our business;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commencement of, or involvement in, litigation or investigations involving us;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changes in our capital structure, such as future issuances of securities or the incurrence of additional debt;</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the volume of our common stock available for public sale;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any major change in our Board or management;</w:t>
      </w:r>
    </w:p>
    <w:p>
      <w:pPr>
        <w:spacing w:after="0" w:line="117" w:lineRule="exact"/>
        <w:rPr>
          <w:rFonts w:ascii="Arial" w:cs="Arial" w:eastAsia="Arial" w:hAnsi="Arial"/>
          <w:sz w:val="18"/>
          <w:szCs w:val="18"/>
          <w:color w:val="231F20"/>
        </w:rPr>
      </w:pPr>
    </w:p>
    <w:p>
      <w:pPr>
        <w:jc w:val="both"/>
        <w:ind w:left="660" w:right="400" w:hanging="328"/>
        <w:spacing w:after="0" w:line="342" w:lineRule="auto"/>
        <w:tabs>
          <w:tab w:leader="none" w:pos="655" w:val="left"/>
        </w:tabs>
        <w:numPr>
          <w:ilvl w:val="0"/>
          <w:numId w:val="37"/>
        </w:numPr>
        <w:rPr>
          <w:rFonts w:ascii="Arial" w:cs="Arial" w:eastAsia="Arial" w:hAnsi="Arial"/>
          <w:sz w:val="16"/>
          <w:szCs w:val="16"/>
          <w:color w:val="231F20"/>
        </w:rPr>
      </w:pPr>
      <w:r>
        <w:rPr>
          <w:rFonts w:ascii="Arial" w:cs="Arial" w:eastAsia="Arial" w:hAnsi="Arial"/>
          <w:sz w:val="16"/>
          <w:szCs w:val="16"/>
          <w:color w:val="231F20"/>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15" w:lineRule="exact"/>
        <w:rPr>
          <w:rFonts w:ascii="Arial" w:cs="Arial" w:eastAsia="Arial" w:hAnsi="Arial"/>
          <w:sz w:val="16"/>
          <w:szCs w:val="16"/>
          <w:color w:val="231F20"/>
        </w:rPr>
      </w:pPr>
    </w:p>
    <w:p>
      <w:pPr>
        <w:ind w:left="660" w:right="80" w:hanging="328"/>
        <w:spacing w:after="0" w:line="277"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general economic and political conditions, such as recessions, interest rates, pandemics (such as COVID-19), inflation, changes in diplomatic and trade relationships and acts of war or terrorism, and natural disasters;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other risk factors listed in this section “Risk Factors.”</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231F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most recently, the impact of the conflict between Ukraine and Russia, natural disasters, the novel coronavirus, COVID-19, and any other global pandemics, as well as general economic, political and market conditions such as recessions, inflation,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86" w:name="page87"/>
    <w:bookmarkEnd w:id="86"/>
    <w:p>
      <w:pPr>
        <w:spacing w:after="0" w:line="259" w:lineRule="auto"/>
        <w:rPr>
          <w:sz w:val="20"/>
          <w:szCs w:val="20"/>
          <w:color w:val="auto"/>
        </w:rPr>
      </w:pPr>
      <w:r>
        <w:rPr>
          <w:rFonts w:ascii="Arial" w:cs="Arial" w:eastAsia="Arial" w:hAnsi="Arial"/>
          <w:sz w:val="18"/>
          <w:szCs w:val="18"/>
          <w:color w:val="231F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The issuance of additional shares of our common stock or other equity or equity-linked securities, or sales of a significant portion of our common stock, could depress the market price of our common stock.</w:t>
      </w:r>
    </w:p>
    <w:p>
      <w:pPr>
        <w:spacing w:after="0" w:line="18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231F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Incentive Plan, or for other reasons.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Pursuant to the Investor Rights Agreement, the Sponsor has agreed to restrictions on the sale or transfer of shares of common stock, Private Placement Warrants and Working Capital Warrants held by it for a period of 18 months after the Closing of the Transactions. However, following the expiration of this lock-up period, the Sponsor will not be restricted from selling our securities held by it, other than by applicable securities laws. In addition, pursuant to the Investor Rights Agreement, Ayar, the Sponsor,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pacing w:after="0" w:line="192"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i w:val="1"/>
          <w:iCs w:val="1"/>
          <w:color w:val="231F20"/>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 xml:space="preserve">As of June 30, 2022, Ayar held approximately </w:t>
      </w:r>
      <w:r>
        <w:rPr>
          <w:rFonts w:ascii="Arial" w:cs="Arial" w:eastAsia="Arial" w:hAnsi="Arial"/>
          <w:sz w:val="17"/>
          <w:szCs w:val="17"/>
          <w:color w:val="000000"/>
        </w:rPr>
        <w:t>60.7%</w:t>
      </w:r>
      <w:r>
        <w:rPr>
          <w:rFonts w:ascii="Arial" w:cs="Arial" w:eastAsia="Arial" w:hAnsi="Arial"/>
          <w:sz w:val="17"/>
          <w:szCs w:val="17"/>
          <w:color w:val="231F20"/>
        </w:rPr>
        <w:t xml:space="preserve">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Sponsor and Ayar beneficially own a significant equity interest in us and may take actions that conflict with your interests.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31F20"/>
        </w:rPr>
        <w:t>The interests of the Sponsor and Ayar may not align with our interests and the interests of our other stockholders or securityholders. The Sponsor and Ayar are each in the business of making investments in companies and may acquire and hold interests in businesses that compete directly or indirectly with us. The Sponsor and Ayar and their respective affiliates, may also pursue acquisition opportunities that may be complementary to our business and, as a result, those acquisition opportunities may not be available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anticipate paying any cash dividends for the foreseeable future.</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231F20"/>
        </w:rPr>
        <w:t>We have never declared or paid cash dividends on our capital stock, and we do not anticipate paying any cash dividends in the foreseeable future. In addition, the ABL Credit Facility limits our and certain of our subsidiaries’ ability to pay dividends. We currently intend to retain our future earnings, if any, for the foreseeable future, to fund the development and growth of our business.</w:t>
      </w:r>
    </w:p>
    <w:p>
      <w:pPr>
        <w:sectPr>
          <w:pgSz w:w="11900" w:h="16838" w:orient="portrait"/>
          <w:cols w:equalWidth="0" w:num="1">
            <w:col w:w="11220"/>
          </w:cols>
          <w:pgMar w:left="320" w:top="989" w:right="359" w:bottom="1440" w:gutter="0" w:footer="0" w:header="0"/>
        </w:sect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87" w:name="page88"/>
    <w:bookmarkEnd w:id="87"/>
    <w:p>
      <w:pPr>
        <w:ind w:right="40"/>
        <w:spacing w:after="0" w:line="263" w:lineRule="auto"/>
        <w:rPr>
          <w:sz w:val="20"/>
          <w:szCs w:val="20"/>
          <w:color w:val="auto"/>
        </w:rPr>
      </w:pPr>
      <w:r>
        <w:rPr>
          <w:rFonts w:ascii="Arial" w:cs="Arial" w:eastAsia="Arial" w:hAnsi="Arial"/>
          <w:sz w:val="18"/>
          <w:szCs w:val="18"/>
          <w:color w:val="231F20"/>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See the section titled “Management’s Discussion and Analysis of Financial Condition and Results of Operations — Liquidity and Capital Resources” in this Quarterly Report.</w:t>
      </w:r>
    </w:p>
    <w:p>
      <w:pPr>
        <w:spacing w:after="0" w:line="170"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231F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231F20"/>
        </w:rPr>
        <w:t>Under our current bylaws, unless we consent in writing to the selection of an alternative forum, the sole and exclusive forum will be a state court within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State of Delaware (or, if no state court located within the State of Delaware has jurisdiction, the federal district court for the District of Delaware) for:</w:t>
      </w:r>
    </w:p>
    <w:p>
      <w:pPr>
        <w:spacing w:after="0" w:line="11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any derivative action or proceeding brought on our behalf;</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8"/>
        </w:numPr>
        <w:rPr>
          <w:rFonts w:ascii="Arial" w:cs="Arial" w:eastAsia="Arial" w:hAnsi="Arial"/>
          <w:sz w:val="17"/>
          <w:szCs w:val="17"/>
          <w:color w:val="231F20"/>
        </w:rPr>
      </w:pPr>
      <w:r>
        <w:rPr>
          <w:rFonts w:ascii="Arial" w:cs="Arial" w:eastAsia="Arial" w:hAnsi="Arial"/>
          <w:sz w:val="17"/>
          <w:szCs w:val="17"/>
          <w:color w:val="231F20"/>
        </w:rPr>
        <w:t>any action asserting a claim of breach of a fiduciary duty owed by any of our directors, officers or employees to us or our stockholders;</w:t>
      </w:r>
    </w:p>
    <w:p>
      <w:pPr>
        <w:spacing w:after="0" w:line="128" w:lineRule="exact"/>
        <w:rPr>
          <w:rFonts w:ascii="Arial" w:cs="Arial" w:eastAsia="Arial" w:hAnsi="Arial"/>
          <w:sz w:val="17"/>
          <w:szCs w:val="17"/>
          <w:color w:val="231F20"/>
        </w:rPr>
      </w:pPr>
    </w:p>
    <w:p>
      <w:pPr>
        <w:ind w:left="660" w:right="80" w:hanging="328"/>
        <w:spacing w:after="0" w:line="308" w:lineRule="auto"/>
        <w:tabs>
          <w:tab w:leader="none" w:pos="655" w:val="left"/>
        </w:tabs>
        <w:numPr>
          <w:ilvl w:val="0"/>
          <w:numId w:val="38"/>
        </w:numPr>
        <w:rPr>
          <w:rFonts w:ascii="Arial" w:cs="Arial" w:eastAsia="Arial" w:hAnsi="Arial"/>
          <w:sz w:val="17"/>
          <w:szCs w:val="17"/>
          <w:color w:val="231F20"/>
        </w:rPr>
      </w:pPr>
      <w:r>
        <w:rPr>
          <w:rFonts w:ascii="Arial" w:cs="Arial" w:eastAsia="Arial" w:hAnsi="Arial"/>
          <w:sz w:val="17"/>
          <w:szCs w:val="17"/>
          <w:color w:val="231F20"/>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38" w:lineRule="exact"/>
        <w:rPr>
          <w:rFonts w:ascii="Arial" w:cs="Arial" w:eastAsia="Arial" w:hAnsi="Arial"/>
          <w:sz w:val="17"/>
          <w:szCs w:val="17"/>
          <w:color w:val="231F20"/>
        </w:rPr>
      </w:pPr>
    </w:p>
    <w:p>
      <w:pPr>
        <w:ind w:left="660" w:hanging="328"/>
        <w:spacing w:after="0"/>
        <w:tabs>
          <w:tab w:leader="none" w:pos="660" w:val="left"/>
        </w:tabs>
        <w:numPr>
          <w:ilvl w:val="0"/>
          <w:numId w:val="38"/>
        </w:numPr>
        <w:rPr>
          <w:rFonts w:ascii="Arial" w:cs="Arial" w:eastAsia="Arial" w:hAnsi="Arial"/>
          <w:sz w:val="17"/>
          <w:szCs w:val="17"/>
          <w:color w:val="231F20"/>
        </w:rPr>
      </w:pPr>
      <w:r>
        <w:rPr>
          <w:rFonts w:ascii="Arial" w:cs="Arial" w:eastAsia="Arial" w:hAnsi="Arial"/>
          <w:sz w:val="17"/>
          <w:szCs w:val="17"/>
          <w:color w:val="231F20"/>
        </w:rPr>
        <w:t>any action asserting a claim against us or any of our directors or officers or other employees governed by the internal affairs doctrine.</w:t>
      </w:r>
    </w:p>
    <w:p>
      <w:pPr>
        <w:spacing w:after="0" w:line="23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Some provisions of Delaware law and our current certificate of incorporation and our current bylaws may deter third parties from acquiring us and diminish the value of our common stock and the 2026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31F20"/>
        </w:rPr>
        <w:t>Our current certificate of incorporation and our current bylaws provide for, among other things:</w:t>
      </w:r>
    </w:p>
    <w:p>
      <w:pPr>
        <w:spacing w:after="0" w:line="117" w:lineRule="exact"/>
        <w:rPr>
          <w:sz w:val="20"/>
          <w:szCs w:val="20"/>
          <w:color w:val="auto"/>
        </w:rPr>
      </w:pPr>
    </w:p>
    <w:p>
      <w:pPr>
        <w:ind w:left="660" w:right="560" w:hanging="328"/>
        <w:spacing w:after="0" w:line="277" w:lineRule="auto"/>
        <w:tabs>
          <w:tab w:leader="none" w:pos="655"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62" w:lineRule="exact"/>
        <w:rPr>
          <w:rFonts w:ascii="Arial" w:cs="Arial" w:eastAsia="Arial" w:hAnsi="Arial"/>
          <w:sz w:val="18"/>
          <w:szCs w:val="18"/>
          <w:color w:val="231F20"/>
        </w:rPr>
      </w:pPr>
    </w:p>
    <w:p>
      <w:pPr>
        <w:ind w:left="660" w:right="200" w:hanging="328"/>
        <w:spacing w:after="0" w:line="277" w:lineRule="auto"/>
        <w:tabs>
          <w:tab w:leader="none" w:pos="655"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subject to the Investor Rights Agreement, advance notice for nominations of directors by stockholders and for stockholders to include matters to be considered at stockholder meetings;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certain limitations on convening special stockholder meetings.</w:t>
      </w:r>
    </w:p>
    <w:p>
      <w:pPr>
        <w:spacing w:after="0" w:line="22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231F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6" w:lineRule="exact"/>
        <w:rPr>
          <w:sz w:val="20"/>
          <w:szCs w:val="20"/>
          <w:color w:val="auto"/>
        </w:rPr>
      </w:pPr>
    </w:p>
    <w:p>
      <w:pPr>
        <w:ind w:left="660" w:right="220" w:hanging="328"/>
        <w:spacing w:after="0" w:line="277" w:lineRule="auto"/>
        <w:tabs>
          <w:tab w:leader="none" w:pos="655"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prior to such time, the Board approved either the business combination or the transaction that resulted in the stockholder becoming an interested stockholder;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8" w:name="page89"/>
    <w:bookmarkEnd w:id="88"/>
    <w:p>
      <w:pPr>
        <w:ind w:left="660" w:right="320" w:hanging="328"/>
        <w:spacing w:after="0" w:line="277" w:lineRule="auto"/>
        <w:tabs>
          <w:tab w:leader="none" w:pos="655"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31F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231F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7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231F20"/>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pacing w:after="0" w:line="161" w:lineRule="exact"/>
        <w:rPr>
          <w:sz w:val="20"/>
          <w:szCs w:val="20"/>
          <w:color w:val="auto"/>
        </w:rPr>
      </w:pPr>
    </w:p>
    <w:p>
      <w:pPr>
        <w:jc w:val="both"/>
        <w:ind w:right="920"/>
        <w:spacing w:after="0" w:line="381" w:lineRule="auto"/>
        <w:rPr>
          <w:sz w:val="20"/>
          <w:szCs w:val="20"/>
          <w:color w:val="auto"/>
        </w:rPr>
      </w:pPr>
      <w:r>
        <w:rPr>
          <w:rFonts w:ascii="Arial" w:cs="Arial" w:eastAsia="Arial" w:hAnsi="Arial"/>
          <w:sz w:val="15"/>
          <w:szCs w:val="15"/>
          <w:b w:val="1"/>
          <w:bCs w:val="1"/>
          <w:i w:val="1"/>
          <w:iCs w:val="1"/>
          <w:color w:val="231F20"/>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0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231F20"/>
        </w:rPr>
        <w:t>The trading market for our common stock is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exhibits listed on the Exhibit Index to this Form 10-Q are filed herewith or incorporated by reference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4"/>
                <w:szCs w:val="14"/>
                <w:b w:val="1"/>
                <w:bCs w:val="1"/>
                <w:color w:val="auto"/>
                <w:w w:val="93"/>
              </w:rPr>
              <w:t>Incorporation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1"/>
                <w:szCs w:val="11"/>
                <w:color w:val="auto"/>
              </w:rPr>
            </w:pPr>
          </w:p>
        </w:tc>
        <w:tc>
          <w:tcPr>
            <w:tcW w:w="5840" w:type="dxa"/>
            <w:vAlign w:val="bottom"/>
            <w:gridSpan w:val="16"/>
            <w:vMerge w:val="restart"/>
          </w:tcPr>
          <w:p>
            <w:pPr>
              <w:ind w:left="2300"/>
              <w:spacing w:after="0"/>
              <w:rPr>
                <w:sz w:val="20"/>
                <w:szCs w:val="20"/>
                <w:color w:val="auto"/>
              </w:rPr>
            </w:pPr>
            <w:r>
              <w:rPr>
                <w:rFonts w:ascii="Arial" w:cs="Arial" w:eastAsia="Arial" w:hAnsi="Arial"/>
                <w:sz w:val="14"/>
                <w:szCs w:val="14"/>
                <w:b w:val="1"/>
                <w:bCs w:val="1"/>
                <w:color w:val="auto"/>
              </w:rPr>
              <w:t>Exhibit Description</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File</w:t>
            </w: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Filing</w:t>
            </w: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Exhibit</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8"/>
        </w:trPr>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5840" w:type="dxa"/>
            <w:vAlign w:val="bottom"/>
            <w:gridSpan w:val="16"/>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4"/>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40" w:type="dxa"/>
            <w:vAlign w:val="bottom"/>
            <w:tcBorders>
              <w:top w:val="single" w:sz="8" w:color="auto"/>
            </w:tcBorders>
            <w:gridSpan w:val="16"/>
          </w:tcPr>
          <w:p>
            <w:pPr>
              <w:spacing w:after="0"/>
              <w:rPr>
                <w:rFonts w:ascii="Arial" w:cs="Arial" w:eastAsia="Arial" w:hAnsi="Arial"/>
                <w:sz w:val="18"/>
                <w:szCs w:val="18"/>
                <w:color w:val="0000FF"/>
                <w:w w:val="99"/>
              </w:rPr>
            </w:pPr>
            <w:hyperlink r:id="rId128">
              <w:r>
                <w:rPr>
                  <w:rFonts w:ascii="Arial" w:cs="Arial" w:eastAsia="Arial" w:hAnsi="Arial"/>
                  <w:sz w:val="18"/>
                  <w:szCs w:val="18"/>
                  <w:color w:val="0000FF"/>
                  <w:w w:val="99"/>
                </w:rPr>
                <w:t>Letter of Undertaking, dated as of April 20, 2022, between Lucid LLC and</w:t>
              </w:r>
            </w:hyperlink>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10-Q</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001-39408</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May 5, 2022</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10.3</w:t>
            </w: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8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Ministry of Finance of the Kingdom of Saudi Arabia (English version only)</w:t>
              </w:r>
            </w:hyperlink>
          </w:p>
        </w:tc>
        <w:tc>
          <w:tcPr>
            <w:tcW w:w="6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16"/>
          </w:tcPr>
          <w:p>
            <w:pPr>
              <w:spacing w:after="0"/>
              <w:rPr>
                <w:rFonts w:ascii="Arial" w:cs="Arial" w:eastAsia="Arial" w:hAnsi="Arial"/>
                <w:sz w:val="18"/>
                <w:szCs w:val="18"/>
                <w:color w:val="0000FF"/>
                <w:w w:val="93"/>
              </w:rPr>
            </w:pPr>
            <w:hyperlink w:anchor="page92">
              <w:r>
                <w:rPr>
                  <w:rFonts w:ascii="Arial" w:cs="Arial" w:eastAsia="Arial" w:hAnsi="Arial"/>
                  <w:sz w:val="18"/>
                  <w:szCs w:val="18"/>
                  <w:color w:val="0000FF"/>
                  <w:w w:val="93"/>
                </w:rPr>
                <w:t>Facilities Letter, entered into as of April 29, 2022, between Lucid LLC and Gulf</w:t>
              </w:r>
            </w:hyperlink>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2"/>
              </w:rPr>
            </w:pPr>
            <w:hyperlink w:anchor="page92">
              <w:r>
                <w:rPr>
                  <w:rFonts w:ascii="Arial" w:cs="Arial" w:eastAsia="Arial" w:hAnsi="Arial"/>
                  <w:sz w:val="18"/>
                  <w:szCs w:val="18"/>
                  <w:color w:val="0000FF"/>
                  <w:w w:val="92"/>
                </w:rPr>
                <w:t>International Bank Saudi Arabia (English version only)</w:t>
              </w:r>
            </w:hyperlink>
          </w:p>
        </w:tc>
        <w:tc>
          <w:tcPr>
            <w:tcW w:w="182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16"/>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Credit Agreement, dated as of June 9, 2022, by and among Lucid Group, Inc., as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001-39408</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June 15, 2022</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the Borrower Representative, the other Borrowers party thereto from time to</w:t>
              </w:r>
            </w:hyperlink>
          </w:p>
        </w:tc>
        <w:tc>
          <w:tcPr>
            <w:tcW w:w="32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Borders>
              <w:bottom w:val="single" w:sz="8" w:color="0000FF"/>
            </w:tcBorders>
            <w:gridSpan w:val="16"/>
          </w:tcPr>
          <w:p>
            <w:pPr>
              <w:spacing w:after="0" w:line="169"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time, the Lenders and Issuing Banks from time to time party thereto and Bank of</w:t>
              </w:r>
            </w:hyperlink>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bottom w:val="single" w:sz="8" w:color="0000FF"/>
            </w:tcBorders>
          </w:tcPr>
          <w:p>
            <w:pPr>
              <w:spacing w:after="0" w:line="169"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America, N.A., as Administrative Agent</w:t>
              </w:r>
            </w:hyperlink>
          </w:p>
        </w:tc>
        <w:tc>
          <w:tcPr>
            <w:tcW w:w="2940" w:type="dxa"/>
            <w:vAlign w:val="bottom"/>
            <w:gridSpan w:val="15"/>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16"/>
          </w:tcPr>
          <w:p>
            <w:pPr>
              <w:spacing w:after="0"/>
              <w:rPr>
                <w:rFonts w:ascii="Arial" w:cs="Arial" w:eastAsia="Arial" w:hAnsi="Arial"/>
                <w:sz w:val="18"/>
                <w:szCs w:val="18"/>
                <w:color w:val="0000FF"/>
                <w:w w:val="92"/>
              </w:rPr>
            </w:pPr>
            <w:hyperlink r:id="rId130">
              <w:r>
                <w:rPr>
                  <w:rFonts w:ascii="Arial" w:cs="Arial" w:eastAsia="Arial" w:hAnsi="Arial"/>
                  <w:sz w:val="18"/>
                  <w:szCs w:val="18"/>
                  <w:color w:val="0000FF"/>
                  <w:w w:val="92"/>
                </w:rPr>
                <w:t>Lucid Group, Inc. Amended and Restated 2021 Stock Incentive Plan (including</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001-39408</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June 13, 2022</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4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89"/>
              </w:rPr>
            </w:pPr>
            <w:hyperlink r:id="rId130">
              <w:r>
                <w:rPr>
                  <w:rFonts w:ascii="Arial" w:cs="Arial" w:eastAsia="Arial" w:hAnsi="Arial"/>
                  <w:sz w:val="18"/>
                  <w:szCs w:val="18"/>
                  <w:color w:val="0000FF"/>
                  <w:w w:val="89"/>
                </w:rPr>
                <w:t>the Lucid Group, Inc. 2021 Employee Stock Purchase Plan, attached thereto)</w:t>
              </w:r>
            </w:hyperlink>
          </w:p>
        </w:tc>
        <w:tc>
          <w:tcPr>
            <w:tcW w:w="2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16"/>
          </w:tcPr>
          <w:p>
            <w:pPr>
              <w:spacing w:after="0"/>
              <w:rPr>
                <w:rFonts w:ascii="Arial" w:cs="Arial" w:eastAsia="Arial" w:hAnsi="Arial"/>
                <w:sz w:val="18"/>
                <w:szCs w:val="18"/>
                <w:color w:val="0000FF"/>
                <w:w w:val="93"/>
              </w:rPr>
            </w:pPr>
            <w:hyperlink w:anchor="page108">
              <w:r>
                <w:rPr>
                  <w:rFonts w:ascii="Arial" w:cs="Arial" w:eastAsia="Arial" w:hAnsi="Arial"/>
                  <w:sz w:val="18"/>
                  <w:szCs w:val="18"/>
                  <w:color w:val="0000FF"/>
                  <w:w w:val="93"/>
                </w:rPr>
                <w:t>Certification of Principal Executive Officer Required Under Rule 13a-14(a) and</w:t>
              </w:r>
            </w:hyperlink>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108">
              <w:r>
                <w:rPr>
                  <w:rFonts w:ascii="Arial" w:cs="Arial" w:eastAsia="Arial" w:hAnsi="Arial"/>
                  <w:sz w:val="18"/>
                  <w:szCs w:val="18"/>
                  <w:color w:val="0000FF"/>
                </w:rPr>
                <w:t>15d-14(a) of the Securities Exchange Act of 1934, as amended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16"/>
          </w:tcPr>
          <w:p>
            <w:pPr>
              <w:spacing w:after="0"/>
              <w:rPr>
                <w:rFonts w:ascii="Arial" w:cs="Arial" w:eastAsia="Arial" w:hAnsi="Arial"/>
                <w:sz w:val="18"/>
                <w:szCs w:val="18"/>
                <w:color w:val="0000FF"/>
                <w:w w:val="94"/>
              </w:rPr>
            </w:pPr>
            <w:hyperlink w:anchor="page109">
              <w:r>
                <w:rPr>
                  <w:rFonts w:ascii="Arial" w:cs="Arial" w:eastAsia="Arial" w:hAnsi="Arial"/>
                  <w:sz w:val="18"/>
                  <w:szCs w:val="18"/>
                  <w:color w:val="0000FF"/>
                  <w:w w:val="94"/>
                </w:rPr>
                <w:t>Certification of Principal Financial Officer Required Under Rule 13a-14(a) and</w:t>
              </w:r>
            </w:hyperlink>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09">
              <w:r>
                <w:rPr>
                  <w:rFonts w:ascii="Arial" w:cs="Arial" w:eastAsia="Arial" w:hAnsi="Arial"/>
                  <w:sz w:val="18"/>
                  <w:szCs w:val="18"/>
                  <w:color w:val="0000FF"/>
                </w:rPr>
                <w:t>15d-14(a) of the Securities Exchange Act of 1934, as amended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16"/>
          </w:tcPr>
          <w:p>
            <w:pPr>
              <w:spacing w:after="0"/>
              <w:rPr>
                <w:rFonts w:ascii="Arial" w:cs="Arial" w:eastAsia="Arial" w:hAnsi="Arial"/>
                <w:sz w:val="18"/>
                <w:szCs w:val="18"/>
                <w:color w:val="0000FF"/>
                <w:w w:val="93"/>
              </w:rPr>
            </w:pPr>
            <w:hyperlink w:anchor="page110">
              <w:r>
                <w:rPr>
                  <w:rFonts w:ascii="Arial" w:cs="Arial" w:eastAsia="Arial" w:hAnsi="Arial"/>
                  <w:sz w:val="18"/>
                  <w:szCs w:val="18"/>
                  <w:color w:val="0000FF"/>
                  <w:w w:val="93"/>
                </w:rPr>
                <w:t>Certification of Principal Executive Officer pursuant to 18 U.S.C. Section 1350,</w:t>
              </w:r>
            </w:hyperlink>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110">
              <w:r>
                <w:rPr>
                  <w:rFonts w:ascii="Arial" w:cs="Arial" w:eastAsia="Arial" w:hAnsi="Arial"/>
                  <w:sz w:val="18"/>
                  <w:szCs w:val="18"/>
                  <w:color w:val="0000FF"/>
                </w:rPr>
                <w:t>as adopted pursuant to Section 906 of the Sarbanes-Oxley Act of 2002</w:t>
              </w:r>
            </w:hyperlink>
          </w:p>
        </w:tc>
        <w:tc>
          <w:tcPr>
            <w:tcW w:w="6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16"/>
          </w:tcPr>
          <w:p>
            <w:pPr>
              <w:spacing w:after="0"/>
              <w:rPr>
                <w:rFonts w:ascii="Arial" w:cs="Arial" w:eastAsia="Arial" w:hAnsi="Arial"/>
                <w:sz w:val="18"/>
                <w:szCs w:val="18"/>
                <w:color w:val="0000FF"/>
                <w:w w:val="94"/>
              </w:rPr>
            </w:pPr>
            <w:hyperlink w:anchor="page111">
              <w:r>
                <w:rPr>
                  <w:rFonts w:ascii="Arial" w:cs="Arial" w:eastAsia="Arial" w:hAnsi="Arial"/>
                  <w:sz w:val="18"/>
                  <w:szCs w:val="18"/>
                  <w:color w:val="0000FF"/>
                  <w:w w:val="94"/>
                </w:rPr>
                <w:t>Certification of Principal Financial Officer pursuant to 18 U.S.C. Section 1350,</w:t>
              </w:r>
            </w:hyperlink>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111">
              <w:r>
                <w:rPr>
                  <w:rFonts w:ascii="Arial" w:cs="Arial" w:eastAsia="Arial" w:hAnsi="Arial"/>
                  <w:sz w:val="18"/>
                  <w:szCs w:val="18"/>
                  <w:color w:val="0000FF"/>
                </w:rPr>
                <w:t>as adopted pursuant to Section 906 of the Sarbanes-Oxley Act of 2002</w:t>
              </w:r>
            </w:hyperlink>
          </w:p>
        </w:tc>
        <w:tc>
          <w:tcPr>
            <w:tcW w:w="120" w:type="dxa"/>
            <w:vAlign w:val="bottom"/>
            <w:gridSpan w:val="6"/>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78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1"/>
                <w:szCs w:val="21"/>
                <w:color w:val="auto"/>
              </w:rPr>
            </w:pPr>
          </w:p>
        </w:tc>
        <w:tc>
          <w:tcPr>
            <w:tcW w:w="5840" w:type="dxa"/>
            <w:vAlign w:val="bottom"/>
            <w:gridSpan w:val="16"/>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gridSpan w:val="16"/>
          </w:tcPr>
          <w:p>
            <w:pPr>
              <w:spacing w:after="0" w:line="176" w:lineRule="exact"/>
              <w:rPr>
                <w:sz w:val="20"/>
                <w:szCs w:val="20"/>
                <w:color w:val="auto"/>
              </w:rPr>
            </w:pPr>
            <w:r>
              <w:rPr>
                <w:rFonts w:ascii="Arial" w:cs="Arial" w:eastAsia="Arial" w:hAnsi="Arial"/>
                <w:sz w:val="18"/>
                <w:szCs w:val="18"/>
                <w:color w:val="auto"/>
                <w:w w:val="97"/>
              </w:rPr>
              <w:t>Interactive Data File because its XBRL tags are embedded within the Inline</w:t>
            </w: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gridSpan w:val="16"/>
          </w:tcPr>
          <w:p>
            <w:pPr>
              <w:spacing w:after="0"/>
              <w:rPr>
                <w:sz w:val="20"/>
                <w:szCs w:val="20"/>
                <w:color w:val="auto"/>
              </w:rPr>
            </w:pPr>
            <w:r>
              <w:rPr>
                <w:rFonts w:ascii="Arial" w:cs="Arial" w:eastAsia="Arial" w:hAnsi="Arial"/>
                <w:sz w:val="18"/>
                <w:szCs w:val="18"/>
                <w:color w:val="auto"/>
              </w:rPr>
              <w:t>XBRL document)</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101.SCH</w:t>
            </w:r>
          </w:p>
        </w:tc>
        <w:tc>
          <w:tcPr>
            <w:tcW w:w="20" w:type="dxa"/>
            <w:vAlign w:val="bottom"/>
          </w:tcPr>
          <w:p>
            <w:pPr>
              <w:spacing w:after="0"/>
              <w:rPr>
                <w:sz w:val="24"/>
                <w:szCs w:val="24"/>
                <w:color w:val="auto"/>
              </w:rPr>
            </w:pPr>
          </w:p>
        </w:tc>
        <w:tc>
          <w:tcPr>
            <w:tcW w:w="5840" w:type="dxa"/>
            <w:vAlign w:val="bottom"/>
            <w:gridSpan w:val="16"/>
          </w:tcPr>
          <w:p>
            <w:pPr>
              <w:spacing w:after="0"/>
              <w:rPr>
                <w:sz w:val="20"/>
                <w:szCs w:val="20"/>
                <w:color w:val="auto"/>
              </w:rPr>
            </w:pPr>
            <w:r>
              <w:rPr>
                <w:rFonts w:ascii="Arial" w:cs="Arial" w:eastAsia="Arial" w:hAnsi="Arial"/>
                <w:sz w:val="18"/>
                <w:szCs w:val="18"/>
                <w:color w:val="auto"/>
              </w:rPr>
              <w:t>Inline XBRL Taxonomy Schema Linkbase Document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8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5840" w:type="dxa"/>
            <w:vAlign w:val="bottom"/>
            <w:gridSpan w:val="16"/>
          </w:tcPr>
          <w:p>
            <w:pPr>
              <w:spacing w:after="0"/>
              <w:rPr>
                <w:sz w:val="20"/>
                <w:szCs w:val="20"/>
                <w:color w:val="auto"/>
              </w:rPr>
            </w:pPr>
            <w:r>
              <w:rPr>
                <w:rFonts w:ascii="Arial" w:cs="Arial" w:eastAsia="Arial" w:hAnsi="Arial"/>
                <w:sz w:val="18"/>
                <w:szCs w:val="18"/>
                <w:color w:val="auto"/>
              </w:rPr>
              <w:t>Inline XBRL Taxonomy Calculation Linkbase Document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84"/>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101.DEF</w:t>
            </w:r>
          </w:p>
        </w:tc>
        <w:tc>
          <w:tcPr>
            <w:tcW w:w="20" w:type="dxa"/>
            <w:vAlign w:val="bottom"/>
          </w:tcPr>
          <w:p>
            <w:pPr>
              <w:spacing w:after="0"/>
              <w:rPr>
                <w:sz w:val="24"/>
                <w:szCs w:val="24"/>
                <w:color w:val="auto"/>
              </w:rPr>
            </w:pPr>
          </w:p>
        </w:tc>
        <w:tc>
          <w:tcPr>
            <w:tcW w:w="5840" w:type="dxa"/>
            <w:vAlign w:val="bottom"/>
            <w:gridSpan w:val="16"/>
          </w:tcPr>
          <w:p>
            <w:pPr>
              <w:spacing w:after="0"/>
              <w:rPr>
                <w:sz w:val="20"/>
                <w:szCs w:val="20"/>
                <w:color w:val="auto"/>
              </w:rPr>
            </w:pPr>
            <w:r>
              <w:rPr>
                <w:rFonts w:ascii="Arial" w:cs="Arial" w:eastAsia="Arial" w:hAnsi="Arial"/>
                <w:sz w:val="18"/>
                <w:szCs w:val="18"/>
                <w:color w:val="auto"/>
              </w:rPr>
              <w:t>Inline XBRL Taxonomy Definition Linkbase Document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8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5840" w:type="dxa"/>
            <w:vAlign w:val="bottom"/>
            <w:gridSpan w:val="16"/>
          </w:tcPr>
          <w:p>
            <w:pPr>
              <w:spacing w:after="0"/>
              <w:rPr>
                <w:sz w:val="20"/>
                <w:szCs w:val="20"/>
                <w:color w:val="auto"/>
              </w:rPr>
            </w:pPr>
            <w:r>
              <w:rPr>
                <w:rFonts w:ascii="Arial" w:cs="Arial" w:eastAsia="Arial" w:hAnsi="Arial"/>
                <w:sz w:val="18"/>
                <w:szCs w:val="18"/>
                <w:color w:val="auto"/>
              </w:rPr>
              <w:t>Inline XBRL Taxonomy Labels Linkbase Document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8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5840" w:type="dxa"/>
            <w:vAlign w:val="bottom"/>
            <w:gridSpan w:val="16"/>
          </w:tcPr>
          <w:p>
            <w:pPr>
              <w:spacing w:after="0"/>
              <w:rPr>
                <w:sz w:val="20"/>
                <w:szCs w:val="20"/>
                <w:color w:val="auto"/>
              </w:rPr>
            </w:pPr>
            <w:r>
              <w:rPr>
                <w:rFonts w:ascii="Arial" w:cs="Arial" w:eastAsia="Arial" w:hAnsi="Arial"/>
                <w:sz w:val="18"/>
                <w:szCs w:val="18"/>
                <w:color w:val="auto"/>
              </w:rPr>
              <w:t>Inline XBRL Taxonomy Presentation Linkbase Document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gridSpan w:val="16"/>
          </w:tcPr>
          <w:p>
            <w:pPr>
              <w:spacing w:after="0"/>
              <w:rPr>
                <w:sz w:val="20"/>
                <w:szCs w:val="20"/>
                <w:color w:val="auto"/>
              </w:rPr>
            </w:pPr>
            <w:r>
              <w:rPr>
                <w:rFonts w:ascii="Arial" w:cs="Arial" w:eastAsia="Arial" w:hAnsi="Arial"/>
                <w:sz w:val="18"/>
                <w:szCs w:val="18"/>
                <w:color w:val="auto"/>
                <w:w w:val="95"/>
              </w:rPr>
              <w:t>Cover Page Interactive Data File (formatted as inline XBRL and contained in</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gridSpan w:val="16"/>
          </w:tcPr>
          <w:p>
            <w:pPr>
              <w:spacing w:after="0"/>
              <w:rPr>
                <w:sz w:val="20"/>
                <w:szCs w:val="20"/>
                <w:color w:val="auto"/>
              </w:rPr>
            </w:pPr>
            <w:r>
              <w:rPr>
                <w:rFonts w:ascii="Arial" w:cs="Arial" w:eastAsia="Arial" w:hAnsi="Arial"/>
                <w:sz w:val="18"/>
                <w:szCs w:val="18"/>
                <w:color w:val="auto"/>
              </w:rPr>
              <w:t>Exhibit 101)</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7120" w:type="dxa"/>
            <w:vAlign w:val="bottom"/>
            <w:gridSpan w:val="2"/>
          </w:tcPr>
          <w:p>
            <w:pPr>
              <w:ind w:left="1540"/>
              <w:spacing w:after="0"/>
              <w:rPr>
                <w:sz w:val="20"/>
                <w:szCs w:val="20"/>
                <w:color w:val="auto"/>
              </w:rPr>
            </w:pPr>
            <w:r>
              <w:rPr>
                <w:rFonts w:ascii="Arial" w:cs="Arial" w:eastAsia="Arial" w:hAnsi="Arial"/>
                <w:sz w:val="18"/>
                <w:szCs w:val="18"/>
                <w:b w:val="1"/>
                <w:bCs w:val="1"/>
                <w:color w:val="auto"/>
              </w:rPr>
              <w:t>LUCID GROUP, INC.</w:t>
            </w:r>
          </w:p>
        </w:tc>
      </w:tr>
      <w:tr>
        <w:trPr>
          <w:trHeight w:val="486"/>
        </w:trPr>
        <w:tc>
          <w:tcPr>
            <w:tcW w:w="3080" w:type="dxa"/>
            <w:vAlign w:val="bottom"/>
          </w:tcPr>
          <w:p>
            <w:pPr>
              <w:spacing w:after="0"/>
              <w:rPr>
                <w:sz w:val="20"/>
                <w:szCs w:val="20"/>
                <w:color w:val="auto"/>
              </w:rPr>
            </w:pPr>
            <w:r>
              <w:rPr>
                <w:rFonts w:ascii="Arial" w:cs="Arial" w:eastAsia="Arial" w:hAnsi="Arial"/>
                <w:sz w:val="18"/>
                <w:szCs w:val="18"/>
                <w:color w:val="auto"/>
              </w:rPr>
              <w:t>Date: August 3, 2022</w:t>
            </w:r>
          </w:p>
        </w:tc>
        <w:tc>
          <w:tcPr>
            <w:tcW w:w="7120" w:type="dxa"/>
            <w:vAlign w:val="bottom"/>
            <w:gridSpan w:val="2"/>
          </w:tcPr>
          <w:p>
            <w:pPr>
              <w:ind w:left="1540"/>
              <w:spacing w:after="0"/>
              <w:rPr>
                <w:sz w:val="20"/>
                <w:szCs w:val="20"/>
                <w:color w:val="auto"/>
              </w:rPr>
            </w:pPr>
            <w:r>
              <w:rPr>
                <w:rFonts w:ascii="Arial" w:cs="Arial" w:eastAsia="Arial" w:hAnsi="Arial"/>
                <w:sz w:val="18"/>
                <w:szCs w:val="18"/>
                <w:color w:val="auto"/>
              </w:rPr>
              <w:t>By:  /s/ Sherry House</w:t>
            </w:r>
          </w:p>
        </w:tc>
      </w:tr>
      <w:tr>
        <w:trPr>
          <w:trHeight w:val="222"/>
        </w:trPr>
        <w:tc>
          <w:tcPr>
            <w:tcW w:w="30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Sherry House</w:t>
            </w:r>
          </w:p>
        </w:tc>
      </w:tr>
      <w:tr>
        <w:trPr>
          <w:trHeight w:val="230"/>
        </w:trPr>
        <w:tc>
          <w:tcPr>
            <w:tcW w:w="3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985" w:right="35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10.2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Agreement has been executed in English and Arabic; Arabic version has been omitted for purposes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Lucid Limited Company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27/07/1443H</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Corresponding to: 28/02/2022G</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Sirs,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Facility of SAR1,000,000,000/-</w:t>
      </w:r>
    </w:p>
    <w:p>
      <w:pPr>
        <w:spacing w:after="0" w:line="357" w:lineRule="exact"/>
        <w:rPr>
          <w:sz w:val="20"/>
          <w:szCs w:val="20"/>
          <w:color w:val="auto"/>
        </w:rPr>
      </w:pPr>
    </w:p>
    <w:p>
      <w:pPr>
        <w:jc w:val="both"/>
        <w:ind w:left="20" w:right="20"/>
        <w:spacing w:after="0" w:line="218" w:lineRule="auto"/>
        <w:rPr>
          <w:sz w:val="20"/>
          <w:szCs w:val="20"/>
          <w:color w:val="auto"/>
        </w:rPr>
      </w:pPr>
      <w:r>
        <w:rPr>
          <w:rFonts w:ascii="Arial" w:cs="Arial" w:eastAsia="Arial" w:hAnsi="Arial"/>
          <w:sz w:val="16"/>
          <w:szCs w:val="16"/>
          <w:color w:val="auto"/>
        </w:rPr>
        <w:t xml:space="preserve">We refer to the various discussions between </w:t>
      </w:r>
      <w:r>
        <w:rPr>
          <w:rFonts w:ascii="Arial" w:cs="Arial" w:eastAsia="Arial" w:hAnsi="Arial"/>
          <w:sz w:val="16"/>
          <w:szCs w:val="16"/>
          <w:b w:val="1"/>
          <w:bCs w:val="1"/>
          <w:color w:val="auto"/>
        </w:rPr>
        <w:t>Gulf International Bank Saudi Arabia</w:t>
      </w:r>
      <w:r>
        <w:rPr>
          <w:rFonts w:ascii="Arial" w:cs="Arial" w:eastAsia="Arial" w:hAnsi="Arial"/>
          <w:sz w:val="16"/>
          <w:szCs w:val="16"/>
          <w:color w:val="auto"/>
        </w:rPr>
        <w:t>, a Saudi closed joint-stock company with a capital of SAR7,500,000,000; commercial registration No. 2052001920 and unified No. 7001399042 ; P.O. Box 93413; zip code 11673; telephone: +966138664000; website www.gib.com; license number 2007 and operating under the Saudi Central Bank control and supervision (the "</w:t>
      </w:r>
      <w:r>
        <w:rPr>
          <w:rFonts w:ascii="Arial" w:cs="Arial" w:eastAsia="Arial" w:hAnsi="Arial"/>
          <w:sz w:val="16"/>
          <w:szCs w:val="16"/>
          <w:b w:val="1"/>
          <w:bCs w:val="1"/>
          <w:color w:val="auto"/>
        </w:rPr>
        <w:t>Bank</w:t>
      </w:r>
      <w:r>
        <w:rPr>
          <w:rFonts w:ascii="Arial" w:cs="Arial" w:eastAsia="Arial" w:hAnsi="Arial"/>
          <w:sz w:val="16"/>
          <w:szCs w:val="16"/>
          <w:color w:val="auto"/>
        </w:rPr>
        <w:t xml:space="preserve">") and </w:t>
      </w:r>
      <w:r>
        <w:rPr>
          <w:rFonts w:ascii="Arial" w:cs="Arial" w:eastAsia="Arial" w:hAnsi="Arial"/>
          <w:sz w:val="16"/>
          <w:szCs w:val="16"/>
          <w:b w:val="1"/>
          <w:bCs w:val="1"/>
          <w:color w:val="auto"/>
        </w:rPr>
        <w:t>Lucid Limited Company</w:t>
      </w:r>
      <w:r>
        <w:rPr>
          <w:rFonts w:ascii="Arial" w:cs="Arial" w:eastAsia="Arial" w:hAnsi="Arial"/>
          <w:sz w:val="16"/>
          <w:szCs w:val="16"/>
          <w:color w:val="auto"/>
        </w:rPr>
        <w:t>, Foreign Limited Liability company organized and existing and doing business under the laws of the Kingdom of Saudi Arabia with Commercial Registration No. 1010716475 and unified No. 7023376614, dated 24/09/1442H, issued in Riyadh with its Head Office at Riyadh ,Kingdom of Saudi Arabia (the "</w:t>
      </w:r>
      <w:r>
        <w:rPr>
          <w:rFonts w:ascii="Arial" w:cs="Arial" w:eastAsia="Arial" w:hAnsi="Arial"/>
          <w:sz w:val="16"/>
          <w:szCs w:val="16"/>
          <w:b w:val="1"/>
          <w:bCs w:val="1"/>
          <w:color w:val="auto"/>
        </w:rPr>
        <w:t>Borrower</w:t>
      </w:r>
      <w:r>
        <w:rPr>
          <w:rFonts w:ascii="Arial" w:cs="Arial" w:eastAsia="Arial" w:hAnsi="Arial"/>
          <w:sz w:val="16"/>
          <w:szCs w:val="16"/>
          <w:color w:val="auto"/>
        </w:rPr>
        <w:t>"), in relation to the provision of certain banking facilities. The Bank is pleased to offer to the Borrower the banking facilities outlined below (the "</w:t>
      </w:r>
      <w:r>
        <w:rPr>
          <w:rFonts w:ascii="Arial" w:cs="Arial" w:eastAsia="Arial" w:hAnsi="Arial"/>
          <w:sz w:val="16"/>
          <w:szCs w:val="16"/>
          <w:b w:val="1"/>
          <w:bCs w:val="1"/>
          <w:color w:val="auto"/>
        </w:rPr>
        <w:t>Facilities</w:t>
      </w:r>
      <w:r>
        <w:rPr>
          <w:rFonts w:ascii="Arial" w:cs="Arial" w:eastAsia="Arial" w:hAnsi="Arial"/>
          <w:sz w:val="16"/>
          <w:szCs w:val="16"/>
          <w:color w:val="auto"/>
        </w:rPr>
        <w:t>"), upon and subject to the terms and conditions contained in this facilities letter (the "</w:t>
      </w:r>
      <w:r>
        <w:rPr>
          <w:rFonts w:ascii="Arial" w:cs="Arial" w:eastAsia="Arial" w:hAnsi="Arial"/>
          <w:sz w:val="16"/>
          <w:szCs w:val="16"/>
          <w:b w:val="1"/>
          <w:bCs w:val="1"/>
          <w:color w:val="auto"/>
        </w:rPr>
        <w:t>Facilities Letter</w:t>
      </w:r>
      <w:r>
        <w:rPr>
          <w:rFonts w:ascii="Arial" w:cs="Arial" w:eastAsia="Arial" w:hAnsi="Arial"/>
          <w:sz w:val="16"/>
          <w:szCs w:val="16"/>
          <w:color w:val="auto"/>
        </w:rPr>
        <w:t>") and the applicable terms and conditions contained in the Master Terms and Conditions for the Facilities which is attached hereto as the First Schedule (the "</w:t>
      </w:r>
      <w:r>
        <w:rPr>
          <w:rFonts w:ascii="Arial" w:cs="Arial" w:eastAsia="Arial" w:hAnsi="Arial"/>
          <w:sz w:val="16"/>
          <w:szCs w:val="16"/>
          <w:b w:val="1"/>
          <w:bCs w:val="1"/>
          <w:color w:val="auto"/>
        </w:rPr>
        <w:t>Master Terms</w:t>
      </w:r>
      <w:r>
        <w:rPr>
          <w:rFonts w:ascii="Arial" w:cs="Arial" w:eastAsia="Arial" w:hAnsi="Arial"/>
          <w:sz w:val="16"/>
          <w:szCs w:val="16"/>
          <w:color w:val="auto"/>
        </w:rPr>
        <w:t>") and any annex (the "</w:t>
      </w:r>
      <w:r>
        <w:rPr>
          <w:rFonts w:ascii="Arial" w:cs="Arial" w:eastAsia="Arial" w:hAnsi="Arial"/>
          <w:sz w:val="16"/>
          <w:szCs w:val="16"/>
          <w:b w:val="1"/>
          <w:bCs w:val="1"/>
          <w:color w:val="auto"/>
        </w:rPr>
        <w:t>Annex</w:t>
      </w:r>
      <w:r>
        <w:rPr>
          <w:rFonts w:ascii="Arial" w:cs="Arial" w:eastAsia="Arial" w:hAnsi="Arial"/>
          <w:sz w:val="16"/>
          <w:szCs w:val="16"/>
          <w:color w:val="auto"/>
        </w:rPr>
        <w:t>") relating to a particular facility. The Master Terms and the relevant Annex are incorporated herein by reference, and save as amended hereby, form an integral part of this Facilities Letter (the Facilities Letter, the relevant Annex (in relation to a particular facility) and the Master Terms as amended or restated from time to time shall collectively hereinafter be referred to as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299"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6"/>
          <w:szCs w:val="16"/>
          <w:color w:val="auto"/>
        </w:rPr>
        <w:t>Unless the context requires otherwise, terms and expressions defined in the Master Terms and used in this Facilities Letter shall bear the meaning ascribed to them in the Master Terms. In the event of any conflict between this Facilities Letter and the Master Terms, the Facilities Letter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67" w:lineRule="exact"/>
        <w:rPr>
          <w:sz w:val="20"/>
          <w:szCs w:val="20"/>
          <w:color w:val="auto"/>
        </w:rPr>
      </w:pPr>
    </w:p>
    <w:p>
      <w:pPr>
        <w:ind w:left="340" w:hanging="314"/>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FACILITIES</w:t>
      </w:r>
    </w:p>
    <w:p>
      <w:pPr>
        <w:spacing w:after="0" w:line="364" w:lineRule="exact"/>
        <w:rPr>
          <w:sz w:val="20"/>
          <w:szCs w:val="20"/>
          <w:color w:val="auto"/>
        </w:rPr>
      </w:pPr>
    </w:p>
    <w:p>
      <w:pPr>
        <w:ind w:left="20" w:right="40"/>
        <w:spacing w:after="0" w:line="235" w:lineRule="auto"/>
        <w:rPr>
          <w:sz w:val="20"/>
          <w:szCs w:val="20"/>
          <w:color w:val="auto"/>
        </w:rPr>
      </w:pPr>
      <w:r>
        <w:rPr>
          <w:rFonts w:ascii="Arial" w:cs="Arial" w:eastAsia="Arial" w:hAnsi="Arial"/>
          <w:sz w:val="18"/>
          <w:szCs w:val="18"/>
          <w:color w:val="auto"/>
        </w:rPr>
        <w:t>Committed Revolving, Facility. The Facilities are provided on a committed basis and Clause 22 (</w:t>
      </w:r>
      <w:r>
        <w:rPr>
          <w:rFonts w:ascii="Arial" w:cs="Arial" w:eastAsia="Arial" w:hAnsi="Arial"/>
          <w:sz w:val="18"/>
          <w:szCs w:val="18"/>
          <w:i w:val="1"/>
          <w:iCs w:val="1"/>
          <w:color w:val="auto"/>
        </w:rPr>
        <w:t>Termination</w:t>
      </w:r>
      <w:r>
        <w:rPr>
          <w:rFonts w:ascii="Arial" w:cs="Arial" w:eastAsia="Arial" w:hAnsi="Arial"/>
          <w:sz w:val="18"/>
          <w:szCs w:val="18"/>
          <w:color w:val="auto"/>
        </w:rPr>
        <w:t>) of the Master Terms shall not apply. The facilities can only be terminated pursuant to Clause 21 (</w:t>
      </w:r>
      <w:r>
        <w:rPr>
          <w:rFonts w:ascii="Arial" w:cs="Arial" w:eastAsia="Arial" w:hAnsi="Arial"/>
          <w:sz w:val="18"/>
          <w:szCs w:val="18"/>
          <w:i w:val="1"/>
          <w:iCs w:val="1"/>
          <w:color w:val="auto"/>
        </w:rPr>
        <w:t>Events of Default</w:t>
      </w:r>
      <w:r>
        <w:rPr>
          <w:rFonts w:ascii="Arial" w:cs="Arial" w:eastAsia="Arial" w:hAnsi="Arial"/>
          <w:sz w:val="18"/>
          <w:szCs w:val="18"/>
          <w:color w:val="auto"/>
        </w:rPr>
        <w:t>) of the Master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9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General</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Total Facilities Limit: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SAR1,000,000,000/- (sub-limits specified for each facility in this Facilities Letter, shall be a sub-limit of the Total Facilities Limit for such facility)</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Termination Date:</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Three years from agreement date</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Obligors: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Borrower.</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Order Notes: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Shall be required with respect to the amount of the Total Facilities Limit, and renewable annually</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Conditions:</w:t>
      </w:r>
    </w:p>
    <w:p>
      <w:pPr>
        <w:spacing w:after="0" w:line="364" w:lineRule="exact"/>
        <w:rPr>
          <w:sz w:val="20"/>
          <w:szCs w:val="20"/>
          <w:color w:val="auto"/>
        </w:rPr>
      </w:pPr>
    </w:p>
    <w:p>
      <w:pPr>
        <w:ind w:left="1380" w:right="500" w:hanging="333"/>
        <w:spacing w:after="0" w:line="235" w:lineRule="auto"/>
        <w:tabs>
          <w:tab w:leader="none" w:pos="13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requesting the issuance Letter of Credit below SAR500,000.00 (Saudi Riyals Five Hundred Thousand), the Bank will charge processing fee of SAR1,000/- (Saudi Riyals One Thousand).</w:t>
      </w:r>
    </w:p>
    <w:p>
      <w:pPr>
        <w:sectPr>
          <w:pgSz w:w="11900" w:h="16838" w:orient="portrait"/>
          <w:cols w:equalWidth="0" w:num="1">
            <w:col w:w="11240"/>
          </w:cols>
          <w:pgMar w:left="320" w:top="104" w:right="3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60" w:hanging="333"/>
        <w:spacing w:after="0" w:line="235" w:lineRule="auto"/>
        <w:tabs>
          <w:tab w:leader="none" w:pos="13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any Loan of amount of less than SAR500,000/- (Saudi Riyals Five Hundred Thousand), the Bank will charge processing fee of SAR2,000/- (Saudi Riyals two Thousand)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Administration Fees</w:t>
      </w:r>
      <w:r>
        <w:rPr>
          <w:rFonts w:ascii="Arial" w:cs="Arial" w:eastAsia="Arial" w:hAnsi="Arial"/>
          <w:sz w:val="18"/>
          <w:szCs w:val="18"/>
          <w:b w:val="1"/>
          <w:bCs w:val="1"/>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Customer shall pay to the Bank administrative fee at the rate of (0.1%) of the Facility amount payable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32320" cy="180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Bridge Loan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Facility: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maximum aggregate amount of SAR 650,000,000/-</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To grant CAPEX bridge financing to the company.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Incoming funds disbursed by MISA &amp; SIDF will be utilized, in full towards, settlement of all outstanding amount under this limit.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 Fees: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(0.15%) flat, payable quarterly in arrears, on the unutilized amount of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32320"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Short Term Advance Facility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Sub-Limit: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maximum aggregate amount of SAR650,000,000/-.</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Drawdown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Borrower must deliver to the Bank a Notice of Drawdown.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Margin: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(1.25%) per annum over (3) Months </w:t>
      </w:r>
      <w:r>
        <w:rPr>
          <w:rFonts w:ascii="Arial" w:cs="Arial" w:eastAsia="Arial" w:hAnsi="Arial"/>
          <w:sz w:val="18"/>
          <w:szCs w:val="18"/>
          <w:b w:val="1"/>
          <w:bCs w:val="1"/>
          <w:color w:val="auto"/>
        </w:rPr>
        <w:t>SAIBOR</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Tenor: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maximum tenor of a Short Term Advance shall be (12) Months.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Commission and Commission Periods: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Borrower shall pay commission on each Advance, in accordance with the Master Terms. The Commission Periods shall be (3) months.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Repayment: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Borrower shall repay each Advance in accordance with the Master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40" w:top="1440" w:right="779"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Page 2 of 16</w:t>
      </w:r>
    </w:p>
    <w:p>
      <w:pPr>
        <w:sectPr>
          <w:pgSz w:w="11900" w:h="16838" w:orient="portrait"/>
          <w:cols w:equalWidth="0" w:num="1">
            <w:col w:w="10780"/>
          </w:cols>
          <w:pgMar w:left="340" w:top="1440" w:right="779" w:bottom="605" w:gutter="0" w:footer="0" w:header="0"/>
          <w:type w:val="continuous"/>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1486535</wp:posOffset>
            </wp:positionV>
            <wp:extent cx="713232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0"/>
        <w:spacing w:after="0"/>
        <w:tabs>
          <w:tab w:leader="none" w:pos="4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LC Facility</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Sub-Limit:</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maximum aggregate amount of SAR650,000,000/-.</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Letter of Credit:</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Sight, Usance, or Acceptance</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Term:</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Documents must be submitted under an LC within (12) Months of the date of opening of the relevant LC.</w:t>
      </w:r>
    </w:p>
    <w:p>
      <w:pPr>
        <w:spacing w:after="0" w:line="200" w:lineRule="exact"/>
        <w:rPr>
          <w:sz w:val="20"/>
          <w:szCs w:val="20"/>
          <w:color w:val="auto"/>
        </w:rPr>
      </w:pPr>
    </w:p>
    <w:p>
      <w:pPr>
        <w:spacing w:after="0" w:line="201" w:lineRule="exact"/>
        <w:rPr>
          <w:sz w:val="20"/>
          <w:szCs w:val="20"/>
          <w:color w:val="auto"/>
        </w:rPr>
      </w:pPr>
    </w:p>
    <w:p>
      <w:pPr>
        <w:jc w:val="both"/>
        <w:ind w:left="20"/>
        <w:spacing w:after="0" w:line="235" w:lineRule="auto"/>
        <w:rPr>
          <w:sz w:val="20"/>
          <w:szCs w:val="20"/>
          <w:color w:val="auto"/>
        </w:rPr>
      </w:pPr>
      <w:r>
        <w:rPr>
          <w:rFonts w:ascii="Arial" w:cs="Arial" w:eastAsia="Arial" w:hAnsi="Arial"/>
          <w:sz w:val="18"/>
          <w:szCs w:val="18"/>
          <w:color w:val="auto"/>
        </w:rPr>
        <w:t>Drafts which are drawn under or pursuant to a usance LC must become payable by no later than the date falling (12) Months after acceptance for LC door to door and acceptance not to exceed (12) months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Fee: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Issuing/Opening Fee</w:t>
      </w:r>
      <w:r>
        <w:rPr>
          <w:rFonts w:ascii="Arial" w:cs="Arial" w:eastAsia="Arial" w:hAnsi="Arial"/>
          <w:sz w:val="18"/>
          <w:szCs w:val="18"/>
          <w:color w:val="auto"/>
        </w:rPr>
        <w:t>: (0.25%) per annum payable in advance, subject to a minimum charge of SAR1,000/-.</w:t>
      </w:r>
    </w:p>
    <w:p>
      <w:pPr>
        <w:spacing w:after="0" w:line="200" w:lineRule="exact"/>
        <w:rPr>
          <w:sz w:val="20"/>
          <w:szCs w:val="20"/>
          <w:color w:val="auto"/>
        </w:rPr>
      </w:pPr>
    </w:p>
    <w:p>
      <w:pPr>
        <w:spacing w:after="0" w:line="201"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b w:val="1"/>
          <w:bCs w:val="1"/>
          <w:color w:val="auto"/>
        </w:rPr>
        <w:t>Acceptance Fee for usance LC</w:t>
      </w:r>
      <w:r>
        <w:rPr>
          <w:rFonts w:ascii="Arial" w:cs="Arial" w:eastAsia="Arial" w:hAnsi="Arial"/>
          <w:sz w:val="18"/>
          <w:szCs w:val="18"/>
          <w:color w:val="auto"/>
        </w:rPr>
        <w:t>: (0.25%) per annum payable in advance for the period commencing on the date of acceptance of a Draft and ending on its</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Date. subject to a minimum charge of SAR1,000/-.</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Amendment Fee</w:t>
      </w:r>
      <w:r>
        <w:rPr>
          <w:rFonts w:ascii="Arial" w:cs="Arial" w:eastAsia="Arial" w:hAnsi="Arial"/>
          <w:sz w:val="18"/>
          <w:szCs w:val="18"/>
          <w:color w:val="auto"/>
        </w:rPr>
        <w:t>: In accordance with the Bank’s standard tariff.</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Application Procedures: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Borrower must deliver an Application for the issuance of LC</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Local Charges:</w:t>
      </w:r>
    </w:p>
    <w:p>
      <w:pPr>
        <w:spacing w:after="0" w:line="54" w:lineRule="exact"/>
        <w:rPr>
          <w:sz w:val="20"/>
          <w:szCs w:val="20"/>
          <w:color w:val="auto"/>
        </w:rPr>
      </w:pPr>
    </w:p>
    <w:p>
      <w:pPr>
        <w:jc w:val="both"/>
        <w:ind w:left="20"/>
        <w:spacing w:after="0" w:line="224" w:lineRule="auto"/>
        <w:rPr>
          <w:sz w:val="20"/>
          <w:szCs w:val="20"/>
          <w:color w:val="auto"/>
        </w:rPr>
      </w:pPr>
      <w:r>
        <w:rPr>
          <w:rFonts w:ascii="Arial" w:cs="Arial" w:eastAsia="Arial" w:hAnsi="Arial"/>
          <w:sz w:val="18"/>
          <w:szCs w:val="18"/>
          <w:color w:val="auto"/>
        </w:rPr>
        <w:t>The Bank may, instead of issuing an LC itself, procure that such LC is issued by a local issuing bank, in which case the obligations of the Borrower under this Facilities Letter or any Application in respect of such LC shall extend to such LC and to any counter indemnity issued by the Bank in favour of the local issuing bank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28" w:lineRule="exact"/>
        <w:rPr>
          <w:sz w:val="20"/>
          <w:szCs w:val="20"/>
          <w:color w:val="auto"/>
        </w:rPr>
      </w:pPr>
    </w:p>
    <w:p>
      <w:pPr>
        <w:ind w:left="80"/>
        <w:spacing w:after="0"/>
        <w:tabs>
          <w:tab w:leader="none" w:pos="4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Working Capital Facilities: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Total Facility: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maximum aggregate amount of SAR 350,000,000/-</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Purpose:</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general corporate purposes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 Fees: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(0.15%) flat, payable quarterly in arrears, on the unutilized amount of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1317625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3 of 16</w:t>
      </w:r>
    </w:p>
    <w:p>
      <w:pPr>
        <w:sectPr>
          <w:pgSz w:w="11900" w:h="16838" w:orient="portrait"/>
          <w:cols w:equalWidth="0" w:num="1">
            <w:col w:w="11220"/>
          </w:cols>
          <w:pgMar w:left="320" w:top="1440" w:right="359" w:bottom="65" w:gutter="0" w:footer="0" w:header="0"/>
          <w:type w:val="continuous"/>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80" w:hanging="425"/>
        <w:spacing w:after="0"/>
        <w:tabs>
          <w:tab w:leader="none" w:pos="4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Short Term Advance Facility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Sub-Limit: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maximum aggregate amount of SAR350,000,000/-.</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Drawdown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Borrower must deliver to the Bank a Notice of Drawdown.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Margin: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(1.70%) per annum over (3) Months </w:t>
      </w:r>
      <w:r>
        <w:rPr>
          <w:rFonts w:ascii="Arial" w:cs="Arial" w:eastAsia="Arial" w:hAnsi="Arial"/>
          <w:sz w:val="18"/>
          <w:szCs w:val="18"/>
          <w:b w:val="1"/>
          <w:bCs w:val="1"/>
          <w:color w:val="auto"/>
        </w:rPr>
        <w:t>SAIBOR</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Tenor: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maximum tenor of a Short Term Advance shall be (12) Months.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Commission and Commission Periods: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Borrower shall pay commission on each Advance, in accordance with the Master Terms. The Commission Periods shall be (3) months.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Repayment: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Borrower shall repay each Advance in accordance with the Master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3232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77" w:lineRule="exact"/>
        <w:rPr>
          <w:sz w:val="20"/>
          <w:szCs w:val="20"/>
          <w:color w:val="auto"/>
        </w:rPr>
      </w:pPr>
    </w:p>
    <w:p>
      <w:pPr>
        <w:ind w:left="60"/>
        <w:spacing w:after="0"/>
        <w:tabs>
          <w:tab w:leader="none" w:pos="4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LC Facility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Sub-Limit: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maximum aggregate amount of SAR350,000,000/-.</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Letter of Credit: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Sight, Usance, or Acceptance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Documents must be submitted under an LC within (12) Months of the date of opening of the relevant LC.</w:t>
      </w:r>
    </w:p>
    <w:p>
      <w:pPr>
        <w:spacing w:after="0" w:line="200" w:lineRule="exact"/>
        <w:rPr>
          <w:sz w:val="20"/>
          <w:szCs w:val="20"/>
          <w:color w:val="auto"/>
        </w:rPr>
      </w:pPr>
    </w:p>
    <w:p>
      <w:pPr>
        <w:spacing w:after="0" w:line="20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Drafts which are drawn under or pursuant to a usance LC must become payable by no later than the date falling (12) Months after acceptance for LC door to door and acceptance not to exceed (12) months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Issuing/Opening Fee</w:t>
      </w:r>
      <w:r>
        <w:rPr>
          <w:rFonts w:ascii="Arial" w:cs="Arial" w:eastAsia="Arial" w:hAnsi="Arial"/>
          <w:sz w:val="18"/>
          <w:szCs w:val="18"/>
          <w:color w:val="auto"/>
        </w:rPr>
        <w:t>: (0.25%) per annum payable in advance, subject to a minimum charge of SAR1,000/-.</w:t>
      </w:r>
    </w:p>
    <w:p>
      <w:pPr>
        <w:spacing w:after="0" w:line="200" w:lineRule="exact"/>
        <w:rPr>
          <w:sz w:val="20"/>
          <w:szCs w:val="20"/>
          <w:color w:val="auto"/>
        </w:rPr>
      </w:pPr>
    </w:p>
    <w:p>
      <w:pPr>
        <w:spacing w:after="0" w:line="2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color w:val="auto"/>
        </w:rPr>
        <w:t>Acceptance Fee for usance LC</w:t>
      </w:r>
      <w:r>
        <w:rPr>
          <w:rFonts w:ascii="Arial" w:cs="Arial" w:eastAsia="Arial" w:hAnsi="Arial"/>
          <w:sz w:val="18"/>
          <w:szCs w:val="18"/>
          <w:color w:val="auto"/>
        </w:rPr>
        <w:t>: (0.25%) per annum payable in advance for the period commencing on the date of acceptance of a Draft and ending on its</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Date. subject to a minimum charge of SAR1,000/-.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Fee</w:t>
      </w:r>
      <w:r>
        <w:rPr>
          <w:rFonts w:ascii="Arial" w:cs="Arial" w:eastAsia="Arial" w:hAnsi="Arial"/>
          <w:sz w:val="18"/>
          <w:szCs w:val="18"/>
          <w:color w:val="auto"/>
        </w:rPr>
        <w:t>: In accordance with the Bank’s standard tariff.</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Application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Borrower must deliver an application for the issuance of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144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4 of 16</w:t>
      </w:r>
    </w:p>
    <w:p>
      <w:pPr>
        <w:sectPr>
          <w:pgSz w:w="11900" w:h="16838" w:orient="portrait"/>
          <w:cols w:equalWidth="0" w:num="1">
            <w:col w:w="11160"/>
          </w:cols>
          <w:pgMar w:left="340" w:top="1440" w:right="399" w:bottom="0"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Local Charges:</w:t>
      </w:r>
    </w:p>
    <w:p>
      <w:pPr>
        <w:spacing w:after="0" w:line="54" w:lineRule="exact"/>
        <w:rPr>
          <w:sz w:val="20"/>
          <w:szCs w:val="20"/>
          <w:color w:val="auto"/>
        </w:rPr>
      </w:pPr>
    </w:p>
    <w:p>
      <w:pPr>
        <w:jc w:val="both"/>
        <w:ind w:left="20"/>
        <w:spacing w:after="0" w:line="224" w:lineRule="auto"/>
        <w:rPr>
          <w:sz w:val="20"/>
          <w:szCs w:val="20"/>
          <w:color w:val="auto"/>
        </w:rPr>
      </w:pPr>
      <w:r>
        <w:rPr>
          <w:rFonts w:ascii="Arial" w:cs="Arial" w:eastAsia="Arial" w:hAnsi="Arial"/>
          <w:sz w:val="18"/>
          <w:szCs w:val="18"/>
          <w:color w:val="auto"/>
        </w:rPr>
        <w:t>The Bank may, instead of issuing an LC itself, procure that such LC is issued by a local issuing bank, in which case the obligations of the Borrower under this Facilities Letter or any Application in respect of such LC shall extend to such LC and to any counter indemnity issued by the Bank in favour of the local issuing bank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28" w:lineRule="exact"/>
        <w:rPr>
          <w:sz w:val="20"/>
          <w:szCs w:val="20"/>
          <w:color w:val="auto"/>
        </w:rPr>
      </w:pPr>
    </w:p>
    <w:p>
      <w:pPr>
        <w:ind w:left="400" w:hanging="325"/>
        <w:spacing w:after="0"/>
        <w:tabs>
          <w:tab w:leader="none" w:pos="4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INFORMATION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information will be applicable for the purposes of Clause 18 (</w:t>
      </w:r>
      <w:r>
        <w:rPr>
          <w:rFonts w:ascii="Arial" w:cs="Arial" w:eastAsia="Arial" w:hAnsi="Arial"/>
          <w:sz w:val="18"/>
          <w:szCs w:val="18"/>
          <w:i w:val="1"/>
          <w:iCs w:val="1"/>
          <w:color w:val="auto"/>
        </w:rPr>
        <w:t>Financial Information</w:t>
      </w:r>
      <w:r>
        <w:rPr>
          <w:rFonts w:ascii="Arial" w:cs="Arial" w:eastAsia="Arial" w:hAnsi="Arial"/>
          <w:sz w:val="18"/>
          <w:szCs w:val="18"/>
          <w:color w:val="auto"/>
        </w:rPr>
        <w:t>) of the Master Terms:</w:t>
      </w:r>
    </w:p>
    <w:p>
      <w:pPr>
        <w:spacing w:after="0" w:line="397" w:lineRule="exact"/>
        <w:rPr>
          <w:sz w:val="20"/>
          <w:szCs w:val="20"/>
          <w:color w:val="auto"/>
        </w:rPr>
      </w:pPr>
    </w:p>
    <w:p>
      <w:pPr>
        <w:ind w:left="660" w:right="60" w:hanging="566"/>
        <w:spacing w:after="0" w:line="23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b w:val="1"/>
          <w:bCs w:val="1"/>
          <w:color w:val="auto"/>
        </w:rPr>
        <w:t xml:space="preserve">Annual Audited Statements </w:t>
      </w:r>
      <w:r>
        <w:rPr>
          <w:rFonts w:ascii="Arial" w:cs="Arial" w:eastAsia="Arial" w:hAnsi="Arial"/>
          <w:sz w:val="18"/>
          <w:szCs w:val="18"/>
          <w:color w:val="auto"/>
        </w:rPr>
        <w:t>- The Borrower shall, as soon as the same become available, but in any event within</w:t>
      </w:r>
      <w:r>
        <w:rPr>
          <w:rFonts w:ascii="Arial" w:cs="Arial" w:eastAsia="Arial" w:hAnsi="Arial"/>
          <w:sz w:val="18"/>
          <w:szCs w:val="18"/>
          <w:b w:val="1"/>
          <w:bCs w:val="1"/>
          <w:color w:val="auto"/>
        </w:rPr>
        <w:t xml:space="preserve"> 120 </w:t>
      </w:r>
      <w:r>
        <w:rPr>
          <w:rFonts w:ascii="Arial" w:cs="Arial" w:eastAsia="Arial" w:hAnsi="Arial"/>
          <w:sz w:val="18"/>
          <w:szCs w:val="18"/>
          <w:color w:val="auto"/>
        </w:rPr>
        <w:t>days after the end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its financial years, deliver to the Bank its financial statements, for such financial year.</w:t>
      </w:r>
    </w:p>
    <w:p>
      <w:pPr>
        <w:spacing w:after="0" w:line="374" w:lineRule="exact"/>
        <w:rPr>
          <w:sz w:val="20"/>
          <w:szCs w:val="20"/>
          <w:color w:val="auto"/>
        </w:rPr>
      </w:pPr>
    </w:p>
    <w:p>
      <w:pPr>
        <w:ind w:left="660" w:right="60" w:hanging="566"/>
        <w:spacing w:after="0" w:line="23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color w:val="auto"/>
        </w:rPr>
        <w:t xml:space="preserve">Quarter Annual Statements </w:t>
      </w:r>
      <w:r>
        <w:rPr>
          <w:rFonts w:ascii="Arial" w:cs="Arial" w:eastAsia="Arial" w:hAnsi="Arial"/>
          <w:sz w:val="18"/>
          <w:szCs w:val="18"/>
          <w:color w:val="auto"/>
        </w:rPr>
        <w:t>- The Borrower shall, as soon as the same become available, but in any event within</w:t>
      </w:r>
      <w:r>
        <w:rPr>
          <w:rFonts w:ascii="Arial" w:cs="Arial" w:eastAsia="Arial" w:hAnsi="Arial"/>
          <w:sz w:val="18"/>
          <w:szCs w:val="18"/>
          <w:b w:val="1"/>
          <w:bCs w:val="1"/>
          <w:color w:val="auto"/>
        </w:rPr>
        <w:t xml:space="preserve"> 60 </w:t>
      </w:r>
      <w:r>
        <w:rPr>
          <w:rFonts w:ascii="Arial" w:cs="Arial" w:eastAsia="Arial" w:hAnsi="Arial"/>
          <w:sz w:val="18"/>
          <w:szCs w:val="18"/>
          <w:color w:val="auto"/>
        </w:rPr>
        <w:t>days after the end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its financial years, deliver to the Bank its financial statements,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1" w:lineRule="exact"/>
        <w:rPr>
          <w:sz w:val="20"/>
          <w:szCs w:val="20"/>
          <w:color w:val="auto"/>
        </w:rPr>
      </w:pPr>
    </w:p>
    <w:p>
      <w:pPr>
        <w:ind w:left="340" w:hanging="314"/>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OTHER CONDITIONS</w:t>
      </w:r>
    </w:p>
    <w:p>
      <w:pPr>
        <w:spacing w:after="0" w:line="94" w:lineRule="exact"/>
        <w:rPr>
          <w:rFonts w:ascii="Arial" w:cs="Arial" w:eastAsia="Arial" w:hAnsi="Arial"/>
          <w:sz w:val="18"/>
          <w:szCs w:val="18"/>
          <w:b w:val="1"/>
          <w:bCs w:val="1"/>
          <w:color w:val="auto"/>
        </w:rPr>
      </w:pPr>
    </w:p>
    <w:p>
      <w:pPr>
        <w:ind w:left="460" w:hanging="385"/>
        <w:spacing w:after="0"/>
        <w:tabs>
          <w:tab w:leader="none" w:pos="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Covenants:</w:t>
      </w:r>
    </w:p>
    <w:p>
      <w:pPr>
        <w:spacing w:after="0" w:line="200" w:lineRule="exact"/>
        <w:rPr>
          <w:sz w:val="20"/>
          <w:szCs w:val="20"/>
          <w:color w:val="auto"/>
        </w:rPr>
      </w:pPr>
    </w:p>
    <w:p>
      <w:pPr>
        <w:spacing w:after="0" w:line="201" w:lineRule="exact"/>
        <w:rPr>
          <w:sz w:val="20"/>
          <w:szCs w:val="20"/>
          <w:color w:val="auto"/>
        </w:rPr>
      </w:pPr>
    </w:p>
    <w:p>
      <w:pPr>
        <w:ind w:left="560" w:right="60"/>
        <w:spacing w:after="0" w:line="235" w:lineRule="auto"/>
        <w:rPr>
          <w:sz w:val="20"/>
          <w:szCs w:val="20"/>
          <w:color w:val="auto"/>
        </w:rPr>
      </w:pPr>
      <w:r>
        <w:rPr>
          <w:rFonts w:ascii="Arial" w:cs="Arial" w:eastAsia="Arial" w:hAnsi="Arial"/>
          <w:sz w:val="18"/>
          <w:szCs w:val="18"/>
          <w:color w:val="auto"/>
        </w:rPr>
        <w:t>The Borrower undertakes to the Bank in this paragraph (a) (Covenants) throughout the term of the Facilities, and as long as any sum is or may become payable under any Facility Document as follows:</w:t>
      </w:r>
    </w:p>
    <w:p>
      <w:pPr>
        <w:spacing w:after="0" w:line="374" w:lineRule="exact"/>
        <w:rPr>
          <w:sz w:val="20"/>
          <w:szCs w:val="20"/>
          <w:color w:val="auto"/>
        </w:rPr>
      </w:pPr>
    </w:p>
    <w:p>
      <w:pPr>
        <w:ind w:left="1000" w:hanging="893"/>
        <w:spacing w:after="0"/>
        <w:tabs>
          <w:tab w:leader="none" w:pos="1000" w:val="left"/>
        </w:tabs>
        <w:numPr>
          <w:ilvl w:val="1"/>
          <w:numId w:val="48"/>
        </w:numPr>
        <w:rPr>
          <w:rFonts w:ascii="Arial" w:cs="Arial" w:eastAsia="Arial" w:hAnsi="Arial"/>
          <w:sz w:val="17"/>
          <w:szCs w:val="17"/>
          <w:color w:val="auto"/>
        </w:rPr>
      </w:pPr>
      <w:r>
        <w:rPr>
          <w:rFonts w:ascii="Arial" w:cs="Arial" w:eastAsia="Arial" w:hAnsi="Arial"/>
          <w:sz w:val="17"/>
          <w:szCs w:val="17"/>
          <w:b w:val="1"/>
          <w:bCs w:val="1"/>
          <w:color w:val="auto"/>
        </w:rPr>
        <w:t xml:space="preserve">No Change in Ownership </w:t>
      </w:r>
      <w:r>
        <w:rPr>
          <w:rFonts w:ascii="Arial" w:cs="Arial" w:eastAsia="Arial" w:hAnsi="Arial"/>
          <w:sz w:val="17"/>
          <w:szCs w:val="17"/>
          <w:color w:val="auto"/>
        </w:rPr>
        <w:t>- There shall be no change in the shareholding of the Borrower without the prior written consent of the Bank.</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980" w:hanging="873"/>
        <w:spacing w:after="0"/>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Borrower, to remain majority directly or indirectly owned by Lucid Group Inc throughout availability of the facilities.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00" w:hanging="325"/>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Conditions related to 1.2 Bridge Loan: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jc w:val="both"/>
        <w:ind w:left="1720" w:right="40" w:hanging="331"/>
        <w:spacing w:after="0" w:line="237" w:lineRule="auto"/>
        <w:tabs>
          <w:tab w:leader="none" w:pos="1715" w:val="left"/>
        </w:tabs>
        <w:numPr>
          <w:ilvl w:val="2"/>
          <w:numId w:val="49"/>
        </w:numPr>
        <w:rPr>
          <w:rFonts w:ascii="Arial" w:cs="Arial" w:eastAsia="Arial" w:hAnsi="Arial"/>
          <w:sz w:val="17"/>
          <w:szCs w:val="17"/>
          <w:color w:val="auto"/>
        </w:rPr>
      </w:pPr>
      <w:r>
        <w:rPr>
          <w:rFonts w:ascii="Arial" w:cs="Arial" w:eastAsia="Arial" w:hAnsi="Arial"/>
          <w:sz w:val="17"/>
          <w:szCs w:val="17"/>
          <w:color w:val="auto"/>
        </w:rPr>
        <w:t>Aggregate value of undisbursed amounts under the SIDF &amp; MISA agreements to provide, at a minimum, 100% coverage of the limit and/or outstanding exposure. Facility limit will start adjusting downward, as the aggregate amount of undisbursed SIDF / MISA facilities reduces below SAR 650 million, such that a 100% coverage is always maintained.</w:t>
      </w:r>
    </w:p>
    <w:p>
      <w:pPr>
        <w:spacing w:after="0" w:line="379" w:lineRule="exact"/>
        <w:rPr>
          <w:rFonts w:ascii="Arial" w:cs="Arial" w:eastAsia="Arial" w:hAnsi="Arial"/>
          <w:sz w:val="17"/>
          <w:szCs w:val="17"/>
          <w:color w:val="auto"/>
        </w:rPr>
      </w:pPr>
    </w:p>
    <w:p>
      <w:pPr>
        <w:ind w:left="1700" w:hanging="311"/>
        <w:spacing w:after="0"/>
        <w:tabs>
          <w:tab w:leader="none" w:pos="1700" w:val="left"/>
        </w:tabs>
        <w:numPr>
          <w:ilvl w:val="2"/>
          <w:numId w:val="49"/>
        </w:numPr>
        <w:rPr>
          <w:rFonts w:ascii="Arial" w:cs="Arial" w:eastAsia="Arial" w:hAnsi="Arial"/>
          <w:sz w:val="18"/>
          <w:szCs w:val="18"/>
          <w:color w:val="auto"/>
        </w:rPr>
      </w:pPr>
      <w:r>
        <w:rPr>
          <w:rFonts w:ascii="Arial" w:cs="Arial" w:eastAsia="Arial" w:hAnsi="Arial"/>
          <w:sz w:val="18"/>
          <w:szCs w:val="18"/>
          <w:color w:val="auto"/>
        </w:rPr>
        <w:t>Quarterly updates on project status and progression to be provided, in a form to be agreed between the parties</w:t>
      </w:r>
    </w:p>
    <w:p>
      <w:pPr>
        <w:spacing w:after="0" w:line="200" w:lineRule="exact"/>
        <w:rPr>
          <w:sz w:val="20"/>
          <w:szCs w:val="20"/>
          <w:color w:val="auto"/>
        </w:rPr>
      </w:pPr>
    </w:p>
    <w:p>
      <w:pPr>
        <w:spacing w:after="0" w:line="201" w:lineRule="exact"/>
        <w:rPr>
          <w:sz w:val="20"/>
          <w:szCs w:val="20"/>
          <w:color w:val="auto"/>
        </w:rPr>
      </w:pPr>
    </w:p>
    <w:p>
      <w:pPr>
        <w:ind w:left="1000" w:right="60" w:hanging="974"/>
        <w:spacing w:after="0" w:line="235" w:lineRule="auto"/>
        <w:tabs>
          <w:tab w:leader="none" w:pos="9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Bank shall have a right to match if the Borrower decides to enter into any hedging arrangements as it may deem fit to protect its commission rate exposure under the facilities and the SIDF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3" w:lineRule="exact"/>
        <w:rPr>
          <w:sz w:val="20"/>
          <w:szCs w:val="20"/>
          <w:color w:val="auto"/>
        </w:rPr>
      </w:pPr>
    </w:p>
    <w:p>
      <w:pPr>
        <w:ind w:left="80"/>
        <w:spacing w:after="0"/>
        <w:tabs>
          <w:tab w:leader="none" w:pos="3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Amendments to the Master Terms</w:t>
      </w:r>
    </w:p>
    <w:p>
      <w:pPr>
        <w:spacing w:after="0" w:line="391" w:lineRule="exact"/>
        <w:rPr>
          <w:sz w:val="20"/>
          <w:szCs w:val="20"/>
          <w:color w:val="auto"/>
        </w:rPr>
      </w:pPr>
    </w:p>
    <w:p>
      <w:pPr>
        <w:ind w:left="20"/>
        <w:spacing w:after="0" w:line="293" w:lineRule="auto"/>
        <w:rPr>
          <w:sz w:val="20"/>
          <w:szCs w:val="20"/>
          <w:color w:val="auto"/>
        </w:rPr>
      </w:pPr>
      <w:r>
        <w:rPr>
          <w:rFonts w:ascii="Arial" w:cs="Arial" w:eastAsia="Arial" w:hAnsi="Arial"/>
          <w:sz w:val="18"/>
          <w:szCs w:val="18"/>
          <w:color w:val="auto"/>
        </w:rPr>
        <w:t>The provisions set out in the Addendum hereto shall be deemed to replace the equivalently numbered provisions set out in the Master Terms for the Facilities for the purposes of the Facilities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94" w:lineRule="exact"/>
        <w:rPr>
          <w:sz w:val="20"/>
          <w:szCs w:val="20"/>
          <w:color w:val="auto"/>
        </w:rPr>
      </w:pPr>
    </w:p>
    <w:p>
      <w:pPr>
        <w:ind w:left="340" w:hanging="314"/>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5 of 16</w:t>
      </w:r>
    </w:p>
    <w:p>
      <w:pPr>
        <w:sectPr>
          <w:pgSz w:w="11900" w:h="16838" w:orient="portrait"/>
          <w:cols w:equalWidth="0" w:num="1">
            <w:col w:w="11220"/>
          </w:cols>
          <w:pgMar w:left="320" w:top="1440" w:right="359" w:bottom="1440" w:gutter="0" w:footer="0" w:header="0"/>
          <w:type w:val="continuous"/>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Save as the Bank may otherwise agree, the Borrower may not deliver any Notice of Drawdown or Application hereunder less the Bank has received the following documents and each is in form and substance, satisfactory to the Bank:</w:t>
      </w:r>
    </w:p>
    <w:p>
      <w:pPr>
        <w:spacing w:after="0" w:line="351" w:lineRule="exact"/>
        <w:rPr>
          <w:sz w:val="20"/>
          <w:szCs w:val="20"/>
          <w:color w:val="auto"/>
        </w:rPr>
      </w:pPr>
    </w:p>
    <w:p>
      <w:pPr>
        <w:ind w:left="440" w:hanging="385"/>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relation to each of the Obligors: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20" w:right="40" w:hanging="641"/>
        <w:spacing w:after="0" w:line="235" w:lineRule="auto"/>
        <w:tabs>
          <w:tab w:leader="none" w:pos="738" w:val="left"/>
        </w:tabs>
        <w:numPr>
          <w:ilvl w:val="1"/>
          <w:numId w:val="52"/>
        </w:numPr>
        <w:rPr>
          <w:rFonts w:ascii="Arial" w:cs="Arial" w:eastAsia="Arial" w:hAnsi="Arial"/>
          <w:sz w:val="18"/>
          <w:szCs w:val="18"/>
          <w:color w:val="auto"/>
        </w:rPr>
      </w:pPr>
      <w:r>
        <w:rPr>
          <w:rFonts w:ascii="Arial" w:cs="Arial" w:eastAsia="Arial" w:hAnsi="Arial"/>
          <w:sz w:val="18"/>
          <w:szCs w:val="18"/>
          <w:color w:val="auto"/>
        </w:rPr>
        <w:t>certified true up to date copies of its constitutive documents including its commercial registration certificate and articles of association, and any amendments thereto; and</w:t>
      </w:r>
    </w:p>
    <w:p>
      <w:pPr>
        <w:spacing w:after="0" w:line="377" w:lineRule="exact"/>
        <w:rPr>
          <w:rFonts w:ascii="Arial" w:cs="Arial" w:eastAsia="Arial" w:hAnsi="Arial"/>
          <w:sz w:val="18"/>
          <w:szCs w:val="18"/>
          <w:color w:val="auto"/>
        </w:rPr>
      </w:pPr>
    </w:p>
    <w:p>
      <w:pPr>
        <w:ind w:left="1020" w:right="40" w:hanging="641"/>
        <w:spacing w:after="0" w:line="235" w:lineRule="auto"/>
        <w:tabs>
          <w:tab w:leader="none" w:pos="842"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Evidence in form and substance satisfactory to the Bank that the person or persons signing this Agreement and any other documents to be delivered pursuant to this Agreement have the authority to do so, along with their specimen signatures.</w:t>
      </w:r>
    </w:p>
    <w:p>
      <w:pPr>
        <w:spacing w:after="0" w:line="375" w:lineRule="exact"/>
        <w:rPr>
          <w:rFonts w:ascii="Arial" w:cs="Arial" w:eastAsia="Arial" w:hAnsi="Arial"/>
          <w:sz w:val="18"/>
          <w:szCs w:val="18"/>
          <w:color w:val="auto"/>
        </w:rPr>
      </w:pPr>
    </w:p>
    <w:p>
      <w:pPr>
        <w:ind w:left="480" w:hanging="425"/>
        <w:spacing w:after="0"/>
        <w:tabs>
          <w:tab w:leader="none" w:pos="4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An Order Note in an amount equal to the Total Facilities Limit.</w:t>
      </w:r>
    </w:p>
    <w:p>
      <w:pPr>
        <w:spacing w:after="0" w:line="393" w:lineRule="exact"/>
        <w:rPr>
          <w:rFonts w:ascii="Arial" w:cs="Arial" w:eastAsia="Arial" w:hAnsi="Arial"/>
          <w:sz w:val="20"/>
          <w:szCs w:val="20"/>
          <w:color w:val="auto"/>
        </w:rPr>
      </w:pPr>
    </w:p>
    <w:p>
      <w:pPr>
        <w:ind w:left="420" w:hanging="365"/>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copy, certified a true copy by a duly authorised officer of the Borrower, of the Original Financial Statements of the Borrower.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40" w:hanging="385"/>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Facilities Letter, each Annex, the Master Terms and any other Facility Document duly signed by the appropriate Obligor.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20" w:hanging="365"/>
        <w:spacing w:after="0"/>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other documents required by the Bank and which are necessary for the Bank to comply with any "know your customer" requirements.</w:t>
      </w:r>
    </w:p>
    <w:p>
      <w:pPr>
        <w:spacing w:after="0" w:line="200" w:lineRule="exact"/>
        <w:rPr>
          <w:rFonts w:ascii="Arial" w:cs="Arial" w:eastAsia="Arial" w:hAnsi="Arial"/>
          <w:sz w:val="17"/>
          <w:szCs w:val="17"/>
          <w:color w:val="auto"/>
        </w:rPr>
      </w:pPr>
    </w:p>
    <w:p>
      <w:pPr>
        <w:spacing w:after="0" w:line="212" w:lineRule="exact"/>
        <w:rPr>
          <w:rFonts w:ascii="Arial" w:cs="Arial" w:eastAsia="Arial" w:hAnsi="Arial"/>
          <w:sz w:val="17"/>
          <w:szCs w:val="17"/>
          <w:color w:val="auto"/>
        </w:rPr>
      </w:pPr>
    </w:p>
    <w:p>
      <w:pPr>
        <w:ind w:left="280" w:hanging="225"/>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Conditions related to 1.2 Bridge Loan:</w:t>
      </w:r>
    </w:p>
    <w:p>
      <w:pPr>
        <w:spacing w:after="0" w:line="360" w:lineRule="exact"/>
        <w:rPr>
          <w:sz w:val="20"/>
          <w:szCs w:val="20"/>
          <w:color w:val="auto"/>
        </w:rPr>
      </w:pPr>
    </w:p>
    <w:p>
      <w:pPr>
        <w:ind w:left="700" w:hanging="321"/>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copy of the final signed agreement between the Borrower and SIDF.</w:t>
      </w:r>
    </w:p>
    <w:p>
      <w:pPr>
        <w:spacing w:after="0" w:line="360" w:lineRule="exact"/>
        <w:rPr>
          <w:rFonts w:ascii="Arial" w:cs="Arial" w:eastAsia="Arial" w:hAnsi="Arial"/>
          <w:sz w:val="18"/>
          <w:szCs w:val="18"/>
          <w:color w:val="auto"/>
        </w:rPr>
      </w:pPr>
    </w:p>
    <w:p>
      <w:pPr>
        <w:ind w:left="700" w:hanging="321"/>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copy of the final signed agreement between the Borrower and MISA.</w:t>
      </w:r>
    </w:p>
    <w:p>
      <w:pPr>
        <w:spacing w:after="0" w:line="292" w:lineRule="exact"/>
        <w:rPr>
          <w:rFonts w:ascii="Arial" w:cs="Arial" w:eastAsia="Arial" w:hAnsi="Arial"/>
          <w:sz w:val="18"/>
          <w:szCs w:val="18"/>
          <w:color w:val="auto"/>
        </w:rPr>
      </w:pPr>
    </w:p>
    <w:p>
      <w:pPr>
        <w:ind w:left="700" w:hanging="321"/>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Acknowledgement from SIDF of proceeds.</w:t>
      </w:r>
    </w:p>
    <w:p>
      <w:pPr>
        <w:spacing w:after="0" w:line="319" w:lineRule="exact"/>
        <w:rPr>
          <w:rFonts w:ascii="Arial" w:cs="Arial" w:eastAsia="Arial" w:hAnsi="Arial"/>
          <w:sz w:val="18"/>
          <w:szCs w:val="18"/>
          <w:color w:val="auto"/>
        </w:rPr>
      </w:pPr>
    </w:p>
    <w:p>
      <w:pPr>
        <w:ind w:left="700" w:hanging="321"/>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Acknowledgement from MISA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2534920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 of 16</w:t>
      </w:r>
    </w:p>
    <w:p>
      <w:pPr>
        <w:sectPr>
          <w:pgSz w:w="11900" w:h="16838" w:orient="portrait"/>
          <w:cols w:equalWidth="0" w:num="1">
            <w:col w:w="11200"/>
          </w:cols>
          <w:pgMar w:left="340" w:top="1440" w:right="359" w:bottom="1440"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Please indicate your agreement to the foregoing terms and conditions and the Master Terms, and all Facility Documents by signing the enclosed copy of this Facilities Letter and returning the same to the Bank [marked for attention of Mr. Tristan Kermadec by no later than One month, failing which the offer of facilities set out in this Facilities Letter shall lapse without any further notice.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32320" cy="179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Gulf International Bank Saudi Arabia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Tristan Kermadec</w:t>
            </w:r>
          </w:p>
        </w:tc>
        <w:tc>
          <w:tcPr>
            <w:tcW w:w="0" w:type="dxa"/>
            <w:vAlign w:val="bottom"/>
          </w:tcPr>
          <w:p>
            <w:pPr>
              <w:spacing w:after="0"/>
              <w:rPr>
                <w:sz w:val="1"/>
                <w:szCs w:val="1"/>
                <w:color w:val="auto"/>
              </w:rPr>
            </w:pPr>
          </w:p>
        </w:tc>
      </w:tr>
      <w:tr>
        <w:trPr>
          <w:trHeight w:val="27"/>
        </w:trPr>
        <w:tc>
          <w:tcPr>
            <w:tcW w:w="1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60" w:type="dxa"/>
            <w:vAlign w:val="bottom"/>
            <w:vMerge w:val="continue"/>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Tristan Kermadec</w:t>
            </w:r>
          </w:p>
        </w:tc>
        <w:tc>
          <w:tcPr>
            <w:tcW w:w="0" w:type="dxa"/>
            <w:vAlign w:val="bottom"/>
          </w:tcPr>
          <w:p>
            <w:pPr>
              <w:spacing w:after="0"/>
              <w:rPr>
                <w:sz w:val="1"/>
                <w:szCs w:val="1"/>
                <w:color w:val="auto"/>
              </w:rPr>
            </w:pPr>
          </w:p>
        </w:tc>
      </w:tr>
      <w:tr>
        <w:trPr>
          <w:trHeight w:val="27"/>
        </w:trPr>
        <w:tc>
          <w:tcPr>
            <w:tcW w:w="186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60" w:type="dxa"/>
            <w:vAlign w:val="bottom"/>
            <w:vMerge w:val="continue"/>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Relationship Manager</w:t>
            </w:r>
          </w:p>
        </w:tc>
        <w:tc>
          <w:tcPr>
            <w:tcW w:w="0" w:type="dxa"/>
            <w:vAlign w:val="bottom"/>
          </w:tcPr>
          <w:p>
            <w:pPr>
              <w:spacing w:after="0"/>
              <w:rPr>
                <w:sz w:val="1"/>
                <w:szCs w:val="1"/>
                <w:color w:val="auto"/>
              </w:rPr>
            </w:pPr>
          </w:p>
        </w:tc>
      </w:tr>
      <w:tr>
        <w:trPr>
          <w:trHeight w:val="27"/>
        </w:trPr>
        <w:tc>
          <w:tcPr>
            <w:tcW w:w="1860" w:type="dxa"/>
            <w:vAlign w:val="bottom"/>
            <w:vMerge w:val="restart"/>
          </w:tcPr>
          <w:p>
            <w:pPr>
              <w:spacing w:after="0"/>
              <w:rPr>
                <w:sz w:val="20"/>
                <w:szCs w:val="20"/>
                <w:color w:val="auto"/>
              </w:rPr>
            </w:pPr>
            <w:r>
              <w:rPr>
                <w:rFonts w:ascii="Arial" w:cs="Arial" w:eastAsia="Arial" w:hAnsi="Arial"/>
                <w:sz w:val="18"/>
                <w:szCs w:val="18"/>
                <w:color w:val="auto"/>
              </w:rPr>
              <w:t>Department:</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60" w:type="dxa"/>
            <w:vAlign w:val="bottom"/>
            <w:vMerge w:val="continue"/>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Wholesale Banking</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6"/>
        </w:trPr>
        <w:tc>
          <w:tcPr>
            <w:tcW w:w="18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Ahmed Al Attas</w:t>
            </w:r>
          </w:p>
        </w:tc>
        <w:tc>
          <w:tcPr>
            <w:tcW w:w="0" w:type="dxa"/>
            <w:vAlign w:val="bottom"/>
          </w:tcPr>
          <w:p>
            <w:pPr>
              <w:spacing w:after="0"/>
              <w:rPr>
                <w:sz w:val="1"/>
                <w:szCs w:val="1"/>
                <w:color w:val="auto"/>
              </w:rPr>
            </w:pPr>
          </w:p>
        </w:tc>
      </w:tr>
      <w:tr>
        <w:trPr>
          <w:trHeight w:val="27"/>
        </w:trPr>
        <w:tc>
          <w:tcPr>
            <w:tcW w:w="1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60" w:type="dxa"/>
            <w:vAlign w:val="bottom"/>
            <w:vMerge w:val="continue"/>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Ahmed Al Attas</w:t>
            </w:r>
          </w:p>
        </w:tc>
        <w:tc>
          <w:tcPr>
            <w:tcW w:w="0" w:type="dxa"/>
            <w:vAlign w:val="bottom"/>
          </w:tcPr>
          <w:p>
            <w:pPr>
              <w:spacing w:after="0"/>
              <w:rPr>
                <w:sz w:val="1"/>
                <w:szCs w:val="1"/>
                <w:color w:val="auto"/>
              </w:rPr>
            </w:pPr>
          </w:p>
        </w:tc>
      </w:tr>
      <w:tr>
        <w:trPr>
          <w:trHeight w:val="27"/>
        </w:trPr>
        <w:tc>
          <w:tcPr>
            <w:tcW w:w="186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60" w:type="dxa"/>
            <w:vAlign w:val="bottom"/>
            <w:vMerge w:val="continue"/>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Regional Head</w:t>
            </w:r>
          </w:p>
        </w:tc>
        <w:tc>
          <w:tcPr>
            <w:tcW w:w="0" w:type="dxa"/>
            <w:vAlign w:val="bottom"/>
          </w:tcPr>
          <w:p>
            <w:pPr>
              <w:spacing w:after="0"/>
              <w:rPr>
                <w:sz w:val="1"/>
                <w:szCs w:val="1"/>
                <w:color w:val="auto"/>
              </w:rPr>
            </w:pPr>
          </w:p>
        </w:tc>
      </w:tr>
      <w:tr>
        <w:trPr>
          <w:trHeight w:val="27"/>
        </w:trPr>
        <w:tc>
          <w:tcPr>
            <w:tcW w:w="1860" w:type="dxa"/>
            <w:vAlign w:val="bottom"/>
            <w:vMerge w:val="restart"/>
          </w:tcPr>
          <w:p>
            <w:pPr>
              <w:spacing w:after="0"/>
              <w:rPr>
                <w:sz w:val="20"/>
                <w:szCs w:val="20"/>
                <w:color w:val="auto"/>
              </w:rPr>
            </w:pPr>
            <w:r>
              <w:rPr>
                <w:rFonts w:ascii="Arial" w:cs="Arial" w:eastAsia="Arial" w:hAnsi="Arial"/>
                <w:sz w:val="18"/>
                <w:szCs w:val="18"/>
                <w:color w:val="auto"/>
              </w:rPr>
              <w:t>Department:</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60" w:type="dxa"/>
            <w:vAlign w:val="bottom"/>
            <w:vMerge w:val="continue"/>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Wholesale Banking</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Encl.: </w:t>
      </w:r>
      <w:r>
        <w:rPr>
          <w:rFonts w:ascii="Arial" w:cs="Arial" w:eastAsia="Arial" w:hAnsi="Arial"/>
          <w:sz w:val="18"/>
          <w:szCs w:val="18"/>
          <w:color w:val="auto"/>
        </w:rPr>
        <w:t>Master Terms, Order Note and other Facility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805815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16</w:t>
      </w:r>
    </w:p>
    <w:p>
      <w:pPr>
        <w:sectPr>
          <w:pgSz w:w="11900" w:h="16838" w:orient="portrait"/>
          <w:cols w:equalWidth="0" w:num="1">
            <w:col w:w="11200"/>
          </w:cols>
          <w:pgMar w:left="340" w:top="1440" w:right="35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THE BORROWER, ACCEPT AND AGREE TO THE TERMS SET OUT IN THIS AGREEMENT AND ACKNOWLEDGE THAT WE HAVE FULLY READ AND UNDERSTOOD THE FACILITIES LETTER AND THE TERMS AND CONDITIONS SET OUT IN THE MASTER TERMS AND THE RELEVANT ANNEXES AND AGREE TO BE BOUND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3232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Lucid Limited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1389380</wp:posOffset>
            </wp:positionH>
            <wp:positionV relativeFrom="paragraph">
              <wp:posOffset>205740</wp:posOffset>
            </wp:positionV>
            <wp:extent cx="27260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18"/>
                <w:szCs w:val="18"/>
                <w:color w:val="auto"/>
                <w:w w:val="93"/>
              </w:rPr>
              <w:t>Authorised Officer Signature:</w:t>
            </w: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/s/ Faisal Sultan</w:t>
            </w:r>
          </w:p>
        </w:tc>
        <w:tc>
          <w:tcPr>
            <w:tcW w:w="0" w:type="dxa"/>
            <w:vAlign w:val="bottom"/>
          </w:tcPr>
          <w:p>
            <w:pPr>
              <w:spacing w:after="0"/>
              <w:rPr>
                <w:sz w:val="1"/>
                <w:szCs w:val="1"/>
                <w:color w:val="auto"/>
              </w:rPr>
            </w:pPr>
          </w:p>
        </w:tc>
      </w:tr>
      <w:tr>
        <w:trPr>
          <w:trHeight w:val="27"/>
        </w:trPr>
        <w:tc>
          <w:tcPr>
            <w:tcW w:w="2180" w:type="dxa"/>
            <w:vAlign w:val="bottom"/>
            <w:vMerge w:val="restart"/>
          </w:tcPr>
          <w:p>
            <w:pPr>
              <w:spacing w:after="0"/>
              <w:rPr>
                <w:sz w:val="20"/>
                <w:szCs w:val="20"/>
                <w:color w:val="auto"/>
              </w:rPr>
            </w:pPr>
            <w:r>
              <w:rPr>
                <w:rFonts w:ascii="Arial" w:cs="Arial" w:eastAsia="Arial" w:hAnsi="Arial"/>
                <w:sz w:val="18"/>
                <w:szCs w:val="18"/>
                <w:color w:val="auto"/>
              </w:rPr>
              <w:t>Signature Date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180" w:type="dxa"/>
            <w:vAlign w:val="bottom"/>
            <w:vMerge w:val="continue"/>
          </w:tcPr>
          <w:p>
            <w:pPr>
              <w:spacing w:after="0"/>
              <w:rPr>
                <w:sz w:val="24"/>
                <w:szCs w:val="24"/>
                <w:color w:val="auto"/>
              </w:rPr>
            </w:pPr>
          </w:p>
        </w:tc>
        <w:tc>
          <w:tcPr>
            <w:tcW w:w="4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April 2022</w:t>
            </w:r>
          </w:p>
        </w:tc>
        <w:tc>
          <w:tcPr>
            <w:tcW w:w="0" w:type="dxa"/>
            <w:vAlign w:val="bottom"/>
          </w:tcPr>
          <w:p>
            <w:pPr>
              <w:spacing w:after="0"/>
              <w:rPr>
                <w:sz w:val="1"/>
                <w:szCs w:val="1"/>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Name:</w:t>
            </w:r>
          </w:p>
        </w:tc>
        <w:tc>
          <w:tcPr>
            <w:tcW w:w="4300" w:type="dxa"/>
            <w:vAlign w:val="bottom"/>
          </w:tcPr>
          <w:p>
            <w:pPr>
              <w:ind w:left="20"/>
              <w:spacing w:after="0"/>
              <w:rPr>
                <w:sz w:val="20"/>
                <w:szCs w:val="20"/>
                <w:color w:val="auto"/>
              </w:rPr>
            </w:pPr>
            <w:r>
              <w:rPr>
                <w:rFonts w:ascii="Arial" w:cs="Arial" w:eastAsia="Arial" w:hAnsi="Arial"/>
                <w:sz w:val="18"/>
                <w:szCs w:val="18"/>
                <w:color w:val="auto"/>
              </w:rPr>
              <w:t>Faisal Sultan</w:t>
            </w:r>
          </w:p>
        </w:tc>
        <w:tc>
          <w:tcPr>
            <w:tcW w:w="0" w:type="dxa"/>
            <w:vAlign w:val="bottom"/>
          </w:tcPr>
          <w:p>
            <w:pPr>
              <w:spacing w:after="0"/>
              <w:rPr>
                <w:sz w:val="1"/>
                <w:szCs w:val="1"/>
                <w:color w:val="auto"/>
              </w:rPr>
            </w:pPr>
          </w:p>
        </w:tc>
      </w:tr>
      <w:tr>
        <w:trPr>
          <w:trHeight w:val="27"/>
        </w:trPr>
        <w:tc>
          <w:tcPr>
            <w:tcW w:w="2180" w:type="dxa"/>
            <w:vAlign w:val="bottom"/>
            <w:vMerge w:val="restart"/>
          </w:tcPr>
          <w:p>
            <w:pPr>
              <w:spacing w:after="0"/>
              <w:rPr>
                <w:sz w:val="20"/>
                <w:szCs w:val="20"/>
                <w:color w:val="auto"/>
              </w:rPr>
            </w:pPr>
            <w:r>
              <w:rPr>
                <w:rFonts w:ascii="Arial" w:cs="Arial" w:eastAsia="Arial" w:hAnsi="Arial"/>
                <w:sz w:val="18"/>
                <w:szCs w:val="18"/>
                <w:color w:val="auto"/>
              </w:rPr>
              <w:t>Address:</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80" w:type="dxa"/>
            <w:vAlign w:val="bottom"/>
            <w:vMerge w:val="continue"/>
          </w:tcPr>
          <w:p>
            <w:pPr>
              <w:spacing w:after="0"/>
              <w:rPr>
                <w:sz w:val="21"/>
                <w:szCs w:val="21"/>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3074 Prince Muhammad Ibn Abdulaziz Rd</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Al Olaya, Riyadh, KSA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firstLine="6"/>
        <w:spacing w:after="0" w:line="313" w:lineRule="auto"/>
        <w:tabs>
          <w:tab w:leader="none" w:pos="182" w:val="left"/>
        </w:tabs>
        <w:numPr>
          <w:ilvl w:val="0"/>
          <w:numId w:val="54"/>
        </w:numPr>
        <w:rPr>
          <w:rFonts w:ascii="Arial" w:cs="Arial" w:eastAsia="Arial" w:hAnsi="Arial"/>
          <w:sz w:val="14"/>
          <w:szCs w:val="14"/>
          <w:color w:val="auto"/>
        </w:rPr>
      </w:pPr>
      <w:r>
        <w:rPr>
          <w:rFonts w:ascii="Arial" w:cs="Arial" w:eastAsia="Arial" w:hAnsi="Arial"/>
          <w:sz w:val="14"/>
          <w:szCs w:val="14"/>
          <w:color w:val="auto"/>
        </w:rPr>
        <w:t>I, the undersigned, employee of Gulf International Bank Saudi Arabia hereby confirm that the above signatory (ies) as authorised signatory (ies) of the Borrower signed this Agreement in my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41230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20"/>
                <w:szCs w:val="20"/>
                <w:color w:val="auto"/>
              </w:rPr>
            </w:pPr>
            <w:r>
              <w:rPr>
                <w:rFonts w:ascii="Arial" w:cs="Arial" w:eastAsia="Arial" w:hAnsi="Arial"/>
                <w:sz w:val="14"/>
                <w:szCs w:val="14"/>
                <w:color w:val="auto"/>
              </w:rPr>
              <w:t>Signature:</w:t>
            </w:r>
          </w:p>
        </w:tc>
        <w:tc>
          <w:tcPr>
            <w:tcW w:w="4300" w:type="dxa"/>
            <w:vAlign w:val="bottom"/>
          </w:tcPr>
          <w:p>
            <w:pPr>
              <w:ind w:left="20"/>
              <w:spacing w:after="0"/>
              <w:rPr>
                <w:sz w:val="20"/>
                <w:szCs w:val="20"/>
                <w:color w:val="auto"/>
              </w:rPr>
            </w:pPr>
            <w:r>
              <w:rPr>
                <w:rFonts w:ascii="Arial" w:cs="Arial" w:eastAsia="Arial" w:hAnsi="Arial"/>
                <w:sz w:val="14"/>
                <w:szCs w:val="14"/>
                <w:color w:val="auto"/>
              </w:rPr>
              <w:t>/s/ Salah AlMhqani</w:t>
            </w:r>
          </w:p>
        </w:tc>
        <w:tc>
          <w:tcPr>
            <w:tcW w:w="0" w:type="dxa"/>
            <w:vAlign w:val="bottom"/>
          </w:tcPr>
          <w:p>
            <w:pPr>
              <w:spacing w:after="0"/>
              <w:rPr>
                <w:sz w:val="1"/>
                <w:szCs w:val="1"/>
                <w:color w:val="auto"/>
              </w:rPr>
            </w:pPr>
          </w:p>
        </w:tc>
      </w:tr>
      <w:tr>
        <w:trPr>
          <w:trHeight w:val="39"/>
        </w:trPr>
        <w:tc>
          <w:tcPr>
            <w:tcW w:w="218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4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180" w:type="dxa"/>
            <w:vAlign w:val="bottom"/>
            <w:vMerge w:val="continue"/>
          </w:tcPr>
          <w:p>
            <w:pPr>
              <w:spacing w:after="0"/>
              <w:rPr>
                <w:sz w:val="17"/>
                <w:szCs w:val="17"/>
                <w:color w:val="auto"/>
              </w:rPr>
            </w:pPr>
          </w:p>
        </w:tc>
        <w:tc>
          <w:tcPr>
            <w:tcW w:w="4300" w:type="dxa"/>
            <w:vAlign w:val="bottom"/>
          </w:tcPr>
          <w:p>
            <w:pPr>
              <w:ind w:left="20"/>
              <w:spacing w:after="0"/>
              <w:rPr>
                <w:sz w:val="20"/>
                <w:szCs w:val="20"/>
                <w:color w:val="auto"/>
              </w:rPr>
            </w:pPr>
            <w:r>
              <w:rPr>
                <w:rFonts w:ascii="Arial" w:cs="Arial" w:eastAsia="Arial" w:hAnsi="Arial"/>
                <w:sz w:val="14"/>
                <w:szCs w:val="14"/>
                <w:color w:val="auto"/>
              </w:rPr>
              <w:t>Salah AlMhqani</w:t>
            </w:r>
          </w:p>
        </w:tc>
        <w:tc>
          <w:tcPr>
            <w:tcW w:w="0" w:type="dxa"/>
            <w:vAlign w:val="bottom"/>
          </w:tcPr>
          <w:p>
            <w:pPr>
              <w:spacing w:after="0"/>
              <w:rPr>
                <w:sz w:val="1"/>
                <w:szCs w:val="1"/>
                <w:color w:val="auto"/>
              </w:rPr>
            </w:pPr>
          </w:p>
        </w:tc>
      </w:tr>
      <w:tr>
        <w:trPr>
          <w:trHeight w:val="39"/>
        </w:trPr>
        <w:tc>
          <w:tcPr>
            <w:tcW w:w="2180" w:type="dxa"/>
            <w:vAlign w:val="bottom"/>
            <w:vMerge w:val="restart"/>
          </w:tcPr>
          <w:p>
            <w:pPr>
              <w:spacing w:after="0"/>
              <w:rPr>
                <w:sz w:val="20"/>
                <w:szCs w:val="20"/>
                <w:color w:val="auto"/>
              </w:rPr>
            </w:pPr>
            <w:r>
              <w:rPr>
                <w:rFonts w:ascii="Arial" w:cs="Arial" w:eastAsia="Arial" w:hAnsi="Arial"/>
                <w:sz w:val="14"/>
                <w:szCs w:val="14"/>
                <w:color w:val="auto"/>
              </w:rPr>
              <w:t>Date:</w:t>
            </w:r>
          </w:p>
        </w:tc>
        <w:tc>
          <w:tcPr>
            <w:tcW w:w="4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80" w:type="dxa"/>
            <w:vAlign w:val="bottom"/>
            <w:vMerge w:val="continue"/>
          </w:tcPr>
          <w:p>
            <w:pPr>
              <w:spacing w:after="0"/>
              <w:rPr>
                <w:sz w:val="21"/>
                <w:szCs w:val="21"/>
                <w:color w:val="auto"/>
              </w:rPr>
            </w:pPr>
          </w:p>
        </w:tc>
        <w:tc>
          <w:tcPr>
            <w:tcW w:w="4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29</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April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 of 16</w:t>
      </w:r>
    </w:p>
    <w:p>
      <w:pPr>
        <w:sectPr>
          <w:pgSz w:w="11900" w:h="16838" w:orient="portrait"/>
          <w:cols w:equalWidth="0" w:num="1">
            <w:col w:w="11200"/>
          </w:cols>
          <w:pgMar w:left="340" w:top="1440" w:right="359" w:bottom="1440" w:gutter="0" w:footer="0" w:header="0"/>
        </w:sectPr>
      </w:pPr>
    </w:p>
    <w:bookmarkStart w:id="99" w:name="page100"/>
    <w:bookmarkEnd w:id="99"/>
    <w:p>
      <w:pPr>
        <w:spacing w:after="0" w:line="200" w:lineRule="exact"/>
        <w:rPr>
          <w:sz w:val="20"/>
          <w:szCs w:val="20"/>
          <w:color w:val="auto"/>
        </w:rPr>
      </w:pPr>
    </w:p>
    <w:p>
      <w:pPr>
        <w:spacing w:after="0" w:line="33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b w:val="1"/>
          <w:bCs w:val="1"/>
          <w:color w:val="auto"/>
        </w:rPr>
        <w:t>Addendum to Facilities Letter dated 27/07/1443H Corresponding to 28/02/2022G (the “Facility Letter”) between Lucid Limited Company and Gulf International Bank – Saudi Arabia</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provisions set out below shall be deemed to replace the equivalently numbered provisions set out in the Master Terms and Conditions for the Facilities for the purposes of the Facility Letter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2. THE FACILITIES</w:t>
      </w:r>
    </w:p>
    <w:p>
      <w:pPr>
        <w:jc w:val="both"/>
        <w:spacing w:after="0" w:line="218" w:lineRule="auto"/>
        <w:rPr>
          <w:sz w:val="20"/>
          <w:szCs w:val="20"/>
          <w:color w:val="auto"/>
        </w:rPr>
      </w:pPr>
      <w:r>
        <w:rPr>
          <w:rFonts w:ascii="Arial" w:cs="Arial" w:eastAsia="Arial" w:hAnsi="Arial"/>
          <w:sz w:val="18"/>
          <w:szCs w:val="18"/>
          <w:b w:val="1"/>
          <w:bCs w:val="1"/>
          <w:i w:val="1"/>
          <w:iCs w:val="1"/>
          <w:color w:val="auto"/>
        </w:rPr>
        <w:t xml:space="preserve">Grant and Application of the Facilities. </w:t>
      </w:r>
      <w:r>
        <w:rPr>
          <w:rFonts w:ascii="Arial" w:cs="Arial" w:eastAsia="Arial" w:hAnsi="Arial"/>
          <w:sz w:val="18"/>
          <w:szCs w:val="18"/>
          <w:color w:val="auto"/>
        </w:rPr>
        <w:t>The Bank grants to the Borrower through the Facility Office, upon the terms and subject to the conditions 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working facilities provided in accordance with the terms of the Facilities Letter. The Bank shall not be obliged to concern itself with the application of proceeds of the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3. SECURITY FOR FACILITIES</w:t>
      </w:r>
    </w:p>
    <w:p>
      <w:pPr>
        <w:jc w:val="both"/>
        <w:spacing w:after="0" w:line="203" w:lineRule="auto"/>
        <w:rPr>
          <w:sz w:val="20"/>
          <w:szCs w:val="20"/>
          <w:color w:val="auto"/>
        </w:rPr>
      </w:pPr>
      <w:r>
        <w:rPr>
          <w:rFonts w:ascii="Arial" w:cs="Arial" w:eastAsia="Arial" w:hAnsi="Arial"/>
          <w:sz w:val="18"/>
          <w:szCs w:val="18"/>
          <w:b w:val="1"/>
          <w:bCs w:val="1"/>
          <w:i w:val="1"/>
          <w:iCs w:val="1"/>
          <w:color w:val="auto"/>
        </w:rPr>
        <w:t>Security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security for the performance of the Borrower's obligations under the Facility Documents, the Borrower shall execute, and shall procure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other relevant Obligor executes, the Security Documents applicable to it. The Bank may at its discretion acting reasonably require the Borrower (or another Obligor) to: execute such further deeds and documents for the purpose of more fully securing and/ or perfecting the security created or to be created in favour of the Bank. The Bank may enforce and exercise the rights over the property the subject of any Security Document pursuant to this Agreement directly following the Bank’s application for, and receipt of, a certificate of direct enforcement issued by the Unified Register pursuant to the Rights on Movable Assets Security Law.</w:t>
      </w:r>
    </w:p>
    <w:p>
      <w:pPr>
        <w:spacing w:after="0" w:line="3" w:lineRule="exact"/>
        <w:rPr>
          <w:sz w:val="20"/>
          <w:szCs w:val="20"/>
          <w:color w:val="auto"/>
        </w:rPr>
      </w:pPr>
    </w:p>
    <w:p>
      <w:pPr>
        <w:jc w:val="both"/>
        <w:spacing w:after="0" w:line="210" w:lineRule="auto"/>
        <w:rPr>
          <w:sz w:val="20"/>
          <w:szCs w:val="20"/>
          <w:color w:val="auto"/>
        </w:rPr>
      </w:pPr>
      <w:r>
        <w:rPr>
          <w:rFonts w:ascii="Arial" w:cs="Arial" w:eastAsia="Arial" w:hAnsi="Arial"/>
          <w:sz w:val="18"/>
          <w:szCs w:val="18"/>
          <w:b w:val="1"/>
          <w:bCs w:val="1"/>
          <w:i w:val="1"/>
          <w:iCs w:val="1"/>
          <w:color w:val="auto"/>
        </w:rPr>
        <w:t xml:space="preserve">Registration. </w:t>
      </w:r>
      <w:r>
        <w:rPr>
          <w:rFonts w:ascii="Arial" w:cs="Arial" w:eastAsia="Arial" w:hAnsi="Arial"/>
          <w:sz w:val="18"/>
          <w:szCs w:val="18"/>
          <w:color w:val="auto"/>
        </w:rPr>
        <w:t>The Bank acknowledges that it is responsible for filing a registration of the security interests contemplated or created under the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Documents with the Unified Register. Following any such filing by the Bank, the Borrower shall promptly (and at the request of the Bank) take all necessary steps within its control to effect the registration of such security interest and the Borrower shall not object to any such filing by the Bank unless there is any error in respect of the filing and such error is promptly notified to the Bank by the Borrower. The Borrower shall reimburse the Bank within 15 Business Days of written demand for all costs and expenses reasonably incurred by the Bank in registering the security interests contemplated or created by the Security Documents with the Unified Register.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4. ADVANCE FACILITIES</w:t>
      </w:r>
    </w:p>
    <w:p>
      <w:pPr>
        <w:jc w:val="both"/>
        <w:spacing w:after="0" w:line="18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Utilisation.</w:t>
      </w:r>
      <w:r>
        <w:rPr>
          <w:rFonts w:ascii="Arial" w:cs="Arial" w:eastAsia="Arial" w:hAnsi="Arial"/>
          <w:sz w:val="18"/>
          <w:szCs w:val="18"/>
          <w:color w:val="auto"/>
        </w:rPr>
        <w:t xml:space="preserve"> An Advance may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be made by the Bank to the Borrower provided the Borrower delivers to the Bank a duly completed Notice of Drawdown therefor, which shall comply with the terms mentioned in the Facilities Letter, not more than ten (10) nor less than three (3) business days before the proposed date for the making of such Advance:</w:t>
      </w:r>
    </w:p>
    <w:p>
      <w:pPr>
        <w:spacing w:after="0" w:line="1" w:lineRule="exact"/>
        <w:rPr>
          <w:sz w:val="20"/>
          <w:szCs w:val="20"/>
          <w:color w:val="auto"/>
        </w:rPr>
      </w:pPr>
    </w:p>
    <w:p>
      <w:pPr>
        <w:ind w:firstLine="8"/>
        <w:spacing w:after="0" w:line="203" w:lineRule="auto"/>
        <w:tabs>
          <w:tab w:leader="none" w:pos="256"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 Suppliers Invoice Advance, a copy, certified a true copy by a duly authorised officer of the Borrower, of the Supplier Invoice against which such Supplier Invoice Advance is requested to be made is provided; and</w:t>
      </w:r>
    </w:p>
    <w:p>
      <w:pPr>
        <w:ind w:firstLine="8"/>
        <w:spacing w:after="0" w:line="203" w:lineRule="auto"/>
        <w:tabs>
          <w:tab w:leader="none" w:pos="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 Refinancing Advance, the proposed amount of such Refinancing Advance is an amount equal to the Required Amount which is to be refinanced by such Refinancing Advance;</w:t>
      </w:r>
    </w:p>
    <w:p>
      <w:pPr>
        <w:spacing w:after="0" w:line="226" w:lineRule="auto"/>
        <w:rPr>
          <w:rFonts w:ascii="Arial" w:cs="Arial" w:eastAsia="Arial" w:hAnsi="Arial"/>
          <w:sz w:val="18"/>
          <w:szCs w:val="18"/>
          <w:color w:val="auto"/>
        </w:rPr>
      </w:pPr>
      <w:r>
        <w:rPr>
          <w:rFonts w:ascii="Arial" w:cs="Arial" w:eastAsia="Arial" w:hAnsi="Arial"/>
          <w:sz w:val="18"/>
          <w:szCs w:val="18"/>
          <w:color w:val="auto"/>
        </w:rPr>
        <w:t>Receipt by the Bank of the Notice of Drawdown shall oblige the Borrower to borrow the amount therein requested on the date therein stated upon the terms and subject to the conditions contained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6. [NOT USED] 7. [NOT USED] 8. [NOT USED]9. [NOT USED]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10. UTILISATION OF THE BANK UNDERTAKING FACILITY</w:t>
      </w:r>
    </w:p>
    <w:p>
      <w:pPr>
        <w:jc w:val="both"/>
        <w:spacing w:after="0" w:line="203" w:lineRule="auto"/>
        <w:rPr>
          <w:sz w:val="20"/>
          <w:szCs w:val="20"/>
          <w:color w:val="auto"/>
        </w:rPr>
      </w:pPr>
      <w:r>
        <w:rPr>
          <w:rFonts w:ascii="Arial" w:cs="Arial" w:eastAsia="Arial" w:hAnsi="Arial"/>
          <w:sz w:val="18"/>
          <w:szCs w:val="18"/>
          <w:b w:val="1"/>
          <w:bCs w:val="1"/>
          <w:i w:val="1"/>
          <w:iCs w:val="1"/>
          <w:color w:val="auto"/>
        </w:rPr>
        <w:t xml:space="preserve">10.1 Delivery and Contents of Application. </w:t>
      </w:r>
      <w:r>
        <w:rPr>
          <w:rFonts w:ascii="Arial" w:cs="Arial" w:eastAsia="Arial" w:hAnsi="Arial"/>
          <w:sz w:val="18"/>
          <w:szCs w:val="18"/>
          <w:color w:val="auto"/>
        </w:rPr>
        <w:t>The Bank may issue a Bank Undertaking, provided the Borrower delivers to the Bank a duly completed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therefor, which shall comply with the terms mentioned in the Facilities Letter, terms mentioned in the Facilities Letter, not more than ten (10) nor less than three (3) business days before the proposed Issue Date for such Bank Undertaking. Each Application delivered to the Bank pursuant to this Clause shall be irrevocable and shall specify, among other things, the details as may be required by the Bank to enable it to issue the Bank Undertaking and the proposed form of the Bank Undertaking the proposed form of the Bank Undertaking requested, which shall be acceptable to the Bank in its sole discretion.</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i w:val="1"/>
          <w:iCs w:val="1"/>
          <w:color w:val="auto"/>
        </w:rPr>
        <w:t>Amendments and Waivers</w:t>
      </w:r>
      <w:r>
        <w:rPr>
          <w:rFonts w:ascii="Arial" w:cs="Arial" w:eastAsia="Arial" w:hAnsi="Arial"/>
          <w:sz w:val="18"/>
          <w:szCs w:val="18"/>
          <w:color w:val="auto"/>
        </w:rPr>
        <w:t>. Notwithstanding the foregoing and for the avoidance of doubt, the Bank may, at any time in its sole discretion and without giving notice to the Borrower, waive or amend any of the conditions set forth in this Clause.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13. TAX</w:t>
      </w:r>
    </w:p>
    <w:p>
      <w:pPr>
        <w:jc w:val="both"/>
        <w:spacing w:after="0" w:line="223"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i w:val="1"/>
          <w:iCs w:val="1"/>
          <w:color w:val="auto"/>
        </w:rPr>
        <w:t>Gross-up</w:t>
      </w:r>
      <w:r>
        <w:rPr>
          <w:rFonts w:ascii="Arial" w:cs="Arial" w:eastAsia="Arial" w:hAnsi="Arial"/>
          <w:sz w:val="17"/>
          <w:szCs w:val="17"/>
          <w:color w:val="auto"/>
        </w:rPr>
        <w:t>. All payments (including without limitation, in relation to fees) to be made by in relation to fees) to be made by an Obligor to the Bank hereunder and under each transaction shall be made free and clear of and without deduction for or on account of tax or VAT. If any Tax Deduction is required by law, that Obligor shall increase the payment to the Bank to ensure that, after the making of the required deduction or withholding, the Bank receives and retains a net sum equal to the sum which it would have received and so retained had no such deduction or withholding been made or required to be deduction or withholding been made or required to be made. The relevant Obligor shall provide evidence shall provide evidence satisfactory to the Bank acting reasonably of the payment of such taxes to the relevant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4" w:lineRule="exact"/>
        <w:rPr>
          <w:sz w:val="20"/>
          <w:szCs w:val="20"/>
          <w:color w:val="auto"/>
        </w:rPr>
      </w:pPr>
    </w:p>
    <w:p>
      <w:pPr>
        <w:ind w:left="100" w:hanging="92"/>
        <w:spacing w:after="0"/>
        <w:tabs>
          <w:tab w:leader="none" w:pos="100" w:val="left"/>
        </w:tabs>
        <w:numPr>
          <w:ilvl w:val="0"/>
          <w:numId w:val="56"/>
        </w:numPr>
        <w:rPr>
          <w:rFonts w:ascii="Arial" w:cs="Arial" w:eastAsia="Arial" w:hAnsi="Arial"/>
          <w:sz w:val="21"/>
          <w:szCs w:val="21"/>
          <w:color w:val="auto"/>
          <w:vertAlign w:val="superscript"/>
        </w:rPr>
      </w:pPr>
      <w:r>
        <w:rPr>
          <w:rFonts w:ascii="Arial" w:cs="Arial" w:eastAsia="Arial" w:hAnsi="Arial"/>
          <w:sz w:val="16"/>
          <w:szCs w:val="16"/>
          <w:color w:val="auto"/>
        </w:rPr>
        <w:t>Committed not uncommitted.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9 of 16</w:t>
      </w:r>
    </w:p>
    <w:p>
      <w:pPr>
        <w:sectPr>
          <w:pgSz w:w="11900" w:h="16838" w:orient="portrait"/>
          <w:cols w:equalWidth="0" w:num="1">
            <w:col w:w="11240"/>
          </w:cols>
          <w:pgMar w:left="320" w:top="1440" w:right="339" w:bottom="1440" w:gutter="0" w:footer="0" w:header="0"/>
          <w:type w:val="continuous"/>
        </w:sectPr>
      </w:pPr>
    </w:p>
    <w:bookmarkStart w:id="100" w:name="page101"/>
    <w:bookmarkEnd w:id="100"/>
    <w:p>
      <w:pPr>
        <w:spacing w:after="0" w:line="200" w:lineRule="exact"/>
        <w:rPr>
          <w:sz w:val="20"/>
          <w:szCs w:val="20"/>
          <w:color w:val="auto"/>
        </w:rPr>
      </w:pPr>
    </w:p>
    <w:p>
      <w:pPr>
        <w:spacing w:after="0" w:line="33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i w:val="1"/>
          <w:iCs w:val="1"/>
          <w:color w:val="auto"/>
        </w:rPr>
        <w:t>Obligation to notify the Bank</w:t>
      </w:r>
      <w:r>
        <w:rPr>
          <w:rFonts w:ascii="Arial" w:cs="Arial" w:eastAsia="Arial" w:hAnsi="Arial"/>
          <w:sz w:val="18"/>
          <w:szCs w:val="18"/>
          <w:color w:val="auto"/>
        </w:rPr>
        <w:t>. The Borrower shall promptly upon becoming aware that an Obligor must make a Tax Deduction (or that there is any change in the rate or the basis of a Tax Deduction) notify the Bank accordingly.</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i w:val="1"/>
          <w:iCs w:val="1"/>
          <w:color w:val="auto"/>
        </w:rPr>
        <w:t>Tax Payments</w:t>
      </w:r>
      <w:r>
        <w:rPr>
          <w:rFonts w:ascii="Arial" w:cs="Arial" w:eastAsia="Arial" w:hAnsi="Arial"/>
          <w:sz w:val="18"/>
          <w:szCs w:val="18"/>
          <w:color w:val="auto"/>
        </w:rPr>
        <w:t>. For the avoidance of doubt, any applicable tax or VAT shall be charged to, and payable by, the relevant Obligor in addition to any fees or other amounts payable under the Facility Documents, subject (in the case of VAT) to the provision of a valid VAT invoice by the Bank. If an Obligor is required to make a Tax Deduction, that Obligor shall make that Tax Deduction and any payment required in connection with that Tax Deduction within the time allowed and in the minimum amount required by law.</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i w:val="1"/>
          <w:iCs w:val="1"/>
          <w:color w:val="auto"/>
        </w:rPr>
        <w:t>Indemnity</w:t>
      </w:r>
      <w:r>
        <w:rPr>
          <w:rFonts w:ascii="Arial" w:cs="Arial" w:eastAsia="Arial" w:hAnsi="Arial"/>
          <w:sz w:val="18"/>
          <w:szCs w:val="18"/>
          <w:color w:val="auto"/>
        </w:rPr>
        <w:t>. Without prejudice prejudice to the foregoing, if the Bank is required to make any payment on account of tax or VAT (not being a tax or VAT imposed on and calculated by reference to its income or zakat) or otherwise on or in relation to any sum received or receivable by it hereunder or any liability in respect of any such payment is asserted, imposed, levied or assessed against the Bank, the relevant Obligor shall, upon shall, upon demand of the Bank, promptly indemnify the Bank against such payment or liability, together with any against such payment or liability, together with any commission, penalties, costs and expenses payable or incurred in connection therewith, save to the extent resulting from the gross negligence, fraud or willful misconduct of the Bank.</w:t>
      </w:r>
    </w:p>
    <w:p>
      <w:pPr>
        <w:spacing w:after="0" w:line="3"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i w:val="1"/>
          <w:iCs w:val="1"/>
          <w:color w:val="auto"/>
        </w:rPr>
        <w:t>VAT.</w:t>
      </w:r>
      <w:r>
        <w:rPr>
          <w:rFonts w:ascii="Arial" w:cs="Arial" w:eastAsia="Arial" w:hAnsi="Arial"/>
          <w:sz w:val="18"/>
          <w:szCs w:val="18"/>
          <w:color w:val="auto"/>
        </w:rPr>
        <w:t xml:space="preserve"> Where an Obligor is required to reimburse or indemnify the Bank for any cost or expense, that Obligor shall reimburse or indemnify (as the case may be) the Bank for the full amount of such cost or expense, including such part thereof as represents VAT, save to the extent that the Bank reasonably determines that it is entitled to credit or repayment in respect of such VAT from the relevant tax authority.</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i w:val="1"/>
          <w:iCs w:val="1"/>
          <w:color w:val="auto"/>
        </w:rPr>
        <w:t>VAT Registration.</w:t>
      </w:r>
      <w:r>
        <w:rPr>
          <w:rFonts w:ascii="Arial" w:cs="Arial" w:eastAsia="Arial" w:hAnsi="Arial"/>
          <w:sz w:val="18"/>
          <w:szCs w:val="18"/>
          <w:color w:val="auto"/>
        </w:rPr>
        <w:t xml:space="preserve"> In relation to any supply made by the Bank to any Obligor under a Finance Document, if reasonably requested by the Bank, that Obligor must promptly provide the Bank with details of that Obligor’s VAT registration and such other information as is reasonably requested in connection with the Bank 's VAT reporting requirements in relation to such supply.</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b w:val="1"/>
          <w:bCs w:val="1"/>
          <w:i w:val="1"/>
          <w:iCs w:val="1"/>
          <w:color w:val="auto"/>
        </w:rPr>
        <w:t>Stamp Taxes.</w:t>
      </w:r>
      <w:r>
        <w:rPr>
          <w:rFonts w:ascii="Arial" w:cs="Arial" w:eastAsia="Arial" w:hAnsi="Arial"/>
          <w:sz w:val="17"/>
          <w:szCs w:val="17"/>
          <w:color w:val="auto"/>
        </w:rPr>
        <w:t xml:space="preserve"> The Borrower shall pay all stamp, registration and other taxes to which any of the Facility Documents and the Security Documents or any judgment given in connection therewith is or at any time may be subject and shall, from time to time on demand of the Bank, indemnify the Bank against any liabilities, costs, claims and expenses resulting from any failure to pay or any delay in paying any such tax.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14. INCREASED COSTS</w:t>
      </w:r>
    </w:p>
    <w:p>
      <w:pPr>
        <w:jc w:val="both"/>
        <w:spacing w:after="0" w:line="203" w:lineRule="auto"/>
        <w:rPr>
          <w:sz w:val="20"/>
          <w:szCs w:val="20"/>
          <w:color w:val="auto"/>
        </w:rPr>
      </w:pPr>
      <w:r>
        <w:rPr>
          <w:rFonts w:ascii="Arial" w:cs="Arial" w:eastAsia="Arial" w:hAnsi="Arial"/>
          <w:sz w:val="18"/>
          <w:szCs w:val="18"/>
          <w:color w:val="auto"/>
        </w:rPr>
        <w:t>14.1 The Borrower shall, within 15 Business Days of a demand by the Bank, pay the Bank the amount of any Increased Costs incurred by the Bank or any of its affiliates as a result of (i) the introduction of or any change in (or in the interpretation, administration or application of) any law or regulation or (ii) compliance with any law or regulation made after the date of this Agreement.</w:t>
      </w:r>
    </w:p>
    <w:p>
      <w:pPr>
        <w:spacing w:after="0" w:line="204" w:lineRule="auto"/>
        <w:rPr>
          <w:sz w:val="20"/>
          <w:szCs w:val="20"/>
          <w:color w:val="auto"/>
        </w:rPr>
      </w:pPr>
      <w:r>
        <w:rPr>
          <w:rFonts w:ascii="Arial" w:cs="Arial" w:eastAsia="Arial" w:hAnsi="Arial"/>
          <w:sz w:val="18"/>
          <w:szCs w:val="18"/>
          <w:color w:val="auto"/>
        </w:rPr>
        <w:t>14.2 Paragraph 14.1 above does not apply to the extent any Increased Cost is:</w:t>
      </w:r>
    </w:p>
    <w:p>
      <w:pPr>
        <w:ind w:left="260" w:hanging="252"/>
        <w:spacing w:after="0" w:line="204"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ind w:left="260" w:hanging="252"/>
        <w:spacing w:after="0" w:line="203"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compensated for by Clause 13.4 (Indemnity) (or would have been compensated for under Clause 13.4 (Indemnity); or</w:t>
      </w: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relates to the implementation of Basel II.</w:t>
      </w:r>
    </w:p>
    <w:p>
      <w:pPr>
        <w:spacing w:after="0" w:line="196"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USED]</w:t>
      </w:r>
    </w:p>
    <w:p>
      <w:pPr>
        <w:spacing w:after="0" w:line="196"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REPRESENTATIONS</w:t>
      </w:r>
    </w:p>
    <w:p>
      <w:pPr>
        <w:jc w:val="both"/>
        <w:spacing w:after="0" w:line="203" w:lineRule="auto"/>
        <w:rPr>
          <w:sz w:val="20"/>
          <w:szCs w:val="20"/>
          <w:color w:val="auto"/>
        </w:rPr>
      </w:pPr>
      <w:r>
        <w:rPr>
          <w:rFonts w:ascii="Arial" w:cs="Arial" w:eastAsia="Arial" w:hAnsi="Arial"/>
          <w:sz w:val="18"/>
          <w:szCs w:val="18"/>
          <w:color w:val="auto"/>
        </w:rPr>
        <w:t>The Borrower makes the following representations and warranties on its and each Obligor’s behalf and acknowledges that the Bank has entered into the Facility Documents in reliance on those representations and warranties. Each of the following Representations shall be made on the date of these Master Terms and, shall be deemed to be repeated by the Borrower, on each day any amounts (actual or contingent) are owing by the Obligors (whether as principal or as surety) to the Bank:</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16.1 Status and Due Authorisation. Each Obligor is a legal entity duly organised under the laws of its establishment with power to enter into each of the Facility Documents and to exercise its rights and perform its obligations under the Facility Documents; subject to generally applicable principles of applicable law, the obligations expressed to be assumed by it in each of the Facility Documents are legal and valid obligations binding on it in accordance with the terms thereof; and all corporate and other action required to authorise its execution of each Facility Document and its performance of its obligations thereunder has been duly taken.</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16.2 Claims Pari Passu. Under the laws of each Obligor’s jurisdiction of establishment and business in force at the date hereof, the claims of the Bank against it under each of the Facility Documents will rank at least pari passu with the claims of all its other unsecured creditors save those whose claims are preferred solely by any bankruptcy, insolvency, liquidation or other similar laws of general application.</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16.3 Admissibility in Evidence. All acts, conditions and things required to be done, fulfilled and performed in order to make each of the Facility Documents admissible in evidence in its jurisdiction of incorporation or business (other than translation thereof into Arabic (if required)) have been done, fulfilled and performed.</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7"/>
          <w:szCs w:val="17"/>
          <w:color w:val="auto"/>
        </w:rPr>
        <w:t>16.4 No Winding-up. No member of the Group has taken any corporate action nor have any other steps been taken or legal proceedings been started or (to the best of its knowledge and belief) threatened against any member of the Group for its winding-up, dissolution or administration or for the appointment of a receiver, administrator, administrative receiver, trustee or similar officer of it or of any or all of its assets or revenues.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16.5 No Material Adverse Change. Since publication of the Original Financial Statements of the Obligors, there has been no material adverse change in its business or financial condition which materially adversely affects or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10 of 16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0" w:lineRule="exact"/>
        <w:rPr>
          <w:sz w:val="20"/>
          <w:szCs w:val="20"/>
          <w:color w:val="auto"/>
        </w:rPr>
      </w:pPr>
    </w:p>
    <w:p>
      <w:pPr>
        <w:spacing w:after="0" w:line="335"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likely to materially adversely affect its ability to meet any obligations under the Facility Document , nor any action or administrative proceeding of or before any court or agency which might have such a material adverse effect , has been started or threatened which has not been notified to the Bank.</w:t>
      </w:r>
    </w:p>
    <w:p>
      <w:pPr>
        <w:jc w:val="both"/>
        <w:spacing w:after="0" w:line="203" w:lineRule="auto"/>
        <w:rPr>
          <w:sz w:val="20"/>
          <w:szCs w:val="20"/>
          <w:color w:val="auto"/>
        </w:rPr>
      </w:pPr>
      <w:r>
        <w:rPr>
          <w:rFonts w:ascii="Arial" w:cs="Arial" w:eastAsia="Arial" w:hAnsi="Arial"/>
          <w:sz w:val="18"/>
          <w:szCs w:val="18"/>
          <w:color w:val="auto"/>
        </w:rPr>
        <w:t>16.6 Full Disclosure. All of the written information supplied by any member of the Group to the Bank in connection herewith is true, complete and accurate in all material respects and it is not aware of any material facts or circumstances that have not been disclosed to the Bank and which might, if disclosed, adversely affect the decision of a person considering whether or not to provide finance to the Borrower or to provide such finance against the security of a guarantee issued by the Guarantor (if any).</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16.7 Encumbrances. Other than the permitted encumbrance, no encumbrance exists over all or any of the present or future revenues or assets of any member of the Group other than security granted in favour of the Saudi Industrial Development Fund or otherwise where the principal amount secured by such encumbrance does not exceed SAR50,000,000.</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16.11 Governing Law and Judgments. Subject to any generally applicable principles of Saudi Arabian law, in any proceedings taken in its jurisdiction of incorporation or business in relation to the Facility Documents, the choice of the governing law and any judgment obtained in the jurisdiction referred to in Clause 26 (Law and Jurisdiction) will be recognised and enforced.</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16.13 Execution of the Documents. Its execution of each of the Facility Documents, the Security Documents and its exercise of its rights and performance of its obligations thereunder do not and will not: (a) conflict with any agreement, mortgage, bond or other instrument or treaty or which is binding upon it or any of its assets; (b) conflict with its constitutive documents and rules and regulations; or (c) conflict with (subject to any generally applicable rules of Saudi Arabian law) any applicable law, regulation or official or judicial order, each in any material respect.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17. UNDERTAKINGS</w:t>
      </w:r>
    </w:p>
    <w:p>
      <w:pPr>
        <w:jc w:val="both"/>
        <w:ind w:right="20"/>
        <w:spacing w:after="0" w:line="203" w:lineRule="auto"/>
        <w:rPr>
          <w:sz w:val="20"/>
          <w:szCs w:val="20"/>
          <w:color w:val="auto"/>
        </w:rPr>
      </w:pPr>
      <w:r>
        <w:rPr>
          <w:rFonts w:ascii="Arial" w:cs="Arial" w:eastAsia="Arial" w:hAnsi="Arial"/>
          <w:sz w:val="18"/>
          <w:szCs w:val="18"/>
          <w:color w:val="auto"/>
        </w:rPr>
        <w:t>17.1 The Borrower shall promptly notify the Bank should it be reasonably likely that an Obligor will either be required to enter into, or will apply to the relevant authorities to enter into, a composition with its creditors or any similar regulatory arrangement.</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16.8 Issues of Shares. The Borrower shall ensure that, without the prior written consent of the Bank, issue any further shares or alter any rights attaching to its issued shares in existence at the date hereof.</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16.9 Loans and Guarantees. The Borrower guarantee to ensure that shall not, without the prior written consent of the Bank, make any loans, grant any credit (save in the ordinary course of business) or give any guarantee or indemnity (except as required hereby) to or for the benefit of any person or otherwise voluntarily assume any liability, whether actual or contingent, in respect of any obligation of any other person.</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16.10 Insurances. Sufficient insurances on and in relation to its business and assets are maintained by the Group, with reputable underwriters or insurance companies against such risks and to such extent as is usual for companies carrying on a business such as that carried on by such member of the Group.</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16.11 Further Acts The Obligor undertakes to sign all assignments, subrogations and any other documents that the Bank reasonably requires and to execute such instruments in order to establish and secure its rights arising under the Facility Documents. The Obligor authorises the Bank to sign on its behalf all documents needed to be signed in order to give effect to its obligations under the Facility Documents.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17.2 To the maximum extent permitted by law the Borrower shall, in circumstances where it is in a process under the Insolvency Law, comply with the instructions of the Bank in relation to the extension of the term of any financing granted by the Bank to the Borrower, including for the extension of any Bank Undertaking (except that any such extension or renewal of such financing or Bank Undertaking shall not be considered a new Facility or a new utilisation under an existing Facility or the issuance of a new Bank Undertaking and shall be a continuation of an existing Facility that has been utilised).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18. FINANCIAL INFORMATION</w:t>
      </w:r>
    </w:p>
    <w:p>
      <w:pPr>
        <w:jc w:val="both"/>
        <w:spacing w:after="0" w:line="215" w:lineRule="auto"/>
        <w:rPr>
          <w:sz w:val="20"/>
          <w:szCs w:val="20"/>
          <w:color w:val="auto"/>
        </w:rPr>
      </w:pPr>
      <w:r>
        <w:rPr>
          <w:rFonts w:ascii="Arial" w:cs="Arial" w:eastAsia="Arial" w:hAnsi="Arial"/>
          <w:sz w:val="17"/>
          <w:szCs w:val="17"/>
          <w:color w:val="auto"/>
        </w:rPr>
        <w:t>18.1 Financial Information The Borrower shall and shall procure that each of the Obligors shall furnish the financial information as required pursuant to the Facilities Letter and shall from time to time about the business and financial condition of the Group as the Bank may reasonably require.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18.2 Requirements as to Financial Statements The Borrower shall and shall procure that each of the Obligors shall ensure that each set of financial statements delivered by it pursuant to this Clause: (a) is prepared on the same basis as was used in the is prepared on the same basis as was used in the preparation of its Original Financial Statements and in accordance with accounting principles generally accepted in the country of its incorporation and business and consistently applied; (b) is certified by a duly authorised officer (including the managing director or equivalent person) of such Obligor as giving a true and fair view of its financial condition (or, in the case of financial statements of the Guarantor, the financial condition of the Group) as at the end of the period to which those financial statements relate and of the results of its (or, as the case may be, the Group's) operations during such case may be, the Group's) operations during such period and confirming that there are no liabilities confirming that there are no liabilities (contingent or otherwise) which were not disclosed thereby (or by the notes thereto) reserved against therein nor were there at that date any unrealised or anticipated losses arising from commitments entered into by it which were not so disclosed or reserved against; (c) to the extent that the Facilities Agreement sets out financial condition ratios to be complied with, a Compliance Certificate setting out (in reasonable detail) computations as to compliance with reasonable detail) computations as to compliance with Clause 19 (Financial Condition) of the Master Terms and paragraph as at the date as at which those financial statements were drawn up; each Compliance Certificate (to the extent one is required to be delivered)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11 of 16</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335"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signed by a duly authorised officer Certificate shall be signed by a duly authorised officer (including the Chief Financial Officer or equivalent person) of the relevant Obligors and, if required to be to be delivered with the financial statements delivered pursuant to Clause 2.1 (Annual Statements) of the Facilities Letter, shall be reported on by the relevant Facilities Letter, shall be reported on by the relevant Obligor's auditors; and (d) each set of financial statements delivered by it pursuant to Clause 2.1 (Annual Statements) of the Facilities Letter has been audited by an internationally recognised firm of audited by an internationally recognised firm of independent auditors licensed to practise in the relevant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19. FINANCIAL CONDITION</w:t>
      </w:r>
    </w:p>
    <w:p>
      <w:pPr>
        <w:jc w:val="both"/>
        <w:spacing w:after="0" w:line="218" w:lineRule="auto"/>
        <w:rPr>
          <w:sz w:val="20"/>
          <w:szCs w:val="20"/>
          <w:color w:val="auto"/>
        </w:rPr>
      </w:pPr>
      <w:r>
        <w:rPr>
          <w:rFonts w:ascii="Arial" w:cs="Arial" w:eastAsia="Arial" w:hAnsi="Arial"/>
          <w:sz w:val="18"/>
          <w:szCs w:val="18"/>
          <w:color w:val="auto"/>
        </w:rPr>
        <w:t>19.1 Financial Condition. At all times, the consolidated financial condition, as evidenced by financial statements prepared on the same basis as was used in the preparation of its Original Financial Statements, shall be as prescribed in the Facilities Letter (but only to the extent that the Facilities Letter sets out specific requirements in relation to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21. EVENTS OF DEFAULT</w:t>
      </w:r>
    </w:p>
    <w:p>
      <w:pPr>
        <w:spacing w:after="0"/>
        <w:rPr>
          <w:sz w:val="20"/>
          <w:szCs w:val="20"/>
          <w:color w:val="auto"/>
        </w:rPr>
      </w:pPr>
      <w:r>
        <w:rPr>
          <w:rFonts w:ascii="Arial" w:cs="Arial" w:eastAsia="Arial" w:hAnsi="Arial"/>
          <w:sz w:val="17"/>
          <w:szCs w:val="17"/>
          <w:color w:val="auto"/>
        </w:rPr>
        <w:t>Events of Default provisions detailed in Schedule 2 (Events of Default) attached to these Master Terms, shall apply the Facilities granted hereunder.</w:t>
      </w:r>
    </w:p>
    <w:p>
      <w:pPr>
        <w:spacing w:after="0" w:line="207"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USED]</w:t>
      </w:r>
    </w:p>
    <w:p>
      <w:pPr>
        <w:spacing w:after="0" w:line="196"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JOINT AND SEVERAL LIABILITY</w:t>
      </w:r>
    </w:p>
    <w:p>
      <w:pPr>
        <w:jc w:val="both"/>
        <w:spacing w:after="0" w:line="203" w:lineRule="auto"/>
        <w:rPr>
          <w:sz w:val="20"/>
          <w:szCs w:val="20"/>
          <w:color w:val="auto"/>
        </w:rPr>
      </w:pPr>
      <w:r>
        <w:rPr>
          <w:rFonts w:ascii="Arial" w:cs="Arial" w:eastAsia="Arial" w:hAnsi="Arial"/>
          <w:sz w:val="18"/>
          <w:szCs w:val="18"/>
          <w:color w:val="auto"/>
        </w:rPr>
        <w:t>23.1 Joint and Several Liability. The obligations of the Borrowers hereunder (in case there are multiple Borrowers hereunder (in case there are multiple Borrowers) are joint and several and the term "the Borrowers) are joint and several and the term "the Borrower" when used herein means each of the Borrowers jointly and severally.</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23.2 No Impairment. The rights of the Bank against a Borrower shall not be revoked or impaired by (a) any contingency affecting the other Borrowers, (b) time or any indulgence being granted or agreed to be granted to the other Borrowers in respect of their obligations hereunder, (c) any invalidity, voidability, ineffectiveness or unenforceability of this agreement as against the other Borrowers for any reason as against the other Borrowers for any reason whatsoever, whether or not known to the or any other person or (d) the revocation or release of any or release of any liabilities hereunder of the other Borrowers.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23.3 No Right of Contribution. None of the Borrowers shall, without the prior written consent of the Bank, exercise any right to claim any contribution from the other Borrowers in respect of its obligations hereunder until none of the Borrowers are under any further actual or contingent liability of any nature hereunder, and to the extent that any of the Borrowers do exercise such rights, it will hold the proceeds of every such claim in trust for the Bank to be applied in such claim in trust for the Bank to be applied in satisfaction of the obligations of the Borrowers hereunder.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24. MISCELLANEOUS</w:t>
      </w:r>
    </w:p>
    <w:p>
      <w:pPr>
        <w:jc w:val="both"/>
        <w:spacing w:after="0" w:line="228" w:lineRule="auto"/>
        <w:rPr>
          <w:sz w:val="20"/>
          <w:szCs w:val="20"/>
          <w:color w:val="auto"/>
        </w:rPr>
      </w:pPr>
      <w:r>
        <w:rPr>
          <w:rFonts w:ascii="Arial" w:cs="Arial" w:eastAsia="Arial" w:hAnsi="Arial"/>
          <w:sz w:val="16"/>
          <w:szCs w:val="16"/>
          <w:color w:val="auto"/>
        </w:rPr>
        <w:t>24.1 Default Commission Periods. If any sum due and payable by any of the Obligors hereunder is not paid on the due date therefor in accordance with the provisions of this Agreement or under any judgment of any court in connection herewith is not paid on the date of such judgment (such unpaid amount being herein referred to as an "unpaid sum"), such unpaid sum shall bear commission at the rate of three (3%) per annum over the rate which would have been applicable (based on SAIBOR and margin under the Facility Agreement) had the overdue sum been an Advance over the period for which it was overdue . Any commission in respect of an unpaid sum shall be due and payable by the Obligor owing such unpaid sum on the dates specified by the Bank. 24.2 Broken Periods. If the Bank receives or recovers all or any part of an Advance otherwise than on the last day of the Term relating to that Advance, the Borrower shall pay to the Bank within 15 business days demand by the Bank, an amount equal to the amount (if any) by which (a) the additional commission which would have been payable on the amount so received or recovered had it been received or recovered on the last day of that Term exceeds</w:t>
      </w:r>
    </w:p>
    <w:p>
      <w:pPr>
        <w:spacing w:after="0" w:line="6" w:lineRule="exact"/>
        <w:rPr>
          <w:sz w:val="20"/>
          <w:szCs w:val="20"/>
          <w:color w:val="auto"/>
        </w:rPr>
      </w:pPr>
    </w:p>
    <w:p>
      <w:pPr>
        <w:jc w:val="both"/>
        <w:ind w:firstLine="8"/>
        <w:spacing w:after="0" w:line="203" w:lineRule="auto"/>
        <w:tabs>
          <w:tab w:leader="none" w:pos="27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of commission which in the opinion of the Bank would have been payable to the Bank on the last day of that Term in respect of a riyal deposit equal to the amount so received or recovered placed by it with a prime bank in London for a period starting on the business day following the date of such receipt or recovery and ending on the last day of that Term. The Bank shall promptly account to the Borrower for any break gain resulting from such early recovery.</w:t>
      </w:r>
    </w:p>
    <w:p>
      <w:pPr>
        <w:spacing w:after="0" w:line="1" w:lineRule="exact"/>
        <w:rPr>
          <w:rFonts w:ascii="Arial" w:cs="Arial" w:eastAsia="Arial" w:hAnsi="Arial"/>
          <w:sz w:val="18"/>
          <w:szCs w:val="18"/>
          <w:color w:val="auto"/>
        </w:rPr>
      </w:pPr>
    </w:p>
    <w:p>
      <w:pPr>
        <w:jc w:val="both"/>
        <w:spacing w:after="0" w:line="215" w:lineRule="auto"/>
        <w:rPr>
          <w:rFonts w:ascii="Arial" w:cs="Arial" w:eastAsia="Arial" w:hAnsi="Arial"/>
          <w:sz w:val="18"/>
          <w:szCs w:val="18"/>
          <w:color w:val="auto"/>
        </w:rPr>
      </w:pPr>
      <w:r>
        <w:rPr>
          <w:rFonts w:ascii="Arial" w:cs="Arial" w:eastAsia="Arial" w:hAnsi="Arial"/>
          <w:sz w:val="17"/>
          <w:szCs w:val="17"/>
          <w:color w:val="auto"/>
        </w:rPr>
        <w:t>24.3 Borrower's Indemnity. The Borrower undertakes to indemnify the Bank within 15 business days of demand by the Bank against: (a) any cost, claim, loss, expense (including reasonably and properly incurred legal fees) or liability together with any tax or VAT thereon, which it may sustain or incur as a result of any Default by any of the Obligors in the performance of any of the obligations under any Facility Document; and (b) any loss it may suffer or incur as a result of its funding or making arrangements to fund an Advance requested by the Borrower hereunder but not made by reason of the operation of any one or more of the provisions hereof, save to the extent (in the case of either (a) or (b)) caused by the gross negligence, fraud or willful default of the Bank and subject to the Bank providing reasonably supporting evidence in relation to the sums claimed, taking reasonable steps to mitigate any loss and (for the avoidance of doubt) excluding Bank management time .</w:t>
      </w:r>
    </w:p>
    <w:p>
      <w:pPr>
        <w:spacing w:after="0" w:line="2" w:lineRule="exact"/>
        <w:rPr>
          <w:rFonts w:ascii="Arial" w:cs="Arial" w:eastAsia="Arial" w:hAnsi="Arial"/>
          <w:sz w:val="18"/>
          <w:szCs w:val="18"/>
          <w:color w:val="auto"/>
        </w:rPr>
      </w:pPr>
    </w:p>
    <w:p>
      <w:pPr>
        <w:jc w:val="both"/>
        <w:spacing w:after="0" w:line="248" w:lineRule="auto"/>
        <w:rPr>
          <w:rFonts w:ascii="Arial" w:cs="Arial" w:eastAsia="Arial" w:hAnsi="Arial"/>
          <w:sz w:val="18"/>
          <w:szCs w:val="18"/>
          <w:color w:val="auto"/>
        </w:rPr>
      </w:pPr>
      <w:r>
        <w:rPr>
          <w:rFonts w:ascii="Arial" w:cs="Arial" w:eastAsia="Arial" w:hAnsi="Arial"/>
          <w:sz w:val="16"/>
          <w:szCs w:val="16"/>
          <w:color w:val="auto"/>
        </w:rPr>
        <w:t>24.4 Currency of Payment. (a) each payment in respect of costs and expenses shall be made in the currency in which the same were incurred; (b) each payment of commission shall be made in the currency in which the sum in respect of which such commission is payable is denominated; (c) each payment in respect of a Discounting Instrument or Bank Undertaking shall be made in the currency in which the Bank is required to make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 of 16</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under such Discounting Instrument or Bank Undertaking; and (d) each payment pursuant to Clause 13 (Tax) shall be made in SAR.</w:t>
      </w:r>
    </w:p>
    <w:p>
      <w:pPr>
        <w:jc w:val="both"/>
        <w:spacing w:after="0" w:line="228" w:lineRule="auto"/>
        <w:rPr>
          <w:sz w:val="20"/>
          <w:szCs w:val="20"/>
          <w:color w:val="auto"/>
        </w:rPr>
      </w:pPr>
      <w:r>
        <w:rPr>
          <w:rFonts w:ascii="Arial" w:cs="Arial" w:eastAsia="Arial" w:hAnsi="Arial"/>
          <w:sz w:val="16"/>
          <w:szCs w:val="16"/>
          <w:color w:val="auto"/>
        </w:rPr>
        <w:t>24.5 Currency Indemnity. In case any sums due by an Obligor hereunder, whether before or after judgment, has to be converted from one currency to another, for any purpose whatsoever, the Bank shall be entitled to convert such currency at rate or rates of exchange at which the Bank may in the ordinary course of business purchase such currency. The Borrower shall indemnify and hold harmless the Bank from and against any loss suffered or incurred as a result of any discrepancy between (i) the rate of exchange used for such purpose to convert the sum in question from one currency into another and (ii) the rate or rates of exchange at which the Bank may in the ordinary course of business purchase such currency with the other currency upon receipt of a sum paid to it in satisfaction of amounts due to the Bank, save to the extent resulting from the gross negligence, fraud or willful default of the Bank.</w:t>
      </w:r>
    </w:p>
    <w:p>
      <w:pPr>
        <w:spacing w:after="0" w:line="4"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24.6 Payments to the Bank. On each date on which any of the Facility Documents requires an amount to be paid by any of the Obligors, such Obligor shall make the same available to the Bank for account of the Facility Office by payment in same day funds to such account as the Bank may have specified for this purpose.</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24.7 Payments to the Borrower. On each date on which any of the Facility Documents requires an amount to be paid by the Bank to the Borrower hereunder, the Bank shall make the same available by application: (a) first, in or towards payment the same day of any first, in or towards payment the same day of any amount then due from the Borrower to the Bank; and amount then due from the Borrower to the Bank; and (b) secondly, in payment to the Borrower to such bank (b) secondly, in payment to the Borrower to such bank and account as the Borrower may have specified for nt as the Borrower may have specified for this purpose.</w:t>
      </w:r>
    </w:p>
    <w:p>
      <w:pPr>
        <w:spacing w:after="0" w:line="2" w:lineRule="exact"/>
        <w:rPr>
          <w:sz w:val="20"/>
          <w:szCs w:val="20"/>
          <w:color w:val="auto"/>
        </w:rPr>
      </w:pPr>
    </w:p>
    <w:p>
      <w:pPr>
        <w:jc w:val="both"/>
        <w:spacing w:after="0" w:line="215" w:lineRule="auto"/>
        <w:rPr>
          <w:sz w:val="20"/>
          <w:szCs w:val="20"/>
          <w:color w:val="auto"/>
        </w:rPr>
      </w:pPr>
      <w:r>
        <w:rPr>
          <w:rFonts w:ascii="Arial" w:cs="Arial" w:eastAsia="Arial" w:hAnsi="Arial"/>
          <w:sz w:val="17"/>
          <w:szCs w:val="17"/>
          <w:color w:val="auto"/>
        </w:rPr>
        <w:t>24.8 Alternative Payment Arrangements. If, at any time, it shall become impracticable (by reason of any action of any governmental authority or any change in law, exchange control regulations or any similar event) for any of the Obligors to make any payments hereunder in the manner specified in Clause 24.6 (Payments to the Bank), then such Obligor may agree with the Bank alternative arrangements for such payments to be made, provided that, in the absence of any such agreement, such Obligor shall be obliged to make all payments due to the Bank in the manner specified herein.</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24.9 No Set-off. All payments required to be made by any of the Obligors shall be calculated and be made without (and free of and clear of any deduction for) any set-off or counterclaim.</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24.10 Contractual Set-off. Each of the Obligors authorises the Bank to apply any credit balance to which such Obligor is entitled on any account of such Obligor with the Bank or any of its branches or subsidiaries in any jurisdiction, in satisfaction of any sum due and payable from such Obligor to the Bank, regardless of the place of payment, booking branch or currency of either obligation; for this purpose, the Bank is authorised to purchase with the moneys standing to the credit of any such account such other currencies as may be necessary to effect such application. Furthermore, without prior notice, the Bank shall sell any securities or property of the Obligors held by the Bank and retain from the proceeds the total amount remaining unpaid, including all expenses arising from such sale, and the Obligors shall be responsible to the Bank for any deficiency and will pay on demand to the Bank the amount of such deficiency. The Bank’s rights under this section are in addition to any other rights the Bank may have. The Bank shall not be obliged to exercise any right given to it in this Clause.</w:t>
      </w:r>
    </w:p>
    <w:p>
      <w:pPr>
        <w:spacing w:after="0" w:line="3" w:lineRule="exact"/>
        <w:rPr>
          <w:sz w:val="20"/>
          <w:szCs w:val="20"/>
          <w:color w:val="auto"/>
        </w:rPr>
      </w:pPr>
    </w:p>
    <w:p>
      <w:pPr>
        <w:jc w:val="both"/>
        <w:spacing w:after="0" w:line="215" w:lineRule="auto"/>
        <w:rPr>
          <w:sz w:val="20"/>
          <w:szCs w:val="20"/>
          <w:color w:val="auto"/>
        </w:rPr>
      </w:pPr>
      <w:r>
        <w:rPr>
          <w:rFonts w:ascii="Arial" w:cs="Arial" w:eastAsia="Arial" w:hAnsi="Arial"/>
          <w:sz w:val="17"/>
          <w:szCs w:val="17"/>
          <w:color w:val="auto"/>
        </w:rPr>
        <w:t>24.11 Transaction Expenses. The Borrower shall, from time to time on demand of the Bank, reimburse the Bank for all reasonably costs and expenses (including reasonably and properly incurred legal fees) together with any tax or VAT thereon incurred by it in connection with the negotiation, preparation and execution of each of the Facility Documents and the Security Documents and the completion of the transactions therein contemplated (it being acknowledged that no such transaction expenses are required to be reimbursed as at the date of the Facility Letter).</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24.12 Preservation and Enforcement of Rights. The Borrower shall, from time to time on demand of the Bank, reimburse the Bank the amount of all reasonably and properly incurred costs and expenses (including reasonably and properly incurred legal fees) together with any tax or VAT thereon incurred in or in connection with the preservation and/or enforcement of any of its rights under any of the Facility Documents and the Security Documents.</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24.13 Bank's Costs. The Borrower shall, from time to time within 15 business days of demand by the Bank (and without prejudice to the provisions of Clause 24.12 (Preservation and Enforcement of Rights) compensate the Bank for out of pocket costs (excluding management time) and reasonably and properly incurred legal fees incurred by the Bank in connection with its taking such action as it may reasonably deem appropriate or in complying with any request by the Obligors or any of them in connection with: (a) the granting or proposed granting of any waiver or consent requested under any of the Facility Documents or the Security Documents by the Obligors or any of them; (b) any ted breach by the Obligors or any of them of its obligations under any of the Facility Documents or the Security Documents; or (c) any amendment or proposed amendment to any of the Facility Documents or the Security Documents requested by the Obligors or any of them.</w:t>
      </w:r>
    </w:p>
    <w:p>
      <w:pPr>
        <w:spacing w:after="0" w:line="3"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24.14 Binding Agreement. These Master Terms shall be binding upon and ensure to the benefit of each party hereto or identified in the Facilities Letter to whom the terms of the Master Term apply and its or any subsequent successors and assigns.</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24.15 Assignments and Transfers. None of the Obligors shall be entitled to assign or transfer all or any of its rights, benefits and obligations hereunder. The Bank may at any time assign any or all of its rights or transfer any or all of its rights and obligations hereunder or any other Facility Documents to any third party which is a licensed bank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24.16 [Not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 of 16</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335"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24.17 Disclosure of Information. Each of the Obligors hereby irrevocably and unconditionally authorises the Bank to disclose to any member of the Bank Group and their officers, directors, employees, agents, representatives, professional advisors and auditors and any other person:</w:t>
      </w:r>
    </w:p>
    <w:p>
      <w:pPr>
        <w:spacing w:after="0" w:line="1" w:lineRule="exact"/>
        <w:rPr>
          <w:sz w:val="20"/>
          <w:szCs w:val="20"/>
          <w:color w:val="auto"/>
        </w:rPr>
      </w:pPr>
    </w:p>
    <w:p>
      <w:pPr>
        <w:ind w:firstLine="8"/>
        <w:spacing w:after="0" w:line="203" w:lineRule="auto"/>
        <w:tabs>
          <w:tab w:leader="none" w:pos="2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(or through) whom the Bank assigns or transfers (or may potentially assign or transfer) all or any of its rights and obligations under any other Facility Documents, subject to such person having first entered into a confidentiality agreement on reasonably market standard terms ;</w:t>
      </w:r>
    </w:p>
    <w:p>
      <w:pPr>
        <w:jc w:val="both"/>
        <w:ind w:right="20" w:firstLine="8"/>
        <w:spacing w:after="0" w:line="203" w:lineRule="auto"/>
        <w:tabs>
          <w:tab w:leader="none" w:pos="2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(or through) whom the Bank enters into (or may potentially enter into) any sub--participation in relation to, or any other transaction under which payments are to be made by reference to, or any payments are to be made by reference to, or any other Facility Documents or the Borrower, subject to such person having entered into a confidentiality agreement on reasonably market standard terms;</w:t>
      </w:r>
    </w:p>
    <w:p>
      <w:pPr>
        <w:spacing w:after="0" w:line="1" w:lineRule="exact"/>
        <w:rPr>
          <w:rFonts w:ascii="Arial" w:cs="Arial" w:eastAsia="Arial" w:hAnsi="Arial"/>
          <w:sz w:val="18"/>
          <w:szCs w:val="18"/>
          <w:color w:val="auto"/>
        </w:rPr>
      </w:pPr>
    </w:p>
    <w:p>
      <w:pPr>
        <w:jc w:val="both"/>
        <w:ind w:firstLine="8"/>
        <w:spacing w:after="0" w:line="228" w:lineRule="auto"/>
        <w:tabs>
          <w:tab w:leader="none" w:pos="26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 where requested or required by any court of competent jurisdiction or any competent judicial, governmental, supervisory or regulatory body, (ii) where required by the rules of any stock exchange on which the shares or other securities of any on which the shares or other securities of any member of the Bank Group are listed or (iii) where required by the laws or regulations of any country jurisdiction over the affairs of any member of the Bank Group;</w:t>
      </w:r>
    </w:p>
    <w:p>
      <w:pPr>
        <w:spacing w:after="0" w:line="2" w:lineRule="exact"/>
        <w:rPr>
          <w:rFonts w:ascii="Arial" w:cs="Arial" w:eastAsia="Arial" w:hAnsi="Arial"/>
          <w:sz w:val="16"/>
          <w:szCs w:val="16"/>
          <w:color w:val="auto"/>
        </w:rPr>
      </w:pPr>
    </w:p>
    <w:p>
      <w:pPr>
        <w:ind w:firstLine="8"/>
        <w:spacing w:after="0" w:line="203" w:lineRule="auto"/>
        <w:tabs>
          <w:tab w:leader="none" w:pos="28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connection with any legal, arbitral or other similar proceedings relating to any other Facility similar proceedings relating to any other Facility Documents and the Security Documents; or</w:t>
      </w:r>
    </w:p>
    <w:p>
      <w:pPr>
        <w:jc w:val="both"/>
        <w:ind w:firstLine="8"/>
        <w:spacing w:after="0" w:line="203" w:lineRule="auto"/>
        <w:tabs>
          <w:tab w:leader="none" w:pos="2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who may reasonably require information for the purpose of performing their services in relation to any Facility Documents and the Security Documents or to provide advice to the Bank in advice to the Bank in relation to any of the Facility Documents and relation to any of the Facility Documents and Security Documents subject to any such person being under an obligation of confidentiality ,</w:t>
      </w:r>
    </w:p>
    <w:p>
      <w:pPr>
        <w:spacing w:after="0" w:line="1" w:lineRule="exact"/>
        <w:rPr>
          <w:rFonts w:ascii="Arial" w:cs="Arial" w:eastAsia="Arial" w:hAnsi="Arial"/>
          <w:sz w:val="18"/>
          <w:szCs w:val="18"/>
          <w:color w:val="auto"/>
        </w:rPr>
      </w:pPr>
    </w:p>
    <w:p>
      <w:pPr>
        <w:ind w:left="240" w:hanging="232"/>
        <w:spacing w:after="0" w:line="203" w:lineRule="auto"/>
        <w:tabs>
          <w:tab w:leader="none" w:pos="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the prior written consent of the consent of the relevant Obligors, or</w:t>
      </w:r>
    </w:p>
    <w:p>
      <w:pPr>
        <w:jc w:val="both"/>
        <w:ind w:firstLine="8"/>
        <w:spacing w:after="0" w:line="215" w:lineRule="auto"/>
        <w:tabs>
          <w:tab w:leader="none" w:pos="25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any rating agency (to any rating agency (including its professional its professional advisers), any information about such Obligor, any member of the Group, the Facility Documents and the Security Documents or any other document relating to these Master Terms as the Bank shall consider appropriate. For the purposes of this Clause, "Bank Group" means the Bank and any of its branches, subsidiaries or affiliates in any jurisdiction.</w:t>
      </w:r>
    </w:p>
    <w:p>
      <w:pPr>
        <w:spacing w:after="0" w:line="1" w:lineRule="exact"/>
        <w:rPr>
          <w:rFonts w:ascii="Arial" w:cs="Arial" w:eastAsia="Arial" w:hAnsi="Arial"/>
          <w:sz w:val="17"/>
          <w:szCs w:val="17"/>
          <w:color w:val="auto"/>
        </w:rPr>
      </w:pPr>
    </w:p>
    <w:p>
      <w:pPr>
        <w:jc w:val="both"/>
        <w:spacing w:after="0" w:line="203" w:lineRule="auto"/>
        <w:rPr>
          <w:rFonts w:ascii="Arial" w:cs="Arial" w:eastAsia="Arial" w:hAnsi="Arial"/>
          <w:sz w:val="17"/>
          <w:szCs w:val="17"/>
          <w:color w:val="auto"/>
        </w:rPr>
      </w:pPr>
      <w:r>
        <w:rPr>
          <w:rFonts w:ascii="Arial" w:cs="Arial" w:eastAsia="Arial" w:hAnsi="Arial"/>
          <w:sz w:val="18"/>
          <w:szCs w:val="18"/>
          <w:color w:val="auto"/>
        </w:rPr>
        <w:t>24.18 Additional Borrower Provided that it is expressly permitted in the Facilities Letter and subject to compliance with Clause 20.3 (KYC on Additional Borrower), the Borrower may request that any of its subsidiaries becomes an Additional Borrower. That subsidiary shall (provided that the Bank agrees) become an Additional Borrower if: (a) the Borrower and subsidiary deliver to the Bank a duly completed and executed Accession Letter; and (b) the Bank has received all of the documents and other evidence as listed in Clause 6 of the Facilities Letter (Conditions Precedent) in relation to that Additional Borrower, each in form and substance satisfactory to the Bank.</w:t>
      </w:r>
    </w:p>
    <w:p>
      <w:pPr>
        <w:spacing w:after="0" w:line="2" w:lineRule="exact"/>
        <w:rPr>
          <w:rFonts w:ascii="Arial" w:cs="Arial" w:eastAsia="Arial" w:hAnsi="Arial"/>
          <w:sz w:val="17"/>
          <w:szCs w:val="17"/>
          <w:color w:val="auto"/>
        </w:rPr>
      </w:pPr>
    </w:p>
    <w:p>
      <w:pPr>
        <w:spacing w:after="0" w:line="203" w:lineRule="auto"/>
        <w:rPr>
          <w:rFonts w:ascii="Arial" w:cs="Arial" w:eastAsia="Arial" w:hAnsi="Arial"/>
          <w:sz w:val="17"/>
          <w:szCs w:val="17"/>
          <w:color w:val="auto"/>
        </w:rPr>
      </w:pPr>
      <w:r>
        <w:rPr>
          <w:rFonts w:ascii="Arial" w:cs="Arial" w:eastAsia="Arial" w:hAnsi="Arial"/>
          <w:sz w:val="18"/>
          <w:szCs w:val="18"/>
          <w:color w:val="auto"/>
        </w:rPr>
        <w:t>24.19 Basis of Accrual. Any commission or fee shall accrue from day to day and shall be calculated on the basis of a year of 360 days (or, in any case where market practice differs, in accordance with market practice) and the actual number of days elapsed.</w:t>
      </w:r>
    </w:p>
    <w:p>
      <w:pPr>
        <w:jc w:val="both"/>
        <w:ind w:right="20"/>
        <w:spacing w:after="0" w:line="203" w:lineRule="auto"/>
        <w:rPr>
          <w:rFonts w:ascii="Arial" w:cs="Arial" w:eastAsia="Arial" w:hAnsi="Arial"/>
          <w:sz w:val="17"/>
          <w:szCs w:val="17"/>
          <w:color w:val="auto"/>
        </w:rPr>
      </w:pPr>
      <w:r>
        <w:rPr>
          <w:rFonts w:ascii="Arial" w:cs="Arial" w:eastAsia="Arial" w:hAnsi="Arial"/>
          <w:sz w:val="18"/>
          <w:szCs w:val="18"/>
          <w:color w:val="auto"/>
        </w:rPr>
        <w:t>24.20 Evidence of Debt. The Bank shall maintain in accordance with its usual practice accounts evidencing the amounts from time to time lent by and owing to it hereunder; in any legal action or proceeding arising out of or in connection with these Master Terms, the entries made in such accounts shall be prima facie evidence of the existence and amounts of the obligations of the Obligors therein recorded.</w:t>
      </w:r>
    </w:p>
    <w:p>
      <w:pPr>
        <w:spacing w:after="0" w:line="1" w:lineRule="exact"/>
        <w:rPr>
          <w:rFonts w:ascii="Arial" w:cs="Arial" w:eastAsia="Arial" w:hAnsi="Arial"/>
          <w:sz w:val="17"/>
          <w:szCs w:val="17"/>
          <w:color w:val="auto"/>
        </w:rPr>
      </w:pPr>
    </w:p>
    <w:p>
      <w:pPr>
        <w:jc w:val="both"/>
        <w:spacing w:after="0" w:line="203" w:lineRule="auto"/>
        <w:rPr>
          <w:rFonts w:ascii="Arial" w:cs="Arial" w:eastAsia="Arial" w:hAnsi="Arial"/>
          <w:sz w:val="17"/>
          <w:szCs w:val="17"/>
          <w:color w:val="auto"/>
        </w:rPr>
      </w:pPr>
      <w:r>
        <w:rPr>
          <w:rFonts w:ascii="Arial" w:cs="Arial" w:eastAsia="Arial" w:hAnsi="Arial"/>
          <w:sz w:val="18"/>
          <w:szCs w:val="18"/>
          <w:color w:val="auto"/>
        </w:rPr>
        <w:t>24.21 Order Notes. If an Order Note delivered pursuant to the Facility Documents (an "Expiring Note") remains in issue on the date which falls eleven (11) months after the date on which it was issued (or such other period as the Bank may determine) the Borrower shall deliver to the Bank by such date a substitute Order Note in the same amount as the Expiring Note.</w:t>
      </w:r>
    </w:p>
    <w:p>
      <w:pPr>
        <w:spacing w:after="0" w:line="1" w:lineRule="exact"/>
        <w:rPr>
          <w:rFonts w:ascii="Arial" w:cs="Arial" w:eastAsia="Arial" w:hAnsi="Arial"/>
          <w:sz w:val="17"/>
          <w:szCs w:val="17"/>
          <w:color w:val="auto"/>
        </w:rPr>
      </w:pPr>
    </w:p>
    <w:p>
      <w:pPr>
        <w:jc w:val="both"/>
        <w:spacing w:after="0" w:line="215" w:lineRule="auto"/>
        <w:rPr>
          <w:rFonts w:ascii="Arial" w:cs="Arial" w:eastAsia="Arial" w:hAnsi="Arial"/>
          <w:sz w:val="17"/>
          <w:szCs w:val="17"/>
          <w:color w:val="auto"/>
        </w:rPr>
      </w:pPr>
      <w:r>
        <w:rPr>
          <w:rFonts w:ascii="Arial" w:cs="Arial" w:eastAsia="Arial" w:hAnsi="Arial"/>
          <w:sz w:val="17"/>
          <w:szCs w:val="17"/>
          <w:color w:val="auto"/>
        </w:rPr>
        <w:t>24.22 Remedies and Waivers. Neither failure by the Bank to exercise, nor any delay by the Bank in exercising, any right or remedy hereunder shall operate as a waiver thereof or constitute an election to affirm this document, nor shall any single or partial exercise of any right or remedy prevent any further or other exercise thereof or the exercise of any other right or remedy. No election to affirm this document on the part of the Bank shall be effective unless it is in writing. The rights and remedies herein provided are cumulative and not exclusive of any rights or remedies provided by law.</w:t>
      </w:r>
    </w:p>
    <w:p>
      <w:pPr>
        <w:spacing w:after="0" w:line="1" w:lineRule="exact"/>
        <w:rPr>
          <w:rFonts w:ascii="Arial" w:cs="Arial" w:eastAsia="Arial" w:hAnsi="Arial"/>
          <w:sz w:val="17"/>
          <w:szCs w:val="17"/>
          <w:color w:val="auto"/>
        </w:rPr>
      </w:pPr>
    </w:p>
    <w:p>
      <w:pPr>
        <w:jc w:val="both"/>
        <w:spacing w:after="0" w:line="203" w:lineRule="auto"/>
        <w:rPr>
          <w:rFonts w:ascii="Arial" w:cs="Arial" w:eastAsia="Arial" w:hAnsi="Arial"/>
          <w:sz w:val="17"/>
          <w:szCs w:val="17"/>
          <w:color w:val="auto"/>
        </w:rPr>
      </w:pPr>
      <w:r>
        <w:rPr>
          <w:rFonts w:ascii="Arial" w:cs="Arial" w:eastAsia="Arial" w:hAnsi="Arial"/>
          <w:sz w:val="18"/>
          <w:szCs w:val="18"/>
          <w:color w:val="auto"/>
        </w:rPr>
        <w:t>24.23 Partial Invalidity. If, at any time, any provision hereof is or becomes illegal, invalid or unenforceable in any respect under the law of any jurisdiction, neither the legality, validity or enforceability of the remaining provisions hereof nor the legality, validity or enforceability of such provision under the law of any other jurisdiction shall in any way be affected or impaired.</w:t>
      </w:r>
    </w:p>
    <w:p>
      <w:pPr>
        <w:spacing w:after="0" w:line="1" w:lineRule="exact"/>
        <w:rPr>
          <w:rFonts w:ascii="Arial" w:cs="Arial" w:eastAsia="Arial" w:hAnsi="Arial"/>
          <w:sz w:val="17"/>
          <w:szCs w:val="17"/>
          <w:color w:val="auto"/>
        </w:rPr>
      </w:pPr>
    </w:p>
    <w:p>
      <w:pPr>
        <w:ind w:right="3540"/>
        <w:spacing w:after="0" w:line="239" w:lineRule="auto"/>
        <w:rPr>
          <w:rFonts w:ascii="Arial" w:cs="Arial" w:eastAsia="Arial" w:hAnsi="Arial"/>
          <w:sz w:val="17"/>
          <w:szCs w:val="17"/>
          <w:color w:val="auto"/>
        </w:rPr>
      </w:pPr>
      <w:r>
        <w:rPr>
          <w:rFonts w:ascii="Arial" w:cs="Arial" w:eastAsia="Arial" w:hAnsi="Arial"/>
          <w:sz w:val="17"/>
          <w:szCs w:val="17"/>
          <w:color w:val="auto"/>
        </w:rPr>
        <w:t>24.24 Complaints. If the Borrower has any complaint with regard to the services provided by the Bank, the Borrower may refer to the Bank’s complaint handling procedures available at www.gib.com.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25. NOTICES</w:t>
      </w:r>
    </w:p>
    <w:p>
      <w:pPr>
        <w:jc w:val="both"/>
        <w:spacing w:after="0" w:line="218" w:lineRule="auto"/>
        <w:rPr>
          <w:sz w:val="20"/>
          <w:szCs w:val="20"/>
          <w:color w:val="auto"/>
        </w:rPr>
      </w:pPr>
      <w:r>
        <w:rPr>
          <w:rFonts w:ascii="Arial" w:cs="Arial" w:eastAsia="Arial" w:hAnsi="Arial"/>
          <w:sz w:val="18"/>
          <w:szCs w:val="18"/>
          <w:color w:val="auto"/>
        </w:rPr>
        <w:t>25.4 Arabic Language. Each communication and document made or delivered by one party to another pursuant to these Master Terms shall be in the English language or accompanied by a translation thereof into English certified (by an officer of the person making or delivering the same) as being a true and accurate translation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SCHEDULE 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1. Definitions and Interpretation</w:t>
      </w:r>
    </w:p>
    <w:p>
      <w:pPr>
        <w:spacing w:after="0" w:line="203" w:lineRule="auto"/>
        <w:rPr>
          <w:sz w:val="20"/>
          <w:szCs w:val="20"/>
          <w:color w:val="auto"/>
        </w:rPr>
      </w:pPr>
      <w:r>
        <w:rPr>
          <w:rFonts w:ascii="Arial" w:cs="Arial" w:eastAsia="Arial" w:hAnsi="Arial"/>
          <w:sz w:val="18"/>
          <w:szCs w:val="18"/>
          <w:color w:val="auto"/>
        </w:rPr>
        <w:t>"Compliance Certificate" means a certificate in form and substance satisfactory to the Bank acting reasonably.</w:t>
      </w:r>
    </w:p>
    <w:p>
      <w:pPr>
        <w:spacing w:after="0"/>
        <w:rPr>
          <w:sz w:val="20"/>
          <w:szCs w:val="20"/>
          <w:color w:val="auto"/>
        </w:rPr>
      </w:pPr>
      <w:r>
        <w:rPr>
          <w:rFonts w:ascii="Arial" w:cs="Arial" w:eastAsia="Arial" w:hAnsi="Arial"/>
          <w:sz w:val="18"/>
          <w:szCs w:val="18"/>
          <w:color w:val="auto"/>
        </w:rPr>
        <w:t>"Finance Document" means these Master Terms and Conditions and the Facility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14 of 16</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2. Interpretation. Any reference in these Master Terms to:</w:t>
      </w:r>
    </w:p>
    <w:p>
      <w:pPr>
        <w:spacing w:after="0"/>
        <w:rPr>
          <w:sz w:val="20"/>
          <w:szCs w:val="20"/>
          <w:color w:val="auto"/>
        </w:rPr>
      </w:pPr>
      <w:r>
        <w:rPr>
          <w:rFonts w:ascii="Arial" w:cs="Arial" w:eastAsia="Arial" w:hAnsi="Arial"/>
          <w:sz w:val="18"/>
          <w:szCs w:val="18"/>
          <w:color w:val="auto"/>
        </w:rPr>
        <w:t>an Event of Default is "continuing" if it has not been remedied or waived.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SCHEDULE 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Events of Default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1. Events of Default. Each of the following events and circumstances shall be an Event of Default:</w:t>
      </w:r>
    </w:p>
    <w:p>
      <w:pPr>
        <w:ind w:firstLine="8"/>
        <w:spacing w:after="0" w:line="203" w:lineRule="auto"/>
        <w:tabs>
          <w:tab w:leader="none" w:pos="2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Obligor fails to pay any sum payable by it to the Bank in in respect of any the Borrower’s liabilities within five (5) business days of its due date where the delay is due to payments system failure or administrative error, or otherwise on its due date ;</w:t>
      </w:r>
    </w:p>
    <w:p>
      <w:pPr>
        <w:jc w:val="both"/>
        <w:ind w:firstLine="8"/>
        <w:spacing w:after="0" w:line="228" w:lineRule="auto"/>
        <w:tabs>
          <w:tab w:leader="none" w:pos="2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Obligor or any Security Provider fails duly perform or comply with any of its/his respective obligations under any Facility Document, these Master Terms or any Security Document, these Master Terms or any Security Document (other than those which are the subject of Clause 1 (Events of Default) and, in respect only of a failure which is capable of remedy, does not remedy such failure within 21 days (or such longer period as the Bank may approve) from the first to occur of (i) the Borrower becoming aware of the relevant failure and (ii) receipt of written notice from the Bank requiring it to do so;</w:t>
      </w:r>
    </w:p>
    <w:p>
      <w:pPr>
        <w:spacing w:after="0" w:line="2" w:lineRule="exact"/>
        <w:rPr>
          <w:rFonts w:ascii="Arial" w:cs="Arial" w:eastAsia="Arial" w:hAnsi="Arial"/>
          <w:sz w:val="16"/>
          <w:szCs w:val="16"/>
          <w:color w:val="auto"/>
        </w:rPr>
      </w:pPr>
    </w:p>
    <w:p>
      <w:pPr>
        <w:jc w:val="both"/>
        <w:ind w:firstLine="8"/>
        <w:spacing w:after="0" w:line="203" w:lineRule="auto"/>
        <w:tabs>
          <w:tab w:leader="none" w:pos="251"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representation or warranty made or deemed to be made by any Obligor or any Security Provider in or in connection with any Facility Document, these Master Terms or any Security Document proves to have been incorrect or misleading in any respect which is material and which is not remedied within 30 days (or such longer period as the Bank may approve) from the first to occur of (i) the Borrower becoming aware of the relevant misrepresentation and (ii) receipt of written notice from the Bank requiring it to do so;</w:t>
      </w:r>
    </w:p>
    <w:p>
      <w:pPr>
        <w:spacing w:after="0" w:line="1" w:lineRule="exact"/>
        <w:rPr>
          <w:rFonts w:ascii="Arial" w:cs="Arial" w:eastAsia="Arial" w:hAnsi="Arial"/>
          <w:sz w:val="18"/>
          <w:szCs w:val="18"/>
          <w:color w:val="auto"/>
        </w:rPr>
      </w:pPr>
    </w:p>
    <w:p>
      <w:pPr>
        <w:ind w:firstLine="8"/>
        <w:spacing w:after="0" w:line="203" w:lineRule="auto"/>
        <w:tabs>
          <w:tab w:leader="none" w:pos="25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indebtedness of any Obligor in an aggregate amount exceeding SAR 150,000,000 becomes payable or capable of being declared payable before its or capable of being declared payable before its stated maturity or is not paid when due;</w:t>
      </w:r>
    </w:p>
    <w:p>
      <w:pPr>
        <w:ind w:left="260" w:hanging="252"/>
        <w:spacing w:after="0" w:line="203" w:lineRule="auto"/>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occurrence of a Liability Event.</w:t>
      </w:r>
    </w:p>
    <w:p>
      <w:pPr>
        <w:ind w:firstLine="8"/>
        <w:spacing w:after="0" w:line="203" w:lineRule="auto"/>
        <w:tabs>
          <w:tab w:leader="none" w:pos="2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execution, attachment or other legal process or other legal process is made or enforced against all or any part the business or assets of an Obligor and is not complied with or discharged within 60 days;</w:t>
      </w:r>
    </w:p>
    <w:p>
      <w:pPr>
        <w:jc w:val="both"/>
        <w:ind w:firstLine="8"/>
        <w:spacing w:after="0" w:line="203" w:lineRule="auto"/>
        <w:tabs>
          <w:tab w:leader="none" w:pos="2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Including pursuant to the Insolvency Regulations, a petition is presented or a proceeding is commenced or an order is made or an effective resolution is passed or a notice is issued convening any meeting for the purpose of passing any resolution or any other step is taken for the winding--up, insolvency, bankruptcy, up, insolvency, bankruptcy, reorganisation or reconstruction of an Obligor , or for the appointment of a liquidator, for the appointment of a liquidator, receiver, trustee or similar officer of an Obligor or of all or any part of its business or assets save where there is a petition which is being contested in good faith which is dismissed within 60 days;</w:t>
      </w:r>
    </w:p>
    <w:p>
      <w:pPr>
        <w:spacing w:after="0" w:line="2" w:lineRule="exact"/>
        <w:rPr>
          <w:rFonts w:ascii="Arial" w:cs="Arial" w:eastAsia="Arial" w:hAnsi="Arial"/>
          <w:sz w:val="18"/>
          <w:szCs w:val="18"/>
          <w:color w:val="auto"/>
        </w:rPr>
      </w:pPr>
    </w:p>
    <w:p>
      <w:pPr>
        <w:jc w:val="both"/>
        <w:ind w:firstLine="8"/>
        <w:spacing w:after="0" w:line="215" w:lineRule="auto"/>
        <w:tabs>
          <w:tab w:leader="none" w:pos="258"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 Obligor stops or suspends payments to its creditors or any class of its creditors, or is unable or under applicable law is deemed to be unable or to be unable or admits its inability to pay its debts as they fall due, or seeks to enter into any composition or other arrangement with its creditors or any class of its creditors or commences any process for the relief of debtors, or is or is declared or becomes insolvent or bankrupt;</w:t>
      </w:r>
    </w:p>
    <w:p>
      <w:pPr>
        <w:spacing w:after="0" w:line="1" w:lineRule="exact"/>
        <w:rPr>
          <w:rFonts w:ascii="Arial" w:cs="Arial" w:eastAsia="Arial" w:hAnsi="Arial"/>
          <w:sz w:val="17"/>
          <w:szCs w:val="17"/>
          <w:color w:val="auto"/>
        </w:rPr>
      </w:pPr>
    </w:p>
    <w:p>
      <w:pPr>
        <w:jc w:val="both"/>
        <w:ind w:firstLine="8"/>
        <w:spacing w:after="0" w:line="203" w:lineRule="auto"/>
        <w:tabs>
          <w:tab w:leader="none" w:pos="2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Obligor ceases to carry on all or any substantial part of its business (save that the Borrower changing the number or types of electric vehicle models it manufactures, or switching between semi knock-down and complete build up operations, or changes to its research and development activities, shall not constitute ceasing to carry on a substantial part of the business);</w:t>
      </w:r>
    </w:p>
    <w:p>
      <w:pPr>
        <w:spacing w:after="0" w:line="1" w:lineRule="exact"/>
        <w:rPr>
          <w:rFonts w:ascii="Arial" w:cs="Arial" w:eastAsia="Arial" w:hAnsi="Arial"/>
          <w:sz w:val="18"/>
          <w:szCs w:val="18"/>
          <w:color w:val="auto"/>
        </w:rPr>
      </w:pPr>
    </w:p>
    <w:p>
      <w:pPr>
        <w:jc w:val="both"/>
        <w:ind w:firstLine="8"/>
        <w:spacing w:after="0" w:line="215" w:lineRule="auto"/>
        <w:tabs>
          <w:tab w:leader="none" w:pos="2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of the authorisations required in connection with the entry into, performance, validity and enforceability of any Facility Document, the enforceability of any Facility Document, the Master Terms, the Order Notes and Master Terms, the Order Notes and the Security Documents and the transactions contemplated hereby and thereby ceases to be in full force and effect in a respect which is material and is not remedied with 30 days from the first to occur of (i) the Borrower becoming aware of the relevant issue and (ii) receipt of written notice from the Bank requiring it to do so,;</w:t>
      </w:r>
    </w:p>
    <w:p>
      <w:pPr>
        <w:spacing w:after="0" w:line="1" w:lineRule="exact"/>
        <w:rPr>
          <w:rFonts w:ascii="Arial" w:cs="Arial" w:eastAsia="Arial" w:hAnsi="Arial"/>
          <w:sz w:val="17"/>
          <w:szCs w:val="17"/>
          <w:color w:val="auto"/>
        </w:rPr>
      </w:pPr>
    </w:p>
    <w:p>
      <w:pPr>
        <w:jc w:val="both"/>
        <w:ind w:firstLine="8"/>
        <w:spacing w:after="0" w:line="215" w:lineRule="auto"/>
        <w:tabs>
          <w:tab w:leader="none" w:pos="258"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change in any law or regulation, does or purports to vary (in a respect which is adverse to the Bank), suspend, terminate or excuse performance by the Borrower or any other Obligor of any of its respective obligations under as under any Facility Document in a respect which is material, these Master Terms, any Order Note or any Security Document, or any material provision hereof or thereof ceases for any reason to be in full force effect or becomes unenforceable, , it becomes unlawful or impossible, in a respect which is material, for the Borrower or any other Obligor to perform any of its respective obligations under any Facility Document, these Master Terms, any Order Note or Document, these Master Terms, any Order Note or any Security Document or for the Bank to exercise all or any of its rights, powers and all or any of its rights, powers and remedies hereunder or thereunder which, in the case of any of the foregoing, is not remedied within 30 days from the first to occur of (i) the Borrower becoming aware of the relevant issue and (ii) receipt of written notice from the Bank requiring it to do so, or the Borrower or any other Obligor disputes the validity or other Obligor disputes the validity or enforceability of or purports to terminate or repudiates any Facility Document, these Master Terms, any Order Note or any Security Document, or the Borrower or any other Obligor disputes the validity repudiates any Facility Document, these Master Terms, any Order Note or any Security Document in any material respect as constituting its legal, valid and binding obligations (excluding interpretative disputes about the meaning of provisions or their application to a particular set of facts);</w:t>
      </w:r>
    </w:p>
    <w:p>
      <w:pPr>
        <w:spacing w:after="0" w:line="4" w:lineRule="exact"/>
        <w:rPr>
          <w:rFonts w:ascii="Arial" w:cs="Arial" w:eastAsia="Arial" w:hAnsi="Arial"/>
          <w:sz w:val="17"/>
          <w:szCs w:val="17"/>
          <w:color w:val="auto"/>
        </w:rPr>
      </w:pPr>
    </w:p>
    <w:p>
      <w:pPr>
        <w:ind w:firstLine="8"/>
        <w:spacing w:after="0" w:line="226" w:lineRule="auto"/>
        <w:tabs>
          <w:tab w:leader="none" w:pos="21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event occurs which materially adversely affects the ability of an Obligor or Security Provider to perform its obligations under any Facility Document or any Security Document or the enforceability or priority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15 of 16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under any Facility Document or ay Security Document has been or will be materially and adversely affected; and/or</w:t>
      </w:r>
    </w:p>
    <w:p>
      <w:pPr>
        <w:jc w:val="both"/>
        <w:ind w:firstLine="8"/>
        <w:spacing w:after="0" w:line="218" w:lineRule="auto"/>
        <w:tabs>
          <w:tab w:leader="none" w:pos="2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By or under the authority of the government of Saudi Arabia, equity, board or management control is taken over any Obligor the whole or any part (the book value of which is 60 per cent or more of the book value of the whole) of its revenues or assets are seized, nationalised, expropriated or compulsorily acquired.</w:t>
      </w:r>
    </w:p>
    <w:p>
      <w:pPr>
        <w:spacing w:after="0" w:line="189" w:lineRule="exact"/>
        <w:rPr>
          <w:sz w:val="20"/>
          <w:szCs w:val="20"/>
          <w:color w:val="auto"/>
        </w:rPr>
      </w:pPr>
    </w:p>
    <w:p>
      <w:pPr>
        <w:jc w:val="both"/>
        <w:ind w:firstLine="8"/>
        <w:spacing w:after="0" w:line="214" w:lineRule="auto"/>
        <w:tabs>
          <w:tab w:leader="none" w:pos="196"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Acceleration and Cancellation. At any time when an Event of Default has occurred and is continuing the Bank shall be entitled, notwithstanding any provision, express or implied, in any Facility Document, by notice to the Obligor: (a) require the Obligors immediately to pay all amounts payable by the Borrower under any relevant Facility Document, where upon they shall become immediately due and payable; and/or (b) require an Obligor to place and maintain on deposit in an account designated for this purpose by the Bank such amount by way of cash cover as the Bank considers in its absolute discretion will be sufficient to meet the Borrower liabilities to the Bank; and/or (c) exercise its right against an Obligor or under a guarantee or a Security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16 of 16</w:t>
      </w:r>
    </w:p>
    <w:p>
      <w:pPr>
        <w:sectPr>
          <w:pgSz w:w="11900" w:h="16838" w:orient="portrait"/>
          <w:cols w:equalWidth="0" w:num="1">
            <w:col w:w="11240"/>
          </w:cols>
          <w:pgMar w:left="320" w:top="1440"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Peter Rawlinson, certify that:</w:t>
      </w:r>
    </w:p>
    <w:p>
      <w:pPr>
        <w:spacing w:after="0" w:line="117"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right="140" w:hanging="320"/>
        <w:spacing w:after="0" w:line="277"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August 3, 2022</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Rawlinson</w:t>
            </w:r>
          </w:p>
        </w:tc>
      </w:tr>
      <w:tr>
        <w:trPr>
          <w:trHeight w:val="222"/>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Peter Rawlinson</w:t>
            </w:r>
          </w:p>
        </w:tc>
      </w:tr>
      <w:tr>
        <w:trPr>
          <w:trHeight w:val="230"/>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230"/>
        </w:trPr>
        <w:tc>
          <w:tcPr>
            <w:tcW w:w="592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9"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Sherry House, certify that:</w:t>
      </w:r>
    </w:p>
    <w:p>
      <w:pPr>
        <w:spacing w:after="0" w:line="11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right="140" w:hanging="320"/>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August 3, 2022</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Sherry House</w:t>
            </w:r>
          </w:p>
        </w:tc>
      </w:tr>
      <w:tr>
        <w:trPr>
          <w:trHeight w:val="222"/>
        </w:trPr>
        <w:tc>
          <w:tcPr>
            <w:tcW w:w="59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Sherry House</w:t>
            </w:r>
          </w:p>
        </w:tc>
      </w:tr>
      <w:tr>
        <w:trPr>
          <w:trHeight w:val="230"/>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592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039"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spacing w:after="0" w:line="62" w:lineRule="exact"/>
        <w:rPr>
          <w:sz w:val="20"/>
          <w:szCs w:val="20"/>
          <w:color w:val="auto"/>
        </w:rPr>
      </w:pPr>
    </w:p>
    <w:p>
      <w:pPr>
        <w:ind w:left="820" w:hanging="326"/>
        <w:spacing w:after="0" w:line="277" w:lineRule="auto"/>
        <w:tabs>
          <w:tab w:leader="none" w:pos="8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2022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August 3, 2022</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Rawlinson</w:t>
            </w:r>
          </w:p>
        </w:tc>
      </w:tr>
      <w:tr>
        <w:trPr>
          <w:trHeight w:val="222"/>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Peter Rawlinson</w:t>
            </w:r>
          </w:p>
        </w:tc>
      </w:tr>
      <w:tr>
        <w:trPr>
          <w:trHeight w:val="229"/>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230"/>
        </w:trPr>
        <w:tc>
          <w:tcPr>
            <w:tcW w:w="59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9"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 Sherry House, Chief Financial Officer of Lucid Group, Inc. (the “Company”), certify, as of the date hereof and solely for purposes of and pursuant to 18 U.S.C. Section 1350 as adopted pursuant to Section 906 of the Sarbanes-Oxley Act of 2002, that, to my knowledge:</w:t>
      </w:r>
    </w:p>
    <w:p>
      <w:pPr>
        <w:spacing w:after="0" w:line="62" w:lineRule="exact"/>
        <w:rPr>
          <w:sz w:val="20"/>
          <w:szCs w:val="20"/>
          <w:color w:val="auto"/>
        </w:rPr>
      </w:pPr>
    </w:p>
    <w:p>
      <w:pPr>
        <w:ind w:left="820" w:hanging="326"/>
        <w:spacing w:after="0" w:line="277" w:lineRule="auto"/>
        <w:tabs>
          <w:tab w:leader="none" w:pos="8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2022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 August 3, 2022</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Sherry House</w:t>
            </w:r>
          </w:p>
        </w:tc>
      </w:tr>
      <w:tr>
        <w:trPr>
          <w:trHeight w:val="222"/>
        </w:trPr>
        <w:tc>
          <w:tcPr>
            <w:tcW w:w="5700" w:type="dxa"/>
            <w:vAlign w:val="bottom"/>
          </w:tcPr>
          <w:p>
            <w:pPr>
              <w:spacing w:after="0"/>
              <w:rPr>
                <w:sz w:val="19"/>
                <w:szCs w:val="19"/>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Sherry House</w:t>
            </w:r>
          </w:p>
        </w:tc>
      </w:tr>
      <w:tr>
        <w:trPr>
          <w:trHeight w:val="230"/>
        </w:trPr>
        <w:tc>
          <w:tcPr>
            <w:tcW w:w="5700" w:type="dxa"/>
            <w:vAlign w:val="bottom"/>
          </w:tcPr>
          <w:p>
            <w:pPr>
              <w:spacing w:after="0"/>
              <w:rPr>
                <w:sz w:val="19"/>
                <w:szCs w:val="19"/>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70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x"/>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lowerRoman"/>
      <w:start w:val="6"/>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3"/>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1)"/>
      <w:numFmt w:val="upperLetter"/>
      <w:start w:val="1"/>
    </w:lvl>
  </w:abstractNum>
  <w:abstractNum w:abstractNumId="45">
    <w:nsid w:val="1CF10FD8"/>
    <w:multiLevelType w:val="hybridMultilevel"/>
    <w:lvl w:ilvl="0">
      <w:lvlJc w:val="left"/>
      <w:lvlText w:val="%1."/>
      <w:numFmt w:val="decimal"/>
      <w:start w:val="2"/>
    </w:lvl>
  </w:abstractNum>
  <w:abstractNum w:abstractNumId="46">
    <w:nsid w:val="180115BE"/>
    <w:multiLevelType w:val="hybridMultilevel"/>
    <w:lvl w:ilvl="0">
      <w:lvlJc w:val="left"/>
      <w:lvlText w:val="%1."/>
      <w:numFmt w:val="decimal"/>
      <w:start w:val="3"/>
    </w:lvl>
    <w:lvl w:ilvl="1">
      <w:lvlJc w:val="left"/>
      <w:lvlText w:val="(%2)"/>
      <w:numFmt w:val="lowerLetter"/>
      <w:start w:val="1"/>
    </w:lvl>
  </w:abstractNum>
  <w:abstractNum w:abstractNumId="47">
    <w:nsid w:val="235BA861"/>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48">
    <w:nsid w:val="47398C89"/>
    <w:multiLevelType w:val="hybridMultilevel"/>
    <w:lvl w:ilvl="0">
      <w:lvlJc w:val="left"/>
      <w:lvlText w:val="(%1)"/>
      <w:numFmt w:val="lowerRoman"/>
      <w:start w:val="3"/>
    </w:lvl>
    <w:lvl w:ilvl="1">
      <w:lvlJc w:val="left"/>
      <w:lvlText w:val="%2"/>
      <w:numFmt w:val="lowerRoman"/>
      <w:start w:val="1"/>
    </w:lvl>
    <w:lvl w:ilvl="2">
      <w:lvlJc w:val="left"/>
      <w:lvlText w:val="•"/>
      <w:numFmt w:val="bullet"/>
      <w:start w:val="1"/>
    </w:lvl>
  </w:abstractNum>
  <w:abstractNum w:abstractNumId="49">
    <w:nsid w:val="354FE9F9"/>
    <w:multiLevelType w:val="hybridMultilevel"/>
    <w:lvl w:ilvl="0">
      <w:lvlJc w:val="left"/>
      <w:lvlText w:val="(%1)"/>
      <w:numFmt w:val="lowerRoman"/>
      <w:start w:val="4"/>
    </w:lvl>
  </w:abstractNum>
  <w:abstractNum w:abstractNumId="50">
    <w:nsid w:val="15B5AF5C"/>
    <w:multiLevelType w:val="hybridMultilevel"/>
    <w:lvl w:ilvl="0">
      <w:lvlJc w:val="left"/>
      <w:lvlText w:val="%1."/>
      <w:numFmt w:val="decimal"/>
      <w:start w:val="5"/>
    </w:lvl>
  </w:abstractNum>
  <w:abstractNum w:abstractNumId="51">
    <w:nsid w:val="741226BB"/>
    <w:multiLevelType w:val="hybridMultilevel"/>
    <w:lvl w:ilvl="0">
      <w:lvlJc w:val="left"/>
      <w:lvlText w:val="(%1)"/>
      <w:numFmt w:val="lowerLetter"/>
      <w:start w:val="1"/>
    </w:lvl>
    <w:lvl w:ilvl="1">
      <w:lvlJc w:val="left"/>
      <w:lvlText w:val="(%2)"/>
      <w:numFmt w:val="lowerRoman"/>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1"/>
      <w:numFmt w:val="bullet"/>
      <w:start w:val="1"/>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decimal"/>
      <w:start w:val="15"/>
    </w:lvl>
  </w:abstractNum>
  <w:abstractNum w:abstractNumId="58">
    <w:nsid w:val="579BE4F1"/>
    <w:multiLevelType w:val="hybridMultilevel"/>
    <w:lvl w:ilvl="0">
      <w:lvlJc w:val="left"/>
      <w:lvlText w:val="%1."/>
      <w:numFmt w:val="decimal"/>
      <w:start w:val="22"/>
    </w:lvl>
  </w:abstractNum>
  <w:abstractNum w:abstractNumId="59">
    <w:nsid w:val="310C50B3"/>
    <w:multiLevelType w:val="hybridMultilevel"/>
    <w:lvl w:ilvl="0">
      <w:lvlJc w:val="left"/>
      <w:lvlText w:val="(%1)"/>
      <w:numFmt w:val="lowerLetter"/>
      <w:start w:val="2"/>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lowerLetter"/>
      <w:start w:val="14"/>
    </w:lvl>
  </w:abstractNum>
  <w:abstractNum w:abstractNumId="63">
    <w:nsid w:val="1DBABF00"/>
    <w:multiLevelType w:val="hybridMultilevel"/>
    <w:lvl w:ilvl="0">
      <w:lvlJc w:val="left"/>
      <w:lvlText w:val="%1."/>
      <w:numFmt w:val="decimal"/>
      <w:start w:val="2"/>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lowerLetter"/>
      <w:start w:val="1"/>
    </w:lvl>
  </w:abstractNum>
  <w:abstractNum w:abstractNumId="67">
    <w:nsid w:val="5DB70AE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28" Type="http://schemas.openxmlformats.org/officeDocument/2006/relationships/hyperlink" Target="https://www.sec.gov/Archives/edgar/data/1811210/000162828022012681/q12210q-ex103.htm" TargetMode="External"/><Relationship Id="rId129" Type="http://schemas.openxmlformats.org/officeDocument/2006/relationships/hyperlink" Target="https://www.sec.gov/Archives/edgar/data/1811210/000110465922071262/tm2218210d4_ex10-1.htm" TargetMode="External"/><Relationship Id="rId130" Type="http://schemas.openxmlformats.org/officeDocument/2006/relationships/hyperlink" Target="https://www.sec.gov/Archives/edgar/data/1811210/000110465922070525/tm221821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2022-08-03T15:32:57Z</dcterms:created>
  <dcterms:modified xsi:type="dcterms:W3CDTF">2022-08-03T15:32:57Z</dcterms:modified>
</cp:coreProperties>
</file>