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10,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spacing w:after="0"/>
              <w:rPr>
                <w:sz w:val="18"/>
                <w:szCs w:val="18"/>
                <w:color w:val="auto"/>
              </w:rPr>
            </w:pPr>
          </w:p>
        </w:tc>
      </w:tr>
      <w:tr>
        <w:trPr>
          <w:trHeight w:val="234"/>
        </w:trPr>
        <w:tc>
          <w:tcPr>
            <w:tcW w:w="4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0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jc w:val="both"/>
        <w:ind w:left="92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Equity Long-Term Incentive Program</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On September 10, 2023,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Lucid Group, Inc. (the “</w:t>
      </w:r>
      <w:r>
        <w:rPr>
          <w:rFonts w:ascii="Arial" w:cs="Arial" w:eastAsia="Arial" w:hAnsi="Arial"/>
          <w:sz w:val="17"/>
          <w:szCs w:val="17"/>
          <w:b w:val="1"/>
          <w:bCs w:val="1"/>
          <w:color w:val="auto"/>
        </w:rPr>
        <w:t>Company</w:t>
      </w:r>
      <w:r>
        <w:rPr>
          <w:rFonts w:ascii="Arial" w:cs="Arial" w:eastAsia="Arial" w:hAnsi="Arial"/>
          <w:sz w:val="17"/>
          <w:szCs w:val="17"/>
          <w:color w:val="auto"/>
        </w:rPr>
        <w:t>”), upon the recommendation of the Compensation Committee of the Board (the “</w:t>
      </w:r>
      <w:r>
        <w:rPr>
          <w:rFonts w:ascii="Arial" w:cs="Arial" w:eastAsia="Arial" w:hAnsi="Arial"/>
          <w:sz w:val="17"/>
          <w:szCs w:val="17"/>
          <w:b w:val="1"/>
          <w:bCs w:val="1"/>
          <w:color w:val="auto"/>
        </w:rPr>
        <w:t>Compensation Committee</w:t>
      </w:r>
      <w:r>
        <w:rPr>
          <w:rFonts w:ascii="Arial" w:cs="Arial" w:eastAsia="Arial" w:hAnsi="Arial"/>
          <w:sz w:val="17"/>
          <w:szCs w:val="17"/>
          <w:color w:val="auto"/>
        </w:rPr>
        <w:t>”), approved the below annual equity awards for the below named executive officers of the Company (the “</w:t>
      </w:r>
      <w:r>
        <w:rPr>
          <w:rFonts w:ascii="Arial" w:cs="Arial" w:eastAsia="Arial" w:hAnsi="Arial"/>
          <w:sz w:val="17"/>
          <w:szCs w:val="17"/>
          <w:b w:val="1"/>
          <w:bCs w:val="1"/>
          <w:color w:val="auto"/>
        </w:rPr>
        <w:t>NEOs</w:t>
      </w:r>
      <w:r>
        <w:rPr>
          <w:rFonts w:ascii="Arial" w:cs="Arial" w:eastAsia="Arial" w:hAnsi="Arial"/>
          <w:sz w:val="17"/>
          <w:szCs w:val="17"/>
          <w:color w:val="auto"/>
        </w:rPr>
        <w:t>”) pursuant to a new 2023 equity award framework, comprised of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performance stock units (“</w:t>
      </w:r>
      <w:r>
        <w:rPr>
          <w:rFonts w:ascii="Arial" w:cs="Arial" w:eastAsia="Arial" w:hAnsi="Arial"/>
          <w:sz w:val="17"/>
          <w:szCs w:val="17"/>
          <w:b w:val="1"/>
          <w:bCs w:val="1"/>
          <w:color w:val="auto"/>
        </w:rPr>
        <w:t>PSUs</w:t>
      </w:r>
      <w:r>
        <w:rPr>
          <w:rFonts w:ascii="Arial" w:cs="Arial" w:eastAsia="Arial" w:hAnsi="Arial"/>
          <w:sz w:val="17"/>
          <w:szCs w:val="17"/>
          <w:color w:val="auto"/>
        </w:rPr>
        <w:t>”) (based on the target number of PSUs) and premium-priced stock options (“</w:t>
      </w:r>
      <w:r>
        <w:rPr>
          <w:rFonts w:ascii="Arial" w:cs="Arial" w:eastAsia="Arial" w:hAnsi="Arial"/>
          <w:sz w:val="17"/>
          <w:szCs w:val="17"/>
          <w:b w:val="1"/>
          <w:bCs w:val="1"/>
          <w:color w:val="auto"/>
        </w:rPr>
        <w:t>Premium-Priced Options</w:t>
      </w:r>
      <w:r>
        <w:rPr>
          <w:rFonts w:ascii="Arial" w:cs="Arial" w:eastAsia="Arial" w:hAnsi="Arial"/>
          <w:sz w:val="17"/>
          <w:szCs w:val="17"/>
          <w:color w:val="auto"/>
        </w:rPr>
        <w:t>”).</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Name and Title</w:t>
            </w:r>
          </w:p>
        </w:tc>
        <w:tc>
          <w:tcPr>
            <w:tcW w:w="2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Number of RSUs</w:t>
            </w:r>
          </w:p>
        </w:tc>
        <w:tc>
          <w:tcPr>
            <w:tcW w:w="2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Target Number of PSUs</w:t>
            </w:r>
          </w:p>
        </w:tc>
        <w:tc>
          <w:tcPr>
            <w:tcW w:w="2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Number of Premium-Priced</w:t>
            </w:r>
          </w:p>
        </w:tc>
      </w:tr>
      <w:tr>
        <w:trPr>
          <w:trHeight w:val="234"/>
        </w:trPr>
        <w:tc>
          <w:tcPr>
            <w:tcW w:w="660" w:type="dxa"/>
            <w:vAlign w:val="bottom"/>
            <w:tcBorders>
              <w:left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Options</w:t>
            </w: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Sherry House</w:t>
            </w:r>
          </w:p>
        </w:tc>
        <w:tc>
          <w:tcPr>
            <w:tcW w:w="2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817,327</w:t>
            </w:r>
          </w:p>
        </w:tc>
        <w:tc>
          <w:tcPr>
            <w:tcW w:w="2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r>
      <w:tr>
        <w:trPr>
          <w:trHeight w:val="230"/>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i w:val="1"/>
                <w:iCs w:val="1"/>
                <w:color w:val="auto"/>
              </w:rPr>
              <w:t>Chief Financial Officer</w:t>
            </w:r>
          </w:p>
        </w:tc>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Eric Bach</w:t>
            </w:r>
          </w:p>
        </w:tc>
        <w:tc>
          <w:tcPr>
            <w:tcW w:w="2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817,327</w:t>
            </w:r>
          </w:p>
        </w:tc>
        <w:tc>
          <w:tcPr>
            <w:tcW w:w="2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r>
      <w:tr>
        <w:trPr>
          <w:trHeight w:val="216"/>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i w:val="1"/>
                <w:iCs w:val="1"/>
                <w:color w:val="auto"/>
              </w:rPr>
              <w:t>Senior Vice President, Product and Chief</w:t>
            </w:r>
          </w:p>
        </w:tc>
        <w:tc>
          <w:tcPr>
            <w:tcW w:w="24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i w:val="1"/>
                <w:iCs w:val="1"/>
                <w:color w:val="auto"/>
              </w:rPr>
              <w:t>Engineer</w:t>
            </w:r>
          </w:p>
        </w:tc>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Michael Bell</w:t>
            </w:r>
          </w:p>
        </w:tc>
        <w:tc>
          <w:tcPr>
            <w:tcW w:w="2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817,327</w:t>
            </w:r>
          </w:p>
        </w:tc>
        <w:tc>
          <w:tcPr>
            <w:tcW w:w="24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408,663</w:t>
            </w:r>
          </w:p>
        </w:tc>
      </w:tr>
      <w:tr>
        <w:trPr>
          <w:trHeight w:val="230"/>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i w:val="1"/>
                <w:iCs w:val="1"/>
                <w:color w:val="auto"/>
              </w:rPr>
              <w:t>Senior Vice President, Digital</w:t>
            </w:r>
          </w:p>
        </w:tc>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385"/>
        </w:trPr>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RSUs</w:t>
            </w:r>
          </w:p>
        </w:tc>
        <w:tc>
          <w:tcPr>
            <w:tcW w:w="2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RSUs will vest over four years, with 1/8 vesting on the grant date, and the remainder vesting in equal quarterly installments of 1/16, subject to the NEO’s continued employment through the applicable vesting dates. The RSUs were granted under the Plan using an RSU award agreement substantially consistent with the form of RSU award agreement previously filed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PSUs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number of PSUs earned pursuant to the PSU awards will be between 0% and 150% of an NEO’s target number of PSUs and will be determined based on the level of achievement of revenue, gross margin, and free cash flow performance goals (the “</w:t>
      </w:r>
      <w:r>
        <w:rPr>
          <w:rFonts w:ascii="Arial" w:cs="Arial" w:eastAsia="Arial" w:hAnsi="Arial"/>
          <w:sz w:val="16"/>
          <w:szCs w:val="16"/>
          <w:b w:val="1"/>
          <w:bCs w:val="1"/>
          <w:color w:val="auto"/>
        </w:rPr>
        <w:t>Performance Goals</w:t>
      </w:r>
      <w:r>
        <w:rPr>
          <w:rFonts w:ascii="Arial" w:cs="Arial" w:eastAsia="Arial" w:hAnsi="Arial"/>
          <w:sz w:val="16"/>
          <w:szCs w:val="16"/>
          <w:color w:val="auto"/>
        </w:rPr>
        <w:t>”), in each case, as measured over the period from January 1, 2023 through December 31, 2023 (the “</w:t>
      </w:r>
      <w:r>
        <w:rPr>
          <w:rFonts w:ascii="Arial" w:cs="Arial" w:eastAsia="Arial" w:hAnsi="Arial"/>
          <w:sz w:val="16"/>
          <w:szCs w:val="16"/>
          <w:b w:val="1"/>
          <w:bCs w:val="1"/>
          <w:color w:val="auto"/>
        </w:rPr>
        <w:t>Performance Period</w:t>
      </w:r>
      <w:r>
        <w:rPr>
          <w:rFonts w:ascii="Arial" w:cs="Arial" w:eastAsia="Arial" w:hAnsi="Arial"/>
          <w:sz w:val="16"/>
          <w:szCs w:val="16"/>
          <w:color w:val="auto"/>
        </w:rPr>
        <w:t>”) and as adjusted by an individual performance multiplier. Any earned PSUs will vest (i) 1/3 on the later of March 5, 2024 and the date that the level of achievement with respect to the Performance Goals is certified and (ii) 2/3 in equal quarterly installments thereafter, subject to the NEO’s continued employment through the applicable vesting dates.</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the event of a Change in Control (as defined in the Company’s Second Amended and Restated 2021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or any other significant corporate transaction, in each case, during the Performance Period, performance with respect to the Performance Goals will be deemed satisfied at the greater of actual and target performance. Subject to the terms of the Company’s Executive Severance Benefit Plan, the PSU awards, to the extent earned, will otherwise remain outstanding following such a transaction and will vest subject to the NEO’s continued employment through the applicable vesting dates.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is subject to, and qualified in its entirety by, the Plan and the PSU Agreement, the terms of which are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Premium-Priced Options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Premium-Priced Options will vest over four years, with 5/48 vesting on the first monthly anniversary of the grant date, and the remainder vesting in equal monthly installments of 1/48, subject to the NEO’s continued employment through the applicable vesting dates. The Premium-Priced Options were granted under the Plan using an option award agreement substantially consistent with the form of option award agreement previously filed by the Company. The exercise price for the Premium-Priced Options was determined based on the greater of (i) 125% of the 30-day volume-weighted average closing price (determined as of the grant date) of the Company’s common stock and (ii) the closing price of the Company’s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Special Bonus For Sherry House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recognition of the significant role of Sherry House in the public offering of the Company’s Class A common stock, par value $0.0001 per share (the “Common Stock”) and concurrent private placement of Common Stock to the Company’s majority stockholder, Ayar Third Investment Company, as described in the Company’s Form 8-K filed on May 31, 2023, on September 10, 2023, the Board, upon the recommendation of the Compensation Committee, approved a special cash bonus for Ms. House in the amount of $600,000.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2023-09-14T15:59:12Z</dcterms:created>
  <dcterms:modified xsi:type="dcterms:W3CDTF">2023-09-14T15:59:12Z</dcterms:modified>
</cp:coreProperties>
</file>