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4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-646430</wp:posOffset>
            </wp:positionV>
            <wp:extent cx="59055" cy="659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4077335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-1531620</wp:posOffset>
            </wp:positionH>
            <wp:positionV relativeFrom="paragraph">
              <wp:posOffset>27305</wp:posOffset>
            </wp:positionV>
            <wp:extent cx="6989445" cy="5246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20" w:space="280"/>
            <w:col w:w="868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Bach Eric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LCID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343,380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2,248,904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65,873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2,183,031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8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as to which the performance criteria have been satisfied. Of the PSUs reported in this Form 4, 228,919 remain subject to service-based vesting requirements that will vest in 1/12th increments on each June 5, September 5, December 5 and March 5 following the date of this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are settled in shares of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the PSUs reported above for which service-based vesting requirements have been satisfied.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Uy,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Eric Bach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872817" TargetMode="External"/><Relationship Id="rId12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2024-04-11T16:48:15Z</dcterms:created>
  <dcterms:modified xsi:type="dcterms:W3CDTF">2024-04-11T16:48:15Z</dcterms:modified>
</cp:coreProperties>
</file>