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7, 2023</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Item 2.02 -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2023, Lucid Group, Inc. (“Lucid”) issued a press release announcing its results for the second quarter ended June 30, 2023.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9.01 -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fy23ex991.htm">
              <w:r>
                <w:rPr>
                  <w:rStyle w:val="InternetLink"/>
                  <w:rFonts w:ascii="Times New Roman;sans-serif" w:hAnsi="Times New Roman;sans-serif"/>
                  <w:b w:val="false"/>
                  <w:color w:val="0000FF"/>
                  <w:sz w:val="20"/>
                  <w:u w:val="single"/>
                </w:rPr>
                <w:t>Lucid Press Release Dated August 7,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4694" w:type="dxa"/>
        <w:jc w:val="left"/>
        <w:tblInd w:w="0" w:type="dxa"/>
        <w:tblLayout w:type="fixed"/>
        <w:tblCellMar>
          <w:top w:w="28" w:type="dxa"/>
          <w:left w:w="28" w:type="dxa"/>
          <w:bottom w:w="28" w:type="dxa"/>
          <w:right w:w="28" w:type="dxa"/>
        </w:tblCellMar>
      </w:tblPr>
      <w:tblGrid>
        <w:gridCol w:w="705"/>
        <w:gridCol w:w="619"/>
        <w:gridCol w:w="625"/>
        <w:gridCol w:w="245"/>
        <w:gridCol w:w="245"/>
        <w:gridCol w:w="245"/>
        <w:gridCol w:w="588"/>
        <w:gridCol w:w="588"/>
        <w:gridCol w:w="83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August 7, 2023</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Sherry House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Sherry House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Second Quarter 2023 Financial Results, On Track for Annual Production Guidance of More Than 10,000 Vehicles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Q2 revenue of $150.9 million driven by customer deliveries of 1,404 vehicles in the quarter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Bolstered balance sheet to $6.25 billion in total liquidity as of June 30, 2023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Aston Martin selected Lucid to supply powertrain and battery system technology – contracts worth in excess of $450 million – further validating Lucid’s superior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Original pricing reinstated with the Lucid Air All Wheel Drive starting at $82,400</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Finalized purchase agreement with Government of Saudi Arabia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Start of production for the Lucid Air Sapphire and the Lucid Air Pure Rear Wheel Drive on track for mid-September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2"/>
        </w:rPr>
        <w:t>The Lucid Gravity unveiling in November; start of production on track for late 2024</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NEWARK, Calif., Aug. 7, 2023 -- Lucid Group, Inc. (NASDAQ: LCID), setting new standards for luxury electric experience with the Lucid Air, winner of the 2023 World Luxury Car Award, today announced financial results for its second quarter ended June 30, 2023.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reported Q2 revenue of $150.9 million on deliveries of 1,404 vehicles and is on track to manufacture more than 10,000 vehicles in 2023. Additionally, Lucid initiated material shipments of vehicles to the Kingdom of Saudi Arabia. Lucid ended the second quarter with approximately $6.25 billion in total liquidity, which is expected to fund the Company into 2025.</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We’re on track toward achieving our 2023 production target of more than 10,000 vehicles, but we recognize we still have work to do to grow our customer base. During our second quarter, we achieved several major milestones, including signing agreements to enter into a long-term strategic partnership with Aston Martin. Following a competitive process, their investment validates our award-winning technology and marks the first partnership for Lucid Group’s technology arm,” said Peter Rawlinson, Lucid’s CEO and CTO. “We look forward to exciting new products in the second half of this year, including the planned start of production of the Lucid Air Sapphire and the Lucid Air Pure Rear Wheel Drive, plus the highly anticipated unveiling of our new SUV, Lucid Gravity, forthcoming in November.”</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In the second quarter, we raised $3.0 billion in capital, including $1.8 billion from the PIF, and I’m pleased to say that our current liquidity of $6.25 billion is expected to take us through the start of production for the Lucid Gravity, and into 2025,” said Sherry House, Lucid’s CFO. “In addition, the targeted actions underway to invigorate our marketing programs in the luxury and premium segment have resulted in greater brand awareness, which we aim to capitalize on through the launch of our latest pricing program.”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August 7, 2023.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Lucid Air Grand Touring features an official EPA estimated 516 miles of range. Assembled at Lucid’s factory in Casa Grande, Arizona, deliveries of Lucid Air are currently underway to customers in the U.S., Canada, Europe, and the Middle East.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Gravity SUV and the various Air models (including Sapphire), production and delivery volumes, expectations regarding market opportunities and demand for Lucid’s products, the range and performance of Lucid’s vehicles, plans and expectations regarding the Gravity SUV, including performance, driving range, features, specifications, potential impact on markets, plans and expectations regarding Lucid’s software, estimate of the length of time Lucid’s existing cash, cash equivalents and investments will be sufficient to fund planned operations, plans and expectations regarding its future capital raises and funding strategy, expectations regarding the restructuring plan, including with respect to timing, costs, and expected benefits, the timing of vehicle deliveries, future manufacturing capabilities and facilities, studio and service center openings, ability to mitigate supply chain and logistics risks, plans regarding the Phase 2 expansion of Lucid’s AMP-1 factory, including timing, installed capacity and potential benefits, ability to vertically integrate production processes, future sales channels and strategies, future market launches and international expansion, including plans and expectations for the AMP-2 manufacturing facility in Saudi Arabia, and plans and expectations regarding the purchase agreement with the government of Saudi Arabia, including the total number of vehicles that may be purchased under the agreement, expected order quantities, and the quantity and timing of vehicle deliveries; Lucid’s ability to grow its brand awareness, the potential success of Lucid’s direct-to-consumer sales strategy and future vehicle programs, potential automotive partnerships, plans and expectations regarding Lucid’s participation in the UN Global Compact,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risks related to changes in overall demand for Lucid’s products and services and cancellation of reservations and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risks associated with the restructuring plan, including the risk that the charges and expenditures may be greater than anticipated, the risk that the restructuring plan may adversely affect Lucid’s internal programs and initiatives and its ability to recruit and retain skilled and motivated personnel, the risk that the restructuring plan may be distracting to employees and management, the risk that the restructuring plan may negatively impact Lucid’s business operations, reputation, or ability to serve customers, and the risk that the restructuring plan may not generate their intended benefits to the extent or as quickly as anticipated; and the impact of the global COVID-19 pandemic on Lucid’s supply chain, projected results of operations, financial performance or other financial metrics, or on any of the foregoing risks; and those factors discussed under the heading “Risk Factors” in Part II, Item 1A of Lucid’s Quarterly Report on Form 10-Q for the quarter ended June 30,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before (1) interest expense, (2) interest income, (3) provision for income taxes, (4) depreciation and amortization, (5) change in fair value of common stock warrant liability, (6) stock-based compensation and (7) restructuring charges. Adjusted EBITDA is a performance measure that Lucid believes provides useful information to Lucid’s management and investors about Lucid’s profitability. Free Cash Flow is defined as net cash used in operating activities less capital expenditures. Free Cash Flow is a performance measure that Lucid believes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w:t>
      </w: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0"/>
        <w:gridCol w:w="2005"/>
        <w:gridCol w:w="1968"/>
        <w:gridCol w:w="109"/>
        <w:gridCol w:w="109"/>
        <w:gridCol w:w="109"/>
        <w:gridCol w:w="211"/>
        <w:gridCol w:w="991"/>
        <w:gridCol w:w="109"/>
        <w:gridCol w:w="109"/>
        <w:gridCol w:w="109"/>
        <w:gridCol w:w="109"/>
        <w:gridCol w:w="211"/>
        <w:gridCol w:w="991"/>
        <w:gridCol w:w="155"/>
      </w:tblGrid>
      <w:tr>
        <w:trPr/>
        <w:tc>
          <w:tcPr>
            <w:tcW w:w="291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9,415,052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June 30, 2023 and December 31, 2022; 2,283,136,640 and 1,830,172,561 shares issued and 2,282,278,815 and 1,829,314,736 shares outstanding as of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9,415,052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08"/>
        <w:gridCol w:w="830"/>
        <w:gridCol w:w="823"/>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09"/>
        <w:gridCol w:w="109"/>
        <w:gridCol w:w="109"/>
        <w:gridCol w:w="109"/>
        <w:gridCol w:w="156"/>
      </w:tblGrid>
      <w:tr>
        <w:trPr/>
        <w:tc>
          <w:tcPr>
            <w:tcW w:w="130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dilutive warrants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shares outstanding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1,669,303,813 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1,661,960,471 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1,912,459,833 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1,686,815,404 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1,871,884,313 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1,684,328,007 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(losses) on investments,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673"/>
        <w:gridCol w:w="1371"/>
        <w:gridCol w:w="1382"/>
        <w:gridCol w:w="196"/>
        <w:gridCol w:w="871"/>
        <w:gridCol w:w="109"/>
        <w:gridCol w:w="109"/>
        <w:gridCol w:w="109"/>
        <w:gridCol w:w="109"/>
        <w:gridCol w:w="196"/>
        <w:gridCol w:w="871"/>
        <w:gridCol w:w="109"/>
        <w:gridCol w:w="109"/>
        <w:gridCol w:w="109"/>
        <w:gridCol w:w="109"/>
        <w:gridCol w:w="196"/>
        <w:gridCol w:w="918"/>
        <w:gridCol w:w="109"/>
        <w:gridCol w:w="109"/>
        <w:gridCol w:w="109"/>
        <w:gridCol w:w="109"/>
        <w:gridCol w:w="196"/>
        <w:gridCol w:w="871"/>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(858,173)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(1,008,277)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(1,419,223)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(1,914,123)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credit facility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(183,209)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(3,105,609)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3,192,411 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Financials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Adjusted EBITDA</w:t>
      </w:r>
    </w:p>
    <w:tbl>
      <w:tblPr>
        <w:tblW w:w="10205" w:type="dxa"/>
        <w:jc w:val="left"/>
        <w:tblInd w:w="0" w:type="dxa"/>
        <w:tblLayout w:type="fixed"/>
        <w:tblCellMar>
          <w:top w:w="28" w:type="dxa"/>
          <w:left w:w="28" w:type="dxa"/>
          <w:bottom w:w="28" w:type="dxa"/>
          <w:right w:w="28" w:type="dxa"/>
        </w:tblCellMar>
      </w:tblPr>
      <w:tblGrid>
        <w:gridCol w:w="1446"/>
        <w:gridCol w:w="1154"/>
        <w:gridCol w:w="1165"/>
        <w:gridCol w:w="211"/>
        <w:gridCol w:w="886"/>
        <w:gridCol w:w="109"/>
        <w:gridCol w:w="109"/>
        <w:gridCol w:w="109"/>
        <w:gridCol w:w="109"/>
        <w:gridCol w:w="211"/>
        <w:gridCol w:w="886"/>
        <w:gridCol w:w="109"/>
        <w:gridCol w:w="109"/>
        <w:gridCol w:w="109"/>
        <w:gridCol w:w="109"/>
        <w:gridCol w:w="211"/>
        <w:gridCol w:w="1036"/>
        <w:gridCol w:w="109"/>
        <w:gridCol w:w="109"/>
        <w:gridCol w:w="109"/>
        <w:gridCol w:w="109"/>
        <w:gridCol w:w="211"/>
        <w:gridCol w:w="886"/>
        <w:gridCol w:w="109"/>
        <w:gridCol w:w="109"/>
        <w:gridCol w:w="109"/>
        <w:gridCol w:w="109"/>
        <w:gridCol w:w="158"/>
      </w:tblGrid>
      <w:tr>
        <w:trPr/>
        <w:tc>
          <w:tcPr>
            <w:tcW w:w="14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(764,232)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(220,425)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(1,543,760)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(301,711)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(710,342)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(414,082)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(1,354,240)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(797,863)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205" w:type="dxa"/>
        <w:jc w:val="left"/>
        <w:tblInd w:w="0" w:type="dxa"/>
        <w:tblLayout w:type="fixed"/>
        <w:tblCellMar>
          <w:top w:w="28" w:type="dxa"/>
          <w:left w:w="28" w:type="dxa"/>
          <w:bottom w:w="28" w:type="dxa"/>
          <w:right w:w="28" w:type="dxa"/>
        </w:tblCellMar>
      </w:tblPr>
      <w:tblGrid>
        <w:gridCol w:w="1308"/>
        <w:gridCol w:w="1133"/>
        <w:gridCol w:w="1140"/>
        <w:gridCol w:w="211"/>
        <w:gridCol w:w="895"/>
        <w:gridCol w:w="109"/>
        <w:gridCol w:w="109"/>
        <w:gridCol w:w="109"/>
        <w:gridCol w:w="109"/>
        <w:gridCol w:w="211"/>
        <w:gridCol w:w="895"/>
        <w:gridCol w:w="109"/>
        <w:gridCol w:w="109"/>
        <w:gridCol w:w="109"/>
        <w:gridCol w:w="109"/>
        <w:gridCol w:w="211"/>
        <w:gridCol w:w="1045"/>
        <w:gridCol w:w="109"/>
        <w:gridCol w:w="109"/>
        <w:gridCol w:w="109"/>
        <w:gridCol w:w="109"/>
        <w:gridCol w:w="211"/>
        <w:gridCol w:w="1045"/>
        <w:gridCol w:w="109"/>
        <w:gridCol w:w="109"/>
        <w:gridCol w:w="109"/>
        <w:gridCol w:w="109"/>
        <w:gridCol w:w="156"/>
      </w:tblGrid>
      <w:tr>
        <w:trPr/>
        <w:tc>
          <w:tcPr>
            <w:tcW w:w="130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(700,358)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(513,628)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(1,501,622)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(1,008,277)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(904,073)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(823,446)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(1,947,107)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(1,503,177)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3703</Words>
  <Characters>22210</Characters>
  <CharactersWithSpaces>25503</CharactersWithSpaces>
  <Paragraphs>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