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png" ContentType="image/png"/>
  <Override PartName="/word/media/image1.jpeg" ContentType="image/jpeg"/>
  <Override PartName="/word/media/image3.png" ContentType="image/png"/>
  <Override PartName="/word/media/image2.png" ContentType="image/png"/>
  <Override PartName="/word/media/image4.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40" w:after="283"/>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spacing w:lineRule="auto" w:line="288" w:before="10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60" w:after="283"/>
        <w:jc w:val="center"/>
        <w:rPr/>
      </w:pPr>
      <w:r>
        <w:rPr>
          <w:rFonts w:ascii="Times New Roman;sans-serif" w:hAnsi="Times New Roman;sans-serif"/>
          <w:b/>
          <w:color w:val="000000"/>
          <w:sz w:val="28"/>
        </w:rPr>
        <w:t>FORM</w:t>
      </w:r>
      <w:r>
        <w:rPr>
          <w:color w:val="000000"/>
        </w:rPr>
        <w:t xml:space="preserve"> </w:t>
      </w:r>
      <w:r>
        <w:rPr>
          <w:rFonts w:ascii="Times New Roman;sans-serif" w:hAnsi="Times New Roman;sans-serif"/>
          <w:b/>
          <w:color w:val="000000"/>
          <w:sz w:val="28"/>
        </w:rPr>
        <w:t>10-K</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left"/>
        <w:tblInd w:w="0" w:type="dxa"/>
        <w:tblCellMar>
          <w:top w:w="28" w:type="dxa"/>
          <w:left w:w="28" w:type="dxa"/>
          <w:bottom w:w="28" w:type="dxa"/>
          <w:right w:w="28" w:type="dxa"/>
        </w:tblCellMar>
      </w:tblPr>
      <w:tblGrid>
        <w:gridCol w:w="124"/>
        <w:gridCol w:w="109"/>
        <w:gridCol w:w="109"/>
        <w:gridCol w:w="2808"/>
        <w:gridCol w:w="2808"/>
        <w:gridCol w:w="39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39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For the fiscal year ended December 31, 2021</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 the transition period from              to             </w:t>
            </w:r>
          </w:p>
        </w:tc>
      </w:tr>
    </w:tbl>
    <w:p>
      <w:pPr>
        <w:pStyle w:val="TextBody"/>
        <w:spacing w:lineRule="auto" w:line="288" w:before="100" w:after="283"/>
        <w:jc w:val="center"/>
        <w:rPr/>
      </w:pPr>
      <w:r>
        <w:rPr>
          <w:rFonts w:ascii="Times New Roman;sans-serif" w:hAnsi="Times New Roman;sans-serif"/>
          <w:b/>
          <w:color w:val="000000"/>
          <w:sz w:val="20"/>
        </w:rPr>
        <w:t>Commission File Number:</w:t>
      </w:r>
      <w:r>
        <w:rPr>
          <w:color w:val="000000"/>
        </w:rPr>
        <w:t xml:space="preserve"> </w:t>
      </w:r>
      <w:r>
        <w:rPr>
          <w:rFonts w:ascii="Times New Roman;sans-serif" w:hAnsi="Times New Roman;sans-serif"/>
          <w:b/>
          <w:color w:val="000000"/>
          <w:sz w:val="20"/>
        </w:rPr>
        <w:t>001-39408</w:t>
      </w:r>
    </w:p>
    <w:p>
      <w:pPr>
        <w:pStyle w:val="TextBody"/>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7004" w:type="dxa"/>
        <w:jc w:val="left"/>
        <w:tblInd w:w="0" w:type="dxa"/>
        <w:tblCellMar>
          <w:top w:w="28" w:type="dxa"/>
          <w:left w:w="28" w:type="dxa"/>
          <w:bottom w:w="28" w:type="dxa"/>
          <w:right w:w="28" w:type="dxa"/>
        </w:tblCellMar>
      </w:tblPr>
      <w:tblGrid>
        <w:gridCol w:w="1568"/>
        <w:gridCol w:w="1375"/>
        <w:gridCol w:w="1391"/>
        <w:gridCol w:w="780"/>
        <w:gridCol w:w="780"/>
        <w:gridCol w:w="1110"/>
      </w:tblGrid>
      <w:tr>
        <w:trPr/>
        <w:tc>
          <w:tcPr>
            <w:tcW w:w="1568"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670"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i/>
                <w:color w:val="000000"/>
                <w:sz w:val="16"/>
              </w:rPr>
            </w:pPr>
            <w:r>
              <w:rPr>
                <w:rFonts w:ascii="Times New Roman;sans-serif" w:hAnsi="Times New Roman;sans-serif"/>
                <w:b/>
                <w:i/>
                <w:color w:val="000000"/>
                <w:sz w:val="16"/>
              </w:rPr>
              <w:t>(State or other jurisdiction of incorporation or organization)</w:t>
            </w:r>
          </w:p>
        </w:tc>
        <w:tc>
          <w:tcPr>
            <w:tcW w:w="2670"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i/>
                <w:color w:val="000000"/>
                <w:sz w:val="16"/>
              </w:rPr>
            </w:pPr>
            <w:r>
              <w:rPr>
                <w:rFonts w:ascii="Times New Roman;sans-serif" w:hAnsi="Times New Roman;sans-serif"/>
                <w:b/>
                <w:i/>
                <w:color w:val="000000"/>
                <w:sz w:val="16"/>
              </w:rPr>
              <w:t>(I.R.S. Employer Identification No.)</w:t>
            </w:r>
          </w:p>
        </w:tc>
      </w:tr>
    </w:tbl>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7373 Gateway Boulevard, Newark, CA 94560</w:t>
      </w:r>
    </w:p>
    <w:p>
      <w:pPr>
        <w:pStyle w:val="TextBody"/>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(Zip code)</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(510) 648-3553</w:t>
      </w:r>
    </w:p>
    <w:p>
      <w:pPr>
        <w:pStyle w:val="TextBody"/>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spacing w:lineRule="auto" w:line="288" w:before="100" w:after="283"/>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9284" w:type="dxa"/>
        <w:jc w:val="left"/>
        <w:tblInd w:w="0" w:type="dxa"/>
        <w:tblCellMar>
          <w:top w:w="28" w:type="dxa"/>
          <w:left w:w="28" w:type="dxa"/>
          <w:bottom w:w="28" w:type="dxa"/>
          <w:right w:w="28" w:type="dxa"/>
        </w:tblCellMar>
      </w:tblPr>
      <w:tblGrid>
        <w:gridCol w:w="1371"/>
        <w:gridCol w:w="1205"/>
        <w:gridCol w:w="1219"/>
        <w:gridCol w:w="554"/>
        <w:gridCol w:w="554"/>
        <w:gridCol w:w="556"/>
        <w:gridCol w:w="1118"/>
        <w:gridCol w:w="1118"/>
        <w:gridCol w:w="1589"/>
      </w:tblGrid>
      <w:tr>
        <w:trPr/>
        <w:tc>
          <w:tcPr>
            <w:tcW w:w="1371"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64"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1664"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LCID</w:t>
            </w:r>
          </w:p>
        </w:tc>
        <w:tc>
          <w:tcPr>
            <w:tcW w:w="3825" w:type="dxa"/>
            <w:gridSpan w:val="3"/>
            <w:tcBorders/>
            <w:shd w:fill="auto" w:val="clear"/>
            <w:tcMar>
              <w:top w:w="0" w:type="dxa"/>
              <w:left w:w="0" w:type="dxa"/>
              <w:bottom w:w="0" w:type="dxa"/>
              <w:right w:w="0" w:type="dxa"/>
            </w:tcMar>
            <w:vAlign w:val="center"/>
          </w:tcPr>
          <w:p>
            <w:pPr>
              <w:pStyle w:val="TableContents"/>
              <w:spacing w:lineRule="auto" w:line="312"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spacing w:lineRule="auto" w:line="288" w:before="100" w:after="283"/>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 None</w:t>
      </w:r>
    </w:p>
    <w:p>
      <w:pPr>
        <w:pStyle w:val="TextBody"/>
        <w:spacing w:lineRule="auto" w:line="288" w:before="100" w:after="283"/>
        <w:rPr/>
      </w:pPr>
      <w:r>
        <w:rPr>
          <w:rFonts w:ascii="Times New Roman;sans-serif" w:hAnsi="Times New Roman;sans-serif"/>
          <w:b w:val="false"/>
          <w:color w:val="000000"/>
          <w:sz w:val="16"/>
        </w:rPr>
        <w:t xml:space="preserve">Indicate by check mark if the registrant is a well-known seasoned issuer, as defined in Rule 405 of the Securities Act.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No</w:t>
      </w:r>
    </w:p>
    <w:p>
      <w:pPr>
        <w:pStyle w:val="TextBody"/>
        <w:spacing w:lineRule="auto" w:line="288" w:before="100" w:after="283"/>
        <w:jc w:val="both"/>
        <w:rPr/>
      </w:pPr>
      <w:r>
        <w:rPr>
          <w:rFonts w:ascii="Times New Roman;sans-serif" w:hAnsi="Times New Roman;sans-serif"/>
          <w:b w:val="false"/>
          <w:color w:val="000000"/>
          <w:sz w:val="16"/>
        </w:rPr>
        <w:t xml:space="preserve">Indicate by check mark if the registrant is not required to file reports pursuant to Section 13 or Section 15(d) of the Act.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No</w:t>
      </w:r>
    </w:p>
    <w:p>
      <w:pPr>
        <w:pStyle w:val="TextBody"/>
        <w:spacing w:lineRule="auto" w:line="288" w:before="100" w:after="283"/>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spacing w:lineRule="auto" w:line="288" w:before="100" w:after="283"/>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77" w:type="dxa"/>
        <w:jc w:val="left"/>
        <w:tblInd w:w="0" w:type="dxa"/>
        <w:tblCellMar>
          <w:top w:w="28" w:type="dxa"/>
          <w:left w:w="28" w:type="dxa"/>
          <w:bottom w:w="28" w:type="dxa"/>
          <w:right w:w="28" w:type="dxa"/>
        </w:tblCellMar>
      </w:tblPr>
      <w:tblGrid>
        <w:gridCol w:w="124"/>
        <w:gridCol w:w="109"/>
        <w:gridCol w:w="109"/>
        <w:gridCol w:w="574"/>
        <w:gridCol w:w="574"/>
        <w:gridCol w:w="576"/>
        <w:gridCol w:w="109"/>
        <w:gridCol w:w="109"/>
        <w:gridCol w:w="109"/>
        <w:gridCol w:w="109"/>
        <w:gridCol w:w="109"/>
        <w:gridCol w:w="109"/>
        <w:gridCol w:w="694"/>
        <w:gridCol w:w="694"/>
        <w:gridCol w:w="697"/>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Wingdings;sans-serif" w:hAnsi="Wingdings;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shd w:fill="auto" w:val="clear"/>
            <w:tcMar>
              <w:top w:w="0" w:type="dxa"/>
              <w:left w:w="0" w:type="dxa"/>
              <w:bottom w:w="0" w:type="dxa"/>
              <w:right w:w="0" w:type="dxa"/>
            </w:tcMar>
            <w:vAlign w:val="center"/>
          </w:tcPr>
          <w:p>
            <w:pPr>
              <w:pStyle w:val="TableContents"/>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shd w:fill="auto" w:val="clear"/>
            <w:tcMar>
              <w:top w:w="0" w:type="dxa"/>
              <w:left w:w="0" w:type="dxa"/>
              <w:bottom w:w="0" w:type="dxa"/>
              <w:right w:w="0" w:type="dxa"/>
            </w:tcMar>
            <w:vAlign w:val="center"/>
          </w:tcPr>
          <w:p>
            <w:pPr>
              <w:pStyle w:val="TableContents"/>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shd w:fill="auto" w:val="clear"/>
            <w:tcMar>
              <w:top w:w="0" w:type="dxa"/>
              <w:left w:w="0" w:type="dxa"/>
              <w:bottom w:w="0" w:type="dxa"/>
              <w:right w:w="0" w:type="dxa"/>
            </w:tcMar>
            <w:vAlign w:val="center"/>
          </w:tcPr>
          <w:p>
            <w:pPr>
              <w:pStyle w:val="TableContents"/>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120" w:after="283"/>
              <w:jc w:val="right"/>
              <w:rPr/>
            </w:pPr>
            <w:r>
              <w:rPr>
                <w:color w:val="000000"/>
              </w:rPr>
              <w:t> </w:t>
            </w:r>
            <w:r>
              <w:rPr>
                <w:rFonts w:ascii="Wingdings;sans-serif" w:hAnsi="Wingdings;sans-serif"/>
                <w:b w:val="false"/>
                <w:color w:val="000000"/>
                <w:sz w:val="16"/>
              </w:rPr>
              <w:t>o</w:t>
            </w:r>
          </w:p>
        </w:tc>
      </w:tr>
    </w:tbl>
    <w:p>
      <w:pPr>
        <w:pStyle w:val="TextBody"/>
        <w:spacing w:lineRule="auto" w:line="288" w:before="100" w:after="283"/>
        <w:jc w:val="both"/>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spacing w:lineRule="auto" w:line="288" w:before="100" w:after="283"/>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o</w:t>
      </w:r>
    </w:p>
    <w:p>
      <w:pPr>
        <w:pStyle w:val="TextBody"/>
        <w:spacing w:lineRule="auto" w:line="288" w:before="100" w:after="283"/>
        <w:jc w:val="both"/>
        <w:rPr/>
      </w:pPr>
      <w:r>
        <w:rPr>
          <w:rFonts w:ascii="Times New Roman;sans-serif" w:hAnsi="Times New Roman;sans-serif"/>
          <w:b w:val="false"/>
          <w:color w:val="000000"/>
          <w:sz w:val="16"/>
        </w:rPr>
        <w:t xml:space="preserve">Indicate by check mark whether the registrant is a shell company (as defined in Rule 12b-2 of the Exchange Act).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w:t>
      </w:r>
    </w:p>
    <w:p>
      <w:pPr>
        <w:pStyle w:val="TextBody"/>
        <w:spacing w:lineRule="auto" w:line="288" w:before="100" w:after="283"/>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voting stock held by non-affiliates of the registrant, as of June 30, 2021 (the last business day of registrant’s second quarter of fiscal year 2021), was $5.5 billion based upon the last sale price reported for such date on the Nasdaq Stock Market LLC. Shares of common stock held by each executive officer, director, and holder of 5% or more of the outstanding common stock have been excluded in that such persons may be deemed to be affiliates. This determination of affiliate status is not necessarily a conclusive determination for other purposes.</w:t>
      </w:r>
    </w:p>
    <w:p>
      <w:pPr>
        <w:pStyle w:val="TextBody"/>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Number of shares of the registrant’s common stock outstanding at February 22, 2022: 1,653,257,009</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60" w:after="283"/>
        <w:ind w:left="0" w:right="0" w:firstLine="720"/>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spacing w:lineRule="auto" w:line="288" w:before="120" w:after="283"/>
        <w:rPr>
          <w:rFonts w:ascii="Times New Roman;sans-serif" w:hAnsi="Times New Roman;sans-serif"/>
          <w:b w:val="false"/>
          <w:color w:val="000000"/>
          <w:sz w:val="16"/>
        </w:rPr>
      </w:pPr>
      <w:r>
        <w:rPr>
          <w:rFonts w:ascii="Times New Roman;sans-serif" w:hAnsi="Times New Roman;sans-serif"/>
          <w:b w:val="false"/>
          <w:color w:val="000000"/>
          <w:sz w:val="16"/>
        </w:rPr>
        <w:t>Certain portions of the registrant’s definitive proxy statement for its annual meeting of stockholders (the “Proxy Statement”), to be filed with the Securities and Exchange Commission within 120 days after December 31, 2021, are incorporated by reference into Part III of this Annual Report on Form 10-K (this “Annual Report”). Except with respect to information specifically incorporated by reference in this Annual Report, the Proxy Statement shall not be deemed to be filed as part hereof.</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INDEX TO ANNUAL REPORT ON FORM 10-K</w:t>
      </w:r>
    </w:p>
    <w:tbl>
      <w:tblPr>
        <w:tblW w:w="10205" w:type="dxa"/>
        <w:jc w:val="left"/>
        <w:tblInd w:w="0" w:type="dxa"/>
        <w:tblCellMar>
          <w:top w:w="28" w:type="dxa"/>
          <w:left w:w="28" w:type="dxa"/>
          <w:bottom w:w="28" w:type="dxa"/>
          <w:right w:w="28" w:type="dxa"/>
        </w:tblCellMar>
      </w:tblPr>
      <w:tblGrid>
        <w:gridCol w:w="628"/>
        <w:gridCol w:w="509"/>
        <w:gridCol w:w="411"/>
        <w:gridCol w:w="2667"/>
        <w:gridCol w:w="2501"/>
        <w:gridCol w:w="2481"/>
        <w:gridCol w:w="294"/>
        <w:gridCol w:w="294"/>
        <w:gridCol w:w="420"/>
      </w:tblGrid>
      <w:tr>
        <w:trPr/>
        <w:tc>
          <w:tcPr>
            <w:tcW w:w="628"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2667" w:type="dxa"/>
            <w:tcBorders/>
            <w:shd w:fill="auto" w:val="clear"/>
            <w:vAlign w:val="center"/>
          </w:tcPr>
          <w:p>
            <w:pPr>
              <w:pStyle w:val="TableContents"/>
              <w:spacing w:before="0" w:after="283"/>
              <w:rPr>
                <w:sz w:val="4"/>
                <w:szCs w:val="4"/>
              </w:rPr>
            </w:pPr>
            <w:r>
              <w:rPr>
                <w:sz w:val="4"/>
                <w:szCs w:val="4"/>
              </w:rPr>
            </w:r>
          </w:p>
        </w:tc>
        <w:tc>
          <w:tcPr>
            <w:tcW w:w="2501" w:type="dxa"/>
            <w:tcBorders/>
            <w:shd w:fill="auto" w:val="clear"/>
            <w:vAlign w:val="center"/>
          </w:tcPr>
          <w:p>
            <w:pPr>
              <w:pStyle w:val="TableContents"/>
              <w:spacing w:before="0" w:after="283"/>
              <w:rPr>
                <w:sz w:val="4"/>
                <w:szCs w:val="4"/>
              </w:rPr>
            </w:pPr>
            <w:r>
              <w:rPr>
                <w:sz w:val="4"/>
                <w:szCs w:val="4"/>
              </w:rPr>
            </w:r>
          </w:p>
        </w:tc>
        <w:tc>
          <w:tcPr>
            <w:tcW w:w="248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 10-K ITEM</w:t>
            </w:r>
          </w:p>
        </w:tc>
        <w:tc>
          <w:tcPr>
            <w:tcW w:w="7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br/>
              <w:t>NUMBER</w:t>
            </w:r>
          </w:p>
        </w:tc>
      </w:tr>
      <w:tr>
        <w:trPr/>
        <w:tc>
          <w:tcPr>
            <w:tcW w:w="15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7">
              <w:r>
                <w:rPr>
                  <w:rStyle w:val="InternetLink"/>
                  <w:rFonts w:ascii="Times New Roman;sans-serif" w:hAnsi="Times New Roman;sans-serif"/>
                  <w:b w:val="false"/>
                  <w:color w:val="0000FF"/>
                  <w:sz w:val="20"/>
                  <w:u w:val="single"/>
                </w:rPr>
                <w:t>PART I</w:t>
              </w:r>
            </w:hyperlink>
          </w:p>
        </w:tc>
        <w:tc>
          <w:tcPr>
            <w:tcW w:w="7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0">
              <w:r>
                <w:rPr>
                  <w:rStyle w:val="InternetLink"/>
                  <w:rFonts w:ascii="Times New Roman;sans-serif" w:hAnsi="Times New Roman;sans-serif"/>
                  <w:b w:val="false"/>
                  <w:strike w:val="false"/>
                  <w:dstrike w:val="false"/>
                  <w:color w:val="000000"/>
                  <w:sz w:val="20"/>
                  <w:u w:val="none"/>
                  <w:effect w:val="none"/>
                </w:rPr>
                <w:t>ITEM 1.</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0">
              <w:r>
                <w:rPr>
                  <w:rStyle w:val="InternetLink"/>
                  <w:rFonts w:ascii="Times New Roman;sans-serif" w:hAnsi="Times New Roman;sans-serif"/>
                  <w:b w:val="false"/>
                  <w:color w:val="0000FF"/>
                  <w:sz w:val="20"/>
                  <w:u w:val="single"/>
                </w:rPr>
                <w:t>BUSINESS</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10">
              <w:r>
                <w:rPr>
                  <w:rStyle w:val="InternetLink"/>
                  <w:rFonts w:ascii="Times New Roman;sans-serif" w:hAnsi="Times New Roman;sans-serif"/>
                  <w:b w:val="false"/>
                  <w:strike w:val="false"/>
                  <w:dstrike w:val="false"/>
                  <w:color w:val="000000"/>
                  <w:sz w:val="20"/>
                  <w:u w:val="none"/>
                  <w:effect w:val="none"/>
                </w:rPr>
                <w:t>6</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3">
              <w:r>
                <w:rPr>
                  <w:rStyle w:val="InternetLink"/>
                  <w:rFonts w:ascii="Times New Roman;sans-serif" w:hAnsi="Times New Roman;sans-serif"/>
                  <w:b w:val="false"/>
                  <w:strike w:val="false"/>
                  <w:dstrike w:val="false"/>
                  <w:color w:val="000000"/>
                  <w:sz w:val="20"/>
                  <w:u w:val="none"/>
                  <w:effect w:val="none"/>
                </w:rPr>
                <w:t>ITEM 1A.</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3">
              <w:r>
                <w:rPr>
                  <w:rStyle w:val="InternetLink"/>
                  <w:rFonts w:ascii="Times New Roman;sans-serif" w:hAnsi="Times New Roman;sans-serif"/>
                  <w:b w:val="false"/>
                  <w:color w:val="0000FF"/>
                  <w:sz w:val="20"/>
                  <w:u w:val="single"/>
                </w:rPr>
                <w:t>RISK FACTORS</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13">
              <w:r>
                <w:rPr>
                  <w:rStyle w:val="InternetLink"/>
                  <w:rFonts w:ascii="Times New Roman;sans-serif" w:hAnsi="Times New Roman;sans-serif"/>
                  <w:b w:val="false"/>
                  <w:strike w:val="false"/>
                  <w:dstrike w:val="false"/>
                  <w:color w:val="000000"/>
                  <w:sz w:val="20"/>
                  <w:u w:val="none"/>
                  <w:effect w:val="none"/>
                </w:rPr>
                <w:t>22</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6">
              <w:r>
                <w:rPr>
                  <w:rStyle w:val="InternetLink"/>
                  <w:rFonts w:ascii="Times New Roman;sans-serif" w:hAnsi="Times New Roman;sans-serif"/>
                  <w:b w:val="false"/>
                  <w:strike w:val="false"/>
                  <w:dstrike w:val="false"/>
                  <w:color w:val="000000"/>
                  <w:sz w:val="20"/>
                  <w:u w:val="none"/>
                  <w:effect w:val="none"/>
                </w:rPr>
                <w:t>ITEM 1B.</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6">
              <w:r>
                <w:rPr>
                  <w:rStyle w:val="InternetLink"/>
                  <w:rFonts w:ascii="Times New Roman;sans-serif" w:hAnsi="Times New Roman;sans-serif"/>
                  <w:b w:val="false"/>
                  <w:color w:val="0000FF"/>
                  <w:sz w:val="20"/>
                  <w:u w:val="single"/>
                </w:rPr>
                <w:t>UNRESOLVED STAFF COMMENTS</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16">
              <w:r>
                <w:rPr>
                  <w:rStyle w:val="InternetLink"/>
                  <w:rFonts w:ascii="Times New Roman;sans-serif" w:hAnsi="Times New Roman;sans-serif"/>
                  <w:b w:val="false"/>
                  <w:strike w:val="false"/>
                  <w:dstrike w:val="false"/>
                  <w:color w:val="000000"/>
                  <w:sz w:val="20"/>
                  <w:u w:val="none"/>
                  <w:effect w:val="none"/>
                </w:rPr>
                <w:t>61</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9">
              <w:r>
                <w:rPr>
                  <w:rStyle w:val="InternetLink"/>
                  <w:rFonts w:ascii="Times New Roman;sans-serif" w:hAnsi="Times New Roman;sans-serif"/>
                  <w:b w:val="false"/>
                  <w:strike w:val="false"/>
                  <w:dstrike w:val="false"/>
                  <w:color w:val="000000"/>
                  <w:sz w:val="20"/>
                  <w:u w:val="none"/>
                  <w:effect w:val="none"/>
                </w:rPr>
                <w:t>ITEM 2.</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9">
              <w:r>
                <w:rPr>
                  <w:rStyle w:val="InternetLink"/>
                  <w:rFonts w:ascii="Times New Roman;sans-serif" w:hAnsi="Times New Roman;sans-serif"/>
                  <w:b w:val="false"/>
                  <w:color w:val="0000FF"/>
                  <w:sz w:val="20"/>
                  <w:u w:val="single"/>
                </w:rPr>
                <w:t>PROPERTIES</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19">
              <w:r>
                <w:rPr>
                  <w:rStyle w:val="InternetLink"/>
                  <w:rFonts w:ascii="Times New Roman;sans-serif" w:hAnsi="Times New Roman;sans-serif"/>
                  <w:b w:val="false"/>
                  <w:strike w:val="false"/>
                  <w:dstrike w:val="false"/>
                  <w:color w:val="000000"/>
                  <w:sz w:val="20"/>
                  <w:u w:val="none"/>
                  <w:effect w:val="none"/>
                </w:rPr>
                <w:t>61</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22">
              <w:r>
                <w:rPr>
                  <w:rStyle w:val="InternetLink"/>
                  <w:rFonts w:ascii="Times New Roman;sans-serif" w:hAnsi="Times New Roman;sans-serif"/>
                  <w:b w:val="false"/>
                  <w:strike w:val="false"/>
                  <w:dstrike w:val="false"/>
                  <w:color w:val="000000"/>
                  <w:sz w:val="20"/>
                  <w:u w:val="none"/>
                  <w:effect w:val="none"/>
                </w:rPr>
                <w:t>ITEM 3.</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22">
              <w:r>
                <w:rPr>
                  <w:rStyle w:val="InternetLink"/>
                  <w:rFonts w:ascii="Times New Roman;sans-serif" w:hAnsi="Times New Roman;sans-serif"/>
                  <w:b w:val="false"/>
                  <w:color w:val="0000FF"/>
                  <w:sz w:val="20"/>
                  <w:u w:val="single"/>
                </w:rPr>
                <w:t>LEGAL PROCEEDINGS</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22">
              <w:r>
                <w:rPr>
                  <w:rStyle w:val="InternetLink"/>
                  <w:rFonts w:ascii="Times New Roman;sans-serif" w:hAnsi="Times New Roman;sans-serif"/>
                  <w:b w:val="false"/>
                  <w:strike w:val="false"/>
                  <w:dstrike w:val="false"/>
                  <w:color w:val="000000"/>
                  <w:sz w:val="20"/>
                  <w:u w:val="none"/>
                  <w:effect w:val="none"/>
                </w:rPr>
                <w:t>62</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25">
              <w:r>
                <w:rPr>
                  <w:rStyle w:val="InternetLink"/>
                  <w:rFonts w:ascii="Times New Roman;sans-serif" w:hAnsi="Times New Roman;sans-serif"/>
                  <w:b w:val="false"/>
                  <w:strike w:val="false"/>
                  <w:dstrike w:val="false"/>
                  <w:color w:val="000000"/>
                  <w:sz w:val="20"/>
                  <w:u w:val="none"/>
                  <w:effect w:val="none"/>
                </w:rPr>
                <w:t>ITEM 4.</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25">
              <w:r>
                <w:rPr>
                  <w:rStyle w:val="InternetLink"/>
                  <w:rFonts w:ascii="Times New Roman;sans-serif" w:hAnsi="Times New Roman;sans-serif"/>
                  <w:b w:val="false"/>
                  <w:color w:val="0000FF"/>
                  <w:sz w:val="20"/>
                  <w:u w:val="single"/>
                </w:rPr>
                <w:t>MINE SAFETY DISCLOSURES</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25">
              <w:r>
                <w:rPr>
                  <w:rStyle w:val="InternetLink"/>
                  <w:rFonts w:ascii="Times New Roman;sans-serif" w:hAnsi="Times New Roman;sans-serif"/>
                  <w:b w:val="false"/>
                  <w:strike w:val="false"/>
                  <w:dstrike w:val="false"/>
                  <w:color w:val="000000"/>
                  <w:sz w:val="20"/>
                  <w:u w:val="none"/>
                  <w:effect w:val="none"/>
                </w:rPr>
                <w:t>62</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31">
              <w:r>
                <w:rPr>
                  <w:rStyle w:val="InternetLink"/>
                  <w:rFonts w:ascii="Times New Roman;sans-serif" w:hAnsi="Times New Roman;sans-serif"/>
                  <w:b w:val="false"/>
                  <w:color w:val="0000FF"/>
                  <w:sz w:val="20"/>
                  <w:u w:val="single"/>
                </w:rPr>
                <w:t>PART II</w:t>
              </w:r>
            </w:hyperlink>
          </w:p>
        </w:tc>
        <w:tc>
          <w:tcPr>
            <w:tcW w:w="7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34">
              <w:r>
                <w:rPr>
                  <w:rStyle w:val="InternetLink"/>
                  <w:rFonts w:ascii="Times New Roman;sans-serif" w:hAnsi="Times New Roman;sans-serif"/>
                  <w:b w:val="false"/>
                  <w:strike w:val="false"/>
                  <w:dstrike w:val="false"/>
                  <w:color w:val="000000"/>
                  <w:sz w:val="20"/>
                  <w:u w:val="none"/>
                  <w:effect w:val="none"/>
                </w:rPr>
                <w:t>ITEM 5.</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34">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34">
              <w:r>
                <w:rPr>
                  <w:rStyle w:val="InternetLink"/>
                  <w:rFonts w:ascii="Times New Roman;sans-serif" w:hAnsi="Times New Roman;sans-serif"/>
                  <w:b w:val="false"/>
                  <w:strike w:val="false"/>
                  <w:dstrike w:val="false"/>
                  <w:color w:val="000000"/>
                  <w:sz w:val="20"/>
                  <w:u w:val="none"/>
                  <w:effect w:val="none"/>
                </w:rPr>
                <w:t>63</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37">
              <w:r>
                <w:rPr>
                  <w:rStyle w:val="InternetLink"/>
                  <w:rFonts w:ascii="Times New Roman;sans-serif" w:hAnsi="Times New Roman;sans-serif"/>
                  <w:b w:val="false"/>
                  <w:strike w:val="false"/>
                  <w:dstrike w:val="false"/>
                  <w:color w:val="000000"/>
                  <w:sz w:val="20"/>
                  <w:u w:val="none"/>
                  <w:effect w:val="none"/>
                </w:rPr>
                <w:t>ITEM 6.</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37">
              <w:r>
                <w:rPr>
                  <w:rStyle w:val="InternetLink"/>
                  <w:rFonts w:ascii="Times New Roman;sans-serif" w:hAnsi="Times New Roman;sans-serif"/>
                  <w:b w:val="false"/>
                  <w:color w:val="0000FF"/>
                  <w:sz w:val="20"/>
                  <w:u w:val="single"/>
                </w:rPr>
                <w:t>[RESERVED]</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37">
              <w:r>
                <w:rPr>
                  <w:rStyle w:val="InternetLink"/>
                  <w:rFonts w:ascii="Times New Roman;sans-serif" w:hAnsi="Times New Roman;sans-serif"/>
                  <w:b w:val="false"/>
                  <w:strike w:val="false"/>
                  <w:dstrike w:val="false"/>
                  <w:color w:val="000000"/>
                  <w:sz w:val="20"/>
                  <w:u w:val="none"/>
                  <w:effect w:val="none"/>
                </w:rPr>
                <w:t>65</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40">
              <w:r>
                <w:rPr>
                  <w:rStyle w:val="InternetLink"/>
                  <w:rFonts w:ascii="Times New Roman;sans-serif" w:hAnsi="Times New Roman;sans-serif"/>
                  <w:b w:val="false"/>
                  <w:strike w:val="false"/>
                  <w:dstrike w:val="false"/>
                  <w:color w:val="000000"/>
                  <w:sz w:val="20"/>
                  <w:u w:val="none"/>
                  <w:effect w:val="none"/>
                </w:rPr>
                <w:t>ITEM 7.</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4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40">
              <w:r>
                <w:rPr>
                  <w:rStyle w:val="InternetLink"/>
                  <w:rFonts w:ascii="Times New Roman;sans-serif" w:hAnsi="Times New Roman;sans-serif"/>
                  <w:b w:val="false"/>
                  <w:strike w:val="false"/>
                  <w:dstrike w:val="false"/>
                  <w:color w:val="000000"/>
                  <w:sz w:val="20"/>
                  <w:u w:val="none"/>
                  <w:effect w:val="none"/>
                </w:rPr>
                <w:t>65</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67">
              <w:r>
                <w:rPr>
                  <w:rStyle w:val="InternetLink"/>
                  <w:rFonts w:ascii="Times New Roman;sans-serif" w:hAnsi="Times New Roman;sans-serif"/>
                  <w:b w:val="false"/>
                  <w:strike w:val="false"/>
                  <w:dstrike w:val="false"/>
                  <w:color w:val="000000"/>
                  <w:sz w:val="20"/>
                  <w:u w:val="none"/>
                  <w:effect w:val="none"/>
                </w:rPr>
                <w:t>ITEM 7A.</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67">
              <w:r>
                <w:rPr>
                  <w:rStyle w:val="InternetLink"/>
                  <w:rFonts w:ascii="Times New Roman;sans-serif" w:hAnsi="Times New Roman;sans-serif"/>
                  <w:b w:val="false"/>
                  <w:color w:val="0000FF"/>
                  <w:sz w:val="20"/>
                  <w:u w:val="single"/>
                </w:rPr>
                <w:t>QUANTITATIVE AND QUALITATIVE DISCLOSURES ABOUT MARKET RISK</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67">
              <w:r>
                <w:rPr>
                  <w:rStyle w:val="InternetLink"/>
                  <w:rFonts w:ascii="Times New Roman;sans-serif" w:hAnsi="Times New Roman;sans-serif"/>
                  <w:b w:val="false"/>
                  <w:strike w:val="false"/>
                  <w:dstrike w:val="false"/>
                  <w:color w:val="000000"/>
                  <w:sz w:val="20"/>
                  <w:u w:val="none"/>
                  <w:effect w:val="none"/>
                </w:rPr>
                <w:t>75</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70">
              <w:r>
                <w:rPr>
                  <w:rStyle w:val="InternetLink"/>
                  <w:rFonts w:ascii="Times New Roman;sans-serif" w:hAnsi="Times New Roman;sans-serif"/>
                  <w:b w:val="false"/>
                  <w:strike w:val="false"/>
                  <w:dstrike w:val="false"/>
                  <w:color w:val="000000"/>
                  <w:sz w:val="20"/>
                  <w:u w:val="none"/>
                  <w:effect w:val="none"/>
                </w:rPr>
                <w:t>ITEM 8.</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70">
              <w:r>
                <w:rPr>
                  <w:rStyle w:val="InternetLink"/>
                  <w:rFonts w:ascii="Times New Roman;sans-serif" w:hAnsi="Times New Roman;sans-serif"/>
                  <w:b w:val="false"/>
                  <w:color w:val="0000FF"/>
                  <w:sz w:val="20"/>
                  <w:u w:val="single"/>
                </w:rPr>
                <w:t>FINANCIAL STATEMENTS AND SUPPLEMENTARY DATA</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70">
              <w:r>
                <w:rPr>
                  <w:rStyle w:val="InternetLink"/>
                  <w:rFonts w:ascii="Times New Roman;sans-serif" w:hAnsi="Times New Roman;sans-serif"/>
                  <w:b w:val="false"/>
                  <w:strike w:val="false"/>
                  <w:dstrike w:val="false"/>
                  <w:color w:val="000000"/>
                  <w:sz w:val="20"/>
                  <w:u w:val="none"/>
                  <w:effect w:val="none"/>
                </w:rPr>
                <w:t>76</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57">
              <w:r>
                <w:rPr>
                  <w:rStyle w:val="InternetLink"/>
                  <w:rFonts w:ascii="Times New Roman;sans-serif" w:hAnsi="Times New Roman;sans-serif"/>
                  <w:b w:val="false"/>
                  <w:strike w:val="false"/>
                  <w:dstrike w:val="false"/>
                  <w:color w:val="000000"/>
                  <w:sz w:val="20"/>
                  <w:u w:val="none"/>
                  <w:effect w:val="none"/>
                </w:rPr>
                <w:t>ITEM 9.</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57">
              <w:r>
                <w:rPr>
                  <w:rStyle w:val="InternetLink"/>
                  <w:rFonts w:ascii="Times New Roman;sans-serif" w:hAnsi="Times New Roman;sans-serif"/>
                  <w:b w:val="false"/>
                  <w:color w:val="0000FF"/>
                  <w:sz w:val="20"/>
                  <w:u w:val="single"/>
                </w:rPr>
                <w:t>CHANGES IN AND DISAGREEMENTS WITH ACCOUNTANTS ON ACCOUNTING AND FINANCIAL DISCLOSURES</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157">
              <w:r>
                <w:rPr>
                  <w:rStyle w:val="InternetLink"/>
                  <w:rFonts w:ascii="Times New Roman;sans-serif" w:hAnsi="Times New Roman;sans-serif"/>
                  <w:b w:val="false"/>
                  <w:strike w:val="false"/>
                  <w:dstrike w:val="false"/>
                  <w:color w:val="000000"/>
                  <w:sz w:val="20"/>
                  <w:u w:val="none"/>
                  <w:effect w:val="none"/>
                </w:rPr>
                <w:t>114</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60">
              <w:r>
                <w:rPr>
                  <w:rStyle w:val="InternetLink"/>
                  <w:rFonts w:ascii="Times New Roman;sans-serif" w:hAnsi="Times New Roman;sans-serif"/>
                  <w:b w:val="false"/>
                  <w:strike w:val="false"/>
                  <w:dstrike w:val="false"/>
                  <w:color w:val="000000"/>
                  <w:sz w:val="20"/>
                  <w:u w:val="none"/>
                  <w:effect w:val="none"/>
                </w:rPr>
                <w:t>ITEM 9A.</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60">
              <w:r>
                <w:rPr>
                  <w:rStyle w:val="InternetLink"/>
                  <w:rFonts w:ascii="Times New Roman;sans-serif" w:hAnsi="Times New Roman;sans-serif"/>
                  <w:b w:val="false"/>
                  <w:color w:val="0000FF"/>
                  <w:sz w:val="20"/>
                  <w:u w:val="single"/>
                </w:rPr>
                <w:t>CONTROLS AND PROCEDURES</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160">
              <w:r>
                <w:rPr>
                  <w:rStyle w:val="InternetLink"/>
                  <w:rFonts w:ascii="Times New Roman;sans-serif" w:hAnsi="Times New Roman;sans-serif"/>
                  <w:b w:val="false"/>
                  <w:strike w:val="false"/>
                  <w:dstrike w:val="false"/>
                  <w:color w:val="000000"/>
                  <w:sz w:val="20"/>
                  <w:u w:val="none"/>
                  <w:effect w:val="none"/>
                </w:rPr>
                <w:t>114</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63">
              <w:r>
                <w:rPr>
                  <w:rStyle w:val="InternetLink"/>
                  <w:rFonts w:ascii="Times New Roman;sans-serif" w:hAnsi="Times New Roman;sans-serif"/>
                  <w:b w:val="false"/>
                  <w:strike w:val="false"/>
                  <w:dstrike w:val="false"/>
                  <w:color w:val="000000"/>
                  <w:sz w:val="20"/>
                  <w:u w:val="none"/>
                  <w:effect w:val="none"/>
                </w:rPr>
                <w:t>ITEM 9B.</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63">
              <w:r>
                <w:rPr>
                  <w:rStyle w:val="InternetLink"/>
                  <w:rFonts w:ascii="Times New Roman;sans-serif" w:hAnsi="Times New Roman;sans-serif"/>
                  <w:b w:val="false"/>
                  <w:color w:val="0000FF"/>
                  <w:sz w:val="20"/>
                  <w:u w:val="single"/>
                </w:rPr>
                <w:t>OTHER INFORMATION</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163">
              <w:r>
                <w:rPr>
                  <w:rStyle w:val="InternetLink"/>
                  <w:rFonts w:ascii="Times New Roman;sans-serif" w:hAnsi="Times New Roman;sans-serif"/>
                  <w:b w:val="false"/>
                  <w:strike w:val="false"/>
                  <w:dstrike w:val="false"/>
                  <w:color w:val="000000"/>
                  <w:sz w:val="20"/>
                  <w:u w:val="none"/>
                  <w:effect w:val="none"/>
                </w:rPr>
                <w:t>115</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63">
              <w:r>
                <w:rPr>
                  <w:rStyle w:val="InternetLink"/>
                  <w:rFonts w:ascii="Times New Roman;sans-serif" w:hAnsi="Times New Roman;sans-serif"/>
                  <w:b w:val="false"/>
                  <w:strike w:val="false"/>
                  <w:dstrike w:val="false"/>
                  <w:color w:val="000000"/>
                  <w:sz w:val="20"/>
                  <w:u w:val="none"/>
                  <w:effect w:val="none"/>
                </w:rPr>
                <w:t>ITEM 9</w:t>
              </w:r>
            </w:hyperlink>
            <w:r>
              <w:rPr>
                <w:rFonts w:ascii="Times New Roman;sans-serif" w:hAnsi="Times New Roman;sans-serif"/>
                <w:b w:val="false"/>
                <w:color w:val="000000"/>
                <w:sz w:val="20"/>
              </w:rPr>
              <w:t>C</w:t>
            </w:r>
            <w:hyperlink w:anchor="ia0aee3224e084461b915ceeab76401ac_163">
              <w:r>
                <w:rPr>
                  <w:rStyle w:val="InternetLink"/>
                  <w:rFonts w:ascii="Times New Roman;sans-serif" w:hAnsi="Times New Roman;sans-serif"/>
                  <w:b w:val="false"/>
                  <w:strike w:val="false"/>
                  <w:dstrike w:val="false"/>
                  <w:color w:val="000000"/>
                  <w:sz w:val="20"/>
                  <w:u w:val="none"/>
                  <w:effect w:val="none"/>
                </w:rPr>
                <w:t>.</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893">
              <w:r>
                <w:rPr>
                  <w:rStyle w:val="InternetLink"/>
                  <w:rFonts w:ascii="Times New Roman;sans-serif" w:hAnsi="Times New Roman;sans-serif"/>
                  <w:b w:val="false"/>
                  <w:color w:val="0000FF"/>
                  <w:sz w:val="20"/>
                  <w:u w:val="single"/>
                </w:rPr>
                <w:t>DISCLOSURE REGARDING FOREIGN JURISDICTIONS THAT PREVENT INSPECTION</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893">
              <w:r>
                <w:rPr>
                  <w:rStyle w:val="InternetLink"/>
                  <w:rFonts w:ascii="Times New Roman;sans-serif" w:hAnsi="Times New Roman;sans-serif"/>
                  <w:b w:val="false"/>
                  <w:strike w:val="false"/>
                  <w:dstrike w:val="false"/>
                  <w:color w:val="000000"/>
                  <w:sz w:val="20"/>
                  <w:u w:val="none"/>
                  <w:effect w:val="none"/>
                </w:rPr>
                <w:t>115</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66">
              <w:r>
                <w:rPr>
                  <w:rStyle w:val="InternetLink"/>
                  <w:rFonts w:ascii="Times New Roman;sans-serif" w:hAnsi="Times New Roman;sans-serif"/>
                  <w:b w:val="false"/>
                  <w:color w:val="0000FF"/>
                  <w:sz w:val="20"/>
                  <w:u w:val="single"/>
                </w:rPr>
                <w:t>PART III</w:t>
              </w:r>
            </w:hyperlink>
          </w:p>
        </w:tc>
        <w:tc>
          <w:tcPr>
            <w:tcW w:w="7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69">
              <w:r>
                <w:rPr>
                  <w:rStyle w:val="InternetLink"/>
                  <w:rFonts w:ascii="Times New Roman;sans-serif" w:hAnsi="Times New Roman;sans-serif"/>
                  <w:b w:val="false"/>
                  <w:strike w:val="false"/>
                  <w:dstrike w:val="false"/>
                  <w:color w:val="000000"/>
                  <w:sz w:val="20"/>
                  <w:u w:val="none"/>
                  <w:effect w:val="none"/>
                </w:rPr>
                <w:t>ITEM 10.</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69">
              <w:r>
                <w:rPr>
                  <w:rStyle w:val="InternetLink"/>
                  <w:rFonts w:ascii="Times New Roman;sans-serif" w:hAnsi="Times New Roman;sans-serif"/>
                  <w:b w:val="false"/>
                  <w:color w:val="0000FF"/>
                  <w:sz w:val="20"/>
                  <w:u w:val="single"/>
                </w:rPr>
                <w:t>DIRECTORS, EXECUTIVE OFFICERS AND CORPORATE GOVERNANCE</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169">
              <w:r>
                <w:rPr>
                  <w:rStyle w:val="InternetLink"/>
                  <w:rFonts w:ascii="Times New Roman;sans-serif" w:hAnsi="Times New Roman;sans-serif"/>
                  <w:b w:val="false"/>
                  <w:strike w:val="false"/>
                  <w:dstrike w:val="false"/>
                  <w:color w:val="000000"/>
                  <w:sz w:val="20"/>
                  <w:u w:val="none"/>
                  <w:effect w:val="none"/>
                </w:rPr>
                <w:t>116</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72">
              <w:r>
                <w:rPr>
                  <w:rStyle w:val="InternetLink"/>
                  <w:rFonts w:ascii="Times New Roman;sans-serif" w:hAnsi="Times New Roman;sans-serif"/>
                  <w:b w:val="false"/>
                  <w:strike w:val="false"/>
                  <w:dstrike w:val="false"/>
                  <w:color w:val="000000"/>
                  <w:sz w:val="20"/>
                  <w:u w:val="none"/>
                  <w:effect w:val="none"/>
                </w:rPr>
                <w:t>ITEM 11.</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72">
              <w:r>
                <w:rPr>
                  <w:rStyle w:val="InternetLink"/>
                  <w:rFonts w:ascii="Times New Roman;sans-serif" w:hAnsi="Times New Roman;sans-serif"/>
                  <w:b w:val="false"/>
                  <w:color w:val="0000FF"/>
                  <w:sz w:val="20"/>
                  <w:u w:val="single"/>
                </w:rPr>
                <w:t>EXECUTIVE COMPENSATION</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172">
              <w:r>
                <w:rPr>
                  <w:rStyle w:val="InternetLink"/>
                  <w:rFonts w:ascii="Times New Roman;sans-serif" w:hAnsi="Times New Roman;sans-serif"/>
                  <w:b w:val="false"/>
                  <w:strike w:val="false"/>
                  <w:dstrike w:val="false"/>
                  <w:color w:val="000000"/>
                  <w:sz w:val="20"/>
                  <w:u w:val="none"/>
                  <w:effect w:val="none"/>
                </w:rPr>
                <w:t>116</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75">
              <w:r>
                <w:rPr>
                  <w:rStyle w:val="InternetLink"/>
                  <w:rFonts w:ascii="Times New Roman;sans-serif" w:hAnsi="Times New Roman;sans-serif"/>
                  <w:b w:val="false"/>
                  <w:strike w:val="false"/>
                  <w:dstrike w:val="false"/>
                  <w:color w:val="000000"/>
                  <w:sz w:val="20"/>
                  <w:u w:val="none"/>
                  <w:effect w:val="none"/>
                </w:rPr>
                <w:t>ITEM 12.</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75">
              <w:r>
                <w:rPr>
                  <w:rStyle w:val="InternetLink"/>
                  <w:rFonts w:ascii="Times New Roman;sans-serif" w:hAnsi="Times New Roman;sans-serif"/>
                  <w:b w:val="false"/>
                  <w:color w:val="0000FF"/>
                  <w:sz w:val="20"/>
                  <w:u w:val="single"/>
                </w:rPr>
                <w:t>SECURITY OWNERSHIP OF CERTAIN BENEFICIAL OWNER AND MANAGEMENT AND RELATED STOCKHOLDER MATTERS</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175">
              <w:r>
                <w:rPr>
                  <w:rStyle w:val="InternetLink"/>
                  <w:rFonts w:ascii="Times New Roman;sans-serif" w:hAnsi="Times New Roman;sans-serif"/>
                  <w:b w:val="false"/>
                  <w:strike w:val="false"/>
                  <w:dstrike w:val="false"/>
                  <w:color w:val="000000"/>
                  <w:sz w:val="20"/>
                  <w:u w:val="none"/>
                  <w:effect w:val="none"/>
                </w:rPr>
                <w:t>116</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78">
              <w:r>
                <w:rPr>
                  <w:rStyle w:val="InternetLink"/>
                  <w:rFonts w:ascii="Times New Roman;sans-serif" w:hAnsi="Times New Roman;sans-serif"/>
                  <w:b w:val="false"/>
                  <w:strike w:val="false"/>
                  <w:dstrike w:val="false"/>
                  <w:color w:val="000000"/>
                  <w:sz w:val="20"/>
                  <w:u w:val="none"/>
                  <w:effect w:val="none"/>
                </w:rPr>
                <w:t>ITEM 13.</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78">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178">
              <w:r>
                <w:rPr>
                  <w:rStyle w:val="InternetLink"/>
                  <w:rFonts w:ascii="Times New Roman;sans-serif" w:hAnsi="Times New Roman;sans-serif"/>
                  <w:b w:val="false"/>
                  <w:strike w:val="false"/>
                  <w:dstrike w:val="false"/>
                  <w:color w:val="000000"/>
                  <w:sz w:val="20"/>
                  <w:u w:val="none"/>
                  <w:effect w:val="none"/>
                </w:rPr>
                <w:t>116</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81">
              <w:r>
                <w:rPr>
                  <w:rStyle w:val="InternetLink"/>
                  <w:rFonts w:ascii="Times New Roman;sans-serif" w:hAnsi="Times New Roman;sans-serif"/>
                  <w:b w:val="false"/>
                  <w:strike w:val="false"/>
                  <w:dstrike w:val="false"/>
                  <w:color w:val="000000"/>
                  <w:sz w:val="20"/>
                  <w:u w:val="none"/>
                  <w:effect w:val="none"/>
                </w:rPr>
                <w:t>ITEM 14.</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81">
              <w:r>
                <w:rPr>
                  <w:rStyle w:val="InternetLink"/>
                  <w:rFonts w:ascii="Times New Roman;sans-serif" w:hAnsi="Times New Roman;sans-serif"/>
                  <w:b w:val="false"/>
                  <w:color w:val="0000FF"/>
                  <w:sz w:val="20"/>
                  <w:u w:val="single"/>
                </w:rPr>
                <w:t>PRINCIPAL ACCOUNTING FEES AND SERVICES</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181">
              <w:r>
                <w:rPr>
                  <w:rStyle w:val="InternetLink"/>
                  <w:rFonts w:ascii="Times New Roman;sans-serif" w:hAnsi="Times New Roman;sans-serif"/>
                  <w:b w:val="false"/>
                  <w:strike w:val="false"/>
                  <w:dstrike w:val="false"/>
                  <w:color w:val="000000"/>
                  <w:sz w:val="20"/>
                  <w:u w:val="none"/>
                  <w:effect w:val="none"/>
                </w:rPr>
                <w:t>116</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84">
              <w:r>
                <w:rPr>
                  <w:rStyle w:val="InternetLink"/>
                  <w:rFonts w:ascii="Times New Roman;sans-serif" w:hAnsi="Times New Roman;sans-serif"/>
                  <w:b w:val="false"/>
                  <w:color w:val="0000FF"/>
                  <w:sz w:val="20"/>
                  <w:u w:val="single"/>
                </w:rPr>
                <w:t>PART IV</w:t>
              </w:r>
            </w:hyperlink>
          </w:p>
        </w:tc>
        <w:tc>
          <w:tcPr>
            <w:tcW w:w="7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87">
              <w:r>
                <w:rPr>
                  <w:rStyle w:val="InternetLink"/>
                  <w:rFonts w:ascii="Times New Roman;sans-serif" w:hAnsi="Times New Roman;sans-serif"/>
                  <w:b w:val="false"/>
                  <w:strike w:val="false"/>
                  <w:dstrike w:val="false"/>
                  <w:color w:val="000000"/>
                  <w:sz w:val="20"/>
                  <w:u w:val="none"/>
                  <w:effect w:val="none"/>
                </w:rPr>
                <w:t>ITEM 15.</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87">
              <w:r>
                <w:rPr>
                  <w:rStyle w:val="InternetLink"/>
                  <w:rFonts w:ascii="Times New Roman;sans-serif" w:hAnsi="Times New Roman;sans-serif"/>
                  <w:b w:val="false"/>
                  <w:color w:val="0000FF"/>
                  <w:sz w:val="20"/>
                  <w:u w:val="single"/>
                </w:rPr>
                <w:t>EXHIBITS AND FINANCIAL STATEMENT SCHEDULES</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187">
              <w:r>
                <w:rPr>
                  <w:rStyle w:val="InternetLink"/>
                  <w:rFonts w:ascii="Times New Roman;sans-serif" w:hAnsi="Times New Roman;sans-serif"/>
                  <w:b w:val="false"/>
                  <w:strike w:val="false"/>
                  <w:dstrike w:val="false"/>
                  <w:color w:val="000000"/>
                  <w:sz w:val="20"/>
                  <w:u w:val="none"/>
                  <w:effect w:val="none"/>
                </w:rPr>
                <w:t>117</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90">
              <w:r>
                <w:rPr>
                  <w:rStyle w:val="InternetLink"/>
                  <w:rFonts w:ascii="Times New Roman;sans-serif" w:hAnsi="Times New Roman;sans-serif"/>
                  <w:b w:val="false"/>
                  <w:strike w:val="false"/>
                  <w:dstrike w:val="false"/>
                  <w:color w:val="000000"/>
                  <w:sz w:val="20"/>
                  <w:u w:val="none"/>
                  <w:effect w:val="none"/>
                </w:rPr>
                <w:t>ITEM 16.</w:t>
              </w:r>
            </w:hyperlink>
          </w:p>
        </w:tc>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90">
              <w:r>
                <w:rPr>
                  <w:rStyle w:val="InternetLink"/>
                  <w:rFonts w:ascii="Times New Roman;sans-serif" w:hAnsi="Times New Roman;sans-serif"/>
                  <w:b w:val="false"/>
                  <w:color w:val="0000FF"/>
                  <w:sz w:val="20"/>
                  <w:u w:val="single"/>
                </w:rPr>
                <w:t>FORM 10-K SUMMARY</w:t>
              </w:r>
            </w:hyperlink>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190">
              <w:r>
                <w:rPr>
                  <w:rStyle w:val="InternetLink"/>
                  <w:rFonts w:ascii="Times New Roman;sans-serif" w:hAnsi="Times New Roman;sans-serif"/>
                  <w:b w:val="false"/>
                  <w:strike w:val="false"/>
                  <w:dstrike w:val="false"/>
                  <w:color w:val="000000"/>
                  <w:sz w:val="20"/>
                  <w:u w:val="none"/>
                  <w:effect w:val="none"/>
                </w:rPr>
                <w:t>118</w:t>
              </w:r>
            </w:hyperlink>
          </w:p>
        </w:tc>
      </w:tr>
      <w:tr>
        <w:trPr/>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193">
              <w:r>
                <w:rPr>
                  <w:rStyle w:val="InternetLink"/>
                  <w:rFonts w:ascii="Times New Roman;sans-serif" w:hAnsi="Times New Roman;sans-serif"/>
                  <w:b w:val="false"/>
                  <w:color w:val="0000FF"/>
                  <w:sz w:val="20"/>
                  <w:u w:val="single"/>
                </w:rPr>
                <w:t>SIGNATURES</w:t>
              </w:r>
            </w:hyperlink>
          </w:p>
        </w:tc>
        <w:tc>
          <w:tcPr>
            <w:tcW w:w="7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0aee3224e084461b915ceeab76401ac_193">
              <w:r>
                <w:rPr>
                  <w:rStyle w:val="InternetLink"/>
                  <w:rFonts w:ascii="Times New Roman;sans-serif" w:hAnsi="Times New Roman;sans-serif"/>
                  <w:b w:val="false"/>
                  <w:strike w:val="false"/>
                  <w:dstrike w:val="false"/>
                  <w:color w:val="000000"/>
                  <w:sz w:val="20"/>
                  <w:u w:val="none"/>
                  <w:effect w:val="none"/>
                </w:rPr>
                <w:t>119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 </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CAUTIONARY NOTE REGARDING FORWARD-LOOKING STATEMENTS</w:t>
      </w:r>
    </w:p>
    <w:p>
      <w:pPr>
        <w:pStyle w:val="TextBody"/>
        <w:spacing w:lineRule="auto" w:line="288" w:before="240" w:after="283"/>
        <w:rPr/>
      </w:pPr>
      <w:r>
        <w:rPr>
          <w:rFonts w:ascii="Times New Roman;sans-serif" w:hAnsi="Times New Roman;sans-serif"/>
          <w:b w:val="false"/>
          <w:color w:val="000000"/>
          <w:sz w:val="20"/>
        </w:rPr>
        <w:t xml:space="preserve">This </w:t>
      </w:r>
      <w:r>
        <w:rPr>
          <w:rFonts w:ascii="Times New Roman;sans-serif" w:hAnsi="Times New Roman;sans-serif"/>
          <w:b w:val="false"/>
          <w:color w:val="000000"/>
          <w:sz w:val="20"/>
          <w:highlight w:val="white"/>
        </w:rPr>
        <w:t xml:space="preserve">Annual Report </w:t>
      </w:r>
      <w:r>
        <w:rPr>
          <w:rFonts w:ascii="Times New Roman;sans-serif" w:hAnsi="Times New Roman;sans-serif"/>
          <w:b w:val="false"/>
          <w:color w:val="000000"/>
          <w:sz w:val="20"/>
        </w:rPr>
        <w:t xml:space="preserve">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These forward-looking statements can generally be identified by the use of forward 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w:t>
      </w:r>
      <w:r>
        <w:rPr>
          <w:rFonts w:ascii="Times New Roman;sans-serif" w:hAnsi="Times New Roman;sans-serif"/>
          <w:b w:val="false"/>
          <w:color w:val="000000"/>
          <w:sz w:val="20"/>
          <w:highlight w:val="white"/>
        </w:rPr>
        <w:t xml:space="preserve">Annual Report </w:t>
      </w:r>
      <w:r>
        <w:rPr>
          <w:rFonts w:ascii="Times New Roman;sans-serif" w:hAnsi="Times New Roman;sans-serif"/>
          <w:b w:val="false"/>
          <w:color w:val="000000"/>
          <w:sz w:val="20"/>
        </w:rPr>
        <w:t>and include statements regarding our intentions, beliefs or current expectations concerning, among other things, results of operations, financial condition, liquidity, prospects, growth, strategies and the markets in which we operate, including estimates and forecasts of financial and operational metrics, projections of market opportunity, market share and product sales, expectations and timing related to commercial product launches and production volumes, future strategies and products, including with respect to energy storage systems and automotive partnerships, manufacturing capabilities and facilities, studio openings, sales channels and strategies, future vehicle programs, expansion and the potential success of our go-to-market strategy and our financial and operating guidance, future capital expenditures and other operating expenses, future market launches and international expansion, including our planned manufacturing facility in Saudi Arabia and related timing and value to Lucid,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changes in domestic and foreign business, market, financial, political and legal conditions;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risks relating to the uncertainty of our projected financial information, including conversion of reservations into binding orders;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risks related to the timing of expected business milestones, including our planned commercial launches;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risks related to our supply chain and our ability to complete the tooling of our manufacturing facilities over time and scale production of the Lucid Air and other vehicles;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risks related to the expansion of our Arizona manufacturing facility and to the construction of additional facilities in other geographies;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risks related to future market adoption of our offerings;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effects of competition and the pace and depth of electric vehicle adoption generally on our future business;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changes in regulatory requirements, governmental incentives and fuel and energy prices;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rapidly innovate;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future changes to vehicle specifications which may impact performance, pricing, and other expectations;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enter into or maintain partnerships with original equipment manufacturers, vendors and technology providers;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effectively manage our growth and recruit and retain key employees, including our chief executive officer and executive team;</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establish our brand, expand our brand to Europe, the Middle East, and China and capture additional market share and forecast projected market share and demand, and the risks associated with negative press or reputational harm;</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manage expenses;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effectively utilize zero emission vehicle credits and obtain and utilize certain tax and other incentives;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issue equity or equity-linked securities in the future;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pay interest and principal on our indebtedness;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outcome of any potential litigation, government and regulatory proceedings, investigations and inquiries;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impact of the global COVID-19 pandemic on our projected results of operations, financial performance or other financial metrics, or on any of the foregoing risks;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other factors disclosed in this </w:t>
      </w:r>
      <w:r>
        <w:rPr>
          <w:rFonts w:ascii="Times New Roman;sans-serif" w:hAnsi="Times New Roman;sans-serif"/>
          <w:b w:val="false"/>
          <w:color w:val="000000"/>
          <w:sz w:val="20"/>
          <w:highlight w:val="white"/>
        </w:rPr>
        <w:t xml:space="preserve">Annual Report </w:t>
      </w:r>
      <w:r>
        <w:rPr>
          <w:rFonts w:ascii="Times New Roman;sans-serif" w:hAnsi="Times New Roman;sans-serif"/>
          <w:b w:val="false"/>
          <w:color w:val="000000"/>
          <w:sz w:val="20"/>
        </w:rPr>
        <w:t>or our other filings with the Securities and Exchange Commission (the “SEC”).</w:t>
      </w:r>
    </w:p>
    <w:p>
      <w:pPr>
        <w:pStyle w:val="TextBody"/>
        <w:spacing w:lineRule="auto" w:line="288" w:before="240" w:after="283"/>
        <w:rPr/>
      </w:pPr>
      <w:r>
        <w:rPr>
          <w:rFonts w:ascii="Times New Roman;sans-serif" w:hAnsi="Times New Roman;sans-serif"/>
          <w:b w:val="false"/>
          <w:color w:val="000000"/>
          <w:sz w:val="20"/>
        </w:rPr>
        <w:t xml:space="preserve">The forward-looking statements contained in this </w:t>
      </w:r>
      <w:r>
        <w:rPr>
          <w:rFonts w:ascii="Times New Roman;sans-serif" w:hAnsi="Times New Roman;sans-serif"/>
          <w:b w:val="false"/>
          <w:color w:val="000000"/>
          <w:sz w:val="20"/>
          <w:highlight w:val="white"/>
        </w:rPr>
        <w:t xml:space="preserve">Annual Report </w:t>
      </w:r>
      <w:r>
        <w:rPr>
          <w:rFonts w:ascii="Times New Roman;sans-serif" w:hAnsi="Times New Roman;sans-serif"/>
          <w:b w:val="false"/>
          <w:color w:val="000000"/>
          <w:sz w:val="20"/>
        </w:rPr>
        <w:t xml:space="preserve">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Factors” in Item 1A of Part I of this Annual Report. Should one or more of these risks or uncertainties materialize, or should any of the assumptions prove incorrect, actual results may vary in material respects from those projected in these forward-looking statements. We do not undertake any obligation to update or revise any forward-looking statements, whether as a result of new information, future events or otherwise, except as may be required under applicable securities laws.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Frequently Used Terms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Unless otherwise stated in Part II Item 8. Financial Statements and Supplementary Data, or the context otherwise requires, references in this Annual Report to:</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2009 Plan</w:t>
      </w:r>
      <w:r>
        <w:rPr>
          <w:color w:val="000000"/>
        </w:rPr>
        <w:t xml:space="preserve">” </w:t>
      </w:r>
      <w:r>
        <w:rPr>
          <w:rFonts w:ascii="Times New Roman;sans-serif" w:hAnsi="Times New Roman;sans-serif"/>
          <w:b w:val="false"/>
          <w:color w:val="000000"/>
          <w:sz w:val="20"/>
        </w:rPr>
        <w:t>are to the Atieva, Inc. 2009 Share Plan duly adopted by the board of directors of Legacy Lucid on December 17, 2009;</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2014 Plan</w:t>
      </w:r>
      <w:r>
        <w:rPr>
          <w:color w:val="000000"/>
        </w:rPr>
        <w:t xml:space="preserve">” </w:t>
      </w:r>
      <w:r>
        <w:rPr>
          <w:rFonts w:ascii="Times New Roman;sans-serif" w:hAnsi="Times New Roman;sans-serif"/>
          <w:b w:val="false"/>
          <w:color w:val="000000"/>
          <w:sz w:val="20"/>
        </w:rPr>
        <w:t>are to the Atieva, Inc. 2014 Share Plan duly adopted by the board of directors of Legacy Lucid on May 14, 2014;</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2021 Plan</w:t>
      </w:r>
      <w:r>
        <w:rPr>
          <w:color w:val="000000"/>
        </w:rPr>
        <w:t xml:space="preserve">” </w:t>
      </w:r>
      <w:r>
        <w:rPr>
          <w:rFonts w:ascii="Times New Roman;sans-serif" w:hAnsi="Times New Roman;sans-serif"/>
          <w:b w:val="false"/>
          <w:color w:val="000000"/>
          <w:sz w:val="20"/>
        </w:rPr>
        <w:t>are to the Atieva, Inc. 2021 Stock Incentive Plan duly adopted by the compensation committee of the board of directors of</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Legacy Lucid on January 13, 2021 and approved by Legacy Lucid’s shareholders on January 21, 2021;</w:t>
      </w:r>
    </w:p>
    <w:p>
      <w:pPr>
        <w:pStyle w:val="TextBody"/>
        <w:spacing w:lineRule="auto" w:line="288" w:before="240" w:after="283"/>
        <w:rPr/>
      </w:pPr>
      <w:r>
        <w:rPr>
          <w:color w:val="000000"/>
        </w:rPr>
        <w:t>“</w:t>
      </w:r>
      <w:r>
        <w:rPr>
          <w:rFonts w:ascii="Times New Roman;sans-serif" w:hAnsi="Times New Roman;sans-serif"/>
          <w:b w:val="false"/>
          <w:i/>
          <w:color w:val="000000"/>
          <w:sz w:val="20"/>
        </w:rPr>
        <w:t>2026 Notes</w:t>
      </w:r>
      <w:r>
        <w:rPr>
          <w:color w:val="000000"/>
        </w:rPr>
        <w:t xml:space="preserve">” </w:t>
      </w:r>
      <w:r>
        <w:rPr>
          <w:rFonts w:ascii="Times New Roman;sans-serif" w:hAnsi="Times New Roman;sans-serif"/>
          <w:b w:val="false"/>
          <w:color w:val="000000"/>
          <w:sz w:val="20"/>
        </w:rPr>
        <w:t>are to the 1.25% Convertible Senior Notes due 2026;</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Ayar</w:t>
      </w:r>
      <w:r>
        <w:rPr>
          <w:color w:val="000000"/>
        </w:rPr>
        <w:t xml:space="preserve">” </w:t>
      </w:r>
      <w:r>
        <w:rPr>
          <w:rFonts w:ascii="Times New Roman;sans-serif" w:hAnsi="Times New Roman;sans-serif"/>
          <w:b w:val="false"/>
          <w:color w:val="000000"/>
          <w:sz w:val="20"/>
        </w:rPr>
        <w:t>are to Ayar Third Investment Company, an affiliate of PIF;</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Board</w:t>
      </w:r>
      <w:r>
        <w:rPr>
          <w:color w:val="000000"/>
        </w:rPr>
        <w:t xml:space="preserve">” </w:t>
      </w:r>
      <w:r>
        <w:rPr>
          <w:rFonts w:ascii="Times New Roman;sans-serif" w:hAnsi="Times New Roman;sans-serif"/>
          <w:b w:val="false"/>
          <w:color w:val="000000"/>
          <w:sz w:val="20"/>
        </w:rPr>
        <w:t>are, prior to consummation of the Transactions, to the board of directors of Legacy Lucid, and, following consummation of the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Transactions, to the board of directors of Lucid Group Inc., a Delaware corporation;</w:t>
      </w:r>
    </w:p>
    <w:p>
      <w:pPr>
        <w:pStyle w:val="TextBody"/>
        <w:spacing w:lineRule="auto" w:line="288" w:before="240" w:after="283"/>
        <w:rPr/>
      </w:pPr>
      <w:r>
        <w:rPr>
          <w:color w:val="000000"/>
        </w:rPr>
        <w:t>“</w:t>
      </w:r>
      <w:r>
        <w:rPr>
          <w:rFonts w:ascii="Times New Roman;sans-serif" w:hAnsi="Times New Roman;sans-serif"/>
          <w:b w:val="false"/>
          <w:i/>
          <w:color w:val="000000"/>
          <w:sz w:val="20"/>
        </w:rPr>
        <w:t>Churchill</w:t>
      </w:r>
      <w:r>
        <w:rPr>
          <w:color w:val="000000"/>
        </w:rPr>
        <w:t xml:space="preserve">” </w:t>
      </w:r>
      <w:r>
        <w:rPr>
          <w:rFonts w:ascii="Times New Roman;sans-serif" w:hAnsi="Times New Roman;sans-serif"/>
          <w:b w:val="false"/>
          <w:color w:val="000000"/>
          <w:sz w:val="20"/>
        </w:rPr>
        <w:t xml:space="preserve">or </w:t>
      </w:r>
      <w:r>
        <w:rPr>
          <w:color w:val="000000"/>
        </w:rPr>
        <w:t>“</w:t>
      </w:r>
      <w:r>
        <w:rPr>
          <w:rFonts w:ascii="Times New Roman;sans-serif" w:hAnsi="Times New Roman;sans-serif"/>
          <w:b w:val="false"/>
          <w:i/>
          <w:color w:val="000000"/>
          <w:sz w:val="20"/>
        </w:rPr>
        <w:t>CCIV”</w:t>
      </w:r>
      <w:r>
        <w:rPr>
          <w:color w:val="000000"/>
        </w:rPr>
        <w:t xml:space="preserve"> </w:t>
      </w:r>
      <w:r>
        <w:rPr>
          <w:rFonts w:ascii="Times New Roman;sans-serif" w:hAnsi="Times New Roman;sans-serif"/>
          <w:b w:val="false"/>
          <w:color w:val="000000"/>
          <w:sz w:val="20"/>
        </w:rPr>
        <w:t>are to Churchill Capital Corp IV, a Delaware corporation and our predecessor company prior to the consummation of the Transactions, which changed its name to Lucid Group, Inc. following the consummation of the Transactions, and its consolidated subsidiaries;</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Churchill’s Class A common stock</w:t>
      </w:r>
      <w:r>
        <w:rPr>
          <w:color w:val="000000"/>
        </w:rPr>
        <w:t xml:space="preserve">” </w:t>
      </w:r>
      <w:r>
        <w:rPr>
          <w:rFonts w:ascii="Times New Roman;sans-serif" w:hAnsi="Times New Roman;sans-serif"/>
          <w:b w:val="false"/>
          <w:color w:val="000000"/>
          <w:sz w:val="20"/>
        </w:rPr>
        <w:t>are to Churchill’s Class A common stock, par value $0.0001 per share;</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Churchill’s Class B common stock</w:t>
      </w:r>
      <w:r>
        <w:rPr>
          <w:color w:val="000000"/>
        </w:rPr>
        <w:t xml:space="preserve">” </w:t>
      </w:r>
      <w:r>
        <w:rPr>
          <w:rFonts w:ascii="Times New Roman;sans-serif" w:hAnsi="Times New Roman;sans-serif"/>
          <w:b w:val="false"/>
          <w:color w:val="000000"/>
          <w:sz w:val="20"/>
        </w:rPr>
        <w:t>are to Churchill’s Class B common stock, par value $0.0001 per share;</w:t>
      </w:r>
    </w:p>
    <w:p>
      <w:pPr>
        <w:pStyle w:val="TextBody"/>
        <w:spacing w:lineRule="auto" w:line="288" w:before="240" w:after="283"/>
        <w:rPr/>
      </w:pPr>
      <w:r>
        <w:rPr>
          <w:color w:val="000000"/>
        </w:rPr>
        <w:t>“</w:t>
      </w:r>
      <w:r>
        <w:rPr>
          <w:rFonts w:ascii="Times New Roman;sans-serif" w:hAnsi="Times New Roman;sans-serif"/>
          <w:b w:val="false"/>
          <w:i/>
          <w:color w:val="000000"/>
          <w:sz w:val="20"/>
        </w:rPr>
        <w:t>Churchill IPO</w:t>
      </w:r>
      <w:r>
        <w:rPr>
          <w:color w:val="000000"/>
        </w:rPr>
        <w:t xml:space="preserve">” </w:t>
      </w:r>
      <w:r>
        <w:rPr>
          <w:rFonts w:ascii="Times New Roman;sans-serif" w:hAnsi="Times New Roman;sans-serif"/>
          <w:b w:val="false"/>
          <w:color w:val="000000"/>
          <w:sz w:val="20"/>
        </w:rPr>
        <w:t>are to the initial public offering by Churchill which closed on August 3, 2020;</w:t>
      </w:r>
    </w:p>
    <w:p>
      <w:pPr>
        <w:pStyle w:val="TextBody"/>
        <w:spacing w:lineRule="auto" w:line="288" w:before="240" w:after="283"/>
        <w:rPr/>
      </w:pPr>
      <w:r>
        <w:rPr>
          <w:color w:val="000000"/>
        </w:rPr>
        <w:t>“</w:t>
      </w:r>
      <w:r>
        <w:rPr>
          <w:rFonts w:ascii="Times New Roman;sans-serif" w:hAnsi="Times New Roman;sans-serif"/>
          <w:b w:val="false"/>
          <w:i/>
          <w:color w:val="000000"/>
          <w:sz w:val="20"/>
        </w:rPr>
        <w:t>Closing</w:t>
      </w:r>
      <w:r>
        <w:rPr>
          <w:color w:val="000000"/>
        </w:rPr>
        <w:t xml:space="preserve">” </w:t>
      </w:r>
      <w:r>
        <w:rPr>
          <w:rFonts w:ascii="Times New Roman;sans-serif" w:hAnsi="Times New Roman;sans-serif"/>
          <w:b w:val="false"/>
          <w:color w:val="000000"/>
          <w:sz w:val="20"/>
        </w:rPr>
        <w:t>are to the consummation of the Transactions;</w:t>
      </w:r>
    </w:p>
    <w:p>
      <w:pPr>
        <w:pStyle w:val="TextBody"/>
        <w:spacing w:lineRule="auto" w:line="288" w:before="240" w:after="283"/>
        <w:rPr/>
      </w:pPr>
      <w:r>
        <w:rPr>
          <w:color w:val="000000"/>
        </w:rPr>
        <w:t>“</w:t>
      </w:r>
      <w:r>
        <w:rPr>
          <w:rFonts w:ascii="Times New Roman;sans-serif" w:hAnsi="Times New Roman;sans-serif"/>
          <w:b w:val="false"/>
          <w:i/>
          <w:color w:val="000000"/>
          <w:sz w:val="20"/>
        </w:rPr>
        <w:t>Closing Date</w:t>
      </w:r>
      <w:r>
        <w:rPr>
          <w:color w:val="000000"/>
        </w:rPr>
        <w:t xml:space="preserve">” </w:t>
      </w:r>
      <w:r>
        <w:rPr>
          <w:rFonts w:ascii="Times New Roman;sans-serif" w:hAnsi="Times New Roman;sans-serif"/>
          <w:b w:val="false"/>
          <w:color w:val="000000"/>
          <w:sz w:val="20"/>
        </w:rPr>
        <w:t>are to July 23, 2021, the date on which the Transactions were consummated;</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common stock</w:t>
      </w:r>
      <w:r>
        <w:rPr>
          <w:color w:val="000000"/>
        </w:rPr>
        <w:t xml:space="preserve">” </w:t>
      </w:r>
      <w:r>
        <w:rPr>
          <w:rFonts w:ascii="Times New Roman;sans-serif" w:hAnsi="Times New Roman;sans-serif"/>
          <w:b w:val="false"/>
          <w:color w:val="000000"/>
          <w:sz w:val="20"/>
        </w:rPr>
        <w:t>are, prior to the consummation of the Transactions, to Churchill’s Class A common stock and Churchill’s Class B</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common stock and, following the consummation of the Transactions, to the common stock of Lucid Group, Inc., par value $0.0001 per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share;</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Effective Time</w:t>
      </w:r>
      <w:r>
        <w:rPr>
          <w:color w:val="000000"/>
        </w:rPr>
        <w:t xml:space="preserve">” </w:t>
      </w:r>
      <w:r>
        <w:rPr>
          <w:rFonts w:ascii="Times New Roman;sans-serif" w:hAnsi="Times New Roman;sans-serif"/>
          <w:b w:val="false"/>
          <w:color w:val="000000"/>
          <w:sz w:val="20"/>
        </w:rPr>
        <w:t>are to the date and time when the Merger became effective;</w:t>
      </w:r>
    </w:p>
    <w:p>
      <w:pPr>
        <w:pStyle w:val="TextBody"/>
        <w:spacing w:lineRule="auto" w:line="288" w:before="240" w:after="283"/>
        <w:rPr/>
      </w:pPr>
      <w:r>
        <w:rPr>
          <w:color w:val="000000"/>
        </w:rPr>
        <w:t>“</w:t>
      </w:r>
      <w:r>
        <w:rPr>
          <w:rFonts w:ascii="Times New Roman;sans-serif" w:hAnsi="Times New Roman;sans-serif"/>
          <w:b w:val="false"/>
          <w:i/>
          <w:color w:val="000000"/>
          <w:sz w:val="20"/>
        </w:rPr>
        <w:t>ESG</w:t>
      </w:r>
      <w:r>
        <w:rPr>
          <w:color w:val="000000"/>
        </w:rPr>
        <w:t xml:space="preserve">” </w:t>
      </w:r>
      <w:r>
        <w:rPr>
          <w:rFonts w:ascii="Times New Roman;sans-serif" w:hAnsi="Times New Roman;sans-serif"/>
          <w:b w:val="false"/>
          <w:color w:val="000000"/>
          <w:sz w:val="20"/>
        </w:rPr>
        <w:t>are to the Environmental, Social and Governance;</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EV</w:t>
      </w:r>
      <w:r>
        <w:rPr>
          <w:color w:val="000000"/>
        </w:rPr>
        <w:t xml:space="preserve">” </w:t>
      </w:r>
      <w:r>
        <w:rPr>
          <w:rFonts w:ascii="Times New Roman;sans-serif" w:hAnsi="Times New Roman;sans-serif"/>
          <w:b w:val="false"/>
          <w:color w:val="000000"/>
          <w:sz w:val="20"/>
        </w:rPr>
        <w:t>are to electric vehicle;</w:t>
      </w:r>
    </w:p>
    <w:p>
      <w:pPr>
        <w:pStyle w:val="TextBody"/>
        <w:spacing w:lineRule="auto" w:line="288" w:before="240" w:after="283"/>
        <w:rPr/>
      </w:pPr>
      <w:r>
        <w:rPr>
          <w:color w:val="000000"/>
        </w:rPr>
        <w:t>“</w:t>
      </w:r>
      <w:r>
        <w:rPr>
          <w:rFonts w:ascii="Times New Roman;sans-serif" w:hAnsi="Times New Roman;sans-serif"/>
          <w:b w:val="false"/>
          <w:i/>
          <w:color w:val="000000"/>
          <w:sz w:val="20"/>
        </w:rPr>
        <w:t>Exchange Ratio</w:t>
      </w:r>
      <w:r>
        <w:rPr>
          <w:color w:val="000000"/>
        </w:rPr>
        <w:t xml:space="preserve">” </w:t>
      </w:r>
      <w:r>
        <w:rPr>
          <w:rFonts w:ascii="Times New Roman;sans-serif" w:hAnsi="Times New Roman;sans-serif"/>
          <w:b w:val="false"/>
          <w:color w:val="000000"/>
          <w:sz w:val="20"/>
        </w:rPr>
        <w:t>are to the quotient as defined in, and calculated in accordance with, the Merger Agreement, which is 2.644;</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founder shares</w:t>
      </w:r>
      <w:r>
        <w:rPr>
          <w:color w:val="000000"/>
        </w:rPr>
        <w:t xml:space="preserve">” </w:t>
      </w:r>
      <w:r>
        <w:rPr>
          <w:rFonts w:ascii="Times New Roman;sans-serif" w:hAnsi="Times New Roman;sans-serif"/>
          <w:b w:val="false"/>
          <w:color w:val="000000"/>
          <w:sz w:val="20"/>
        </w:rPr>
        <w:t>are to shares of Churchill’s Class B common stock and Churchill’s Class A common stock issued upon the automatic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conversion thereof in connection with the Closing;</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Investor Rights Agreement</w:t>
      </w:r>
      <w:r>
        <w:rPr>
          <w:color w:val="000000"/>
        </w:rPr>
        <w:t xml:space="preserve">” </w:t>
      </w:r>
      <w:r>
        <w:rPr>
          <w:rFonts w:ascii="Times New Roman;sans-serif" w:hAnsi="Times New Roman;sans-serif"/>
          <w:b w:val="false"/>
          <w:color w:val="000000"/>
          <w:sz w:val="20"/>
        </w:rPr>
        <w:t>are to the Investor Rights Agreement, dated as of February 22, 2021, by and among the Company, the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Sponsor, Ayar and certain other parties thereto;</w:t>
      </w:r>
    </w:p>
    <w:p>
      <w:pPr>
        <w:pStyle w:val="TextBody"/>
        <w:spacing w:lineRule="auto" w:line="288" w:before="240" w:after="283"/>
        <w:rPr/>
      </w:pPr>
      <w:r>
        <w:rPr>
          <w:color w:val="000000"/>
        </w:rPr>
        <w:t>“</w:t>
      </w:r>
      <w:r>
        <w:rPr>
          <w:rFonts w:ascii="Times New Roman;sans-serif" w:hAnsi="Times New Roman;sans-serif"/>
          <w:b w:val="false"/>
          <w:i/>
          <w:color w:val="000000"/>
          <w:sz w:val="20"/>
        </w:rPr>
        <w:t>Legacy Lucid</w:t>
      </w:r>
      <w:r>
        <w:rPr>
          <w:color w:val="000000"/>
        </w:rPr>
        <w:t xml:space="preserve">” </w:t>
      </w:r>
      <w:r>
        <w:rPr>
          <w:rFonts w:ascii="Times New Roman;sans-serif" w:hAnsi="Times New Roman;sans-serif"/>
          <w:b w:val="false"/>
          <w:color w:val="000000"/>
          <w:sz w:val="20"/>
        </w:rPr>
        <w:t>are to Atieva, Inc., d/b/a Lucid Motors, an exempted company incorporated with limited liability under the laws of the Cayman Islands, and its consolidated subsidiaries before the Closing Date;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Legacy Lucid Common Shares</w:t>
      </w:r>
      <w:r>
        <w:rPr>
          <w:color w:val="000000"/>
        </w:rPr>
        <w:t xml:space="preserve">” </w:t>
      </w:r>
      <w:r>
        <w:rPr>
          <w:rFonts w:ascii="Times New Roman;sans-serif" w:hAnsi="Times New Roman;sans-serif"/>
          <w:b w:val="false"/>
          <w:color w:val="000000"/>
          <w:sz w:val="20"/>
        </w:rPr>
        <w:t>are to the common shares, par value $0.0001 per share, of Legacy Lucid;</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Legacy Lucid Awards</w:t>
      </w:r>
      <w:r>
        <w:rPr>
          <w:color w:val="000000"/>
        </w:rPr>
        <w:t xml:space="preserve">” </w:t>
      </w:r>
      <w:r>
        <w:rPr>
          <w:rFonts w:ascii="Times New Roman;sans-serif" w:hAnsi="Times New Roman;sans-serif"/>
          <w:b w:val="false"/>
          <w:color w:val="000000"/>
          <w:sz w:val="20"/>
        </w:rPr>
        <w:t>are to all issued and outstanding stock options, restricted stock units or other compensatory equity securities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respect of shares of Legacy Lucid outstanding as of immediately prior to the closing of the Merger, including, without limitation, any</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Legacy Lucid Options and Legacy Lucid RSUs;</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Legacy Lucid Share Plans</w:t>
      </w:r>
      <w:r>
        <w:rPr>
          <w:color w:val="000000"/>
        </w:rPr>
        <w:t xml:space="preserve">” </w:t>
      </w:r>
      <w:r>
        <w:rPr>
          <w:rFonts w:ascii="Times New Roman;sans-serif" w:hAnsi="Times New Roman;sans-serif"/>
          <w:b w:val="false"/>
          <w:color w:val="000000"/>
          <w:sz w:val="20"/>
        </w:rPr>
        <w:t>are to the 2009 Plan, the 2014 Plan, the 2021 Plan, in each case as amended from time to time in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accordance with their terms;</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Legacy Lucid Options</w:t>
      </w:r>
      <w:r>
        <w:rPr>
          <w:color w:val="000000"/>
        </w:rPr>
        <w:t xml:space="preserve">” </w:t>
      </w:r>
      <w:r>
        <w:rPr>
          <w:rFonts w:ascii="Times New Roman;sans-serif" w:hAnsi="Times New Roman;sans-serif"/>
          <w:b w:val="false"/>
          <w:color w:val="000000"/>
          <w:sz w:val="20"/>
        </w:rPr>
        <w:t>are to all issued and outstanding options to purchase or otherwise acquire Legacy Lucid Common Shares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(whether or not vested) held by any person, including share options granted under any Legacy Lucid Share Plan;</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Legacy Lucid Preferred Shares</w:t>
      </w:r>
      <w:r>
        <w:rPr>
          <w:color w:val="000000"/>
        </w:rPr>
        <w:t xml:space="preserve">” </w:t>
      </w:r>
      <w:r>
        <w:rPr>
          <w:rFonts w:ascii="Times New Roman;sans-serif" w:hAnsi="Times New Roman;sans-serif"/>
          <w:b w:val="false"/>
          <w:color w:val="000000"/>
          <w:sz w:val="20"/>
        </w:rPr>
        <w:t>are to, collectively, Legacy Lucid Series A Preferred Shares, Legacy Lucid Series B Preferred Shares,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Legacy Lucid Series C Preferred Shares, Legacy Lucid Series D Preferred Shares and Legacy Lucid Series E Preferred Shares;</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Legacy Lucid Series A Preferred Shares</w:t>
      </w:r>
      <w:r>
        <w:rPr>
          <w:color w:val="000000"/>
        </w:rPr>
        <w:t xml:space="preserve">” </w:t>
      </w:r>
      <w:r>
        <w:rPr>
          <w:rFonts w:ascii="Times New Roman;sans-serif" w:hAnsi="Times New Roman;sans-serif"/>
          <w:b w:val="false"/>
          <w:color w:val="000000"/>
          <w:sz w:val="20"/>
        </w:rPr>
        <w:t>are to the Series A preferred shares, par value $0.0001 per share, of Legacy Lucid;</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Legacy Lucid Series B Preferred Shares</w:t>
      </w:r>
      <w:r>
        <w:rPr>
          <w:color w:val="000000"/>
        </w:rPr>
        <w:t xml:space="preserve">” </w:t>
      </w:r>
      <w:r>
        <w:rPr>
          <w:rFonts w:ascii="Times New Roman;sans-serif" w:hAnsi="Times New Roman;sans-serif"/>
          <w:b w:val="false"/>
          <w:color w:val="000000"/>
          <w:sz w:val="20"/>
        </w:rPr>
        <w:t>are to the Series B preferred shares, par value $0.0001 per share, of Legacy Lucid;</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Legacy Lucid Series C Preferred Shares</w:t>
      </w:r>
      <w:r>
        <w:rPr>
          <w:color w:val="000000"/>
        </w:rPr>
        <w:t xml:space="preserve">” </w:t>
      </w:r>
      <w:r>
        <w:rPr>
          <w:rFonts w:ascii="Times New Roman;sans-serif" w:hAnsi="Times New Roman;sans-serif"/>
          <w:b w:val="false"/>
          <w:color w:val="000000"/>
          <w:sz w:val="20"/>
        </w:rPr>
        <w:t>are to the Series C preferred shares, par value $0.0001 per share, of Legacy Lucid;</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Legacy Lucid Series D Preferred Shares</w:t>
      </w:r>
      <w:r>
        <w:rPr>
          <w:color w:val="000000"/>
        </w:rPr>
        <w:t xml:space="preserve">” </w:t>
      </w:r>
      <w:r>
        <w:rPr>
          <w:rFonts w:ascii="Times New Roman;sans-serif" w:hAnsi="Times New Roman;sans-serif"/>
          <w:b w:val="false"/>
          <w:color w:val="000000"/>
          <w:sz w:val="20"/>
        </w:rPr>
        <w:t>are to the Series D preferred shares, par value $0.0001 per share, of Legacy Lucid;</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Legacy Lucid Series E Preferred Shares</w:t>
      </w:r>
      <w:r>
        <w:rPr>
          <w:color w:val="000000"/>
        </w:rPr>
        <w:t xml:space="preserve">” </w:t>
      </w:r>
      <w:r>
        <w:rPr>
          <w:rFonts w:ascii="Times New Roman;sans-serif" w:hAnsi="Times New Roman;sans-serif"/>
          <w:b w:val="false"/>
          <w:color w:val="000000"/>
          <w:sz w:val="20"/>
        </w:rPr>
        <w:t>are to the Series E preferred shares, par value $0.0001 per share, of Legacy Lucid;</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Legacy Lucid Share</w:t>
      </w:r>
      <w:r>
        <w:rPr>
          <w:rFonts w:ascii="Times New Roman;sans-serif" w:hAnsi="Times New Roman;sans-serif"/>
          <w:b w:val="false"/>
          <w:color w:val="000000"/>
          <w:sz w:val="20"/>
        </w:rPr>
        <w:t>s” are to the Legacy Lucid Common Shares and Legacy Lucid Preferred Shares;</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Legacy Lucid RSUs</w:t>
      </w:r>
      <w:r>
        <w:rPr>
          <w:color w:val="000000"/>
        </w:rPr>
        <w:t xml:space="preserve">” </w:t>
      </w:r>
      <w:r>
        <w:rPr>
          <w:rFonts w:ascii="Times New Roman;sans-serif" w:hAnsi="Times New Roman;sans-serif"/>
          <w:b w:val="false"/>
          <w:color w:val="000000"/>
          <w:sz w:val="20"/>
        </w:rPr>
        <w:t>are to all issued and outstanding restricted stock unit awards with respect to Legacy Lucid Common Shares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outstanding under any Legacy Lucid Share Plan;</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Lucid Awards</w:t>
      </w:r>
      <w:r>
        <w:rPr>
          <w:color w:val="000000"/>
        </w:rPr>
        <w:t xml:space="preserve">” </w:t>
      </w:r>
      <w:r>
        <w:rPr>
          <w:rFonts w:ascii="Times New Roman;sans-serif" w:hAnsi="Times New Roman;sans-serif"/>
          <w:b w:val="false"/>
          <w:color w:val="000000"/>
          <w:sz w:val="20"/>
        </w:rPr>
        <w:t>are to Lucid Options and Lucid RSUs;</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Lucid Options</w:t>
      </w:r>
      <w:r>
        <w:rPr>
          <w:color w:val="000000"/>
        </w:rPr>
        <w:t xml:space="preserve">” </w:t>
      </w:r>
      <w:r>
        <w:rPr>
          <w:rFonts w:ascii="Times New Roman;sans-serif" w:hAnsi="Times New Roman;sans-serif"/>
          <w:b w:val="false"/>
          <w:color w:val="000000"/>
          <w:sz w:val="20"/>
        </w:rPr>
        <w:t>are to all issued and outstanding options to purchase shares of common stock immediately following the closing of the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Merger;</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Lucid RSUs</w:t>
      </w:r>
      <w:r>
        <w:rPr>
          <w:color w:val="000000"/>
        </w:rPr>
        <w:t xml:space="preserve">” </w:t>
      </w:r>
      <w:r>
        <w:rPr>
          <w:rFonts w:ascii="Times New Roman;sans-serif" w:hAnsi="Times New Roman;sans-serif"/>
          <w:b w:val="false"/>
          <w:color w:val="000000"/>
          <w:sz w:val="20"/>
        </w:rPr>
        <w:t>are to all issued and outstanding restricted stock unit awards with respect to shares of common stock immediately</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following the closing of the Merger;</w:t>
      </w:r>
    </w:p>
    <w:p>
      <w:pPr>
        <w:pStyle w:val="TextBody"/>
        <w:spacing w:lineRule="auto" w:line="288" w:before="240" w:after="283"/>
        <w:rPr/>
      </w:pPr>
      <w:r>
        <w:rPr>
          <w:color w:val="000000"/>
        </w:rPr>
        <w:t>“</w:t>
      </w:r>
      <w:r>
        <w:rPr>
          <w:rFonts w:ascii="Times New Roman;sans-serif" w:hAnsi="Times New Roman;sans-serif"/>
          <w:b w:val="false"/>
          <w:i/>
          <w:color w:val="000000"/>
          <w:sz w:val="20"/>
        </w:rPr>
        <w:t>Merger</w:t>
      </w:r>
      <w:r>
        <w:rPr>
          <w:color w:val="000000"/>
        </w:rPr>
        <w:t xml:space="preserve">” </w:t>
      </w:r>
      <w:r>
        <w:rPr>
          <w:rFonts w:ascii="Times New Roman;sans-serif" w:hAnsi="Times New Roman;sans-serif"/>
          <w:b w:val="false"/>
          <w:color w:val="000000"/>
          <w:sz w:val="20"/>
        </w:rPr>
        <w:t>are to the merger of a merger subsidiary of Churchill and Atieva, Inc., with Atieva, Inc. surviving such merger as a wholly owned subsidiary of Churchill;</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Merger Sub</w:t>
      </w:r>
      <w:r>
        <w:rPr>
          <w:color w:val="000000"/>
        </w:rPr>
        <w:t xml:space="preserve">” </w:t>
      </w:r>
      <w:r>
        <w:rPr>
          <w:rFonts w:ascii="Times New Roman;sans-serif" w:hAnsi="Times New Roman;sans-serif"/>
          <w:b w:val="false"/>
          <w:color w:val="000000"/>
          <w:sz w:val="20"/>
        </w:rPr>
        <w:t>are to Air Merger Sub, Inc., a Delaware corporation and a direct, wholly-owned subsidiary of Churchill;</w:t>
      </w:r>
    </w:p>
    <w:p>
      <w:pPr>
        <w:pStyle w:val="TextBody"/>
        <w:spacing w:lineRule="auto" w:line="288" w:before="240" w:after="283"/>
        <w:rPr/>
      </w:pPr>
      <w:r>
        <w:rPr>
          <w:color w:val="000000"/>
        </w:rPr>
        <w:t>“</w:t>
      </w:r>
      <w:r>
        <w:rPr>
          <w:rFonts w:ascii="Times New Roman;sans-serif" w:hAnsi="Times New Roman;sans-serif"/>
          <w:b w:val="false"/>
          <w:i/>
          <w:color w:val="000000"/>
          <w:sz w:val="20"/>
        </w:rPr>
        <w:t>Merger Agreement</w:t>
      </w:r>
      <w:r>
        <w:rPr>
          <w:color w:val="000000"/>
        </w:rPr>
        <w:t xml:space="preserve">” </w:t>
      </w:r>
      <w:r>
        <w:rPr>
          <w:rFonts w:ascii="Times New Roman;sans-serif" w:hAnsi="Times New Roman;sans-serif"/>
          <w:b w:val="false"/>
          <w:color w:val="000000"/>
          <w:sz w:val="20"/>
        </w:rPr>
        <w:t>are to that certain Agreement and Plan of Merger, dated as of February 22, 2021, by and among Churchill, Legacy Lucid and Merger Sub, as the same has been or may be amended, modified, supplemented or waived from time to time;</w:t>
      </w:r>
    </w:p>
    <w:p>
      <w:pPr>
        <w:pStyle w:val="TextBody"/>
        <w:spacing w:lineRule="auto" w:line="288" w:before="240" w:after="283"/>
        <w:rPr/>
      </w:pPr>
      <w:r>
        <w:rPr>
          <w:color w:val="000000"/>
        </w:rPr>
        <w:t>“</w:t>
      </w:r>
      <w:r>
        <w:rPr>
          <w:rFonts w:ascii="Times New Roman;sans-serif" w:hAnsi="Times New Roman;sans-serif"/>
          <w:b w:val="false"/>
          <w:i/>
          <w:color w:val="000000"/>
          <w:sz w:val="20"/>
        </w:rPr>
        <w:t>PIF</w:t>
      </w:r>
      <w:r>
        <w:rPr>
          <w:color w:val="000000"/>
        </w:rPr>
        <w:t xml:space="preserve">” </w:t>
      </w:r>
      <w:r>
        <w:rPr>
          <w:rFonts w:ascii="Times New Roman;sans-serif" w:hAnsi="Times New Roman;sans-serif"/>
          <w:b w:val="false"/>
          <w:color w:val="000000"/>
          <w:sz w:val="20"/>
        </w:rPr>
        <w:t>are to the Public Investment Fund;</w:t>
      </w:r>
    </w:p>
    <w:p>
      <w:pPr>
        <w:pStyle w:val="TextBody"/>
        <w:spacing w:lineRule="auto" w:line="288" w:before="240" w:after="283"/>
        <w:rPr/>
      </w:pPr>
      <w:r>
        <w:rPr>
          <w:color w:val="000000"/>
        </w:rPr>
        <w:t>“</w:t>
      </w:r>
      <w:r>
        <w:rPr>
          <w:rFonts w:ascii="Times New Roman;sans-serif" w:hAnsi="Times New Roman;sans-serif"/>
          <w:b w:val="false"/>
          <w:i/>
          <w:color w:val="000000"/>
          <w:sz w:val="20"/>
        </w:rPr>
        <w:t>PIPE Investment</w:t>
      </w:r>
      <w:r>
        <w:rPr>
          <w:color w:val="000000"/>
        </w:rPr>
        <w:t xml:space="preserve">” </w:t>
      </w:r>
      <w:r>
        <w:rPr>
          <w:rFonts w:ascii="Times New Roman;sans-serif" w:hAnsi="Times New Roman;sans-serif"/>
          <w:b w:val="false"/>
          <w:color w:val="000000"/>
          <w:sz w:val="20"/>
        </w:rPr>
        <w:t>are to the private placement subscription agreements that Churchill entered into contemporaneously with the execution of the Merger Agreement whereby Churchill has agreed to issue and sell to certain investors $2.5 billion of Churchill’s Class A common stock at a purchase price of $15.00 per share. The PIPE Investment closed simultaneously with the Closing of the Merger;</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PIPE Investors</w:t>
      </w:r>
      <w:r>
        <w:rPr>
          <w:color w:val="000000"/>
        </w:rPr>
        <w:t xml:space="preserve">” </w:t>
      </w:r>
      <w:r>
        <w:rPr>
          <w:rFonts w:ascii="Times New Roman;sans-serif" w:hAnsi="Times New Roman;sans-serif"/>
          <w:b w:val="false"/>
          <w:color w:val="000000"/>
          <w:sz w:val="20"/>
        </w:rPr>
        <w:t>are to the investors participating in the PIPE Investment;</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PIPE Subscription Agreements</w:t>
      </w:r>
      <w:r>
        <w:rPr>
          <w:color w:val="000000"/>
        </w:rPr>
        <w:t xml:space="preserve">” </w:t>
      </w:r>
      <w:r>
        <w:rPr>
          <w:rFonts w:ascii="Times New Roman;sans-serif" w:hAnsi="Times New Roman;sans-serif"/>
          <w:b w:val="false"/>
          <w:color w:val="000000"/>
          <w:sz w:val="20"/>
        </w:rPr>
        <w:t>are to the common stock subscription agreements entered into by and among Churchill, and the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investors party thereto, in each case, dated as of February 22, 2021 and entered into in connection with the PIPE Investment;</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Private Placement Warrants</w:t>
      </w:r>
      <w:r>
        <w:rPr>
          <w:color w:val="000000"/>
        </w:rPr>
        <w:t xml:space="preserve">” </w:t>
      </w:r>
      <w:r>
        <w:rPr>
          <w:rFonts w:ascii="Times New Roman;sans-serif" w:hAnsi="Times New Roman;sans-serif"/>
          <w:b w:val="false"/>
          <w:color w:val="000000"/>
          <w:sz w:val="20"/>
        </w:rPr>
        <w:t>are to Churchill’s warrants issued to the Sponsor in a private placement simultaneously with the closing</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of the Churchill IPO;</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Promissory Note</w:t>
      </w:r>
      <w:r>
        <w:rPr>
          <w:color w:val="000000"/>
        </w:rPr>
        <w:t xml:space="preserve">” </w:t>
      </w:r>
      <w:r>
        <w:rPr>
          <w:rFonts w:ascii="Times New Roman;sans-serif" w:hAnsi="Times New Roman;sans-serif"/>
          <w:b w:val="false"/>
          <w:color w:val="000000"/>
          <w:sz w:val="20"/>
        </w:rPr>
        <w:t>are to the unsecured promissory note issued by Churchill to the Sponsor in an aggregate principal amount of</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$1,500,000. The Sponsor has elected to exercise its option to convert the unpaid balance of the Promissory Note of $1,500,000 into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Working Capital Warrants;</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Public Warrants</w:t>
      </w:r>
      <w:r>
        <w:rPr>
          <w:color w:val="000000"/>
        </w:rPr>
        <w:t xml:space="preserve">” </w:t>
      </w:r>
      <w:r>
        <w:rPr>
          <w:rFonts w:ascii="Times New Roman;sans-serif" w:hAnsi="Times New Roman;sans-serif"/>
          <w:b w:val="false"/>
          <w:color w:val="000000"/>
          <w:sz w:val="20"/>
        </w:rPr>
        <w:t>are to Churchill’s warrants sold as part of the units in the Churchill IPO (whether they were purchased in the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Churchill IPO or thereafter in the open market);</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Sponsor</w:t>
      </w:r>
      <w:r>
        <w:rPr>
          <w:color w:val="000000"/>
        </w:rPr>
        <w:t xml:space="preserve">” </w:t>
      </w:r>
      <w:r>
        <w:rPr>
          <w:rFonts w:ascii="Times New Roman;sans-serif" w:hAnsi="Times New Roman;sans-serif"/>
          <w:b w:val="false"/>
          <w:color w:val="000000"/>
          <w:sz w:val="20"/>
        </w:rPr>
        <w:t>are to Churchill Sponsor IV LLC, a Delaware limited liability company and an affiliate of M. Klein and Company;</w:t>
      </w:r>
    </w:p>
    <w:p>
      <w:pPr>
        <w:pStyle w:val="TextBody"/>
        <w:spacing w:lineRule="auto" w:line="288" w:before="240" w:after="283"/>
        <w:rPr/>
      </w:pPr>
      <w:r>
        <w:rPr>
          <w:color w:val="000000"/>
        </w:rPr>
        <w:t>“</w:t>
      </w:r>
      <w:r>
        <w:rPr>
          <w:rFonts w:ascii="Times New Roman;sans-serif" w:hAnsi="Times New Roman;sans-serif"/>
          <w:b w:val="false"/>
          <w:i/>
          <w:color w:val="000000"/>
          <w:sz w:val="20"/>
        </w:rPr>
        <w:t>Transactions</w:t>
      </w:r>
      <w:r>
        <w:rPr>
          <w:color w:val="000000"/>
        </w:rPr>
        <w:t xml:space="preserve">” </w:t>
      </w:r>
      <w:r>
        <w:rPr>
          <w:rFonts w:ascii="Times New Roman;sans-serif" w:hAnsi="Times New Roman;sans-serif"/>
          <w:b w:val="false"/>
          <w:color w:val="000000"/>
          <w:sz w:val="20"/>
        </w:rPr>
        <w:t>are to the Merger, together with the other transactions consummated under the Merger Agreement and the related agreements;</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Warrant Agreement</w:t>
      </w:r>
      <w:r>
        <w:rPr>
          <w:color w:val="000000"/>
        </w:rPr>
        <w:t xml:space="preserve">” </w:t>
      </w:r>
      <w:r>
        <w:rPr>
          <w:rFonts w:ascii="Times New Roman;sans-serif" w:hAnsi="Times New Roman;sans-serif"/>
          <w:b w:val="false"/>
          <w:color w:val="000000"/>
          <w:sz w:val="20"/>
        </w:rPr>
        <w:t>are to the Warrant Agreement, dated July 29, 2020, entered into in connection with the Churchill IPO by and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between Continental Stock Transfer &amp; Trust Company and Churchill; and</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rPr>
        <w:t>Working Capital Warrants</w:t>
      </w:r>
      <w:r>
        <w:rPr>
          <w:color w:val="000000"/>
        </w:rPr>
        <w:t xml:space="preserve">” </w:t>
      </w:r>
      <w:r>
        <w:rPr>
          <w:rFonts w:ascii="Times New Roman;sans-serif" w:hAnsi="Times New Roman;sans-serif"/>
          <w:b w:val="false"/>
          <w:color w:val="000000"/>
          <w:sz w:val="20"/>
        </w:rPr>
        <w:t>are to the warrants to purchase Churchill’s Class A common stock pursuant to the terms of the Promissory</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Note, on terms identical to the terms of the Private Placement Warrants.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OVERVIEW</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Mission</w:t>
      </w:r>
    </w:p>
    <w:p>
      <w:pPr>
        <w:pStyle w:val="TextBody"/>
        <w:spacing w:lineRule="auto" w:line="288" w:before="240" w:after="283"/>
        <w:ind w:left="0" w:right="0" w:firstLine="399"/>
        <w:rPr>
          <w:rFonts w:ascii="Times New Roman;sans-serif" w:hAnsi="Times New Roman;sans-serif"/>
          <w:b w:val="false"/>
          <w:color w:val="000000"/>
          <w:sz w:val="20"/>
        </w:rPr>
      </w:pPr>
      <w:r>
        <w:rPr>
          <w:rFonts w:ascii="Times New Roman;sans-serif" w:hAnsi="Times New Roman;sans-serif"/>
          <w:b w:val="false"/>
          <w:color w:val="000000"/>
          <w:sz w:val="20"/>
        </w:rPr>
        <w:t>Lucid’s mission is to inspire the adoption of sustainable energy by creating advanced technologies and the most captivating luxury electric vehicles, centered around the human experience.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About Us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Lucid is a technology and automotive company that is setting new standards with its advanced luxury electric vehicles (EVs). Today, Lucid (i) designs, engineers and builds electric vehicles, EV powertrains and battery systems in-house using our own equipment and factory, (ii) offers a refined customer experience at our own geographically distributed retail and service locations and through direct-to-consumer online and retail sales and (iii) boasts a strong product roadmap of future vehicle programs and technologies. Our focus on in-house technological innovation, vertical integration, and a “clean-sheet” approach to engineering and design have led to the development of our groundbreaking electric vehicle, the Lucid Air.</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Lucid Air is a luxury electric sedan that redefines both the luxury car segment and the electric vehicle space, with industry-leading EPA-accredited range of more than 500 miles on a single charge (depending on vehicle configuration). This range is enabled by an efficient, powerful powertrain that Lucid developed and builds in-house through vertically integrated manufacturing capacity. Our Space Concept underpins the Lucid Air’s design, merging a spacious interior with a smaller exterior profile that is reminiscent of a high-performance sports car. This achievement is enabled by our miniaturized drive-train components, which also result in increased storage capacity.</w:t>
      </w:r>
    </w:p>
    <w:p>
      <w:pPr>
        <w:pStyle w:val="TextBody"/>
        <w:spacing w:lineRule="auto" w:line="288" w:before="240" w:after="283"/>
        <w:rPr/>
      </w:pPr>
      <w:r>
        <w:rPr>
          <w:rFonts w:ascii="Times New Roman;sans-serif" w:hAnsi="Times New Roman;sans-serif"/>
          <w:b w:val="false"/>
          <w:color w:val="000000"/>
          <w:sz w:val="20"/>
        </w:rPr>
        <w:t>The Lucid Air is manufactured at our greenfield electric vehicle manufacturing facility in Casa Grande, Arizona, Advanced Manufacturing Plant-1 (“</w:t>
      </w:r>
      <w:r>
        <w:rPr>
          <w:rFonts w:ascii="Times New Roman;sans-serif" w:hAnsi="Times New Roman;sans-serif"/>
          <w:b w:val="false"/>
          <w:i/>
          <w:color w:val="000000"/>
          <w:sz w:val="20"/>
        </w:rPr>
        <w:t>AMP-1</w:t>
      </w:r>
      <w:r>
        <w:rPr>
          <w:color w:val="000000"/>
        </w:rPr>
        <w:t>”</w:t>
      </w:r>
      <w:r>
        <w:rPr>
          <w:rFonts w:ascii="Times New Roman;sans-serif" w:hAnsi="Times New Roman;sans-serif"/>
          <w:b w:val="false"/>
          <w:color w:val="000000"/>
          <w:sz w:val="20"/>
        </w:rPr>
        <w:t>)</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Our manufacturing footprint in Casa Grande also includes the Lucid Powertrain Manufacturing Plant-1 (“</w:t>
      </w:r>
      <w:r>
        <w:rPr>
          <w:rFonts w:ascii="Times New Roman;sans-serif" w:hAnsi="Times New Roman;sans-serif"/>
          <w:b w:val="false"/>
          <w:i/>
          <w:color w:val="000000"/>
          <w:sz w:val="20"/>
        </w:rPr>
        <w:t>LPM-1</w:t>
      </w:r>
      <w:r>
        <w:rPr>
          <w:color w:val="000000"/>
        </w:rPr>
        <w:t>”</w:t>
      </w:r>
      <w:r>
        <w:rPr>
          <w:rFonts w:ascii="Times New Roman;sans-serif" w:hAnsi="Times New Roman;sans-serif"/>
          <w:b w:val="false"/>
          <w:color w:val="000000"/>
          <w:sz w:val="20"/>
        </w:rPr>
        <w:t>)</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located a short distance from AMP-1. Once AMP-1 is fully built out, our vehicle manufacturing footprint in Casa Grande is expected to exceed 5 million square feet on 495 acres. Our current manufacturing footprint has an annual output capacity of up to 34,000 vehicles per year followed by incremental build-out over time to deploy capital efficiently. Expansion activities are already underway to bring capacity at our Arizona site to 90,000 vehicles per year by the end of 2023 for production of both the Lucid Air and Project Gravity, with flexibility to shift production between vehicles based on demand.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improve product margins relative to an out-sourced manufacturing arrangement. We expect to diversify our vehicle portfolio and increase production capacity through localization of manufacturing in other geographies.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sell vehicles directly to consumers through our retail sales network and through direct online sales. As of December 31, 2021, we opened twenty retail Studios and service centers in North America. We believe that owning our sales network provides an opportunity to closely manage the customer experience, gather direct customer feedback, and ensure that customer interactions are on-brand and tailored to our customers’ needs.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also operate an in-house vehicle service network, with brick-and-mortar service centers in various geographies and a mobile service fleet. In addition to our in-house service capabilities, we established and continue to grow an approved list of specially trained collision repair shops which also serve as a repair hub for our mobile service offerings in some cases. We have contracted with a third-party roadside assistance partner for urgent roadside needs. As a technology company, we also complement our in-house service offerings through remote vehicle diagnostics capabilities and over-the-air (“OTA”) updates. This combination of in-house capabilities, ancillary service partners, and remote support and update capability is expected to serve our customers’ high service expectations.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began delivering the Lucid Air to customers in October 2021. We expect to launch additional vehicles over the coming decade. We have already commenced design and engineering work for Project Gravity, a luxury sports utility vehicle (“SUV”) that is expected to leverage many of the technological advancements and learnings from the Lucid Air. We expect to begin production of Project Gravity in the first half of 2024. After the Lucid Air and Project Gravity, we plan to leverage our technological and manufacturing advancements to develop and manufacture progressively more affordable vehicles in higher volumes.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further believe that our battery systems expertise positions us to produce compelling stationary energy storage system (“ESS”) products. ESS is a technologically adjacent opportunity which can leverage the modular design of our battery packs and our extensive experience with battery pack and battery management systems. By seeking to address the residential, commercial, and utility-scale energy storage markets, we can further address climate change through enhanced flexibility, efficiency, and stability of the electrical grid. We can also offer to customers an ability to add resiliency to their home’s power supply in the event of an outage through our future ESS products or the Lucid Air’s planned vehicle-to-grid (“V2G”) capabilities.</w:t>
      </w:r>
    </w:p>
    <w:p>
      <w:pPr>
        <w:pStyle w:val="TextBody"/>
        <w:spacing w:lineRule="auto" w:line="288" w:before="240" w:after="283"/>
        <w:rPr/>
      </w:pPr>
      <w:r>
        <w:rPr>
          <w:rFonts w:ascii="Times New Roman;sans-serif" w:hAnsi="Times New Roman;sans-serif"/>
          <w:b w:val="false"/>
          <w:color w:val="000000"/>
          <w:sz w:val="20"/>
        </w:rPr>
        <w:t>Beyond the sale of Lucid branded vehicles, we believe that our technological prowess and manufacturing capabilities present a further opportunity to generate revenue and combat climate change through the sale or licensing of electric vehicle powertrain and battery technology to third parties. Such powertrain and battery arrangements could facilitate and accelerate the shift to electrification for traditional automotive original equipment manufacturers (“</w:t>
      </w:r>
      <w:r>
        <w:rPr>
          <w:rFonts w:ascii="Times New Roman;sans-serif" w:hAnsi="Times New Roman;sans-serif"/>
          <w:b w:val="false"/>
          <w:i/>
          <w:color w:val="000000"/>
          <w:sz w:val="20"/>
        </w:rPr>
        <w:t>OEMs</w:t>
      </w:r>
      <w:r>
        <w:rPr>
          <w:color w:val="000000"/>
        </w:rPr>
        <w:t>”</w:t>
      </w:r>
      <w:r>
        <w:rPr>
          <w:rFonts w:ascii="Times New Roman;sans-serif" w:hAnsi="Times New Roman;sans-serif"/>
          <w:b w:val="false"/>
          <w:color w:val="000000"/>
          <w:sz w:val="20"/>
        </w:rPr>
        <w:t>) and “capex-light” EV companies alike and thereby enable the global production of electric vehicles in greater volumes and at varying price points. We believe that the sale or licensing of our technology would also enable us to refine our manufacturing efficiencies and the real world, practical operation of our technologies.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Market Opportunity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Lucid Air is a fully electric sedan that targets “Post-Luxury” consumers. We look past traditional definitions of luxury in order to appeal to customers who expect more. We recognize that luxury in the automotive space is shifting. While legacy luxury automakers emphasize status, opulence, and indulgence, the Lucid brand embraces elegance, modernity, sustainability, and a sense of well-being.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have the opportunity to define electric luxury by uniting our California aesthetic with our high-tech, Silicon Valley roots. Current luxury vehicles are based on traditions established by internal combustion automotive manufacture and design. We have the opportunity to be a leader in the next wave of innovation in the vehicle space. With the Lucid Air, Lucid targets consumers who desire electric vehicles with a high-end aesthetic and the accompanying luxury experience.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initial product, the Lucid Air, is positioned to compete in the global luxury car market.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the luxury automotive experience as one comprised of several essential elements, including: (i) luxury in product, with high-end comfort and significant attention to detail in design, content, materials, fit and finish, (ii) superior customer interaction, with high-touch customer interactions throughout both the sales cycle and ownership journey, and (iii) convenient service that exceeds that of a non-luxury automotive experience. We believe that our vehicles will be able to deliver the luxury experience that our target customers have become accustomed to, based on their experience owning traditional luxury vehicles.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an initial focus on the high-end luxury market, we intend to define an exclusive and recognizable brand that is synonymous with luxury. Over time, Lucid intends to develop and manufacture progressively more affordable vehicles in higher volumes. Our ultimate goal is to make an impact on the global climate crisis through mass production of sustainable transportation.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Increased government mandates for electrification, combined with consumers’ growing desire for clean energy vehicles, are driving electrification of the automotive industry at a rapid pace and on a global scale. The market is still nascent, with approximately 8% of global vehicle sales in 2021 being electric vehicles. This presents a significant opportunity for us to address unmet needs in this market.</w:t>
      </w:r>
    </w:p>
    <w:p>
      <w:pPr>
        <w:pStyle w:val="TextBody"/>
        <w:spacing w:lineRule="auto" w:line="288" w:before="240" w:after="283"/>
        <w:rPr/>
      </w:pPr>
      <w:r>
        <w:rPr>
          <w:rFonts w:ascii="Times New Roman;sans-serif" w:hAnsi="Times New Roman;sans-serif"/>
          <w:b w:val="false"/>
          <w:color w:val="000000"/>
          <w:sz w:val="20"/>
        </w:rPr>
        <w:t>The Lucid Air, which was named the 2022 MotorTrend Car of the Year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November, 2021,</w:t>
      </w:r>
      <w:r>
        <w:rPr>
          <w:color w:val="000000"/>
        </w:rPr>
        <w:t xml:space="preserve"> </w:t>
      </w:r>
      <w:r>
        <w:rPr>
          <w:rFonts w:ascii="Times New Roman;sans-serif" w:hAnsi="Times New Roman;sans-serif"/>
          <w:b w:val="false"/>
          <w:color w:val="000000"/>
          <w:sz w:val="20"/>
        </w:rPr>
        <w:t>is expected to help define Lucid as a brand. The design of the Lucid Air is intended to capture the potential of electrification through a fusion of art and science. As our flagship product, the Lucid Air is intended to establish the bar for excellence across all our future products and experiences. We started delivering vehicles to customers in North America in 2021. We plan to begin deliveries of the Lucid Air in additional markets in 2022.</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second vehicle, Project Gravity, is planned as an electric luxury SUV underpinned by efficiency, performance, and a spacious interior to set it apart in the SUV class, similar to how the Lucid Air stands out in its class. Beyond the Lucid Air and Project Gravity, our business plan contemplates the release of additional vehicles through the next decade.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Competitive Strengths</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Proven, Real World Validation.</w:t>
      </w:r>
      <w:r>
        <w:rPr>
          <w:color w:val="000000"/>
        </w:rPr>
        <w:t> </w:t>
      </w:r>
      <w:r>
        <w:rPr>
          <w:rFonts w:ascii="Times New Roman;sans-serif" w:hAnsi="Times New Roman;sans-serif"/>
          <w:b w:val="false"/>
          <w:color w:val="000000"/>
          <w:sz w:val="20"/>
        </w:rPr>
        <w:t xml:space="preserve">Our battery technology has been developed over the past decade and has been validated as world-class technology. Through our prototype and production vehicles and our role as the sole battery supplier to the premier EV racing series, our patented battery technology has driven more than 20 million real world miles since Lucid’s inception.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Highly Differentiated Performance.</w:t>
      </w:r>
      <w:r>
        <w:rPr>
          <w:color w:val="000000"/>
        </w:rPr>
        <w:t>  </w:t>
      </w:r>
      <w:r>
        <w:rPr>
          <w:rFonts w:ascii="Times New Roman;sans-serif" w:hAnsi="Times New Roman;sans-serif"/>
          <w:b w:val="false"/>
          <w:color w:val="000000"/>
          <w:sz w:val="20"/>
        </w:rPr>
        <w:t>Our advancements in battery pack and drivetrain technology, created through a clean-sheet approach to engineering, have resulted in compelling performance and efficiency in our vehicles. The Lucid Air is available in a configuration with over 1,000 horsepower and the ability to accelerate from zero to 60 miles per hour in 2.5 seconds, translating to a projected quarter-mile time below ten seconds.</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Revolutionary Powertrain Technology.</w:t>
      </w:r>
      <w:r>
        <w:rPr>
          <w:color w:val="000000"/>
        </w:rPr>
        <w:t>  </w:t>
      </w:r>
      <w:r>
        <w:rPr>
          <w:rFonts w:ascii="Times New Roman;sans-serif" w:hAnsi="Times New Roman;sans-serif"/>
          <w:b w:val="false"/>
          <w:color w:val="000000"/>
          <w:sz w:val="20"/>
        </w:rPr>
        <w:t>Leveraging Lucid’s in-house powertrain technology</w:t>
      </w:r>
      <w:r>
        <w:rPr>
          <w:rFonts w:ascii="Times New Roman;sans-serif" w:hAnsi="Times New Roman;sans-serif"/>
          <w:b/>
          <w:i/>
          <w:color w:val="000000"/>
          <w:sz w:val="20"/>
        </w:rPr>
        <w:t xml:space="preserve">, </w:t>
      </w:r>
      <w:r>
        <w:rPr>
          <w:rFonts w:ascii="Times New Roman;sans-serif" w:hAnsi="Times New Roman;sans-serif"/>
          <w:b w:val="false"/>
          <w:color w:val="000000"/>
          <w:sz w:val="20"/>
        </w:rPr>
        <w:t xml:space="preserve">some variants of the Lucid Air have received independent validation by the EPA for an industry-leading estimated range in excess of 500 miles on a single charge. Some variants of the Lucid Air with 900V+ electrical architecture can achieve sufficient charge in approximately 22 minutes to travel 300 miles. This charging speed is facilitated by our Wunderbox. The Wunderbox is our multi-function, high-voltage, bi-directional charging unit that is expected to allow V2G capabilities, enabling a Lucid Air to serve as a back-up power source for residential applications in emergency outages. We plan to introduce this functionality via OTA updates.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Lucid Electric Advanced Platform (“LEAP”).</w:t>
      </w:r>
      <w:r>
        <w:rPr>
          <w:color w:val="000000"/>
        </w:rPr>
        <w:t>  </w:t>
      </w:r>
      <w:r>
        <w:rPr>
          <w:rFonts w:ascii="Times New Roman;sans-serif" w:hAnsi="Times New Roman;sans-serif"/>
          <w:b w:val="false"/>
          <w:color w:val="000000"/>
          <w:sz w:val="20"/>
        </w:rPr>
        <w:t xml:space="preserve">The Lucid Air is underpinned by the Lucid Electric Advanced Platform or ‘LEAP’. This vehicle platform is designed to enable other vehicle variants on the same underbody as the Lucid Air, enabling greater speed to market and efficiency in capital deployment.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Directly Owned Manufacturing. </w:t>
      </w:r>
      <w:r>
        <w:rPr>
          <w:rFonts w:ascii="Times New Roman;sans-serif" w:hAnsi="Times New Roman;sans-serif"/>
          <w:b w:val="false"/>
          <w:color w:val="000000"/>
          <w:sz w:val="20"/>
        </w:rPr>
        <w:t>Lucid vehicles are currently produced at Lucid’s AMP-1, the first purpose-built, greenfield EV manufacturing facility in North America. With the Lucid Air already in production, expansion activities are underway to enable the concurrent production of the Lucid Air and Project Gravity. Key elements of our vehicle engineering enable efficient and advanced manufacturing processes with a high degree of quality control. For example, the aircraft-inspired riveted and bonded monocoque body structure is designed to enhance structural efficiency and replace spot welds in the manufacturing process. Additionally, Lucid manufactures and assembles our complete electric powertrain at LPM-1, including assembly of battery packs, integrated drive units, and the Wunderbox. The LPM-1 facility was designed to facilitate the future establishment of similar facilities for an expanded, global manufacturing footprint for vehicles.</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In-House Sales and Service.</w:t>
      </w:r>
      <w:r>
        <w:rPr>
          <w:color w:val="000000"/>
        </w:rPr>
        <w:t> </w:t>
      </w:r>
      <w:r>
        <w:rPr>
          <w:rFonts w:ascii="Times New Roman;sans-serif" w:hAnsi="Times New Roman;sans-serif"/>
          <w:b w:val="false"/>
          <w:color w:val="000000"/>
          <w:sz w:val="20"/>
        </w:rPr>
        <w:t xml:space="preserve">Consistent with the focus on quality in our manufacturing processes, we implement a direct sales and service strategy to maintain control over the customer experience and ensure that interactions are aligned with the Lucid brand. We enable this tight control over the customer experience by vertically integrating our sales operations instead of relying on a traditional outsourced dealership model. We are also scaling our own service operations to support customers, in addition to cultivating partnerships with body shop and other ancillary service partners that meet our expectations for customer service.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Product Design. </w:t>
      </w:r>
      <w:r>
        <w:rPr>
          <w:rFonts w:ascii="Times New Roman;sans-serif" w:hAnsi="Times New Roman;sans-serif"/>
          <w:b w:val="false"/>
          <w:color w:val="000000"/>
          <w:sz w:val="20"/>
        </w:rPr>
        <w:t xml:space="preserve">Our first vehicle, the Lucid Air, fuses art and science to capture the potential of electrification. As our flagship product, the Air establishes the bar for excellence across all our products and experiences. Our “Space Concept” represents a technical breakthrough, achieved through a ground-up rethink in the way an automobile is designed. Our reimagining of the car has resulted in class-leading interior space for the driver, passengers, and storage within a compact, sporty, and efficient exterior.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Favorable Market Trends. </w:t>
      </w:r>
      <w:r>
        <w:rPr>
          <w:rFonts w:ascii="Times New Roman;sans-serif" w:hAnsi="Times New Roman;sans-serif"/>
          <w:b w:val="false"/>
          <w:color w:val="000000"/>
          <w:sz w:val="20"/>
        </w:rPr>
        <w:t xml:space="preserve">As consumers seek brands that align with their values, we are positioned to address the wants and needs of a new generation of “post-luxury consumers.” The Lucid Air is the first true luxury electric vehicle and positions us to build its brand and reputation. By building the Lucid brand and achieving scale and efficiency in our manufacturing footprint, we believe we will have the opportunity over time to create more affordable and attainable technology to allow broader adoption in the EV space and the ability to capitalize on adjacent market opportunities such as marine, aviation, and stationary energy storage applications.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Management Team Experience</w:t>
      </w:r>
      <w:r>
        <w:rPr>
          <w:rFonts w:ascii="Times New Roman;sans-serif" w:hAnsi="Times New Roman;sans-serif"/>
          <w:b w:val="false"/>
          <w:color w:val="000000"/>
          <w:sz w:val="20"/>
        </w:rPr>
        <w:t xml:space="preserve">.  We have assembled a seasoned management team with deep experience in the automotive, EV, and disruptive technology spaces, led by Peter Rawlinson, who served as the Chief Engineer of the Tesla Model S program. The management team is rounded out by executives with significant industry experience from such companies as Apple, Tesla, Mazda, Audi, Volkswagen, General Motors, and Ford, among others.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Strategic Partnerships.  </w:t>
      </w:r>
      <w:r>
        <w:rPr>
          <w:rFonts w:ascii="Times New Roman;sans-serif" w:hAnsi="Times New Roman;sans-serif"/>
          <w:b w:val="false"/>
          <w:color w:val="000000"/>
          <w:sz w:val="20"/>
        </w:rPr>
        <w:t xml:space="preserve">We have established strong relationships with suppliers and partners to deliver the Lucid Air. We have battery cell supply agreements in place with leading suppliers in the electric vehicle space and a commercial partnership with Electrify America to deliver a differentiated charging experience for our customers.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ind w:left="0" w:right="0" w:firstLine="720"/>
        <w:rPr>
          <w:rFonts w:ascii="Times New Roman;sans-serif" w:hAnsi="Times New Roman;sans-serif"/>
          <w:b/>
          <w:color w:val="000000"/>
          <w:sz w:val="20"/>
        </w:rPr>
      </w:pPr>
      <w:r>
        <w:rPr>
          <w:rFonts w:ascii="Times New Roman;sans-serif" w:hAnsi="Times New Roman;sans-serif"/>
          <w:b/>
          <w:color w:val="000000"/>
          <w:sz w:val="20"/>
        </w:rPr>
        <w:t>Growth Strategy</w:t>
      </w:r>
    </w:p>
    <w:p>
      <w:pPr>
        <w:pStyle w:val="TextBody"/>
        <w:spacing w:lineRule="auto" w:line="288" w:before="240" w:after="283"/>
        <w:ind w:left="0" w:right="0" w:firstLine="400"/>
        <w:rPr>
          <w:rFonts w:ascii="Times New Roman;sans-serif" w:hAnsi="Times New Roman;sans-serif"/>
          <w:b w:val="false"/>
          <w:color w:val="000000"/>
          <w:sz w:val="20"/>
        </w:rPr>
      </w:pPr>
      <w:r>
        <w:rPr>
          <w:rFonts w:ascii="Times New Roman;sans-serif" w:hAnsi="Times New Roman;sans-serif"/>
          <w:b w:val="false"/>
          <w:color w:val="000000"/>
          <w:sz w:val="20"/>
        </w:rPr>
        <w:t xml:space="preserve">We aim to create opportunity as an automotive company, an energy storage systems manufacturer and a technology supplier for other automotive OEMs and other applications such as aircraft (including eVTOL), heavy machinery, agriculture, and marine transportation.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Vehicle Roadmap.</w:t>
      </w:r>
      <w:r>
        <w:rPr>
          <w:color w:val="000000"/>
        </w:rPr>
        <w:t>  </w:t>
      </w:r>
      <w:r>
        <w:rPr>
          <w:rFonts w:ascii="Times New Roman;sans-serif" w:hAnsi="Times New Roman;sans-serif"/>
          <w:b w:val="false"/>
          <w:color w:val="000000"/>
          <w:sz w:val="20"/>
        </w:rPr>
        <w:t xml:space="preserve">We have established a planned roadmap for future vehicle lines that includes a variety of vehicle types that are expected to perform well in various customer segments. By utilizing the Lucid Air to establish the brand, we plan to leverage economies of scale and efficiency of operations to unlock sales in more mass market segments. We will seek to establish a strong customer base in the luxury and premium vehicle markets across the globe.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International Expansion.</w:t>
      </w:r>
      <w:r>
        <w:rPr>
          <w:color w:val="000000"/>
        </w:rPr>
        <w:t>  </w:t>
      </w:r>
      <w:r>
        <w:rPr>
          <w:rFonts w:ascii="Times New Roman;sans-serif" w:hAnsi="Times New Roman;sans-serif"/>
          <w:b w:val="false"/>
          <w:color w:val="000000"/>
          <w:sz w:val="20"/>
        </w:rPr>
        <w:t>We expect to establish manufacturing facilities in multiple geographies, including Asia-Pacific, the Middle East and potentially Europe in the coming years along with a retail footprint throughout each region. These manufacturing facilities could include facilities for component subassembly, vehicle kit reassembly, complete built unit vehicle production and/or energy storage systems. We believe that establishing a global manufacturing footprint will help us to grow the brand, scale the business and address market demand in the Asia-Pacific, Middle East and European markets, while also taking action to address climate change. We anticipate that localized supply chain, production, distribution and retail can yield cost savings and environmental benefits with reduced transportation of product to the customer. As part of this strategy, our business plan contemplates manufacturing facilities in the Kingdom of Saudi Arabia and China. We expect to begin construction of a manufacturing facility in the Kingdom of Saudi Arabia in the first half of 2022. See “—Manufacturing.”</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Energy Storage Systems.</w:t>
      </w:r>
      <w:r>
        <w:rPr>
          <w:color w:val="000000"/>
        </w:rPr>
        <w:t>  </w:t>
      </w:r>
      <w:r>
        <w:rPr>
          <w:rFonts w:ascii="Times New Roman;sans-serif" w:hAnsi="Times New Roman;sans-serif"/>
          <w:b w:val="false"/>
          <w:color w:val="000000"/>
          <w:sz w:val="20"/>
        </w:rPr>
        <w:t xml:space="preserve">We plan to leverage advancements in battery pack design and manufacture learned through development of the Lucid Air to produce stationary ESS solutions. This technologically adjacent business opportunity can leverage our extensive battery pack and battery management systems experience and expertise and has the potential to utilize the modular design of our battery pack to efficiently mass produce energy storage systems for residential, commercial and utility-scale applications. We intend to explore more cost-effective battery cell chemistries than those used in electric vehicle batteries, given the lower importance of gravimetrical energy density in ESS cells. We currently have a prototype ESS product operating at our headquarters in Newark, California.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Technology Outbound Sales &amp; Licensing.</w:t>
      </w:r>
      <w:r>
        <w:rPr>
          <w:color w:val="000000"/>
        </w:rPr>
        <w:t> </w:t>
      </w:r>
      <w:r>
        <w:rPr>
          <w:rFonts w:ascii="Times New Roman;sans-serif" w:hAnsi="Times New Roman;sans-serif"/>
          <w:b w:val="false"/>
          <w:color w:val="000000"/>
          <w:sz w:val="20"/>
        </w:rPr>
        <w:t>We are actively engaged in supplying racing teams in the premier EV racing series with our battery packs and software. We expect to expand this technology division to supply our world class technology beyond the world of racing to help accelerate the adoption of EVs.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are motivated to achieve a future where transportation is sustainable and works with the planet, not against it. The sale of technology solutions to traditional automotive OEMs would support that goal, as would sales to customers in the marine and aviation sectors. Our technology is modular and readily customizable, enhancing our suitability for build-to-print powertrain and battery solutions for other manufacturers.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Our Vehicles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 Lucid Air</w:t>
      </w:r>
    </w:p>
    <w:p>
      <w:pPr>
        <w:pStyle w:val="TextBody"/>
        <w:spacing w:lineRule="auto" w:line="288" w:before="240" w:after="283"/>
        <w:rPr/>
      </w:pPr>
      <w:r>
        <w:rPr>
          <w:rFonts w:ascii="Times New Roman;sans-serif" w:hAnsi="Times New Roman;sans-serif"/>
          <w:b w:val="false"/>
          <w:color w:val="000000"/>
          <w:sz w:val="20"/>
        </w:rPr>
        <w:t>We expect our first product, the Lucid Air, to define Lucid as a brand. The Air was recently named the 2022 MotorTrend Car of the Year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 xml:space="preserve">is designed to fuse art and science to capture the potential of electrification. As our flagship product, the Air is intended to establish the bar for excellence across all our future products and experiences.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Air is a state-of-the-art luxury electric sedan featuring a California-inspired design and underpinned by our race-proven battery and its powertrain technology. Featuring luxurious interior space in a mid-size exterior footprint, some variants of the Lucid Air offer an EPA-accredited range in excess of 500 miles on a single charge.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Lucid Space Concept offers class-leading interior space and a massive front trunk (or “frunk”) with a capacity of over 280 liters. From the start of its development, we used the Lucid Space Concept to increase interior space. This new approach to sedan architecture takes advantage of our miniaturized EV drivetrain to deliver full-size interior volume within a mid-size exterior footprint. This technical breakthrough resulted in class-leading interior space for the driver, passengers, and storage within a compact, agile, and efficient exterior. </w:t>
      </w:r>
    </w:p>
    <w:p>
      <w:pPr>
        <w:pStyle w:val="TextBody"/>
        <w:spacing w:lineRule="auto" w:line="288" w:before="240" w:after="283"/>
        <w:rPr/>
      </w:pPr>
      <w:r>
        <w:rPr>
          <w:rFonts w:ascii="Times New Roman;sans-serif" w:hAnsi="Times New Roman;sans-serif"/>
          <w:b w:val="false"/>
          <w:color w:val="000000"/>
          <w:sz w:val="20"/>
        </w:rPr>
        <w:t>The Space Concept was achieved through a ground-up rethink in the way an automobile is designed. The launch edition of the Lucid Air offers a “bench” style rear seat that provides expansive space for three adults with class leading legroom. The Lucid Air’s interior is capped with a glass canopy that creates an even more extravagant sense of space. Despite its expansive interior, the Lucid Air is more compact on the exterior than leading internal combustion engine (</w:t>
      </w:r>
      <w:r>
        <w:rPr>
          <w:color w:val="000000"/>
        </w:rPr>
        <w:t>“</w:t>
      </w:r>
      <w:r>
        <w:rPr>
          <w:rFonts w:ascii="Times New Roman;sans-serif" w:hAnsi="Times New Roman;sans-serif"/>
          <w:b w:val="false"/>
          <w:i/>
          <w:color w:val="000000"/>
          <w:sz w:val="20"/>
        </w:rPr>
        <w:t>ICE”</w:t>
      </w:r>
      <w:r>
        <w:rPr>
          <w:rFonts w:ascii="Times New Roman;sans-serif" w:hAnsi="Times New Roman;sans-serif"/>
          <w:b w:val="false"/>
          <w:color w:val="000000"/>
          <w:sz w:val="20"/>
        </w:rPr>
        <w:t xml:space="preserve">) vehicles in the same class and segment.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centerpiece of the Lucid Air’s human-machine interface is its “Glass Cockpit,” a beautifully integrated, configurable infotainment system that is designed to provide a seamless connected experience for the driver. This system is presented on a compound three-screen display assembly that curves in front of the driver — including two touch screens. This display is designed to sit in the driver’s line of sight to increase operator safety and reduce time looking away from the road. The Glass Cockpit is augmented by a retractable center screen for a more immersive user interface.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Lucid Air has the looks to match its advanced powertrain, with clean styling up front emphasized by slim headlights and a chrome strip that spans from one corner to the other. The hood features sculpting over the wheels to further emphasize power, and the windshield flows as one piece of glass all the way back to the B-pillar. The sleek lines work well with the Air’s short overhangs and large wheels. This pleasing shape is also functional, providing a low coefficient of drag at a mere 0.21 and enabling greater range and performance. Each of the Lucid Air’s interior themes is crafted with colors and materials that evoke iconic California locations at various times of day and night.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Efficiency is the ultimate measure of EV technology, and we believe our technology leads the industry in this respect, with efficiency of greater than 4.5 miles per kilowatt-hour for some variants of the Lucid Air. The highly aerodynamic design of the Lucid Air provides longer range, driving faster miles-per-minute charging and the ability to provide equivalent range with a smaller, lower-cost battery pack.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Air’s advanced technology and efficiency have enabled us to design the Lucid Air to achieve both long range and high performance. These attributes have historically been mutually exclusive design goals, and the Lucid Air’s achievements in this regard further validates its technology.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Lucid Air is offered at various price points with different specifications. The initial variant of the Lucid Air that we have begun to produce is the Lucid Air Dream Edition. The Dream Edition is the special edition launch version of the Lucid Air and is intended to compete with the flagship sedans from incumbent luxury automakers. We anticipate releasing three additional variants of the Lucid Air, stepping down in price and performance to make an EV that is more accessible to a broader audience. </w:t>
      </w:r>
    </w:p>
    <w:p>
      <w:pPr>
        <w:pStyle w:val="TextBody"/>
        <w:spacing w:lineRule="auto" w:line="288" w:before="240" w:after="283"/>
        <w:rPr/>
      </w:pPr>
      <w:r>
        <w:rPr>
          <w:rFonts w:ascii="Times New Roman;sans-serif" w:hAnsi="Times New Roman;sans-serif"/>
          <w:b w:val="false"/>
          <w:color w:val="000000"/>
          <w:sz w:val="20"/>
        </w:rPr>
        <w:t>As discussed in “— </w:t>
      </w:r>
      <w:r>
        <w:rPr>
          <w:rFonts w:ascii="Times New Roman;sans-serif" w:hAnsi="Times New Roman;sans-serif"/>
          <w:b w:val="false"/>
          <w:i/>
          <w:color w:val="000000"/>
          <w:sz w:val="20"/>
        </w:rPr>
        <w:t>Technology</w:t>
      </w:r>
      <w:r>
        <w:rPr>
          <w:color w:val="000000"/>
        </w:rPr>
        <w:t xml:space="preserve">” </w:t>
      </w:r>
      <w:r>
        <w:rPr>
          <w:rFonts w:ascii="Times New Roman;sans-serif" w:hAnsi="Times New Roman;sans-serif"/>
          <w:b w:val="false"/>
          <w:color w:val="000000"/>
          <w:sz w:val="20"/>
        </w:rPr>
        <w:t xml:space="preserve">below, the Lucid Air is underpinned by the LEAP, which is designed to support other vehicle variants to enable greater capital deployment efficiency and speed to market.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Future Vehicle Programs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first vehicle planned to share the Lucid Air’s components and systems is our Project Gravity, which we expect to start producing in the first half of 2024. We expect Project Gravity to achieve many of the same attributes that make the Lucid Air special, including a class-leading spacious interior in a more compact and efficient exterior. We anticipate that the use of carry over Air components will enable efficiency in design, engineering and capital expenditure deployment for Project Gravity. We expect to have installed production capacity of 90k units/year at AMP-1 coincident with the Project Gravity launch to accommodate for both Lucid Air and Project Gravity volumes.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developed a roadmap with additional vehicles and platforms to make its vehicles more accessible at a variety of price points. We plan to start at the high end to establish our brand but expect to manufacture progressively more affordable vehicles in higher volumes over time.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Technology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technology and automotive company. We seek to set new standards for sustainable transportation with the Lucid Air, and we do so in part by focusing on proprietary, in-house technology development. We have developed cutting-edge electric vehicle technology that we believe sets a new benchmark for EVs. Core to our DNA is the achievement of technical excellence.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in-house engineering team is focused on delivering innovation in all facets of vehicle development, including hardware and software development, vehicle design, and passenger comfort. The development of the Lucid Air was predicated on the premise that miniaturizing the powertrain would allow us to redesign what a car can be from the ground up.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refined our battery technologies over many years in real-world applications, including more than 20 million miles of vehicle testing and the supply of battery packs to all teams in the premier EV racing series. We have used the data accumulated from these activities to refine our technology and thoughtfully develop the Lucid Air.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in-house research and development organization establishes us as a leader across multiple technologies and areas of expertise. Our technological achievements include significant advancements to the core technologies that drive an electric vehicle. Areas where our in-house engineering has driven advancement include: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Battery Pack.</w:t>
      </w:r>
      <w:r>
        <w:rPr>
          <w:color w:val="000000"/>
        </w:rPr>
        <w:t> </w:t>
      </w:r>
      <w:r>
        <w:rPr>
          <w:rFonts w:ascii="Times New Roman;sans-serif" w:hAnsi="Times New Roman;sans-serif"/>
          <w:b w:val="false"/>
          <w:color w:val="000000"/>
          <w:sz w:val="20"/>
        </w:rPr>
        <w:t xml:space="preserve">The Lucid Air’s battery pack translates our motorsport experience and more than 20 million miles of real-world testing into a compact and energy dense unit that was developed in-house with a clean-sheet approach to engineering. The battery pack is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to be scalable and modular, providing opportunities for cost and range variations as we develop future LEAP platforms. It is also designed for performance, with advanced end-cooling technology and an advanced low-resistance architecture to reduce heat loss and increase range.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battery pack incorporates battery cells from suppliers that have extensive experience in the development and manufacturing of cells for high-performance electric vehicle applications and robust battery cycle life. The battery cells incorporated into our battery packs are required to conform to our lofty standards, including with respect to our targets for range, energy density, recharge/discharge rates and other characteristics, and to support our compact, energy-dense battery pack form. We have battery cell supply agreements with these suppliers in place.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battery pack supports our vision to revolutionize EV technology through mass industrialization. Our single piece “brick” injection molded battery module is race derived yet designed for mass production, with electrical “bus bar” connectors that are integrally captured in the molding in a single operation — a profound technological advancement. </w:t>
      </w:r>
    </w:p>
    <w:p>
      <w:pPr>
        <w:pStyle w:val="TextBody"/>
        <w:spacing w:lineRule="auto" w:line="288" w:before="240" w:after="283"/>
        <w:rPr/>
      </w:pPr>
      <w:r>
        <w:rPr>
          <w:rFonts w:ascii="Times New Roman;sans-serif" w:hAnsi="Times New Roman;sans-serif"/>
          <w:b w:val="false"/>
          <w:color w:val="000000"/>
          <w:sz w:val="20"/>
        </w:rPr>
        <w:t>We believe the technology developed for the battery pack in the Lucid Air can transfer to our other vehicles, to the industrialization of mass-market vehicles, and to technologically adjacent markets. See “— </w:t>
      </w:r>
      <w:r>
        <w:rPr>
          <w:rFonts w:ascii="Times New Roman;sans-serif" w:hAnsi="Times New Roman;sans-serif"/>
          <w:b w:val="false"/>
          <w:i/>
          <w:color w:val="000000"/>
          <w:sz w:val="20"/>
        </w:rPr>
        <w:t>Growth Strategy</w:t>
      </w:r>
      <w:r>
        <w:rPr>
          <w:rFonts w:ascii="Times New Roman;sans-serif" w:hAnsi="Times New Roman;sans-serif"/>
          <w:b w:val="false"/>
          <w:color w:val="000000"/>
          <w:sz w:val="20"/>
        </w:rPr>
        <w:t xml:space="preserve">.”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Lucid Electric Advanced Platform.</w:t>
      </w:r>
      <w:r>
        <w:rPr>
          <w:color w:val="000000"/>
        </w:rPr>
        <w:t>  </w:t>
      </w:r>
      <w:r>
        <w:rPr>
          <w:rFonts w:ascii="Times New Roman;sans-serif" w:hAnsi="Times New Roman;sans-serif"/>
          <w:b w:val="false"/>
          <w:color w:val="000000"/>
          <w:sz w:val="20"/>
        </w:rPr>
        <w:t xml:space="preserve">The LEAP platform was designed and developed in-house, incorporating our six key powertrain elements: (i) Battery Pack &amp; Battery Management Software, (ii) Electric Motors, (iii) Power Electronics, (iv) Transmission, (v) Control Software and (vi) Two-Way Onboard Boost-Charger (with bi-directional features expected to be enabled by OTA at a later date). The LEAP structure is an enabling factor allowing the Lucid Space Concept to support class-leading interior and cargo room for a luxury or electric vehicle. We further expect to capture additional market share by diversifying our vehicle lineup supported by mid-size and larger platforms over time.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Integrated Electric Motor, Inverter and Transmission Drive Unit.</w:t>
      </w:r>
      <w:r>
        <w:rPr>
          <w:color w:val="000000"/>
        </w:rPr>
        <w:t> </w:t>
      </w:r>
      <w:r>
        <w:rPr>
          <w:rFonts w:ascii="Times New Roman;sans-serif" w:hAnsi="Times New Roman;sans-serif"/>
          <w:b w:val="false"/>
          <w:color w:val="000000"/>
          <w:sz w:val="20"/>
        </w:rPr>
        <w:t xml:space="preserve">Our motor and gearbox system utilizes permanent magnet motors that were developed in-house. Combining these motors with an inverter and an integrated gearbox and differential creates an advanced electric drive unit that weighs just 163lb (74kg) and is small enough to fit inside a carry-on roller bag. </w:t>
      </w:r>
    </w:p>
    <w:p>
      <w:pPr>
        <w:pStyle w:val="TextBody"/>
        <w:spacing w:lineRule="auto" w:line="288" w:before="240" w:after="283"/>
        <w:rPr/>
      </w:pPr>
      <w:r>
        <w:rPr>
          <w:rFonts w:ascii="Times New Roman;sans-serif" w:hAnsi="Times New Roman;sans-serif"/>
          <w:b w:val="false"/>
          <w:color w:val="000000"/>
        </w:rPr>
        <w:t>The T</w:t>
      </w:r>
      <w:r>
        <w:rPr>
          <w:rFonts w:ascii="Times New Roman;sans-serif" w:hAnsi="Times New Roman;sans-serif"/>
          <w:b w:val="false"/>
          <w:color w:val="000000"/>
          <w:sz w:val="20"/>
        </w:rPr>
        <w:t xml:space="preserve">The Lucid drive unit is capable of producing up to 670hp with power density up to 9.0hp/kg, depending on vehicle trim and variant. This compactness allows for one, two or even three units to be used to power a Lucid Air.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enablers of these electric motor characteristics include a set of inventions that are part of our intellectual property portfolio. Most notably, a new motor winding technology has been introduced to increase power output and reduce electrical losses. The motor also features an innovative cooling system that more effectively removes heat from the stator winding, reducing losses and boosting efficiency.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compactness of these electric drive units lays the foundation for our Space Concept vehicle design approach. The fully integrated transmission and differential also contribute to this approach. Together, these components comprise a unified, integrated rotational system that is both lightweight and extremely efficient. Meanwhile, we leverage a high voltage, silicon-carbide MOSFET (metal–oxide–semiconductor field-effect transistor) system in our inverters to increase efficiency, especially in real-world driving conditions. </w:t>
      </w:r>
    </w:p>
    <w:p>
      <w:pPr>
        <w:pStyle w:val="TextBody"/>
        <w:spacing w:lineRule="auto" w:line="288" w:before="240" w:after="283"/>
        <w:rPr/>
      </w:pPr>
      <w:r>
        <w:rPr>
          <w:rFonts w:ascii="Times New Roman;sans-serif" w:hAnsi="Times New Roman;sans-serif"/>
          <w:b w:val="false"/>
          <w:color w:val="000000"/>
          <w:sz w:val="20"/>
        </w:rPr>
        <w:t>The obsessive pursuit of lightweight construction contributes to overall efficiency, our technology improves the key components of its powertrain while extracting even more performance. For example, in September 2021, the Lucid Air Dream Edition Range received an official EPA-accredited rating of 520 miles of range which is the longest range of any vehicle on the EPA’s list. The top six vehicles on the EPA range list are Lucid Air variants.</w:t>
      </w:r>
      <w:r>
        <w:rPr>
          <w:color w:val="000000"/>
        </w:rPr>
        <w:t xml:space="preserve"> </w:t>
      </w:r>
      <w:r>
        <w:rPr>
          <w:rFonts w:ascii="Times New Roman;sans-serif" w:hAnsi="Times New Roman;sans-serif"/>
          <w:b w:val="false"/>
          <w:color w:val="000000"/>
          <w:sz w:val="20"/>
        </w:rPr>
        <w:t xml:space="preserve">Less weight leads to increased efficiency, even as performance is elevated to new levels.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we have also achieved breakthroughs in the advanced thermal management system within our electric motors. We have patented our efficient cooling design, which enables even higher levels of efficiency and performance.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Bidirectional Charging</w:t>
      </w:r>
      <w:r>
        <w:rPr>
          <w:rFonts w:ascii="Times New Roman;sans-serif" w:hAnsi="Times New Roman;sans-serif"/>
          <w:b w:val="false"/>
          <w:color w:val="000000"/>
          <w:sz w:val="20"/>
        </w:rPr>
        <w:t xml:space="preserve">.  Our proprietary technology is designed to enable ultra-fast DC and bi-directional AC charging. The 900V+ architecture and our Wunderbox are key enablers inside the Air’s electrical platform. The Wunderbox is a multi-function unit, developed in-house to ensure compatibility with charging systems of differing voltages. It enables “boost-voltage” charging when needed, such as when connected to 400V charging infrastructure.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Wunderbox is a key enabler for the Lucid Air’s industry-leading charging speeds. Our customers can charge up to approximately 300kW-DC at a DC fast charging station, such as those available through our partnership with Electrify America.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Wunderbox is also designed to enable a wide array of future-ready, bi-directional power delivery features, such as V2G applications for situations such as managing home power outages. We expect to enable bi-directional functionality via an OTA update in the future.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Infotainment System.</w:t>
      </w:r>
      <w:r>
        <w:rPr>
          <w:color w:val="000000"/>
        </w:rPr>
        <w:t> </w:t>
      </w:r>
      <w:r>
        <w:rPr>
          <w:rFonts w:ascii="Times New Roman;sans-serif" w:hAnsi="Times New Roman;sans-serif"/>
          <w:b w:val="false"/>
          <w:color w:val="000000"/>
          <w:sz w:val="20"/>
        </w:rPr>
        <w:t>Our infotainment system is designed to provide a connected experience, both inside and outside the car. With highly advanced processing capabilities, the system is designed to leverage data analytics and OTA updates to improve and refresh the vehicle over time.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our customers will enjoy connectivity, including 4G LTE and Wi-Fi, as well as the ability to support Amazon Alexa integrations. In addition, customers have the ability to remotely access climate controls and updates on their vehicle through a mobile application.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user interface smartphone application is expected to allow our customers to set Lucid ID profiles for a personalized experience based on profiles rather than the settings in place when the last driver left the vehicle. In addition, we expect to evolve the car-to-driver relationship by enabling predictive analytics to provide shortcuts and assistance based on learned driving behaviors.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Lucid DreamDrive.</w:t>
      </w:r>
      <w:r>
        <w:rPr>
          <w:color w:val="000000"/>
        </w:rPr>
        <w:t> </w:t>
      </w:r>
      <w:r>
        <w:rPr>
          <w:rFonts w:ascii="Times New Roman;sans-serif" w:hAnsi="Times New Roman;sans-serif"/>
          <w:b w:val="false"/>
          <w:color w:val="000000"/>
          <w:sz w:val="20"/>
        </w:rPr>
        <w:t xml:space="preserve">The Lucid Air is equipped with an extensive sensor suite, high on-board computing power, and back-up systems for advanced driver assistance systems (“ADAS”) and, over time, autonomous driving systems. With 32 sensors onboard, the Lucid Air is expected to launch with the most comprehensive sensor suite among currently available production vehicles. Lucid Air includes certain features with Level 2 ADAS functionality and is capable of software upgrades via OTA update. Further, by collecting and analyzing fleet data, we expect to enhance our </w:t>
      </w:r>
      <w:r>
        <w:rPr>
          <w:rFonts w:ascii="Times New Roman;sans-serif" w:hAnsi="Times New Roman;sans-serif"/>
          <w:b w:val="false"/>
          <w:i/>
          <w:color w:val="000000"/>
          <w:sz w:val="20"/>
        </w:rPr>
        <w:t>ADAS</w:t>
      </w:r>
      <w:r>
        <w:rPr>
          <w:color w:val="000000"/>
        </w:rPr>
        <w:t xml:space="preserve"> </w:t>
      </w:r>
      <w:r>
        <w:rPr>
          <w:rFonts w:ascii="Times New Roman;sans-serif" w:hAnsi="Times New Roman;sans-serif"/>
          <w:b w:val="false"/>
          <w:color w:val="000000"/>
          <w:sz w:val="20"/>
        </w:rPr>
        <w:t xml:space="preserve">features and improve the Lucid experience over time. </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Lucid’s Micro Lens Array Lighting</w:t>
      </w:r>
      <w:r>
        <w:rPr>
          <w:rFonts w:ascii="Times New Roman;sans-serif" w:hAnsi="Times New Roman;sans-serif"/>
          <w:b w:val="false"/>
          <w:color w:val="000000"/>
          <w:sz w:val="20"/>
        </w:rPr>
        <w:t>. A revolution in optical technology, our in-house created and engineered Intelligent Micro Lens Array (“</w:t>
      </w:r>
      <w:r>
        <w:rPr>
          <w:rFonts w:ascii="Times New Roman;sans-serif" w:hAnsi="Times New Roman;sans-serif"/>
          <w:b w:val="false"/>
          <w:i/>
          <w:color w:val="000000"/>
          <w:sz w:val="20"/>
        </w:rPr>
        <w:t>MLA</w:t>
      </w:r>
      <w:r>
        <w:rPr>
          <w:color w:val="000000"/>
        </w:rPr>
        <w:t>”</w:t>
      </w:r>
      <w:r>
        <w:rPr>
          <w:rFonts w:ascii="Times New Roman;sans-serif" w:hAnsi="Times New Roman;sans-serif"/>
          <w:b w:val="false"/>
          <w:color w:val="000000"/>
          <w:sz w:val="20"/>
        </w:rPr>
        <w:t>) headlights provide an incredibly homogeneous and luminant headlamp and lighting function.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MLA system is designed to automatically adapt to driving situations and provide exceptional outward visibility that makes it easier to see — and avoid — objects on the road.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Manufacturing</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built North America’s first greenfield, purpose-build EV manufacturing facilities, in Casa Grande, Arizona. Lucid’s manufacturing activities are carried out at Lucid’s vehicle manufacturing plant, AMP-1, and dedicated powertrain manufacturing facility, LPM-1. Vertically integrating key manufacturing activities provide Lucid the opportunity to improve product margins relative to an out-sourced manufacturing arrangement.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carefully selected our Arizona site for several reasons, including infrastructure, talent, geographic location, proximity to a pre-existing automotive supply chain and dedicated support from state and local governments. The location of the facility also offers space for a large footprint and planned expansions.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AMP-1 began production of the Lucid Air in September 2021. Within AMP-1, we produce vehicles using innovative production processes and state-of-the-art equipment. Key elements of our vehicle engineering enable efficient and advanced manufacturing processes with a high degree of quality control. For example, the aircraft-inspired riveted and bonded monocoque body structure is designed to enhance structural efficiency and replace spot welds in the manufacturing process. </w:t>
      </w:r>
    </w:p>
    <w:p>
      <w:pPr>
        <w:pStyle w:val="TextBody"/>
        <w:spacing w:lineRule="auto" w:line="288" w:before="240" w:after="283"/>
        <w:rPr/>
      </w:pPr>
      <w:r>
        <w:rPr>
          <w:rFonts w:ascii="Times New Roman;sans-serif" w:hAnsi="Times New Roman;sans-serif"/>
          <w:b w:val="false"/>
          <w:color w:val="000000"/>
          <w:sz w:val="20"/>
        </w:rPr>
        <w:t>Lucid manufactures and assembles our complete electric powertrain at LPM-1, including assembly of battery packs, integrated drive units, and the Wunderbox. The LPM-1 facility was designed to facilitate the future establishment of similar facilities for an expanded, global manufacturing footprint for vehicles. We believe the same design is scalable for manufacturing to address opportunities in technology sales and licensing. See “— </w:t>
      </w:r>
      <w:r>
        <w:rPr>
          <w:rFonts w:ascii="Times New Roman;sans-serif" w:hAnsi="Times New Roman;sans-serif"/>
          <w:b w:val="false"/>
          <w:i/>
          <w:color w:val="000000"/>
          <w:sz w:val="20"/>
        </w:rPr>
        <w:t>Growth Strategy</w:t>
      </w:r>
      <w:r>
        <w:rPr>
          <w:rFonts w:ascii="Times New Roman;sans-serif" w:hAnsi="Times New Roman;sans-serif"/>
          <w:b w:val="false"/>
          <w:color w:val="000000"/>
          <w:sz w:val="20"/>
        </w:rPr>
        <w:t xml:space="preserve">.” These facilities are expected to position us to serve global electric vehicle markets with a standard product utilizing our in-house manufacturing processes.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started the commissioning process for the AMP-1 and LPM-1 facilities in less than one year after breaking ground. As part of the commissioning, we tested our innovative production processes and state-of-the-art equipment to build our beta prototype test fleet and production-representative versions of the Lucid Air.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AMP-1 and LPM-1 were designed with expansion in mind. This approach to planning our facilities includes a state-of-the-art paint shop designed with the necessary footprint and specialized infrastructure to be expanded to accommodate the needs of planned future phases of the factory.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began production of Lucid Air Dream Edition customer vehicles in September 2021 and commenced initial customer deliveries in October 2021. We have a multi-year plan to expand AMP-1 from its current output capacity of up to 34,000 units per year. Phase 2 of our manufacturing expansion was kicked off in mid-2021 and is expected to add up to 2.85 million square feet of manufacturing space to our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facilities in Casa Grande. The Phase 2 expansion activities are expected to enable a 90,000 units per year installed capacity by the end of 2023. Future expansions of AMP-1 are being planned to account for the launch of future vehicle programs intended to be manufactured in Arizona and to accommodate growth in sales volumes. Once AMP-1 is fully built out, our vehicle manufacturing footprint in Casa Grande is expected to exceed 5 million square feet on 495 acres. By building the factory from a clean slate and leveraging decades of industry experience, we expect to achieve (i) greater capital efficiencies, (ii) greater operational efficiencies, and (iii) consistent production quality. The key activities that currently take place in AMP-1 include body shell manufacture, painting of body shells, and general assembly. As part of the Phase 2 expansion, we are bringing stamping, powertrain production and logistics operations on-site.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build out our manufacturing footprint with manufacturing plants in additional geographies to service our expected global demand. A global footprint with localized manufacturing will enable us to serve market demand with locally manufactured vehicles, with the potential to facilitate cost savings and simpler logistics (which can also yield environmental benefits with reduced transportation of product to the applicable markets). The production processes in AMP-1 and LPM-1 were designed to be highly repeatable to standardize manufacturing operations and build efficiency in our capital planning and deployment. We plan to develop greenfield facilities across multiple geographies. Production and distribution consume energy, as with any manufacturer. We intend to localize production in an attempt to offset some of these energy needs, and we believe that our products will require less energy throughout their useful life than competing products. We are taking preliminary steps toward establishing production manufacturing operations in the Kingdom of Saudi Arabia and expect to begin construction of a manufacturing facility in the first half of 2022. Over time, this facility is expected to have a manufacturing capacity of up to 150,000 vehicles per year.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Go-To-Market Strategy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launched our go-to-market strategy through our online vehicle configurator. As of December 31, 2021, we had over 22,500 refundable reservations and non-refundable orders for cars yet to be delivered that reflect a potential order book greater than $2.2 billion. We believe that our customer traction is strong and has continued to grow as brand awareness has increased.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typical customer journey is expected to begin through our advanced digital platform. We use social media to educate customers regarding our brand identity, explain the creation of our technology and highlight the people behind our design and technology. The goal is to cultivate a sense of brand loyalty with our customers.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This initial engagement drives customers to our website to learn more about our story and the Lucid Air. On the website, customers can experience our online vehicle configurator, which provides an immersive and customizable opportunity to interact with our vehicles in a virtual setting. From there, we provide the customer with the option to either place a reservation online or visit one of our retail stores or gallery locations, which we refer to as “Studios.” We believe that our direct-to-consumer sales model, combined with a digitally enhanced luxury experience through our website and a refined in-store experience, creates opportunities to tailor to each customer’s purchase and ownership preferences. Customers have the option to visit a Studio in person, make their inquiries entirely online, or enjoy a combination of the two experiences.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developing our Studios, we have partnered with leading California-based design firms to build a network of retail spaces to enable customers to experience the brand and our products in locations that underscore our design aesthetic. Like the Lucid Air, the interiors of Lucid Studios showcase color and material themes that represent specific locations within California, the Golden State, as well as our focus on innovation with immersive digital and technology experiences. Our Studios are intended to provide a pressure-free environment for our customers to comfortably experience the brand and our products. Like the Lucid Air itself, Lucid Studios draw inspiration from the beauty, innovation, and diversity of our home state of California. </w:t>
      </w:r>
    </w:p>
    <w:p>
      <w:pPr>
        <w:pStyle w:val="TextBody"/>
        <w:spacing w:lineRule="auto" w:line="288" w:before="240" w:after="283"/>
        <w:rPr/>
      </w:pPr>
      <w:r>
        <w:rPr>
          <w:rFonts w:ascii="Times New Roman;sans-serif" w:hAnsi="Times New Roman;sans-serif"/>
          <w:b w:val="false"/>
          <w:color w:val="000000"/>
          <w:sz w:val="20"/>
        </w:rPr>
        <w:t>Retail locations serve both as our sales channels and marketing tools in high-foot-traffic areas within urban areas. As of December 31, 2021, Lucid had twenty</w:t>
      </w:r>
      <w:r>
        <w:rPr>
          <w:color w:val="000000"/>
          <w:highlight w:val="white"/>
        </w:rPr>
        <w:t xml:space="preserve"> </w:t>
      </w:r>
      <w:r>
        <w:rPr>
          <w:rFonts w:ascii="Times New Roman;sans-serif" w:hAnsi="Times New Roman;sans-serif"/>
          <w:b w:val="false"/>
          <w:color w:val="000000"/>
          <w:sz w:val="20"/>
          <w:highlight w:val="white"/>
        </w:rPr>
        <w:t>Studios and service center locations opened and expects to increase coverage throughout North America in 2022 and</w:t>
      </w:r>
      <w:r>
        <w:rPr>
          <w:color w:val="000000"/>
        </w:rPr>
        <w:t xml:space="preserve"> </w:t>
      </w:r>
      <w:r>
        <w:rPr>
          <w:rFonts w:ascii="Times New Roman;sans-serif" w:hAnsi="Times New Roman;sans-serif"/>
          <w:b w:val="false"/>
          <w:color w:val="000000"/>
          <w:sz w:val="20"/>
        </w:rPr>
        <w:t xml:space="preserve">plans to enter the European and Middle East markets followed by the China market. These markets are rapidly adopting electric vehicles, and we believe that establishing a strong retail presence will enhance our opportunity to increase our share of our total addressable market.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With a focus on convenience, our service operations include vehicle and customer support at customers’ physical locations through our mobile service offerings and certified partners for roadside assistance and collision repairs, as well as through our network of brick-and-mortar service centers. The Lucid Air is also designed to enable OTA updates and remote diagnostics.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Rather than investing in a proprietary charging network, we have selected Electrify America as our primary high-power charging network partner in the United States. This partnership allows us to avoid the capital intensity of establishing our own network and provides our customers with access to an established network across the United States. Electrify America’s DC power levels of up to 350KW and network coverage were the key selection criteria in selecting it as a partner. We expect that Electrify America’s premium charging experience provides EV drivers with convenient charging locations that offer amenities like shopping, food and restrooms, and we believe this offering will provide a delightful experience to our customers.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Government Regulations and Credits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Environmental Regulations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an industry that is subject to extensive environmental regulation, which has become more stringent over time. The laws and regulations to which we are or may become subject govern, among other things, water use; air emissions; use of recycled materials; energy sources; the storage, handling, treatment, transportation, and disposal of hazardous materials; the protection of the environment, natural resources, and endangered species; and the remediation of environmental contamination. Compliance with such laws and regulations at an international, regional, national, state, provincial and local level is and will be an important aspect of our ability to continue our operations.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Environmental standards applicable to us are established by United States laws and regulations, standards adopted by regulatory agencies and the permits and licenses we are required to obtain. Each of these sources is subject to periodic modifications and what we anticipate will be increasingly stringent requirements. Violations of these laws, regulations or permits and licenses may result in substantial civil and criminal fines, penalties and orders to cease the violating operations or to conduct or pay for corrective works. In some instances, violations may also result in the suspension or revocation of permits and licenses.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Many countries have announced a requirement for the sale of zero-emission vehicles only within proscribed timeframes, some as early as 2030, and we as an electric vehicle manufacturer are already able to comply with these requirements across our entire product portfolio as we expand. Our competitors, by contrast, will need to reconcile an expensive infrastructure with factories and equipment tailored for production of ICE vehicles, along with workforces trained to produce ICE vehicles and intellectual property portfolios geared for ICE vehicles.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Emissions Credits</w:t>
      </w:r>
    </w:p>
    <w:p>
      <w:pPr>
        <w:pStyle w:val="TextBody"/>
        <w:spacing w:lineRule="auto" w:line="288" w:before="240" w:after="283"/>
        <w:rPr/>
      </w:pPr>
      <w:r>
        <w:rPr>
          <w:rFonts w:ascii="Times New Roman;sans-serif" w:hAnsi="Times New Roman;sans-serif"/>
          <w:b w:val="false"/>
          <w:color w:val="000000"/>
          <w:sz w:val="20"/>
        </w:rPr>
        <w:t>We expect that the manufacture, sale, and/or registration of Zero Emission Vehicles (“</w:t>
      </w:r>
      <w:r>
        <w:rPr>
          <w:rFonts w:ascii="Times New Roman;sans-serif" w:hAnsi="Times New Roman;sans-serif"/>
          <w:b w:val="false"/>
          <w:i/>
          <w:color w:val="000000"/>
          <w:sz w:val="20"/>
        </w:rPr>
        <w:t>ZEVs</w:t>
      </w:r>
      <w:r>
        <w:rPr>
          <w:color w:val="000000"/>
        </w:rPr>
        <w:t>”</w:t>
      </w:r>
      <w:r>
        <w:rPr>
          <w:rFonts w:ascii="Times New Roman;sans-serif" w:hAnsi="Times New Roman;sans-serif"/>
          <w:b w:val="false"/>
          <w:color w:val="000000"/>
          <w:sz w:val="20"/>
        </w:rPr>
        <w:t>) in various regions will earn certain regulatory credits that we can sell to other manufacturers. This may include ZEV credits in up to 11 U.S. jurisdictions referred to collectively as the “ZEV States” that require compliance with program mandates (California, Colorado, Connecticut, Maine, Maryland, Massachusetts, New Jersey, New York, Oregon, Rhode Island and Vermont). There are another four states in the process of entering into the program (Minnesota, Nevada, Virginia and Washington) and one state considering the program (New Mexico). This would also include Corporate Average Fuel Economy (“</w:t>
      </w:r>
      <w:r>
        <w:rPr>
          <w:rFonts w:ascii="Times New Roman;sans-serif" w:hAnsi="Times New Roman;sans-serif"/>
          <w:b w:val="false"/>
          <w:i/>
          <w:color w:val="000000"/>
          <w:sz w:val="20"/>
        </w:rPr>
        <w:t>CAFE</w:t>
      </w:r>
      <w:r>
        <w:rPr>
          <w:color w:val="000000"/>
        </w:rPr>
        <w:t>”</w:t>
      </w:r>
      <w:r>
        <w:rPr>
          <w:rFonts w:ascii="Times New Roman;sans-serif" w:hAnsi="Times New Roman;sans-serif"/>
          <w:b w:val="false"/>
          <w:color w:val="000000"/>
          <w:sz w:val="20"/>
        </w:rPr>
        <w:t>) credits under the U.S. Department of Transportation standards, greenhouse gas credits from the U.S. Environmental Protection Agency (the “</w:t>
      </w:r>
      <w:r>
        <w:rPr>
          <w:rFonts w:ascii="Times New Roman;sans-serif" w:hAnsi="Times New Roman;sans-serif"/>
          <w:b w:val="false"/>
          <w:i/>
          <w:color w:val="000000"/>
          <w:sz w:val="20"/>
        </w:rPr>
        <w:t>EPA</w:t>
      </w:r>
      <w:r>
        <w:rPr>
          <w:color w:val="000000"/>
        </w:rPr>
        <w:t>”</w:t>
      </w:r>
      <w:r>
        <w:rPr>
          <w:rFonts w:ascii="Times New Roman;sans-serif" w:hAnsi="Times New Roman;sans-serif"/>
          <w:b w:val="false"/>
          <w:color w:val="000000"/>
          <w:sz w:val="20"/>
        </w:rPr>
        <w:t xml:space="preserve">) and similar credits in each of Europe, Canada, and China. </w:t>
      </w:r>
    </w:p>
    <w:p>
      <w:pPr>
        <w:pStyle w:val="TextBody"/>
        <w:spacing w:lineRule="auto" w:line="288" w:before="240" w:after="283"/>
        <w:rPr/>
      </w:pPr>
      <w:r>
        <w:rPr>
          <w:rFonts w:ascii="Times New Roman;sans-serif" w:hAnsi="Times New Roman;sans-serif"/>
          <w:b w:val="false"/>
          <w:color w:val="000000"/>
          <w:sz w:val="20"/>
        </w:rPr>
        <w:t>ZEV credits are calculated under applicable regulation and are paid in relation to ZEVs sold and registered, including Battery Electric Vehicles (“</w:t>
      </w:r>
      <w:r>
        <w:rPr>
          <w:rFonts w:ascii="Times New Roman;sans-serif" w:hAnsi="Times New Roman;sans-serif"/>
          <w:b w:val="false"/>
          <w:i/>
          <w:color w:val="000000"/>
          <w:sz w:val="20"/>
        </w:rPr>
        <w:t>BEVs</w:t>
      </w:r>
      <w:r>
        <w:rPr>
          <w:color w:val="000000"/>
        </w:rPr>
        <w:t>”</w:t>
      </w:r>
      <w:r>
        <w:rPr>
          <w:rFonts w:ascii="Times New Roman;sans-serif" w:hAnsi="Times New Roman;sans-serif"/>
          <w:b w:val="false"/>
          <w:color w:val="000000"/>
          <w:sz w:val="20"/>
        </w:rPr>
        <w:t xml:space="preserve">). ZEV programs generally assign ZEV credits to each vehicle manufacturer. Vehicle manufacturers are required to maintain ZEV credits equal to a set percentage of non-electric vehicles sold and registered in California and ZEV States. Each vehicle sold and registered in the state earns a number of credits based on the drivetrain type and the all-electric range of the vehicle under the Urban Dynamometer Driving Schedule Test Cycle. BEVs receive between 1 and 4 credits per vehicle sold and registered in the state, based on range.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 reference, the ZEV credit requirement in California was 12.0% in 2021 and will rise to 22% in 2025. If a vehicle manufacturer does not sell enough EVs to meet its quota, it can choose to buy credits from other manufacturers who do or would be required to pay a $5,000 fine for each credit it is short. We expect this requirement to provide an opportunity to generate revenue from the sale of ZEV credits.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expect these environmental regulations to provide a tailwind to our growth, it is possible for certain regulations to result in margin pressures. For example, regulations that effectively impose electric vehicle production quotas on auto manufacturers may lead to an oversupply of electric vehicles, which in turn could promote price decreases. Changes to these incentives and regulations could affect our revenues and gross margins.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Other Credits and Benefits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benefit from additional opportunities under government regulations and legislation, such as the following: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Customer tax credits and other benefits arising from government regulation may spur interest in our products and business: a federal tax credit of up to $7,500 is available to U.S. purchasers of the Lucid Air Dream Edition and Grand Touring. Our future electric vehicles may be eligible for similar tax credits and other benefits; tax credits available to purchasers in other countries such as Norway, which currently waives various toll charges and road taxes and also exempts 25% VAT on the purchase of battery electric vehicles; and high-occupancy lane driving privileges available to purchasers in certain U.S. states such as California.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We may be eligible for various tax credits, abatements and other benefits, including: the federal 30C Alternative Fuel Infrastructure tax credit for alternative fuel infrastructure; the federal 48C manufacturing investment tax credit for investments in manufacturing facilities for clean energy technologies; the Qualified Facilities tax credit in Arizona; a California sales and use tax exclusion under the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Alternative Energy and Advanced Transportation Financing Authority; and other hiring and job training grants and income tax credits in both Arizona and California.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We may also be eligible for a loan pursuant to the Advanced Technology Vehicles Manufacturing Loan Program administered by the U.S. Department of Energy.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EPA Emissions and Certificate of Conformity</w:t>
      </w:r>
    </w:p>
    <w:p>
      <w:pPr>
        <w:pStyle w:val="TextBody"/>
        <w:spacing w:lineRule="auto" w:line="288" w:before="240" w:after="283"/>
        <w:rPr/>
      </w:pPr>
      <w:r>
        <w:rPr>
          <w:rFonts w:ascii="Times New Roman;sans-serif" w:hAnsi="Times New Roman;sans-serif"/>
          <w:b w:val="false"/>
          <w:color w:val="000000"/>
          <w:sz w:val="20"/>
        </w:rPr>
        <w:t>The U.S. Clean Air Act requires that we obtain a Certificate of Conformity issued by the EPA and a California Executive Order issued by the California Air Resources Board (“</w:t>
      </w:r>
      <w:r>
        <w:rPr>
          <w:rFonts w:ascii="Times New Roman;sans-serif" w:hAnsi="Times New Roman;sans-serif"/>
          <w:b w:val="false"/>
          <w:i/>
          <w:color w:val="000000"/>
          <w:sz w:val="20"/>
        </w:rPr>
        <w:t>CARB</w:t>
      </w:r>
      <w:r>
        <w:rPr>
          <w:color w:val="000000"/>
        </w:rPr>
        <w:t>”</w:t>
      </w:r>
      <w:r>
        <w:rPr>
          <w:rFonts w:ascii="Times New Roman;sans-serif" w:hAnsi="Times New Roman;sans-serif"/>
          <w:b w:val="false"/>
          <w:color w:val="000000"/>
          <w:sz w:val="20"/>
        </w:rPr>
        <w:t>) certifying that our vehicles comply with applicable emissions requirements. A Certificate of Conformity is required for vehicles sold in the United States, and an Executive Order from the CARB is required for vehicles sold in states that have adopted California standards. CARB sets the California standards for emissions control for certain regulated pollutants for new vehicles and engines sold in California. States that have adopted the California emission standards as approved by EPA also recognize the CARB Executive Order for sales of vehicles. In addition to California, there are 14 other U.S. jurisdictions that have adopted the stricter California emission standards, including New York, Massachusetts, Vermont, Maine, Pennsylvania, Connecticut, Rhode Island, Washington, Oregon, New Jersey, Maryland, Delaware, Colorado, and Washington, D.C. An additional three states are in the process of adopting the California emission standards (Minnesota, Nevada, and Virginia), and one state is considering adoption (New Mexico).</w:t>
      </w:r>
    </w:p>
    <w:p>
      <w:pPr>
        <w:pStyle w:val="TextBody"/>
        <w:spacing w:lineRule="auto" w:line="288" w:before="240" w:after="283"/>
        <w:rPr/>
      </w:pPr>
      <w:r>
        <w:rPr>
          <w:rFonts w:ascii="Times New Roman;sans-serif" w:hAnsi="Times New Roman;sans-serif"/>
          <w:b w:val="false"/>
          <w:color w:val="000000"/>
          <w:sz w:val="20"/>
        </w:rPr>
        <w:t xml:space="preserve">Although the Lucid Air has zero emissions, we are required to seek an EPA Certificate of Conformity and, for vehicles sold in California or any of the other 14 U.S. jurisdictions that have adopted the stricter California emission standards, a CARB Executive Order. </w:t>
      </w:r>
      <w:r>
        <w:rPr>
          <w:rFonts w:ascii="Times New Roman;sans-serif" w:hAnsi="Times New Roman;sans-serif"/>
          <w:b w:val="false"/>
          <w:color w:val="231F20"/>
          <w:sz w:val="20"/>
        </w:rPr>
        <w:t>Compliance with the program is required in each state two model years following adoption of the program.</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Vehicle Safety and Testing</w:t>
      </w:r>
    </w:p>
    <w:p>
      <w:pPr>
        <w:pStyle w:val="TextBody"/>
        <w:spacing w:lineRule="auto" w:line="288" w:before="240" w:after="283"/>
        <w:rPr/>
      </w:pPr>
      <w:r>
        <w:rPr>
          <w:rFonts w:ascii="Times New Roman;sans-serif" w:hAnsi="Times New Roman;sans-serif"/>
          <w:b w:val="false"/>
          <w:color w:val="000000"/>
          <w:sz w:val="20"/>
        </w:rPr>
        <w:t>Our vehicles are subject to, and will be required to comply with, numerous regulatory requirements established by the National Highway Traffic Safety Administration (“</w:t>
      </w:r>
      <w:r>
        <w:rPr>
          <w:rFonts w:ascii="Times New Roman;sans-serif" w:hAnsi="Times New Roman;sans-serif"/>
          <w:b w:val="false"/>
          <w:i/>
          <w:color w:val="000000"/>
          <w:sz w:val="20"/>
        </w:rPr>
        <w:t>NHTSA</w:t>
      </w:r>
      <w:r>
        <w:rPr>
          <w:color w:val="000000"/>
        </w:rPr>
        <w:t>”</w:t>
      </w:r>
      <w:r>
        <w:rPr>
          <w:rFonts w:ascii="Times New Roman;sans-serif" w:hAnsi="Times New Roman;sans-serif"/>
          <w:b w:val="false"/>
          <w:color w:val="000000"/>
          <w:sz w:val="20"/>
        </w:rPr>
        <w:t>), including applicable U.S. Federal Motor Vehicle Safety Standards (“</w:t>
      </w:r>
      <w:r>
        <w:rPr>
          <w:rFonts w:ascii="Times New Roman;sans-serif" w:hAnsi="Times New Roman;sans-serif"/>
          <w:b w:val="false"/>
          <w:i/>
          <w:color w:val="000000"/>
          <w:sz w:val="20"/>
        </w:rPr>
        <w:t>FMVSS</w:t>
      </w:r>
      <w:r>
        <w:rPr>
          <w:color w:val="000000"/>
        </w:rPr>
        <w:t>”</w:t>
      </w:r>
      <w:r>
        <w:rPr>
          <w:rFonts w:ascii="Times New Roman;sans-serif" w:hAnsi="Times New Roman;sans-serif"/>
          <w:b w:val="false"/>
          <w:color w:val="000000"/>
          <w:sz w:val="20"/>
        </w:rPr>
        <w:t xml:space="preserve">). The Lucid Air fully complies with all applicable FMVSSs without any exemptions, and we expect our future vehicles to either fully comply or comply with limited exemptions related to new technologies. Additionally, there are regulatory changes being considered for several FMVSSs, and while we anticipate compliance, there is no assurance that we will comply with such changes under the final versions as enacted.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self-certify that our vehicles meet all applicable FMVSS, as well as the NHTSA bumper standard, or otherwise are exempt, before our vehicles can be sold in the United States. Numerous FMVSS will apply to our vehicles, such as crash-worthiness requirements, crash avoidance requirements and EV-specific requirements. We will also be required to comply with other federal laws and regulations administered by NHTSA, including, among other things, ensuring our vehicles do not contain defects related to motor vehicle safety, recall requirements, the CAFE standards, Theft Prevention Act standards, consumer information labeling requirements, reporting required notices, bulletins and other communications, Early Warning Reporting, foreign recall reporting, and owner’s manual requirements.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Automobile Information and Disclosure Act requires manufacturers of motor vehicles to disclose certain information regarding the manufacturer’s suggested retail price, optional equipment and pricing. In addition, this law requires inclusion of city and highway fuel economy ratings, as determined by the EPA, as well as crash test ratings as determined by NHTSA if such tests are conducted. </w:t>
      </w:r>
    </w:p>
    <w:p>
      <w:pPr>
        <w:pStyle w:val="TextBody"/>
        <w:spacing w:lineRule="auto" w:line="288" w:before="240" w:after="283"/>
        <w:rPr/>
      </w:pPr>
      <w:r>
        <w:rPr>
          <w:rFonts w:ascii="Times New Roman;sans-serif" w:hAnsi="Times New Roman;sans-serif"/>
          <w:b w:val="false"/>
          <w:color w:val="000000"/>
          <w:sz w:val="20"/>
        </w:rPr>
        <w:t>We intend to expand our offerings outside of the United States, and in connection with such expansion our vehicles will be subject to foreign safety, environmental and other regulations. Many of those regulations are different from those applicable in the United States and may require redesign and/or retesting. For example, the European Union (“</w:t>
      </w:r>
      <w:r>
        <w:rPr>
          <w:rFonts w:ascii="Times New Roman;sans-serif" w:hAnsi="Times New Roman;sans-serif"/>
          <w:b w:val="false"/>
          <w:i/>
          <w:color w:val="000000"/>
          <w:sz w:val="20"/>
        </w:rPr>
        <w:t>E.U.</w:t>
      </w:r>
      <w:r>
        <w:rPr>
          <w:color w:val="000000"/>
        </w:rPr>
        <w:t>”</w:t>
      </w:r>
      <w:r>
        <w:rPr>
          <w:rFonts w:ascii="Times New Roman;sans-serif" w:hAnsi="Times New Roman;sans-serif"/>
          <w:b w:val="false"/>
          <w:color w:val="000000"/>
          <w:sz w:val="20"/>
        </w:rPr>
        <w:t xml:space="preserve">) has established new approval and oversight rules requiring that a national authority certify compliance with heightened safety rules, emissions limits and production requirements before vehicles can be sold in each E.U. member state, the initial of which rules were rolled out on September 1, 2020. There is also regulatory uncertainty regarding how these rules will impact sales in the United Kingdom given its recent withdrawal from the E.U. These changes could impact the rollout of new vehicle features in Europe. </w:t>
      </w:r>
    </w:p>
    <w:p>
      <w:pPr>
        <w:pStyle w:val="TextBody"/>
        <w:spacing w:lineRule="auto" w:line="288" w:before="240" w:after="283"/>
        <w:rPr/>
      </w:pPr>
      <w:r>
        <w:rPr>
          <w:rFonts w:ascii="Times New Roman;sans-serif" w:hAnsi="Times New Roman;sans-serif"/>
          <w:b w:val="false"/>
          <w:color w:val="000000"/>
          <w:sz w:val="20"/>
        </w:rPr>
        <w:t>In addition to the various territorial legal requirements, we are obligated to meet, the Lucid Air is engineered with the expectation that it will deliver overall five-star performance in the two main voluntary vehicle safety performance assessment programs, the U.S. New Car Assessment Program (“</w:t>
      </w:r>
      <w:r>
        <w:rPr>
          <w:rFonts w:ascii="Times New Roman;sans-serif" w:hAnsi="Times New Roman;sans-serif"/>
          <w:b w:val="false"/>
          <w:i/>
          <w:color w:val="000000"/>
          <w:sz w:val="20"/>
        </w:rPr>
        <w:t>NCAP</w:t>
      </w:r>
      <w:r>
        <w:rPr>
          <w:color w:val="000000"/>
        </w:rPr>
        <w:t>”</w:t>
      </w:r>
      <w:r>
        <w:rPr>
          <w:rFonts w:ascii="Times New Roman;sans-serif" w:hAnsi="Times New Roman;sans-serif"/>
          <w:b w:val="false"/>
          <w:color w:val="000000"/>
          <w:sz w:val="20"/>
        </w:rPr>
        <w:t xml:space="preserve">) and the Euro NCAP. Five-star is the maximum attainable score. These programs have introduced several additional safety related tests aimed at improving the safety of passenger vehicles, both for occupants and pedestrians involved in collisions with vehicles. Some of these tests are derived from legal requirements, such as side impact, but have higher performance requirements. Others are unique to the programs. Areas covered by these tests included: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Mobile Progressive Deformable Barrier;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Full Width Rigid Barrier;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Mobile Side Impact Barrier;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Side Pole;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Far Side Impact;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Whiplash;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Vulnerable Road Users (Pedestrians and Cyclists);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Safety Assist; and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Rescue and Extrication.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ADAS Regulations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equipped the Lucid Air with certain advanced driver assistance features. Generally, laws pertaining to driver assistance features and self-driving vehicles are evolving globally, and in some cases may create restrictions on advanced driver assistance or self-driving features that Lucid may develop.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there are currently no U.S. federal regulations specifically pertaining to self-driving vehicles or self-driving equipment, NHTSA has published recommended guidelines on self-driving vehicles and retains the authority to investigate and/or act on the safety of any vehicle, equipment or features operating on public roads. Certain U.S. states also have legal restrictions on the operation, registration or licensure of self-driving vehicles, and many other states are considering similar restrictions. This regulatory patchwork increases the legal complexity with respect to self-driving vehicles in the United States.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markets that follow the regulations of the United Nations Economic Commission for Europe, some requirements restrict the design of advanced driver assistance or self-driving features, which can compromise or prevent their use entirely. Other applicable laws, both current and proposed, may hinder the path and timeline to introducing such features in the markets where they apply. Other jurisdictions, including China, continue to consider self-driving regulation. Any implemented regulations may differ materially from those in the United States and Europe, which may further increase the legal complexity of advanced driver assistance and self-driving features and limit or prevent certain features.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Automobile Manufacturer and Dealer Regulation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state laws regulate the manufacture, distribution, sale and service of automobiles, and generally require motor vehicle manufacturers and dealers to be licensed in order to sell vehicles directly to residents. Certain states do not permit automobile manufacturers to be licensed as dealers or to act in the capacity of a dealer, or otherwise restrict a manufacturer’s ability to deliver or service vehicles. To sell vehicles to residents of states where we are not licensed as a dealer, we expect to conduct the transfer of title out of the state. In certain such states, we expect to open Studios that serve an educational purpose and where the title transfer may not occur.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Some automobile dealer trade associations have challenged the legality of our operations and direct selling operations by OEMs in court and have used administrative and legislative processes to attempt to prohibit or limit such OEMs’ ability to operate existing stores or expand to new locations. Certain dealer associations have also actively lobbied state licensing agencies and legislators to interpret existing laws or enact new laws in ways not favorable to our planned direct sales and service model. We expect dealer trade associations to continue to lobby state licensing agencies and legislators to interpret existing laws or enact new laws in ways not favorable to our business model; however, we intend to oppose such efforts to limit our ability to operate and intend to proactively support legislation that enables our business model.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Battery Safety and Testing Regulation</w:t>
      </w:r>
    </w:p>
    <w:p>
      <w:pPr>
        <w:pStyle w:val="TextBody"/>
        <w:spacing w:lineRule="auto" w:line="288" w:before="240" w:after="283"/>
        <w:rPr/>
      </w:pPr>
      <w:r>
        <w:rPr>
          <w:rFonts w:ascii="Times New Roman;sans-serif" w:hAnsi="Times New Roman;sans-serif"/>
          <w:b w:val="false"/>
          <w:color w:val="000000"/>
          <w:sz w:val="20"/>
        </w:rPr>
        <w:t>Our battery packs are designed to conform to mandatory regulations that govern transport of “dangerous goods,” defined to include lithium-ion batteries, which may present a risk in transportation. The governing regulations, which are issued by the Pipeline and Hazardous Materials Safety Administration, are based on the United Nations (“</w:t>
      </w:r>
      <w:r>
        <w:rPr>
          <w:rFonts w:ascii="Times New Roman;sans-serif" w:hAnsi="Times New Roman;sans-serif"/>
          <w:b w:val="false"/>
          <w:i/>
          <w:color w:val="000000"/>
          <w:sz w:val="20"/>
        </w:rPr>
        <w:t>U.N.</w:t>
      </w:r>
      <w:r>
        <w:rPr>
          <w:color w:val="000000"/>
        </w:rPr>
        <w:t>”</w:t>
      </w:r>
      <w:r>
        <w:rPr>
          <w:rFonts w:ascii="Times New Roman;sans-serif" w:hAnsi="Times New Roman;sans-serif"/>
          <w:b w:val="false"/>
          <w:color w:val="000000"/>
          <w:sz w:val="20"/>
        </w:rPr>
        <w:t xml:space="preserve">) Recommendations on the Safe Transport of Dangerous Goods Model Regulations and related U.N. Manual Tests and Criteria. The regulations vary by mode of shipping transportation, such as by ocean vessel, rail, truck or air. We plan to complete all applicable transportation tests for our battery packs, demonstrating our compliance with applicable regulations. We use lithium-ion cells in the high voltage battery packs in our vehicles. The use, storage and disposal of battery packs is regulated under federal law.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battery packs are intended to meet the applicable compliance requirements of the UN Manual of Tests and Criteria demonstrating our ability to ship battery packs by any method. These tests include: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Altitude simulation — simulating air transport;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Thermal cycling — assessing cell and battery seal integrity;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Vibration — simulating vibration during transport;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Shock — simulating possible impacts during transport;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External short circuit — simulating an external short circuit; and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Overcharge — evaluating the ability of a rechargeable battery to withstand overcharging.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competition from both traditional automotive OEMs and an increasing number of newer companies focused on electric and other alternative fuel vehicles. We expect this competition to increase, particularly as the transportation sector continues to shift towards low-emission, zero-emission or carbon neutral solutions.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Lucid Air and planned future vehicles are expected to compete with both traditional luxury internal combustion vehicles from established automotive OEMs and electric and other alternative fuel vehicles from both new manufacturers and established automotive OEMs, many of which have entered or have announced plans to enter the alternative fuel and electric vehicle market. Many major automobile manufacturers, including luxury automobile manufacturers, have electric vehicles available today, and other current and prospective automobile manufacturers are also developing electric vehicles. In addition, numerous manufacturers offer hybrid vehicles, including plug-in versions, with which our vehicles will also compete.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primary competitive factors on which we will compete include, but are not limited to: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product quality, reliability and safety;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range, efficiency and charging speeds;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product performance;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technological innovation, including with respect to ADAS features;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access to charging options;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design, styling and luxury;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service options and customer experience;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management team experience at bringing electric vehicles and other disruptive technologies to market;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manufacturing efficiency;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brand recognition and prestige; and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product price.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are favorably positioned to compete on the basis of these factors. However, many of our current and potential competitors have substantially greater financial, technical, manufacturing, marketing and other resources than us. Our competitors may be able to deploy greater resources to the design, development, manufacturing, distribution, promotion, sales, marketing and support of their products. Additionally, many of our competitors also have greater name recognition, longer operating histories, larger sales forces, broader customer and industry relationships and other tangible and intangible resources that exceed ours. Furthermore, many of our competitors operate with a traditional sales and dealer distribution model for vehicles that may be viewed more favorably by potential customers. These competitors also compete with us in recruiting and retaining qualified research and development, sales, marketing and management personnel, as well as in acquiring technologies complementary to, or necessary for, our products. Additional mergers and acquisitions in the electric vehicle and luxury automotive markets may result in even more resources being concentrated in our competitors.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Intellectual property is important to our business. Our commercial success depends in part on our ability to obtain, maintain and protect the intellectual property and other proprietary technology that we develop, to operate without infringing, misappropriating or otherwise violating the intellectual property and proprietary rights of others, and to prevent others from infringing, misappropriating or violating our intellectual property and proprietary rights. We rely on a combination of patents, trademarks, trade secrets, know-how, continuing technological innovation, confidential information and other measures to develop and maintain our proprietary position including through employee, contractor, consultant and third-party nondisclosure and invention assignment agreements and other contractual arrangements. </w:t>
      </w:r>
    </w:p>
    <w:p>
      <w:pPr>
        <w:pStyle w:val="TextBody"/>
        <w:spacing w:lineRule="auto" w:line="288" w:before="240" w:after="283"/>
        <w:rPr/>
      </w:pPr>
      <w:r>
        <w:rPr>
          <w:rFonts w:ascii="Times New Roman;sans-serif" w:hAnsi="Times New Roman;sans-serif"/>
          <w:b w:val="false"/>
          <w:color w:val="000000"/>
          <w:sz w:val="20"/>
        </w:rPr>
        <w:t xml:space="preserve">Regardless of the coverage we seek under our existing patent applications, there is always a risk that alterations from our products or processes may provide sufficient basis for a competitor to avoid infringement claims. In addition, the coverage claimed in a patent application can be significantly reduced before a patent is issued and courts can reinterpret patent scope after issuance. Many jurisdictions, including the United States, permit third parties to challenge issued patents in administrative proceedings, which may result in further narrowing or even </w:t>
      </w:r>
      <w:r>
        <w:rPr>
          <w:rFonts w:ascii="Times New Roman;sans-serif" w:hAnsi="Times New Roman;sans-serif"/>
          <w:b/>
          <w:color w:val="000000"/>
          <w:sz w:val="20"/>
        </w:rPr>
        <w:t>c</w:t>
      </w:r>
      <w:r>
        <w:rPr>
          <w:rFonts w:ascii="Times New Roman;sans-serif" w:hAnsi="Times New Roman;sans-serif"/>
          <w:b w:val="false"/>
          <w:color w:val="000000"/>
          <w:sz w:val="20"/>
        </w:rPr>
        <w:t xml:space="preserve">ancellation of patent claims. We cannot provide any assurance that any patents will be issued from our pending or any future applications or that any current or future issued patents will adequately protect our intellectual property. For this and other risks related to our proprietary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240" w:after="283"/>
        <w:rPr/>
      </w:pPr>
      <w:r>
        <w:rPr>
          <w:rFonts w:ascii="Times New Roman;sans-serif" w:hAnsi="Times New Roman;sans-serif"/>
          <w:b w:val="false"/>
          <w:color w:val="000000"/>
          <w:sz w:val="20"/>
        </w:rPr>
        <w:t>technology, inventions and improvements, please see the section entitled “</w:t>
      </w:r>
      <w:r>
        <w:rPr>
          <w:rFonts w:ascii="Times New Roman;sans-serif" w:hAnsi="Times New Roman;sans-serif"/>
          <w:b w:val="false"/>
          <w:i/>
          <w:color w:val="000000"/>
          <w:sz w:val="20"/>
        </w:rPr>
        <w:t>Risk Factors — Risks Related to Our Business and Operations  — Risks Related to Intellectual Property.</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we owned approximately 170 issued U.S. patents, 85 pending U.S. patent applications, 191 issued foreign patents, 29 pending foreign patent applications and 11 pending Patent Cooperation Treaty patent applications.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we also owned 16 pending U.S. trademark applications, 3 registered U.S. trademarks as well as 137 registered foreign trademarks and 245 pending foreign trademark applications in approximately 31 countries worldwide in addition to the European Union. </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As of December 31, 2021, we also owned 3 issued U.S. design patents, 35 pending U.S. design patent applications, plus 29 issued foreign design patents/industrial designs and 33 pending foreign design patent/industrial design applications.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develop additional intellectual property and proprietary technology as our engineering and validation activities proceed. Technologies that we have and intend to invest in and develop include engineering software, powertrain systems and controls, infotainment, cybersecurity, telematics and electrical architecture hardware and software. As we develop our technology, we will continue to build our intellectual property portfolio, including by pursuing patent and other intellectual property protection when we believe it is possible, cost-effective, beneficial and consistent with our overall intellectual property protection strategy.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intellectual property that we own, we also procure key technologies under our supply chain agreements, and we license key technologies under our license agreements. </w:t>
      </w:r>
    </w:p>
    <w:p>
      <w:pPr>
        <w:pStyle w:val="TextBody"/>
        <w:spacing w:lineRule="auto" w:line="288" w:before="240" w:after="283"/>
        <w:rPr/>
      </w:pPr>
      <w:r>
        <w:rPr>
          <w:rFonts w:ascii="Times New Roman;sans-serif" w:hAnsi="Times New Roman;sans-serif"/>
          <w:b w:val="false"/>
          <w:color w:val="000000"/>
          <w:sz w:val="20"/>
        </w:rPr>
        <w:t>See “—</w:t>
      </w:r>
      <w:r>
        <w:rPr>
          <w:color w:val="000000"/>
        </w:rPr>
        <w:t> </w:t>
      </w:r>
      <w:r>
        <w:rPr>
          <w:rFonts w:ascii="Times New Roman;sans-serif" w:hAnsi="Times New Roman;sans-serif"/>
          <w:b w:val="false"/>
          <w:i/>
          <w:color w:val="000000"/>
          <w:sz w:val="20"/>
        </w:rPr>
        <w:t>Our Vehicles</w:t>
      </w:r>
      <w:r>
        <w:rPr>
          <w:color w:val="000000"/>
        </w:rPr>
        <w:t xml:space="preserve">” </w:t>
      </w:r>
      <w:r>
        <w:rPr>
          <w:rFonts w:ascii="Times New Roman;sans-serif" w:hAnsi="Times New Roman;sans-serif"/>
          <w:b w:val="false"/>
          <w:color w:val="000000"/>
          <w:sz w:val="20"/>
        </w:rPr>
        <w:t>and “— </w:t>
      </w:r>
      <w:r>
        <w:rPr>
          <w:rFonts w:ascii="Times New Roman;sans-serif" w:hAnsi="Times New Roman;sans-serif"/>
          <w:b w:val="false"/>
          <w:i/>
          <w:color w:val="000000"/>
          <w:sz w:val="20"/>
        </w:rPr>
        <w:t>Technology</w:t>
      </w:r>
      <w:r>
        <w:rPr>
          <w:color w:val="000000"/>
        </w:rPr>
        <w:t xml:space="preserve">” </w:t>
      </w:r>
      <w:r>
        <w:rPr>
          <w:rFonts w:ascii="Times New Roman;sans-serif" w:hAnsi="Times New Roman;sans-serif"/>
          <w:b w:val="false"/>
          <w:color w:val="000000"/>
          <w:sz w:val="20"/>
        </w:rPr>
        <w:t xml:space="preserve">above for more information.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of individual issued patents extend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The duration of foreign patents varies in accordance with provisions of applicable local law, but typically is also 20 years from the earliest effective filing date. The actual protection afforded by a patent may vary from country to country and can depend upon many factors, including the type of patent, the scope of its coverage, the availability of patent term adjustments or extensions, the availability of legal remedies in a particular country and the validity and enforceability of the patent. As a result, our owned patent portfolio may not provide us with sufficient rights to exclude others from commercializing products similar or identical to ours.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we rely upon trade secrets and know-how, confidential information, unpatented technologies, continuing technological innovation and other proprietary information to develop, protect and maintain our competitive position and aspects of our business that are not amenable to, or that we do not presently consider appropriate for, patent protection and prevent competitors from reverse engineering or copying our technologies. However, the foregoing rights, technologies and information are difficult to protect. We seek to protect them by, in part, using confidentiality agreements with our employees and consultants and any potential commercial partners and collaborators and invention assignment agreements with our employees. We also have implemented or intend to implement confidentiality agreements or invention assignment agreements with our selected consultants and any potential commercial partners.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There can be no assurance that these agreements will be self-executing or otherwise provide meaningful protection for our trade secrets or other intellectual property or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will also depend in part on not infringing, misappropriating or otherwise violating the intellectual or proprietary rights of third parties. The issuance of third-party patents could require us to alter our development or commercial strategies, change our products or processes, obtain licenses to additional third-party patents or other intellectual property or cease certain activities. Our breach of any license agreements or failure to obtain a license to proprietary rights that we may require to develop or commercialize our future products or technologies may have an adverse impact on us. Given that patent applications in the United States and certain other jurisdictions are maintained in secrecy for 18 months or potentially longer, and since publication of discoveries in the scientific or patent literature often lags behind actual discoveries, we cannot be certain of the patent protection being sought by third parties and/or the priority of inventions covered by such patent applications. Moreover, we may have to participate in interference, revocation, derivation, re-examination, post-grant review, inter parts review or opposition proceedings brought by third parties or declared by the U.S. Patent and Trademark Office or an equivalent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240" w:after="283"/>
        <w:rPr/>
      </w:pPr>
      <w:r>
        <w:rPr>
          <w:rFonts w:ascii="Times New Roman;sans-serif" w:hAnsi="Times New Roman;sans-serif"/>
          <w:b w:val="false"/>
          <w:color w:val="000000"/>
          <w:sz w:val="20"/>
        </w:rPr>
        <w:t>foreign body. See “</w:t>
      </w:r>
      <w:r>
        <w:rPr>
          <w:rFonts w:ascii="Times New Roman;sans-serif" w:hAnsi="Times New Roman;sans-serif"/>
          <w:b w:val="false"/>
          <w:i/>
          <w:color w:val="000000"/>
          <w:sz w:val="20"/>
        </w:rPr>
        <w:t>Risk Factors — Risks Related to Our Business and Operations  — Risks Related to Intellectual Property</w:t>
      </w:r>
      <w:r>
        <w:rPr>
          <w:color w:val="000000"/>
        </w:rPr>
        <w:t xml:space="preserve">” </w:t>
      </w:r>
      <w:r>
        <w:rPr>
          <w:rFonts w:ascii="Times New Roman;sans-serif" w:hAnsi="Times New Roman;sans-serif"/>
          <w:b w:val="false"/>
          <w:color w:val="000000"/>
          <w:sz w:val="20"/>
        </w:rPr>
        <w:t xml:space="preserve">for additional information regarding these and other risks related to our intellectual property portfolio and their potential effect on us.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spacing w:lineRule="auto" w:line="288" w:before="240" w:after="283"/>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December 31, 2021</w:t>
      </w:r>
      <w:r>
        <w:rPr>
          <w:rFonts w:ascii="Times New Roman;sans-serif" w:hAnsi="Times New Roman;sans-serif"/>
          <w:b w:val="false"/>
          <w:color w:val="231F20"/>
          <w:sz w:val="20"/>
        </w:rPr>
        <w:t>, we employed approximately 3,900 employees globally. Most of our employees are based in Newark, California at our headquarters or in Casa Grande, Arizona at our electric vehicle manufacturing facility. In addition, many of our employees work throughout our retail store and service center network in major metropolitan areas throughout the United States and Canada.</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None of our employees are represented by a labor union. We have never experienced any work stoppages and we believe that our employee relations are good.</w:t>
      </w:r>
    </w:p>
    <w:p>
      <w:pPr>
        <w:pStyle w:val="TextBody"/>
        <w:spacing w:lineRule="auto" w:line="288" w:before="240" w:after="283"/>
        <w:rPr/>
      </w:pPr>
      <w:r>
        <w:rPr>
          <w:rFonts w:ascii="Times New Roman;sans-serif" w:hAnsi="Times New Roman;sans-serif"/>
          <w:b w:val="false"/>
          <w:color w:val="231F20"/>
          <w:sz w:val="20"/>
        </w:rPr>
        <w:t xml:space="preserve">We believe that our mission-first passion to inspire the adoption of sustainable transportation would not be possible without a broad array of experiences, professional and personal backgrounds, and individual identities across our team. </w:t>
      </w:r>
      <w:r>
        <w:rPr>
          <w:rFonts w:ascii="Times New Roman;sans-serif" w:hAnsi="Times New Roman;sans-serif"/>
          <w:b w:val="false"/>
          <w:color w:val="000000"/>
          <w:sz w:val="20"/>
        </w:rPr>
        <w:t>We work hard to attract a pool of diverse candidates for all open positions. As of December 31, 2021, approximately 65% of Lucid’s employees in the United States were identified as Black or African American, Hispanic or Latino, Asian, American Indian or Alaskan Native, Native Hawaiian or Pacific Islander, and two or more races or ethnicities.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Culture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When design is led by inspiration, invention by insight, and engineering by experience we believe that nothing is impossible. Thinking beyond what is in front of us and designing for a world where life is the most important journey we will ever take, we believe in the dream ahead. Our relentless focus on innovation, luxury, and sustainability moves us toward a future where you no longer must choose between doing great things and doing the right thing.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are a collective of future visionaries; those who can think and do differently, that thrive on challenge and collaboration. Inspired by infinite possibilities, we strive to make a profound difference in the world. We are a team that values innovation, harnesses our passions, and embraces the entrepreneurial mind of limitless potential. We recognize, welcome, and appreciate the unique experiences and diverse perspectives that each of our employees bring with them, that in turn fuel our shared successes.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foster an open, egalitarian culture where all ideas and concerns can be raised to any member of leadership. It is a core belief that each employee has a unique lens which helps propel Lucid’s mission forward. To that end, we urge all employees to communicate their thoughts and to use any channel they deem warranted to share their perspective towards our mission. This approach helps fuel innovation, prevent stumbling blocks, and engages all employees towards being a member of one, unified team.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Diversity, Equity and Inclusion</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are committed to cultivating a diverse, equitable, and inclusive company to enhance our culture and position Lucid for improved success. In 2021, we launched internal DEI initiatives such as employee training, employee resource groups (e.g. Women at Lucid, Veterans at Lucid, and Pride at Lucid), partnerships for recruiting (e.g. a nonprofit resource for disability inclusion (DisabilityIn), Fairygodboss (one of the largest career communities for women), the Society of Hispanic Professional Engineers (SHPE), and the Society of Women Engineers (SWE)). We are actively focused on building our DEI strategy with a people centric, data driven approach. We believe that our culture inspires passionate innovators to join Lucid from around the world, positioning us to influence positive change both within the company and externally with our partners.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Compensation and Benefits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competitive compensation to attract and retain the best people in the world, and we help care for our people so they can focus on our mission. Our employees' total compensation package includes market-competitive cash compensation and equity. We offer full-time employees’ equity at the time of hire and through annual equity grants because we want them to be owners of the company and committed to our long-term success.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Safety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instilled an expectation and culture of safety in our workplace. As a manufacturing company, we are committed to ensuring workplace health, safety and environmental protection for our employees, suppliers, business partners, customers, and all our stakeholders. We protect the health and safety of our employees through a proactive and systematic approach to safety and health management. For example, at our Arizona facility, we have onsite, at-the-ready medical support for any needed medical triage during emergencies. During the COVID-19 pandemic we have implemented robust protocols that meet or exceed CDC guidelines including establishing a 24/7 Response Team for employee questions and contact tracing, offering multiple onsite employee and dependent vaccination clinics, and have or will be implementing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vaccination requirements for new hires, and for those seeking entry into many of our facilities. Additionally, in 2022 we are pursuing ISO 45001 certification for our Advanced Manufacturing Plant which establishes a system of continuous improvement to reduce occupational risk and improve worker safety.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ENVIRONMENTAL IMPACT</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 xml:space="preserve">As an electric vehicle company relentlessly focused on efficiency, our products are a key part of transforming the transportation space to a more sustainable model. Through our blend of performance engineered, battery electric powertrain systems with post-luxury design, we seek to entice luxury vehicle customers to switch from ICE vehicles to energy efficient, sustainable electric transportation. But having sustainable products alone is not enough; we are laying the groundwork for a holistic environmental, social, and governance (“ESG”) strategy to maximize our ability to positively impact our environment and society, meet investor expectations, and instill pride and purpose in our employees and customers. </w:t>
      </w:r>
    </w:p>
    <w:p>
      <w:pPr>
        <w:pStyle w:val="TextBody"/>
        <w:spacing w:lineRule="auto" w:line="288" w:before="240" w:after="283"/>
        <w:ind w:left="0" w:right="0" w:hanging="360"/>
        <w:rPr/>
      </w:pPr>
      <w:r>
        <w:rPr>
          <w:color w:val="231F20"/>
        </w:rPr>
        <w:t>•</w:t>
      </w:r>
      <w:r>
        <w:rPr>
          <w:rFonts w:ascii="Times New Roman;sans-serif" w:hAnsi="Times New Roman;sans-serif"/>
          <w:b/>
          <w:i/>
          <w:color w:val="231F20"/>
          <w:sz w:val="20"/>
        </w:rPr>
        <w:t>ESG Strategy</w:t>
      </w:r>
      <w:r>
        <w:rPr>
          <w:rFonts w:ascii="Times New Roman;sans-serif" w:hAnsi="Times New Roman;sans-serif"/>
          <w:b w:val="false"/>
          <w:i/>
          <w:color w:val="231F20"/>
          <w:sz w:val="20"/>
        </w:rPr>
        <w:t>:</w:t>
      </w:r>
      <w:r>
        <w:rPr>
          <w:color w:val="231F20"/>
        </w:rPr>
        <w:t xml:space="preserve"> </w:t>
      </w:r>
      <w:r>
        <w:rPr>
          <w:rFonts w:ascii="Times New Roman;sans-serif" w:hAnsi="Times New Roman;sans-serif"/>
          <w:b w:val="false"/>
          <w:color w:val="231F20"/>
          <w:sz w:val="20"/>
        </w:rPr>
        <w:t xml:space="preserve">We are building the foundation of a leading environmental, social, and governance strategy and program. In 2021, we completed a high-level materiality assessment to identify key topics for our ESG strategy. This effort included insight on investors, ratings and rankings, company leadership interviews, research on peers and consumer trends, and a business/investor media review. Additionally, </w:t>
      </w:r>
      <w:r>
        <w:rPr>
          <w:rFonts w:ascii="Times New Roman;sans-serif" w:hAnsi="Times New Roman;sans-serif"/>
          <w:b w:val="false"/>
          <w:color w:val="000000"/>
          <w:sz w:val="20"/>
        </w:rPr>
        <w:t xml:space="preserve">we formed our Environmental, Social &amp; Governance ESG Steering Committee comprised of senior executive leaders, which is integral to the Company’s governance and strategy for ESG. </w:t>
      </w:r>
      <w:r>
        <w:rPr>
          <w:rFonts w:ascii="Times New Roman;sans-serif" w:hAnsi="Times New Roman;sans-serif"/>
          <w:b w:val="false"/>
          <w:color w:val="231F20"/>
          <w:sz w:val="20"/>
        </w:rPr>
        <w:t>Once we have built our internal capabilities for data collection and disclosure, we plan to begin high-level reporting on ESG performance, in alignment with leading industry standards.</w:t>
      </w:r>
    </w:p>
    <w:p>
      <w:pPr>
        <w:pStyle w:val="TextBody"/>
        <w:spacing w:lineRule="auto" w:line="288" w:before="240" w:after="283"/>
        <w:ind w:left="0" w:right="0" w:hanging="360"/>
        <w:rPr/>
      </w:pPr>
      <w:r>
        <w:rPr>
          <w:color w:val="231F20"/>
        </w:rPr>
        <w:t>•</w:t>
      </w:r>
      <w:r>
        <w:rPr>
          <w:rFonts w:ascii="Times New Roman;sans-serif" w:hAnsi="Times New Roman;sans-serif"/>
          <w:b/>
          <w:i/>
          <w:color w:val="231F20"/>
          <w:sz w:val="20"/>
        </w:rPr>
        <w:t>Green Bond</w:t>
      </w:r>
      <w:r>
        <w:rPr>
          <w:rFonts w:ascii="Times New Roman;sans-serif" w:hAnsi="Times New Roman;sans-serif"/>
          <w:b w:val="false"/>
          <w:i/>
          <w:color w:val="231F20"/>
          <w:sz w:val="20"/>
        </w:rPr>
        <w:t>:</w:t>
      </w:r>
      <w:r>
        <w:rPr>
          <w:color w:val="231F20"/>
        </w:rPr>
        <w:t xml:space="preserve"> </w:t>
      </w:r>
      <w:r>
        <w:rPr>
          <w:rFonts w:ascii="Times New Roman;sans-serif" w:hAnsi="Times New Roman;sans-serif"/>
          <w:b w:val="false"/>
          <w:color w:val="000000"/>
          <w:sz w:val="20"/>
        </w:rPr>
        <w:t xml:space="preserve">In 2021, we issued an aggregate of $2.01 billion principal amount of 1.25% convertible senior notes, which have been designated as green bonds. This issuance was one of the largest green convertible offerings in market history to date, and it underscores our commitment to addressing climate change and environmental challenges. Lucid intends to allocate an amount equal to the net proceeds from the notes to finance or refinance, in whole or in part, one or more new or existing “Eligible Green Investments,” including the development, manufacture, or distribution of products, key components, and machinery related to electric vehicles or energy storage systems, as well as investments and expenditures related to renewable energy, energy efficiency, and sustainable water and waste management. </w:t>
      </w:r>
    </w:p>
    <w:p>
      <w:pPr>
        <w:pStyle w:val="TextBody"/>
        <w:spacing w:lineRule="auto" w:line="288" w:before="240" w:after="283"/>
        <w:ind w:left="0" w:right="0" w:hanging="360"/>
        <w:rPr/>
      </w:pPr>
      <w:r>
        <w:rPr>
          <w:color w:val="231F20"/>
        </w:rPr>
        <w:t>•</w:t>
      </w:r>
      <w:r>
        <w:rPr>
          <w:rFonts w:ascii="Times New Roman;sans-serif" w:hAnsi="Times New Roman;sans-serif"/>
          <w:b/>
          <w:i/>
          <w:color w:val="231F20"/>
          <w:sz w:val="20"/>
        </w:rPr>
        <w:t>Product Efficiency</w:t>
      </w:r>
      <w:r>
        <w:rPr>
          <w:rFonts w:ascii="Times New Roman;sans-serif" w:hAnsi="Times New Roman;sans-serif"/>
          <w:b w:val="false"/>
          <w:i/>
          <w:color w:val="231F20"/>
          <w:sz w:val="20"/>
        </w:rPr>
        <w:t>:</w:t>
      </w:r>
      <w:r>
        <w:rPr>
          <w:color w:val="000000"/>
        </w:rPr>
        <w:t xml:space="preserve"> </w:t>
      </w:r>
      <w:r>
        <w:rPr>
          <w:rFonts w:ascii="Times New Roman;sans-serif" w:hAnsi="Times New Roman;sans-serif"/>
          <w:b w:val="false"/>
          <w:color w:val="231F20"/>
          <w:sz w:val="20"/>
        </w:rPr>
        <w:t>We are relentlessly focused on efficient use of the world’s resources, and we are proud that our vehicles have among the highest MPGe ratings in the Large vehicle class. Each extra mile that we extract per kWh of energy means less charging and fewer emissions from the electrical grid.</w:t>
      </w:r>
      <w:r>
        <w:rPr>
          <w:color w:val="231F20"/>
        </w:rPr>
        <w:t xml:space="preserve"> </w:t>
      </w:r>
    </w:p>
    <w:p>
      <w:pPr>
        <w:pStyle w:val="TextBody"/>
        <w:spacing w:lineRule="auto" w:line="288" w:before="240" w:after="283"/>
        <w:ind w:left="0" w:right="0" w:hanging="360"/>
        <w:rPr/>
      </w:pPr>
      <w:r>
        <w:rPr>
          <w:color w:val="231F20"/>
        </w:rPr>
        <w:t>•</w:t>
      </w:r>
      <w:r>
        <w:rPr>
          <w:rFonts w:ascii="Times New Roman;sans-serif" w:hAnsi="Times New Roman;sans-serif"/>
          <w:b/>
          <w:i/>
          <w:color w:val="231F20"/>
          <w:sz w:val="20"/>
        </w:rPr>
        <w:t>Expansion of Impact</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After establishing our brand based on attention to detail and refinement, we intend to expand our product lineup to broaden our impact on the traditional automotive market. To further accelerate the shift to battery electric transportation, we intend to explore opportunities to sell or license build to print electric powertrain and battery solutions for other automakers to facilitate their adoption of sustainable transportation. We also intend to explore opportunities in adjacent markets such as aerospace and maritime applications.</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Environmental operations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In 2021, we began onsite renewable energy generation at our corporate headquarters in California and broke ground on a solar project at our manufacturing facility in Arizona. In 2022, we expect to expand our renewable energy generation and usage further across our network. Additionally, we recycle batteries that are part of the production process and are working on a strategy for end-of-life solutions including reuse of batteries for energy storage systems and closed-loop opportunities.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recognize that sound governance practices are critical to ethical business practices and our overall success as an organization and business.</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Corporate Governance: </w:t>
      </w:r>
      <w:r>
        <w:rPr>
          <w:rFonts w:ascii="Times New Roman;sans-serif" w:hAnsi="Times New Roman;sans-serif"/>
          <w:b w:val="false"/>
          <w:color w:val="000000"/>
          <w:sz w:val="20"/>
        </w:rPr>
        <w:t xml:space="preserve">Our corporate governance best practices include: a majority independent Board under SEC and Nasdaq rules; a diverse Board with 3 female directors and 3 members of under-represented communities (in addition to two key female executive leaders added in 2021 (CFO and VP Software Validation)); an independent chairman of the Board; no “overboarded” directors; and no classified board structure (all directors must be elected every year). </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Business Ethics:</w:t>
      </w:r>
      <w:r>
        <w:rPr>
          <w:color w:val="000000"/>
        </w:rPr>
        <w:t xml:space="preserve"> </w:t>
      </w:r>
      <w:r>
        <w:rPr>
          <w:rFonts w:ascii="Times New Roman;sans-serif" w:hAnsi="Times New Roman;sans-serif"/>
          <w:b w:val="false"/>
          <w:color w:val="000000"/>
          <w:sz w:val="20"/>
        </w:rPr>
        <w:t>We have a publicly available Code of Business Conduct and Ethics and a framework to receive and investigate reports of policy violations.</w:t>
      </w:r>
    </w:p>
    <w:p>
      <w:pPr>
        <w:pStyle w:val="TextBody"/>
        <w:spacing w:lineRule="auto" w:line="288" w:before="240" w:after="283"/>
        <w:ind w:left="0" w:right="0" w:hanging="360"/>
        <w:rPr/>
      </w:pPr>
      <w:r>
        <w:rPr>
          <w:color w:val="231F20"/>
        </w:rPr>
        <w:t>•</w:t>
      </w:r>
      <w:r>
        <w:rPr>
          <w:rFonts w:ascii="Times New Roman;sans-serif" w:hAnsi="Times New Roman;sans-serif"/>
          <w:b/>
          <w:i/>
          <w:color w:val="231F20"/>
          <w:sz w:val="20"/>
        </w:rPr>
        <w:t xml:space="preserve">Compliance: </w:t>
      </w:r>
      <w:r>
        <w:rPr>
          <w:rFonts w:ascii="Times New Roman;sans-serif" w:hAnsi="Times New Roman;sans-serif"/>
          <w:b w:val="false"/>
          <w:color w:val="231F20"/>
          <w:sz w:val="20"/>
        </w:rPr>
        <w:t xml:space="preserve">We are implementing a robust compliance program centered around a clear statement of principles and an expectation for both legal compliance and high ethical standards. We intend to achieve these goals through ongoing training and discussions with our employees, clear policies and guidelines, internal controls over financial transactions, technological solutions to automate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screenings for legal compliance and a reporting hotline which enables employees and service providers to share allegations of any legal or ethical matters on an anonymous basis.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are required to file annual, quarterly and current reports, proxy statements and other information with the SEC. We also maintain an Internet website at https://www.lucidmotors.com. Through our website, we make available, free of charge, the following documents of Lucid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Our SEC filings are available on the SEC’s website at www.sec.gov.</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website, the SEC’s website and the information contained therein or linked thereto are not part of this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40" w:after="283"/>
        <w:rPr/>
      </w:pPr>
      <w:r>
        <w:rPr>
          <w:rFonts w:ascii="Times New Roman;sans-serif" w:hAnsi="Times New Roman;sans-serif"/>
          <w:b w:val="false"/>
          <w:i/>
          <w:color w:val="000000"/>
          <w:sz w:val="20"/>
        </w:rPr>
        <w:t>A description of the risks and uncertainties associated with our business is set forth below. You should carefully consider the risks and uncertainties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r>
        <w:rPr>
          <w:color w:val="000000"/>
        </w:rPr>
        <w:t>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ongoing COVID-19 pandemic has adversely affected, and we cannot predict its ultimate impact on, our business, results of operations and financial condition.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limited operating history makes evaluating our business and future prospects difficult and may increase the risk of investing in our common stock.</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have incurred net losses each year since our inception and expect to incur increasing expenses and substantial losses for the foreseeable future.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may be unable to adequately control the substantial costs associated with our operations.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have received only a limited number of reservations for the Lucid Air, all of which may be cancelled.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automotive industry has significant barriers to entry that we must overcome in order to manufacture and sell electric vehicles at scale.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automotive market is highly competitive, and we may not be successful in competing in this industry.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will initially depend on revenue generated from a single model and in the foreseeable future will be significantly dependent on a limited number of models.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will not have a third-party retail product distribution and service network.</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have experienced and may in the future experience significant delays in the design, manufacture, launch and financing of the Lucid Air, which could harm our business and prospects.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If our vehicles fail to perform as expected, our ability to develop, market and sell or lease our products could be harmed.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face challenges providing charging solutions for our vehicles.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have no experience to date in high volume manufacture of our vehicles.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If we fail to successfully tool our manufacturing facilities or if our manufacturing facilities become inoperable, we will be unable to produce our vehicles and our business will be harmed.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production and our ability to sustain future growth depends upon our ability to maintain relationships with our existing suppliers and source suppliers for our critical components, and to complete building out our supply chain, while effectively managing the risks due to such relationships.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Increases in costs, disruption of supply or shortage of materials, in particular for lithium-ion cells or semiconductors, could harm our business.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loss of key personnel or an inability to attract, retain and motivate qualified personnel may impair our ability to expand our business.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are highly dependent on the services of Peter Rawlinson, our Chief Executive Officer and Chief Technology Officer.</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may face regulatory limitations on our ability to sell vehicles directly, which could materially and adversely affect its ability to sell our vehicles.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may fail to adequately obtain, maintain, enforce and protect our intellectual property and may not be able to prevent third parties from unauthorized use of its intellectual property and proprietary technology. If we are unsuccessful in any of the foregoing, our competitive position could be harmed and we could be required to incur significant expenses to enforce our rights.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will require additional capital to support business growth, and this capital might not be available on commercially reasonable terms, or at all.</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Ayar beneficially owns a significant equity interest in us and may take actions that conflict with other shareholder interests.</w:t>
      </w: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Risks Related to Our Business and Operations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The ongoing COVID-19 pandemic has adversely affected, and we cannot predict its ultimate impact on, our business, results of operations and financial condition.</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The ongoing COVID-19 pandemic poses risks to our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our vehicles, or cancel their refundable deposits for our vehicles. 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our suppliers, sub-suppliers or partners become insolvent or are otherwise unable to continue their operations. Further, the immediate or prolonged effects of the COVID-19 pandemic could significantly affect government finances and, accordingly, the continued availability of incentives related to electric vehicle purchases and other governmental support programs.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The spread of COVID-19 has also periodically disrupted our manufacturing operations and those of our suppliers. Such disruptions to us and our suppliers have and could continue to negatively impact the production volume of our first vehicle, the Lucid Air sedan, as well other vehicles that we may introduce from time to time. Our manufacturing operations at a limited number of facilities in Casa Grande, Arizona concentrate this risk.</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 xml:space="preserve">The pandemic has resulted in the imposition of travel bans and restrictions, quarantines, shelter-in-place and stay-at-home orders and business shutdowns, which have contributed to delays in the anticipated production schedule of the Lucid Air. These measures pose numerous operational risks and logistical challenges to our business. For example, we may be required to limit the number of employees and contractors at our manufacturing facilities in Casa Grande, Arizona or be required to cause a substantial number of employees and/or contractors to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quarantine, which could cause further delays in tooling efforts or in the production schedule of the Lucid Air.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the Lucid Air. Further, our sales and marketing activities have been, and may in the future be, adversely affected due to the cancellation or reduction of in-person sales activities, meetings, events and conferences, and our planned construction and opening of our Lucid Studio sales and service facilities in key markets has been delayed. The transition of some of our personnel to a remote workforce has also increased demand on our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our start-up, manufacturing and sales and distribution plans and timelines.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In addition, the COVID-19 pandemic has resulted in extreme volatility in the global financial markets, which could increase our cost of capital or limit our ability to access financing when we need it.</w:t>
      </w:r>
    </w:p>
    <w:p>
      <w:pPr>
        <w:pStyle w:val="TextBody"/>
        <w:spacing w:lineRule="auto" w:line="288" w:before="240" w:after="283"/>
        <w:rPr/>
      </w:pPr>
      <w:r>
        <w:rPr>
          <w:rFonts w:ascii="Times New Roman;sans-serif" w:hAnsi="Times New Roman;sans-serif"/>
          <w:b w:val="false"/>
          <w:color w:val="231F20"/>
          <w:sz w:val="20"/>
        </w:rPr>
        <w:t>To address the uncertainties of COVID-19 and to help ensure the safety of our team members, we anticipate implementing a vaccination mandate for our employees and/or for individuals to enter many of our facilities, which may have an impact on our workforce and adversely impact our manufacturing capabilities and overall business operations.</w:t>
      </w:r>
      <w:r>
        <w:rPr>
          <w:color w:val="231F20"/>
        </w:rPr>
        <w:t xml:space="preserve"> </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The severity, magnitude and duration of the COVID-19 pandemic, including as a result of new variant strains such as the Omicron strain, and our economic and regulatory consequences are rapidly changing and uncertain. Accordingly, we cannot predict the ultimate impact of the COVID-19 pandemic on our business, financial condition and results of operations.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Our limited operating history makes evaluating our business and future prospects difficult and may increase the risk of your investment.</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are an early-stage company with a limited operating history, operating in a rapidly evolving and highly regulated market. Furthermore, we have only released one commercially available vehicle, and we have no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pStyle w:val="TextBody"/>
        <w:spacing w:lineRule="auto" w:line="288"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We have encountered and expect to continue to encounter risks and uncertainties frequently experienced by early-stage companies in rapidly changing markets, including risks relating to our ability to, among other things: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hire, integrate and retain professional and technical talent, including key members of management;</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continue to make significant investments in research, development, manufacturing, marketing and sales;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successfully obtain, maintain, protect and enforce our intellectual property and defend against claims of intellectual property infringement, misappropriation or other violation;</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build a well-recognized and respected brand;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establish, refine and scale our commercial manufacturing capabilities and distribution infrastructure;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establish and maintain satisfactory arrangements with third-party suppliers;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establish and expand a customer base;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navigate an evolving and complex regulatory environment;</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anticipate and adapt to changing market conditions, including consumer demand for certain vehicle types, models or trim levels, technological developments and changes in competitive landscape; and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successfully design, build, manufacture and market new variants and models of electric vehicles, such as Project Gravity.</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have incurred net losses each year since our inception and expect to incur increasing expenses and substantial losses for the foreseeable future.</w:t>
      </w:r>
    </w:p>
    <w:p>
      <w:pPr>
        <w:pStyle w:val="TextBody"/>
        <w:spacing w:lineRule="auto" w:line="288" w:before="240" w:after="283"/>
        <w:rPr/>
      </w:pPr>
      <w:r>
        <w:rPr>
          <w:rFonts w:ascii="Times New Roman;sans-serif" w:hAnsi="Times New Roman;sans-serif"/>
          <w:b w:val="false"/>
          <w:color w:val="231F20"/>
          <w:sz w:val="20"/>
        </w:rPr>
        <w:t xml:space="preserve">We have incurred net losses each year since our inception, including net loss and comprehensive loss of approximately $2.6 billion for the year ended </w:t>
      </w:r>
      <w:r>
        <w:rPr>
          <w:rFonts w:ascii="Times New Roman;sans-serif" w:hAnsi="Times New Roman;sans-serif"/>
          <w:b w:val="false"/>
          <w:color w:val="000000"/>
          <w:sz w:val="20"/>
        </w:rPr>
        <w:t>December 31, 2021</w:t>
      </w:r>
      <w:r>
        <w:rPr>
          <w:rFonts w:ascii="Times New Roman;sans-serif" w:hAnsi="Times New Roman;sans-serif"/>
          <w:b w:val="false"/>
          <w:color w:val="231F20"/>
          <w:sz w:val="20"/>
        </w:rPr>
        <w:t xml:space="preserve">. As of </w:t>
      </w:r>
      <w:r>
        <w:rPr>
          <w:rFonts w:ascii="Times New Roman;sans-serif" w:hAnsi="Times New Roman;sans-serif"/>
          <w:b w:val="false"/>
          <w:color w:val="000000"/>
          <w:sz w:val="20"/>
        </w:rPr>
        <w:t>December 31, 2021</w:t>
      </w:r>
      <w:r>
        <w:rPr>
          <w:rFonts w:ascii="Times New Roman;sans-serif" w:hAnsi="Times New Roman;sans-serif"/>
          <w:b w:val="false"/>
          <w:color w:val="231F20"/>
          <w:sz w:val="20"/>
        </w:rPr>
        <w:t>, our accumulated deficit was approximately $6.1 billion. We expect to continue to incur substantial losses and increasing expenses in the foreseeable future as we: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continue to design, develop and manufacture our vehicles;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equip and expand our manufacturing facilities to produce our vehicles in Arizona and in international locations such as the Kingdom of Saudi Arabia;</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build up inventories of parts and components for our vehicles;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manufacture an available inventory of our vehicles;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develop and deploy vehicle charging partnerships;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expand our design, research, development, maintenance and repair capabilities;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increase our sales and marketing activities and develop our distribution infrastructure; and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expand our general and administrative functions to support our growing operations and status as a public company.</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may be unable to adequately control the substantial costs associated with our operations.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tooling and expanding our manufacturing facilities; research and development expenses (including expenses related to the development of the Lucid Air, the Project Gravity SUV and other future products), raw material procurement costs; and general and administrative expenses as we scale our operations and incur the costs of being a public company. In addition, we expect to incur significant costs servicing and maintaining customers’ vehicles, including establishing our service operations and facilities. As a company, we do not have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In the longer term, our ability to become profitable in the future will depend on our ability not only to control costs, but also to sell in quantities and at prices sufficient to achieve our expected margins. If we are unable to cost-efficiently design, manufacture, market, sell, distribute and service our vehicles, our margins, profitability and prospects will be materially and adversely affected.</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have received only a limited number of reservations for the Lucid Air, all of which may be cancelled.</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Our customers may cancel their reservations without penalty and for any reason until they place an order for their vehicle. Any delays in customer deliveries of the Lucid Air could result in significant customer cancellations. In addition, any event or incident which generates negative media coverage about us or the safety of our vehicles could also result in significant customer cancellations. No assurance can be given that reservations will not be cancelled and will ultimately result in the final purchase, delivery and sale or lease of vehicles. Accordingly, the number of reservations has significant limitations as a measure of demand for our vehicles, including demand for particular body styles, models or trim levels, or for future vehicle sales. If we encounter delays in customer deliveries of the Lucid Air that further lengthen wait times or in the event of negative media coverage, a significant number of reservations may be cancelled.</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The automotive industry has significant barriers to entry that we must overcome in order to manufacture and sell electric vehicles at scale.</w:t>
      </w:r>
    </w:p>
    <w:p>
      <w:pPr>
        <w:pStyle w:val="TextBody"/>
        <w:spacing w:lineRule="auto" w:line="288" w:before="240" w:after="283"/>
        <w:rPr/>
      </w:pPr>
      <w:r>
        <w:rPr>
          <w:rFonts w:ascii="Times New Roman;sans-serif" w:hAnsi="Times New Roman;sans-serif"/>
          <w:b w:val="false"/>
          <w:color w:val="231F20"/>
          <w:sz w:val="20"/>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our commercial manufacturing facility in Casa Grande, Arizona, we have not finished tooling all production</w:t>
      </w:r>
      <w:r>
        <w:rPr>
          <w:color w:val="000000"/>
        </w:rPr>
        <w:t xml:space="preserve"> </w:t>
      </w:r>
      <w:r>
        <w:rPr>
          <w:rFonts w:ascii="Times New Roman;sans-serif" w:hAnsi="Times New Roman;sans-serif"/>
          <w:b w:val="false"/>
          <w:color w:val="231F20"/>
          <w:sz w:val="20"/>
        </w:rPr>
        <w:t>lines at our Casa Grande facilities. If we are not able to overcome these barriers, our business, prospects, results of operations and financial condition will be negatively impacted, and our ability to grow our business will be harmed.</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The automotive market is highly competitive, and we may not be successful in competing in this industry.</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 xml:space="preserve">The global automotive market, particularly for electric and alternative fuel vehicles, is highly competitive, and we expect it will become even more so in the future. In recent years, the electric vehicle industry has grown, with several companies that focus completely or partially on the electric vehicle market. We expect additional companies to enter this market within the next several years. Electric vehicle manufacturers with which we compete include Tesla as well as an increasing number of U.S.-based and international entrants, many of which have announced plans to begin selling their own electric vehicles in the near-term. We also compete with established automobile manufacturers in the luxury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new technologies and may be able to design, develop, market and sell their products more effectively than we do. We expect competition in our industry to significantly intensify in the future in light of increased demand for alternative fuel vehicles, continuing globalization, favorable governmental policies,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currently depend on revenue generated from a single model and in the foreseeable future will be significantly dependent on a limited number of models.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currently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2024. We expect to rely on sales from the Lucid Air, among other sources of financing, for the capital that will be required to develop and commercialize those subsequent models. To the extent that production of the Lucid Air is delayed or reduced, or if the Lucid Air is not well-received by the market for any reason, our revenue and cash flow would be adversely affected, we may need to seek additional financing earlier than we expect, and such financing may not be available to us on commercially reasonable terms, or at all.</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will not have a third-party retail product distribution and service network.</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Third-party dealer networks are the traditional method of vehicle sales distribution and service. Because we plan to sell directly to consumers, we will not have a traditional dealer product distribution and service network. We have limited experience distributing directly to consumers, and we expect that the building of a national and global in-house sales and marketing function, including a physical sales, marketing and service footprint via our Lucid Studios, will be expensive and time consuming. If our lack of a traditional dealer distribution and service network results in lost opportunities to generate sales, it could limit our ability to grow. Moreover, our plans to sell directly to consumers and to directly service all vehicles may be limited by regulatory constraints. To the extent we are unable to successfully execute on such plans, we may be required to develop a third-party dealer distribution and service network, which may prove costly, time-consuming or ineffective. If our use of an in-house sales, marketing and service team is not effective, our results of operations and financial conditions could be adversely affected.</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Our sales will depend in part on our ability to establish and maintain confidence in our long-term business prospects among consumers, analysts and others within our industry.</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Our ability to generate meaningful product revenue will depend on consumer adoption of electric vehicles.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 xml:space="preserve">We are only developing and producing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Other factors that may influence the adoption of electric vehicles include: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perceptions about electric vehicle quality, safety, design, performance and cost;</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perceptions about the limited range over which electric vehicles may be driven on a single battery charge;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concerns about electric grid capacity and reliability;</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perceptions about the sustainability and environmental impact of electric vehicles, including with respect to both the sourcing and disposal of materials for electric vehicle batteries and the generation of electricity provided in the electric grid;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 availability of other alternative fuel vehicles, including plug-in hybrid electric vehicles;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improvements in the fuel economy of the internal combustion engine;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 quality and availability of service for electric vehicles, especially in international markets;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volatility in the cost of oil and gasoline;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government regulations and economic incentives promoting fuel efficiency and alternate forms of energy;</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access to charging stations and cost to charge an electric vehicle, especially in international markets, and related infrastructure costs and standardization;</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 availability of tax and other governmental incentives to purchase and operate electric vehicles or future regulation requiring increased use of nonpolluting vehicles; and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macroeconomic factors.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Developments in electric vehicle or alternative fuel technology or improvements in the internal combustion engine may adversely affect the demand for our vehicles.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 xml:space="preserve">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successfully react to changes in existing technologies or the development of new technologies could materially harm our competitive position and growth prospects.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Extended periods of low gasoline or other petroleum-based fuel prices could adversely affect demand for our vehicles, which would adversely affect our business, prospects, results of operations and financial condition.</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Gasoline and other petroleum-based fuel prices have historically been extremely volatile, particularly during the ongoing COVID-19 pandemic,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The unavailability, reduction or elimination of certain government and economic programs could have a material adverse effect on our business, prospects, financial condition and results of operations.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would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such as loans under the Advanced Technology Vehicles Manufacturing Loan Program administered by the U.S. Department of Energy.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pStyle w:val="TextBody"/>
        <w:spacing w:before="0" w:after="0"/>
        <w:rPr/>
      </w:pPr>
      <w:r>
        <w:rPr/>
      </w:r>
    </w:p>
    <w:p>
      <w:pPr>
        <w:pStyle w:val="TextBody"/>
        <w:spacing w:lineRule="auto" w:line="288" w:before="0" w:after="0"/>
        <w:rPr>
          <w:rFonts w:ascii="Times New Roman;sans-serif" w:hAnsi="Times New Roman;sans-serif"/>
          <w:b/>
          <w:i/>
          <w:color w:val="231F20"/>
          <w:sz w:val="20"/>
        </w:rPr>
      </w:pPr>
      <w:r>
        <w:rPr>
          <w:rFonts w:ascii="Times New Roman;sans-serif" w:hAnsi="Times New Roman;sans-serif"/>
          <w:b/>
          <w:i/>
          <w:color w:val="231F20"/>
          <w:sz w:val="20"/>
        </w:rPr>
        <w:t>We may not be able to obtain or agree on acceptable terms and conditions for all or a significant portion of the government grants, loans and other incentives for which we may apply. As a result, our business and prospects may be adversely affected.</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If we fail to manage our future growth effectively, we may not be able to develop, manufacture, distribute, market and sell our vehicles successfully.</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Any failure to manage our growth effectively could materially and adversely affect our business, prospects, results of operations and financial condition. We intend to expand our operations significantly. We expect our future expansion will include: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expanding our management team;</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hiring and training new personnel;</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establishing or expanding design, manufacturing, sales and service facilities;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implementing and enhancing administrative infrastructure, systems and processes, including in connection with our transition to a public company; and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expanding into new markets and establishing sales, service and manufacturing operations in such markets.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We intend to continue to hire a significant number of additional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designing, manufacturing and servicing electric vehicles is intense, and we may not be able to attract, integrate, train, motivate or retain additional highly qualified personnel in the future. The failure to attract, integrate, train, motivate and retain these additional employees could seriously harm our business and prospects. In addition, we have no experience to date in high volume manufacturing of our vehicles. We cannot assure our investors that we will be able to develop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 In addition, our success is substantially dependent upon the continued service and performance of our senior management team and key technical and vehicle management personnel. If any key personnel were to terminate their employment with us, such termination would likely increase the difficulty of managing our future growth and heighten the foregoing risks. If we fail to manage our growth effectively, such failure could result in negative publicity and damage to our brand and have a material adverse effect on our business, prospects, financial condition and results of operations.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currently intend to offer leasing and financing of our vehicles to potential customers through a third-party financing partner or partners, but we cannot provide any assurance that such third-party financing partners would be able or willing to provide such services on terms acceptable to us or our customers. Furthermore, because we have only sold a limited number of vehicles and no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caused by the ongoing COVID-19 pandemic. If we are unable to provide leasing and financing arrangements that appeal to potential customers, or if the provision of such arrangements exposes us to excessive consumer credit risk, our business, competitive position, results of operations and financial condition could be adversely affected.</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Our vehicles are designed with advanced driver assistance system (“</w:t>
      </w:r>
      <w:r>
        <w:rPr>
          <w:rFonts w:ascii="Times New Roman;sans-serif" w:hAnsi="Times New Roman;sans-serif"/>
          <w:b w:val="false"/>
          <w:i/>
          <w:color w:val="231F20"/>
          <w:sz w:val="20"/>
        </w:rPr>
        <w:t>ADAS</w:t>
      </w:r>
      <w:r>
        <w:rPr>
          <w:color w:val="231F20"/>
        </w:rPr>
        <w:t>”</w:t>
      </w:r>
      <w:r>
        <w:rPr>
          <w:rFonts w:ascii="Times New Roman;sans-serif" w:hAnsi="Times New Roman;sans-serif"/>
          <w:b w:val="false"/>
          <w:color w:val="231F20"/>
          <w:sz w:val="20"/>
        </w:rPr>
        <w:t xml:space="preserve">) hardware, and we expect to release a Lucid Air software update and launch Project Gravity with Level 2 (partial automation) ADAS functionality, which we plan to upgrade with additional capabilities over time. </w:t>
      </w:r>
      <w:r>
        <w:rPr>
          <w:rFonts w:ascii="Times New Roman;sans-serif" w:hAnsi="Times New Roman;sans-serif"/>
          <w:b w:val="false"/>
          <w:color w:val="000000"/>
          <w:sz w:val="20"/>
        </w:rPr>
        <w:t>ADAS</w:t>
      </w:r>
      <w:r>
        <w:rPr>
          <w:color w:val="231F20"/>
        </w:rPr>
        <w:t xml:space="preserve"> </w:t>
      </w:r>
      <w:r>
        <w:rPr>
          <w:rFonts w:ascii="Times New Roman;sans-serif" w:hAnsi="Times New Roman;sans-serif"/>
          <w:b w:val="false"/>
          <w:color w:val="231F20"/>
          <w:sz w:val="20"/>
        </w:rPr>
        <w:t xml:space="preserve">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We and others in our industry are subject to a Standing General Order issued by NHTSA that requires us to report any crashes in which certain </w:t>
      </w:r>
      <w:r>
        <w:rPr>
          <w:rFonts w:ascii="Times New Roman;sans-serif" w:hAnsi="Times New Roman;sans-serif"/>
          <w:b w:val="false"/>
          <w:color w:val="000000"/>
          <w:sz w:val="20"/>
        </w:rPr>
        <w:t>ADAS</w:t>
      </w:r>
      <w:r>
        <w:rPr>
          <w:color w:val="231F20"/>
        </w:rPr>
        <w:t xml:space="preserve"> </w:t>
      </w:r>
      <w:r>
        <w:rPr>
          <w:rFonts w:ascii="Times New Roman;sans-serif" w:hAnsi="Times New Roman;sans-serif"/>
          <w:b w:val="false"/>
          <w:color w:val="231F20"/>
          <w:sz w:val="20"/>
        </w:rPr>
        <w:t>features were active, and these crash reports may become publicly available.</w:t>
      </w:r>
      <w:r>
        <w:rPr>
          <w:color w:val="231F20"/>
        </w:rPr>
        <w:t xml:space="preserve"> </w:t>
      </w:r>
      <w:r>
        <w:rPr>
          <w:rFonts w:ascii="Times New Roman;sans-serif" w:hAnsi="Times New Roman;sans-serif"/>
          <w:b w:val="false"/>
          <w:color w:val="231F20"/>
          <w:sz w:val="20"/>
        </w:rPr>
        <w:t xml:space="preserve">To the extent accidents associated with our </w:t>
      </w:r>
      <w:r>
        <w:rPr>
          <w:rFonts w:ascii="Times New Roman;sans-serif" w:hAnsi="Times New Roman;sans-serif"/>
          <w:b w:val="false"/>
          <w:color w:val="000000"/>
          <w:sz w:val="20"/>
        </w:rPr>
        <w:t>ADAS</w:t>
      </w:r>
      <w:r>
        <w:rPr>
          <w:color w:val="231F20"/>
        </w:rPr>
        <w:t xml:space="preserve"> </w:t>
      </w:r>
      <w:r>
        <w:rPr>
          <w:rFonts w:ascii="Times New Roman;sans-serif" w:hAnsi="Times New Roman;sans-serif"/>
          <w:b w:val="false"/>
          <w:color w:val="231F20"/>
          <w:sz w:val="20"/>
        </w:rPr>
        <w:t>technologies occur, we could be subject to significant liability, negative publicity, government scrutiny and further regulation. Any of the foregoing could materially and adversely affect our results of operations, financial condition and growth prospects.</w:t>
      </w:r>
    </w:p>
    <w:p>
      <w:pPr>
        <w:pStyle w:val="TextBody"/>
        <w:spacing w:lineRule="auto" w:line="288" w:before="240" w:after="283"/>
        <w:rPr/>
      </w:pPr>
      <w:r>
        <w:rPr>
          <w:rFonts w:ascii="Times New Roman;sans-serif" w:hAnsi="Times New Roman;sans-serif"/>
          <w:b w:val="false"/>
          <w:color w:val="231F20"/>
          <w:sz w:val="20"/>
        </w:rPr>
        <w:t xml:space="preserve">In addition, we face substantial competition in the development and deployment of </w:t>
      </w:r>
      <w:r>
        <w:rPr>
          <w:rFonts w:ascii="Times New Roman;sans-serif" w:hAnsi="Times New Roman;sans-serif"/>
          <w:b w:val="false"/>
          <w:color w:val="000000"/>
          <w:sz w:val="20"/>
        </w:rPr>
        <w:t>ADAS</w:t>
      </w:r>
      <w:r>
        <w:rPr>
          <w:color w:val="231F20"/>
        </w:rPr>
        <w:t xml:space="preserve"> </w:t>
      </w:r>
      <w:r>
        <w:rPr>
          <w:rFonts w:ascii="Times New Roman;sans-serif" w:hAnsi="Times New Roman;sans-serif"/>
          <w:b w:val="false"/>
          <w:color w:val="231F20"/>
          <w:sz w:val="20"/>
        </w:rPr>
        <w:t xml:space="preserve">technologies. Many of our competitors, including established automakers and technology companies, have devoted significant time and resources to developing self-driving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240" w:after="283"/>
        <w:rPr/>
      </w:pPr>
      <w:r>
        <w:rPr>
          <w:rFonts w:ascii="Times New Roman;sans-serif" w:hAnsi="Times New Roman;sans-serif"/>
          <w:b w:val="false"/>
          <w:color w:val="231F20"/>
          <w:sz w:val="20"/>
        </w:rPr>
        <w:t xml:space="preserve">technologies. If we are unable to develop competitive Level 2 or more advanced </w:t>
      </w:r>
      <w:r>
        <w:rPr>
          <w:rFonts w:ascii="Times New Roman;sans-serif" w:hAnsi="Times New Roman;sans-serif"/>
          <w:b w:val="false"/>
          <w:color w:val="000000"/>
          <w:sz w:val="20"/>
        </w:rPr>
        <w:t>ADAS</w:t>
      </w:r>
      <w:r>
        <w:rPr>
          <w:color w:val="231F20"/>
        </w:rPr>
        <w:t xml:space="preserve"> </w:t>
      </w:r>
      <w:r>
        <w:rPr>
          <w:rFonts w:ascii="Times New Roman;sans-serif" w:hAnsi="Times New Roman;sans-serif"/>
          <w:b w:val="false"/>
          <w:color w:val="231F20"/>
          <w:sz w:val="20"/>
        </w:rPr>
        <w:t xml:space="preserve">technologies in-house or acquire access to such technologies via partnerships or investments in other companies or assets, we may be unable to equip our vehicles with competitive </w:t>
      </w:r>
      <w:r>
        <w:rPr>
          <w:rFonts w:ascii="Times New Roman;sans-serif" w:hAnsi="Times New Roman;sans-serif"/>
          <w:b w:val="false"/>
          <w:color w:val="000000"/>
          <w:sz w:val="20"/>
        </w:rPr>
        <w:t>ADAS</w:t>
      </w:r>
      <w:r>
        <w:rPr>
          <w:color w:val="231F20"/>
        </w:rPr>
        <w:t xml:space="preserve"> </w:t>
      </w:r>
      <w:r>
        <w:rPr>
          <w:rFonts w:ascii="Times New Roman;sans-serif" w:hAnsi="Times New Roman;sans-serif"/>
          <w:b w:val="false"/>
          <w:color w:val="231F20"/>
          <w:sz w:val="20"/>
        </w:rPr>
        <w:t>features, which could damage our brand, reduce consumer demand for our vehicles or trigger cancellations of reservations and could have a material adverse effect on our business, results of operations, prospects and financial condition.</w:t>
      </w:r>
    </w:p>
    <w:p>
      <w:pPr>
        <w:pStyle w:val="TextBody"/>
        <w:spacing w:lineRule="auto" w:line="288" w:before="240" w:after="283"/>
        <w:rPr/>
      </w:pPr>
      <w:r>
        <w:rPr>
          <w:rFonts w:ascii="Times New Roman;sans-serif" w:hAnsi="Times New Roman;sans-serif"/>
          <w:b w:val="false"/>
          <w:color w:val="231F20"/>
          <w:sz w:val="20"/>
        </w:rPr>
        <w:t xml:space="preserve">ADAS technology is also subject to considerable regulatory uncertainty, which exposes us to additional risks. See “— Risks Related to Litigation and Regulation </w:t>
      </w:r>
      <w:r>
        <w:rPr>
          <w:color w:val="231F20"/>
        </w:rPr>
        <w:t xml:space="preserve">— </w:t>
      </w:r>
      <w:r>
        <w:rPr>
          <w:rFonts w:ascii="Times New Roman;sans-serif" w:hAnsi="Times New Roman;sans-serif"/>
          <w:b w:val="false"/>
          <w:i/>
          <w:color w:val="231F20"/>
          <w:sz w:val="20"/>
        </w:rPr>
        <w:t>ADAS technology is subject to uncertain and evolving regulations.</w:t>
      </w:r>
      <w:r>
        <w:rPr>
          <w:color w:val="231F20"/>
        </w:rPr>
        <w:t>”</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Our business and prospects depend significantly on our brand.</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Our business and prospects will heavily depend on our ability to develop, maintain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we may be required to change our customer development and branding practices, which could result in substantially increased expenses, including the need to use traditional media such as television, radio and print advertising.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In particular, any negative publicity, whether or not true, can quickly proliferate on social media and harm consumer perception and confidence in our brand. The growing use of social media increases the speed with which information and opinions can be shared and, thus, the speed with which a company’s reputation can be affected. If we fail to correct or mitigate misinformation or negative information, including information spread through social media or traditional media channels, about us, the products we offer, our customer experience, or any aspect of our brand, our business, sales and results of operations could be adversely impacted. From time to 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face risks associated with international operations, including unfavorable regulatory, political, tax and labor conditions, which could harm our business.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anticipate having operations and subsidiaries in Europe, the Middle East and China that are subject to the legal, political, regulatory and social requirements and economic conditions in these jurisdictions. Additionally, as part of our growth strategy, we intend to expand our sales, maintenance and repair services outside of the United States and may also expand our manufacturing activities outside the United States. However, we have no experience to date manufacturing, selling or servicing our vehicles outside of the United States, and such expansion would require us to make significant expenditures, including the hiring of local employees and establishing facilities,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conforming our vehicles to various international regulatory requirements where our vehicles are sold, or homologation;</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establishing localized supply chains and managing international supply chain and logistics costs;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establishing sufficient charging points for our customers in those jurisdictions, via partnerships or, if necessary, via development of our own charging networks;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difficulty in staffing and managing foreign operations;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difficulties attracting customers in new jurisdictions;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fluctuations in foreign currency exchange rates and interest rates, including risks related to any forward currency contracts, interest rate swaps or other hedging activities we undertake;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United States and foreign government trade restrictions, tariffs and price or exchange controls;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foreign labor laws, regulations and restrictions;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foreign data privacy and security laws, regulations and obligations;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changes in diplomatic and trade relationships, including political risk and customer perceptions based on such changes and risks;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political instability, natural disasters, pandemics (including severity, magnitude and the duration of the COVID-19 pandemic), war or events of terrorism; and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 strength of international economies.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If we fail to successfully address these risks, our business, prospects, results of operations and financial condition could be materially harmed.</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Uninsured losses could result in payment of substantial damages, which would decrease our cash reserves and could harm our cash flow and financial condition.</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In the ordinary course of business, we may be subject to losses resulting from product liability, accidents, acts of God and other claims against us, for which we may have no insurance coverage. While we currently carry commercial general liability, commercial automobile liability, garage liability, garage keepers liability, excess liability, product liability, cybersecurity, crime, special crime, drone, cargo stock throughput, builder’s risk, owner controlled insurance program, property, owners protective, workers’ compensation, employment practices, employed lawyers, production, pollution, contractor pollution, fiduciary liability and directors’ and officers’ insurance policies, we may not maintain as much insurance coverage as other original equipment manufacturers do, and in some cases, we may not maintain any at all. Additionally, the policies that we have may include significant deductibles, and we cannot be certain that our insurance coverage will be sufficient to cover all or any future claims against us. A loss that is uninsured or exceeds policy limits may require us to pay substantial amounts, which could adversely affect our financial condition and results of operations. Further, insurance coverage may not continue to be available to us or, if available, may be at a significantly higher cost, especially if insurance providers perceive any increase in our risk profile in the future.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Increasing scrutiny and changing expectations from our investors, customers and employees with respect to our environmental, social and governance (“ESG”) practices may impose additional costs on us or expose us to new or additional risks.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There is increased focus, including from governmental organizations and our investors, customers and employees, on ESG issues such as environmental stewardship, climate change, diversity and inclusion, racial justice and workplace conduct. There can be no certainty that we will manage such issues successfully, or that we will successfully meet society’s expectations as to our proper role. Negative public perception, adverse publicity or negative comments in social media could damage our reputation if we do not, or are not perceived to, adequately address these issues. Any harm to our reputation could impact our employees’ engagement and retention and the willingness of our customers and partners to do business with us.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It is possible that our stakeholders may not be satisfied with our ESG practices or the speed of their adoption. Actual or perceived shortcomings with respect to our ESG initiatives and reporting could negatively impact our business. We could also incur additional costs and require additional resources to monitor, report, and comply with various ESG practices. In addition, a variety of organizations have developed ratings to measure the performance of companies on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Unfavorable ratings of our company or our industries, as well as non-inclusion of our stock on ESG-oriented investment funds, may lead to negative investor sentiment and the diversion of investment to other companies or industries, which could have a negative impact on our stock price.</w:t>
      </w: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Risks Related to Manufacturing and Supply Chain</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have experienced and may in the future experience significant delays in the design, manufacture, launch and financing of our vehicles, which could harm our business and prospects.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Our plan to commercially manufacture and sell our vehicles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the Lucid Air or our other vehicles. For example, we have experienced delays in the engineering of certain of our vehicle systems. Any future delays in the financing, design, manufacture and launch of the Lucid Air, including planned future variants, and any future electric vehicles could materially damage our business, prospects, financial condition and results of operations.</w:t>
      </w:r>
    </w:p>
    <w:p>
      <w:pPr>
        <w:pStyle w:val="TextBody"/>
        <w:spacing w:lineRule="auto" w:line="288" w:before="180" w:after="283"/>
        <w:rPr>
          <w:rFonts w:ascii="Times New Roman;sans-serif" w:hAnsi="Times New Roman;sans-serif"/>
          <w:b w:val="false"/>
          <w:color w:val="231F20"/>
          <w:sz w:val="20"/>
        </w:rPr>
      </w:pPr>
      <w:r>
        <w:rPr>
          <w:rFonts w:ascii="Times New Roman;sans-serif" w:hAnsi="Times New Roman;sans-serif"/>
          <w:b w:val="false"/>
          <w:color w:val="231F20"/>
          <w:sz w:val="20"/>
        </w:rPr>
        <w:t xml:space="preserve">Many of our vehicles are still in the development and/or testing phase, including all of the variants of the Lucid Air other than the Dream Edition, and production of the Project Gravity SUV is not expected to begin until 2024, and may occur later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val="false"/>
          <w:color w:val="231F20"/>
          <w:sz w:val="20"/>
        </w:rPr>
      </w:pPr>
      <w:r>
        <w:rPr>
          <w:rFonts w:ascii="Times New Roman;sans-serif" w:hAnsi="Times New Roman;sans-serif"/>
          <w:b w:val="false"/>
          <w:color w:val="231F20"/>
          <w:sz w:val="20"/>
        </w:rPr>
        <w:t>encountered and may continue to encounter delays with the design, construction, and regulatory or other approvals necessary to bring online our future expansions of the Casa Grande manufacturing facilities, or other future manufacturing facilities.</w:t>
      </w:r>
    </w:p>
    <w:p>
      <w:pPr>
        <w:pStyle w:val="TextBody"/>
        <w:spacing w:lineRule="auto" w:line="288" w:before="180" w:after="283"/>
        <w:rPr/>
      </w:pPr>
      <w:r>
        <w:rPr>
          <w:rFonts w:ascii="Times New Roman;sans-serif" w:hAnsi="Times New Roman;sans-serif"/>
          <w:b w:val="false"/>
          <w:color w:val="231F20"/>
          <w:sz w:val="20"/>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port congestion, intermittent supplier delays, a shortfall of semiconductor supply, and international travel restrictions preventing supply quality engineers from conducting in-person visits and quality engineering for parts production.</w:t>
      </w:r>
      <w:r>
        <w:rPr>
          <w:color w:val="231F20"/>
        </w:rPr>
        <w:t xml:space="preserve"> </w:t>
      </w:r>
      <w:r>
        <w:rPr>
          <w:rFonts w:ascii="Times New Roman;sans-serif" w:hAnsi="Times New Roman;sans-serif"/>
          <w:b w:val="false"/>
          <w:color w:val="231F20"/>
          <w:sz w:val="20"/>
        </w:rPr>
        <w:t>These challenges have affected our ability, and the ability of our suppliers, to obtain parts, components and manufacturing equipment on a timely basis, and in some instances have resulted in increased costs. We expect that these industry-wide trends will continue for the foreseeable future. To the extent our suppliers experience any delays in providing us with or developing necessary components, we could experience delays in delivering on our timelines.</w:t>
      </w:r>
    </w:p>
    <w:p>
      <w:pPr>
        <w:pStyle w:val="TextBody"/>
        <w:spacing w:lineRule="auto" w:line="288" w:before="180" w:after="283"/>
        <w:rPr>
          <w:rFonts w:ascii="Times New Roman;sans-serif" w:hAnsi="Times New Roman;sans-serif"/>
          <w:b w:val="false"/>
          <w:color w:val="231F20"/>
          <w:sz w:val="20"/>
        </w:rPr>
      </w:pPr>
      <w:r>
        <w:rPr>
          <w:rFonts w:ascii="Times New Roman;sans-serif" w:hAnsi="Times New Roman;sans-serif"/>
          <w:b w:val="false"/>
          <w:color w:val="231F20"/>
          <w:sz w:val="20"/>
        </w:rPr>
        <w:t>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pStyle w:val="TextBody"/>
        <w:spacing w:lineRule="auto" w:line="288" w:before="180" w:after="283"/>
        <w:rPr>
          <w:rFonts w:ascii="Times New Roman;sans-serif" w:hAnsi="Times New Roman;sans-serif"/>
          <w:b w:val="false"/>
          <w:color w:val="231F20"/>
          <w:sz w:val="20"/>
        </w:rPr>
      </w:pPr>
      <w:r>
        <w:rPr>
          <w:rFonts w:ascii="Times New Roman;sans-serif" w:hAnsi="Times New Roman;sans-serif"/>
          <w:b w:val="false"/>
          <w:color w:val="231F20"/>
          <w:sz w:val="20"/>
        </w:rPr>
        <w:t>The continued development of and the ability to manufacture our vehicles, including the Lucid Air and Project Gravity, are and will be subject to risks, including with respect to:</w:t>
      </w:r>
    </w:p>
    <w:p>
      <w:pPr>
        <w:pStyle w:val="TextBody"/>
        <w:spacing w:lineRule="auto" w:line="288" w:before="180" w:after="283"/>
        <w:ind w:left="0" w:right="0" w:hanging="360"/>
        <w:rPr/>
      </w:pPr>
      <w:r>
        <w:rPr>
          <w:color w:val="231F20"/>
        </w:rPr>
        <w:t>•</w:t>
      </w:r>
      <w:r>
        <w:rPr>
          <w:rFonts w:ascii="Times New Roman;sans-serif" w:hAnsi="Times New Roman;sans-serif"/>
          <w:b w:val="false"/>
          <w:color w:val="231F20"/>
          <w:sz w:val="20"/>
        </w:rPr>
        <w:t>our ability to ensure readiness of firmware features and functions to be integrated into the Lucid Air as planned and on the desired timeline;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our ability to finalize release candidate specifications as planned and on the desired timeline;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any delays by us in delivering final component designs to our suppliers;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our or our suppliers’ ability to successfully tool their manufacturing facilities as planned and on the desired timeline;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our ability to ensure a working supply chain and desired supplier part quality and quantity as planned and on the desired timeline;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our ability to accurately manufacture vehicles within specified design tolerances;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our ability to establish, refine and scale, as well as make significant investments in manufacturing, supply chain management and logistics functions, including the related information technology systems and software applications;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 xml:space="preserve">our ability to adequately reduce and control the costs of key parts and materials; </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our ability to manage any transitions or changes in our production process, planned or unplanned;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 occurrence of product defects that cannot be remedied without adversely affecting the production;</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our ability to secure necessary funding;</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our ability to negotiate and execute definitive agreements with various suppliers for hardware, software, or services necessary to engineer or manufacture our vehicles;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our ability to obtain required regulatory approvals and certifications;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our ability to comply with environmental, safety, and similar regulations and in a timely manner;</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our ability to secure necessary components, services, or licenses on acceptable terms and in a timely manner;</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our ability to attract, recruit, hire, retain and train skilled employees including supply chain management, supplier quality, manufacturing and logistics personnel;</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our ability to implement effective and efficient quality controls;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delays or disruptions in our supply chain including raw material supplies;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our ability to maintain arrangements on commercially reasonable terms with our suppliers, delivery and other partners, after sales service providers, and other operationally significant third parties;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other delays, backlog in manufacturing and research and development of new models, and cost overruns;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 severity, magnitude and duration of the ongoing COVID-19 pandemic, including related business interruptions and other effects; and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any other risks identified herein.</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240" w:after="283"/>
        <w:rPr/>
      </w:pPr>
      <w:r>
        <w:rPr>
          <w:rFonts w:ascii="Times New Roman;sans-serif" w:hAnsi="Times New Roman;sans-serif"/>
          <w:b w:val="false"/>
          <w:color w:val="231F20"/>
          <w:sz w:val="20"/>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“Risks Related to Financing and Strategic Transactions</w:t>
      </w:r>
      <w:r>
        <w:rPr>
          <w:color w:val="231F20"/>
        </w:rPr>
        <w:t>—</w:t>
      </w:r>
      <w:r>
        <w:rPr>
          <w:rFonts w:ascii="Times New Roman;sans-serif" w:hAnsi="Times New Roman;sans-serif"/>
          <w:b w:val="false"/>
          <w:i/>
          <w:color w:val="231F20"/>
          <w:sz w:val="20"/>
        </w:rPr>
        <w:t>We will require additional capital to support business growth, and this capital might not be available on commercially reasonable terms, or at all.”</w:t>
      </w:r>
    </w:p>
    <w:p>
      <w:pPr>
        <w:pStyle w:val="TextBody"/>
        <w:spacing w:before="0" w:after="0"/>
        <w:rPr/>
      </w:pPr>
      <w:r>
        <w:rPr/>
      </w:r>
    </w:p>
    <w:p>
      <w:pPr>
        <w:pStyle w:val="TextBody"/>
        <w:spacing w:lineRule="auto" w:line="288" w:before="0" w:after="0"/>
        <w:rPr>
          <w:rFonts w:ascii="Times New Roman;sans-serif" w:hAnsi="Times New Roman;sans-serif"/>
          <w:b/>
          <w:i/>
          <w:color w:val="231F20"/>
          <w:sz w:val="20"/>
        </w:rPr>
      </w:pPr>
      <w:r>
        <w:rPr>
          <w:rFonts w:ascii="Times New Roman;sans-serif" w:hAnsi="Times New Roman;sans-serif"/>
          <w:b/>
          <w:i/>
          <w:color w:val="231F20"/>
          <w:sz w:val="20"/>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Our success, including our ability to continue production of the Lucid Air,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such as battery cells our supply agreements do not guarantee sufficient quantities of components for our vehicle production ramp curve. The supplier agreements we have or may enter into with key suppliers in the future may have provisions where such agreements can be terminated in various circumstances, including potentially without cause.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Substantial increases in the prices for such components, materials and equipment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We may also be at a disadvantage in negotiating supply agreements for the production of our vehicles due to our limited operating history. In addition, there is the possibility that finalizing the supply agreements for the parts and components of our vehicles will cause significant disruption to our operations, or such supply agreements could be at costs that make it difficult for us to operate profitably.</w:t>
      </w:r>
    </w:p>
    <w:p>
      <w:pPr>
        <w:pStyle w:val="TextBody"/>
        <w:spacing w:before="0" w:after="0"/>
        <w:rPr/>
      </w:pPr>
      <w:r>
        <w:rPr/>
      </w:r>
    </w:p>
    <w:p>
      <w:pPr>
        <w:pStyle w:val="TextBody"/>
        <w:spacing w:lineRule="auto" w:line="288" w:before="0" w:after="0"/>
        <w:rPr>
          <w:rFonts w:ascii="Times New Roman;sans-serif" w:hAnsi="Times New Roman;sans-serif"/>
          <w:b/>
          <w:i/>
          <w:color w:val="231F20"/>
          <w:sz w:val="20"/>
        </w:rPr>
      </w:pPr>
      <w:r>
        <w:rPr>
          <w:rFonts w:ascii="Times New Roman;sans-serif" w:hAnsi="Times New Roman;sans-serif"/>
          <w:b/>
          <w:i/>
          <w:color w:val="231F2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We rely on hundreds of third-party suppliers for the provision and development of many of the key components and materials used in our vehicles. While we plan to obtain components from multiple sources whenever possible, many of the components used in our vehicles will be purchased by us from a single source. Our limited, and in many cases single-source, supply chain exposes us to multiple potential sources of delivery failure or component shortages for our production.</w:t>
      </w:r>
      <w:r>
        <w:rPr>
          <w:color w:val="231F20"/>
        </w:rPr>
        <w:t xml:space="preserve"> </w:t>
      </w:r>
      <w:r>
        <w:rPr>
          <w:rFonts w:ascii="Times New Roman;sans-serif" w:hAnsi="Times New Roman;sans-serif"/>
          <w:b w:val="false"/>
          <w:color w:val="231F20"/>
          <w:sz w:val="20"/>
        </w:rPr>
        <w:t xml:space="preserve">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 </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We have been affected by ongoing, industry-wide challenges in logistics and supply chains, such as increased port congestion, intermittent supplier delays a shortfall of semiconductor supply, and international travel restrictions preventing supply quality engineers from conducting in-person visits and quality engineering for parts production. We expect that these industry-wide trends will continue to affect the ability of us and our suppliers to obtain parts, components and manufacturing equipment on a timely basis for the foreseeable future, and may result in increased costs.</w:t>
      </w:r>
      <w:r>
        <w:rPr>
          <w:color w:val="231F20"/>
        </w:rPr>
        <w:t xml:space="preserve"> </w:t>
      </w:r>
      <w:r>
        <w:rPr>
          <w:rFonts w:ascii="Times New Roman;sans-serif" w:hAnsi="Times New Roman;sans-serif"/>
          <w:b w:val="false"/>
          <w:color w:val="231F20"/>
          <w:sz w:val="20"/>
        </w:rPr>
        <w:t>We have also been impacted by changes in our supply chain or production needs, including cost increases from our suppliers, in order to meet our quality targets and development timelines as well as due to design changes. Likewise, any significant increases in our production may in the future require us to procure additional components in a short amount of time.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we have experienced, and in the future could continue to experience, delays if our suppliers do not meet agreed upon timelines, experience capacity constraints, or deliver components that do not meet our quality standards. Any disruption in the supply of components,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planned vehicle production targets.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Furthermore, as the scale of our vehicle production increases, we will need to accurately forecast, purchase, warehouse and transport components to our manufacturing facilities and servicing locations internationally and at much higher volumes. We have not yet scaled production in our manufacturing facilities to significant volumes or begun servicing vehicles at significant volumes. Accordingly, our ability to scale production and vehicle servicing and mitigate risks associated with these activities has not been thoroughly tested. If we are unable to accurately match the timing and quantities of component purchases to our actual needs, successfully recruit and retain personnel with relevant experience,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Furthermore, unexpected changes in business conditions, materials pricing, labor issues, wars, governmental changes, tariffs, natural disasters, health epidemics such as the ongoing COVID-19 pandemic, and other factors beyond our and our suppliers’ control could also affect these suppliers’ ability to deliver components to us on a timely basis. We have also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pStyle w:val="TextBody"/>
        <w:spacing w:before="0" w:after="0"/>
        <w:rPr/>
      </w:pPr>
      <w:r>
        <w:rPr/>
      </w:r>
    </w:p>
    <w:p>
      <w:pPr>
        <w:pStyle w:val="TextBody"/>
        <w:spacing w:lineRule="auto" w:line="288" w:before="0" w:after="0"/>
        <w:rPr>
          <w:rFonts w:ascii="Times New Roman;sans-serif" w:hAnsi="Times New Roman;sans-serif"/>
          <w:b/>
          <w:i/>
          <w:color w:val="231F20"/>
          <w:sz w:val="20"/>
        </w:rPr>
      </w:pPr>
      <w:r>
        <w:rPr>
          <w:rFonts w:ascii="Times New Roman;sans-serif" w:hAnsi="Times New Roman;sans-serif"/>
          <w:b/>
          <w:i/>
          <w:color w:val="231F20"/>
          <w:sz w:val="20"/>
        </w:rPr>
        <w:t>Increases in costs, disruption of supply or shortage of materials, in particular for lithium-ion cells or semiconductors, could harm our business.</w:t>
      </w:r>
    </w:p>
    <w:p>
      <w:pPr>
        <w:pStyle w:val="TextBody"/>
        <w:spacing w:before="0" w:after="0"/>
        <w:rPr/>
      </w:pPr>
      <w:r>
        <w:rPr/>
      </w:r>
    </w:p>
    <w:p>
      <w:pPr>
        <w:pStyle w:val="TextBody"/>
        <w:spacing w:lineRule="auto" w:line="268" w:before="0" w:after="0"/>
        <w:rPr>
          <w:rFonts w:ascii="Times New Roman;sans-serif" w:hAnsi="Times New Roman;sans-serif"/>
          <w:b w:val="false"/>
          <w:color w:val="231F20"/>
          <w:sz w:val="20"/>
        </w:rPr>
      </w:pPr>
      <w:r>
        <w:rPr>
          <w:rFonts w:ascii="Times New Roman;sans-serif" w:hAnsi="Times New Roman;sans-serif"/>
          <w:b w:val="false"/>
          <w:color w:val="231F20"/>
          <w:sz w:val="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our phased construction of our AMP-1 facility, we have experienced increases in steel prices and cost of construction labor. In addition, we use various materials in our business, including aluminum, steel, lithium, nickel, copper, cobalt, neodymium, terbium, praseodymium and manganese, as well as lithium-ion cells and semiconductors from suppliers. The prices for these materials fluctuate, and their available supply may be unstable, depending on market conditions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cells. These risks include:</w:t>
      </w:r>
    </w:p>
    <w:p>
      <w:pPr>
        <w:pStyle w:val="TextBody"/>
        <w:spacing w:before="0" w:after="0"/>
        <w:rPr/>
      </w:pPr>
      <w:r>
        <w:rPr/>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an increase in the cost, or decrease in the available supply, of materials, such as cobalt, used in lithium-ion cells;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disruption in the supply of cells due to quality issues or recalls by battery cell manufacturers; and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fluctuations in the value of any foreign currencies, and the Korean Won in particular, in which battery cell and related raw material purchases are or may be denominated against the U.S. dollar.</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Furthermore, our ability to manufacture our vehicles depends on continuing access to semiconductors and</w:t>
      </w:r>
      <w:r>
        <w:rPr>
          <w:color w:val="231F20"/>
        </w:rPr>
        <w:t xml:space="preserve"> </w:t>
      </w:r>
      <w:r>
        <w:rPr>
          <w:rFonts w:ascii="Times New Roman;sans-serif" w:hAnsi="Times New Roman;sans-serif"/>
          <w:b w:val="false"/>
          <w:color w:val="231F20"/>
          <w:sz w:val="20"/>
        </w:rPr>
        <w:t>components</w:t>
      </w:r>
      <w:r>
        <w:rPr>
          <w:color w:val="231F20"/>
        </w:rPr>
        <w:t xml:space="preserve"> </w:t>
      </w:r>
      <w:r>
        <w:rPr>
          <w:rFonts w:ascii="Times New Roman;sans-serif" w:hAnsi="Times New Roman;sans-serif"/>
          <w:b w:val="false"/>
          <w:color w:val="231F20"/>
          <w:sz w:val="20"/>
        </w:rPr>
        <w:t xml:space="preserve">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exorbitant rates for continued access to semiconductors, and of which could have a material adverse effect on our business, prospects and results of operations. In addition, prices and transportation expenses for these materials fluctuate depending on many factors beyond our control, including fluctuations in supply and demand, currency fluctuations, tariffs and taxes, fluctuations and shortages in petroleum supply, freight charges and other economic and political factors. These risks could be further magnified by geographical developments such as the conflict between Ukraine and Russia.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Furthermore, currency fluctuations, tariffs or shortages in petroleum and other economic or political conditions may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pStyle w:val="TextBody"/>
        <w:spacing w:before="0" w:after="0"/>
        <w:rPr/>
      </w:pPr>
      <w:r>
        <w:rPr/>
      </w:r>
    </w:p>
    <w:p>
      <w:pPr>
        <w:pStyle w:val="TextBody"/>
        <w:spacing w:lineRule="auto" w:line="288" w:before="0" w:after="0"/>
        <w:rPr>
          <w:rFonts w:ascii="Times New Roman;sans-serif" w:hAnsi="Times New Roman;sans-serif"/>
          <w:b/>
          <w:i/>
          <w:color w:val="231F20"/>
          <w:sz w:val="20"/>
        </w:rPr>
      </w:pPr>
      <w:r>
        <w:rPr>
          <w:rFonts w:ascii="Times New Roman;sans-serif" w:hAnsi="Times New Roman;sans-serif"/>
          <w:b/>
          <w:i/>
          <w:color w:val="231F20"/>
          <w:sz w:val="20"/>
        </w:rPr>
        <w:t>We must develop complex software and technology systems, including in coordination with vendors and suppliers, in order to produce our electric vehicles, and there can be no assurance such systems will be successfully developed.</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Our vehicles, including the Lucid Air,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pStyle w:val="TextBody"/>
        <w:spacing w:before="0" w:after="0"/>
        <w:rPr/>
      </w:pPr>
      <w:r>
        <w:rPr/>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delayed production and delivery of our vehicles, including the Lucid Air;</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delayed market acceptance of our vehicles;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loss of customers or inability to attract new customers;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diversion of engineering or other resources for remedying the defect or error;</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damage to our brand or reputation;</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increased service and warranty costs;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legal action by customers or third parties, including product liability claims; and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penalties imposed by regulatory authorities.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In addition, if we are unable to develop the software and technology systems necessary to operate our vehicles, our competitive position will be harmed.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231F20"/>
          <w:sz w:val="20"/>
        </w:rPr>
      </w:pPr>
      <w:r>
        <w:rPr>
          <w:rFonts w:ascii="Times New Roman;sans-serif" w:hAnsi="Times New Roman;sans-serif"/>
          <w:b/>
          <w:i/>
          <w:color w:val="231F20"/>
          <w:sz w:val="20"/>
        </w:rPr>
        <w:t>If we fail to successfully tool our manufacturing facilities or if our manufacturing facilities become inoperable, we will be unable to produce our vehicles and our business will be harmed.</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While we have completed the initial phase of construction at our manufacturing facilities in Casa Grande, Arizona, tooling our facilities for production of our vehicles and our future expansion plans are complicated and present significant challe</w:t>
      </w:r>
      <w:r>
        <w:rPr>
          <w:rFonts w:ascii="Times New Roman;sans-serif" w:hAnsi="Times New Roman;sans-serif"/>
          <w:b w:val="false"/>
          <w:color w:val="000000"/>
          <w:sz w:val="20"/>
        </w:rPr>
        <w:t>nges. In addition, certain o</w:t>
      </w:r>
      <w:r>
        <w:rPr>
          <w:rFonts w:ascii="Times New Roman;sans-serif" w:hAnsi="Times New Roman;sans-serif"/>
          <w:b w:val="false"/>
          <w:color w:val="231F20"/>
          <w:sz w:val="20"/>
        </w:rPr>
        <w:t xml:space="preserve">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These risks could be exacerbated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our Casa Grande facilities, we have hired and trained and continue to hire and train a significant number of employees and integrate a yet-to-be-fully-developed supply chain. Any failure to continue commercial production on schedule would lead to additional costs and would delay our ability to generate meaningful revenues. In addition, it could prevent us from gaining the confidence of potential customers, spur cancellations of reservations for the Lucid Air and open the door to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increased competition. All of the foregoing could hinder our ability to successfully launch and grow our business and achieve a competitive position in the market.</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For example, a portion of our manufacturing facility in Casa Grande, Arizona, was not constructed in accordance with the contractual requirements. The facility is capable of supporting current production volumes, but it will likely require repair or remediation to support future production volumes.</w:t>
      </w:r>
      <w:r>
        <w:rPr>
          <w:color w:val="231F20"/>
        </w:rPr>
        <w:t xml:space="preserve"> </w:t>
      </w:r>
      <w:r>
        <w:rPr>
          <w:rFonts w:ascii="Times New Roman;sans-serif" w:hAnsi="Times New Roman;sans-serif"/>
          <w:b w:val="false"/>
          <w:color w:val="231F20"/>
          <w:sz w:val="20"/>
        </w:rPr>
        <w:t>We plan to address such repairs or remediation as part of the phased build-out of our Casa Grande facility.</w:t>
      </w:r>
      <w:r>
        <w:rPr>
          <w:color w:val="231F20"/>
        </w:rPr>
        <w:t xml:space="preserve"> </w:t>
      </w:r>
      <w:r>
        <w:rPr>
          <w:rFonts w:ascii="Times New Roman;sans-serif" w:hAnsi="Times New Roman;sans-serif"/>
          <w:b w:val="false"/>
          <w:color w:val="231F20"/>
          <w:sz w:val="20"/>
        </w:rPr>
        <w:t>Although we do not currently expect that we will be required to take vehicle production offline or reduce our planned manufacturing volumes, the repairs or remediation could entail significant costs, and we may be unable to recover some or all of such costs from the applicable contractor(s).</w:t>
      </w:r>
      <w:r>
        <w:rPr>
          <w:color w:val="231F20"/>
        </w:rPr>
        <w:t xml:space="preserve">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rely on complex machinery for our operations, and production involves a significant degree of risk and uncertainty in terms of operational performance, safety, security and costs.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We expect to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 to time and will depend on repairs and spare parts that may not be available when needed. Furthermore, our Casa Grande facilities and the equipment we use to manufacture our vehicles will be costly to repair or replace and could require substantial lead-time to repair or replace and qualify for use.</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environmental hazards and remediation, costs associated with decommissioning of equipment, labor disputes and strikes, difficulty or delays in obtaining governmental permits and licenses, damages or defects in electronic systems, industrial accidents or health epidemics, such as the recent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and the disruption of our business, this insurance may not be sufficient to cover all of our potential losses and may not continue to be available to us on acceptable terms, if at all.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pStyle w:val="TextBody"/>
        <w:spacing w:before="0" w:after="0"/>
        <w:rPr/>
      </w:pPr>
      <w:r>
        <w:rPr/>
      </w:r>
    </w:p>
    <w:p>
      <w:pPr>
        <w:pStyle w:val="TextBody"/>
        <w:spacing w:lineRule="auto" w:line="288" w:before="0" w:after="0"/>
        <w:rPr>
          <w:rFonts w:ascii="Times New Roman;sans-serif" w:hAnsi="Times New Roman;sans-serif"/>
          <w:b/>
          <w:i/>
          <w:color w:val="231F20"/>
          <w:sz w:val="20"/>
        </w:rPr>
      </w:pPr>
      <w:r>
        <w:rPr>
          <w:rFonts w:ascii="Times New Roman;sans-serif" w:hAnsi="Times New Roman;sans-serif"/>
          <w:b/>
          <w:i/>
          <w:color w:val="231F20"/>
          <w:sz w:val="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231F20"/>
          <w:sz w:val="20"/>
        </w:rPr>
      </w:pPr>
      <w:r>
        <w:rPr>
          <w:rFonts w:ascii="Times New Roman;sans-serif" w:hAnsi="Times New Roman;sans-serif"/>
          <w:b/>
          <w:i/>
          <w:color w:val="231F20"/>
          <w:sz w:val="20"/>
        </w:rPr>
        <w:t>We have no experience to date in high volume manufacture of our vehicles.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We cannot provide any assurance as to whether we will be able to develop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store and deliver parts in sufficient quantities to the manufacturing lines in a manner that enables us to maintain our production ramp curve and rates, or to satisfy the requirements of customers and potential customers. Any failure to develop such logistics and production processes and capabilities within our projected costs and timelines could have a material adverse effect on our business, results of operations, prospects and financial condition. Bottlenecks and other unexpected challenges may also arise as we ramp production of the Lucid Air, and it will be important that we address them promptly while continuing to control our logistics and manufacturing costs. If we are not successful in doing so, or if we experience issues with our logistics and manufacturing process improvements, we could face delays in establishing and/or sustaining our production ramps or be unable to meet our related cost and profitability targets.</w:t>
      </w:r>
    </w:p>
    <w:p>
      <w:pPr>
        <w:pStyle w:val="TextBody"/>
        <w:spacing w:before="0" w:after="0"/>
        <w:rPr/>
      </w:pPr>
      <w:r>
        <w:rPr/>
      </w:r>
    </w:p>
    <w:p>
      <w:pPr>
        <w:pStyle w:val="TextBody"/>
        <w:spacing w:lineRule="auto" w:line="268" w:before="0" w:after="0"/>
        <w:rPr>
          <w:rFonts w:ascii="Times New Roman;sans-serif" w:hAnsi="Times New Roman;sans-serif"/>
          <w:b/>
          <w:i/>
          <w:color w:val="231F20"/>
          <w:sz w:val="20"/>
        </w:rPr>
      </w:pPr>
      <w:r>
        <w:rPr>
          <w:rFonts w:ascii="Times New Roman;sans-serif" w:hAnsi="Times New Roman;sans-serif"/>
          <w:b/>
          <w:i/>
          <w:color w:val="231F20"/>
          <w:sz w:val="20"/>
        </w:rPr>
        <w:t>If our vehicles fail to perform as expected, our ability to develop, market and sell or lease our products could be harmed.</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Our vehicles or the components installed therein have in the past and may in the future contain defects in design and manufacture that may cause them not to perform as expected or that may require repairs, recalls, and design changes, any of which would require significant financial and other resources to successfully navigate and resolve. Our vehicles will use a substantial amount of software code to operate, and software products are inherently complex and may contain defects and errors when first introduced. If our vehicles contain defects in design and manufacture that cause them not to perform as expected or that require repair, or certain features of our vehicles such as bi-directional charging or ADAS features take longer than expected to become available, are legally restricted or become subject to additional regulation, our ability to develop, market and sell our products and services could be harmed.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characteristics of our battery packs, powertrains and vehicles. There can be no assurance that we will be able to detect and fix any defects in our products prior to their sale or lease to customers.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Any defects, delays or legal restrictions on vehicle features, or other failure of our vehicles to perform as expected, could harm our reputation and result in delivery delays, product recalls, product liability claims, breach of warranty claims and significant warranty and other expenses, and could have a material adverse impact on our business, results of operations, prospects and financial condition. As a new entrant to the industry attempting to 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face challenges providing charging solutions for our vehicles.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Demand for our vehicles will depend in part on the availability of charging infrastructure.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appropriations for such a deployment may not occur at proposed levels, which could serve to limit the development of public charging infrastructure and increase the relative attractiveness to potential customers of a proprietary charging solution.</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spacing w:before="0" w:after="0"/>
        <w:rPr/>
      </w:pPr>
      <w:r>
        <w:rPr/>
      </w:r>
    </w:p>
    <w:p>
      <w:pPr>
        <w:pStyle w:val="TextBody"/>
        <w:spacing w:lineRule="auto" w:line="268" w:before="0" w:after="0"/>
        <w:rPr>
          <w:rFonts w:ascii="Times New Roman;sans-serif" w:hAnsi="Times New Roman;sans-serif"/>
          <w:b w:val="false"/>
          <w:color w:val="231F20"/>
          <w:sz w:val="20"/>
        </w:rPr>
      </w:pPr>
      <w:r>
        <w:rPr>
          <w:rFonts w:ascii="Times New Roman;sans-serif" w:hAnsi="Times New Roman;sans-serif"/>
          <w:b w:val="false"/>
          <w:color w:val="231F20"/>
          <w:sz w:val="20"/>
        </w:rPr>
        <w:t>Because commercial production of the Lucid Air has recently begun, we have limited experience servicing or repairing our vehicles. Servicing electric vehicles is different than servicing vehicles with internal combustion engines and requires specialized skills, including high voltage training and servicing techniques. Furthermore, some vehicle repairs are done via over-the-air software updates, which poses additional risks to the vehicles software if any issues arise during an update. In addition, we plan to partner with certain third parties to perform some of the service on our vehicles, and there can be no assurance that we will be able to enter into acceptable arrangements with any such third-party providers. Further, although such servicing partners may have experience in servicing other electric vehicles, they will initially have no experience in servicing our vehicles. We also have a limited network of locations to perform service and will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pStyle w:val="TextBody"/>
        <w:spacing w:before="0" w:after="0"/>
        <w:rPr/>
      </w:pPr>
      <w:r>
        <w:rPr/>
      </w:r>
    </w:p>
    <w:p>
      <w:pPr>
        <w:pStyle w:val="TextBody"/>
        <w:spacing w:lineRule="auto" w:line="268" w:before="0" w:after="0"/>
        <w:rPr>
          <w:rFonts w:ascii="Times New Roman;sans-serif" w:hAnsi="Times New Roman;sans-serif"/>
          <w:b w:val="false"/>
          <w:color w:val="231F20"/>
          <w:sz w:val="20"/>
        </w:rPr>
      </w:pPr>
      <w:r>
        <w:rPr>
          <w:rFonts w:ascii="Times New Roman;sans-serif" w:hAnsi="Times New Roman;sans-serif"/>
          <w:b w:val="false"/>
          <w:color w:val="231F20"/>
          <w:sz w:val="20"/>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provide a new vehicle limited warranty on all vehicles and powertrain components and systems we sell. Now that our vehicles are in commercial production, we will need to maintain reserves to cover part replacement and other vehicle repair needs, including any potential software upgrades or warranty claims. In addition, we expect to provide a manufacturer’s warranty on any future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no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vehicles to our customers could be delayed, which would harm our business, financial condition and results of operations.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Our facilities or operations could be adversely affected by events outside of our control, such as natural disasters, wars, health epidemics or pandemics, or security incidents.</w:t>
      </w:r>
    </w:p>
    <w:p>
      <w:pPr>
        <w:pStyle w:val="TextBody"/>
        <w:spacing w:lineRule="auto" w:line="288" w:before="240" w:after="283"/>
        <w:rPr/>
      </w:pPr>
      <w:r>
        <w:rPr>
          <w:rFonts w:ascii="Times New Roman;sans-serif" w:hAnsi="Times New Roman;sans-serif"/>
          <w:b w:val="false"/>
          <w:color w:val="231F20"/>
          <w:sz w:val="20"/>
        </w:rPr>
        <w:t xml:space="preserve">We may be impacted by natural disasters, wars, health epidemics or pandemics or other events outside of our control. For example, our corporate headquarters are located in seismically active regions in Northern California, and our manufacturing facilities in Arizona are located in a sandstorm-, flood- and tornado-prone area. If major disasters such as earthquakes, wildfires, floods, tornadoes or other events occur, or our information system or communications network breaks down or operates improperly, our headquarters and manufacturing facilities may be seriously damaged, or we may have to stop or delay production and shipment of our products. In addition, the ongoing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Times New Roman;sans-serif" w:hAnsi="Times New Roman;sans-serif"/>
          <w:b w:val="false"/>
          <w:i/>
          <w:color w:val="231F20"/>
          <w:sz w:val="20"/>
        </w:rPr>
        <w:t>A failure to properly comply with foreign trade zone laws and regulations could increase the cost of our duties and tariffs.</w:t>
      </w:r>
      <w:r>
        <w:rPr>
          <w:color w:val="231F20"/>
        </w:rPr>
        <w:t xml:space="preserve">” </w:t>
      </w:r>
      <w:r>
        <w:rPr>
          <w:rFonts w:ascii="Times New Roman;sans-serif" w:hAnsi="Times New Roman;sans-serif"/>
          <w:b w:val="false"/>
          <w:color w:val="231F20"/>
          <w:sz w:val="20"/>
        </w:rPr>
        <w:t>We may incur significant expenses or delays relating to such events outside of our control, which could have a material adverse impact on our business, results of operations and financial condition.</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Our vehicles will make use of lithium-ion battery cells, which have been observed to catch fire or vent smoke and flame.</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The battery packs within our vehicles make use of,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 and reputation.</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In addition, as we scale the manufacturing of our vehicles and any future energy storage products, we will need to store a significant number of lithium-ion cells at our Casa Grande, Arizona manufacturing facilities.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Risks Related to Cybersecurity and Data Privacy</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Our products contain complex information technology systems. For example, our vehicles are designed with built-in data connectivity to accept and install periodic remote updates to improve their functionality.</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In addition, we expect to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taken certain measures to prevent unauthorized access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pStyle w:val="TextBody"/>
        <w:spacing w:before="0" w:after="0"/>
        <w:rPr/>
      </w:pPr>
      <w:r>
        <w:rPr/>
      </w:r>
    </w:p>
    <w:p>
      <w:pPr>
        <w:pStyle w:val="TextBody"/>
        <w:spacing w:lineRule="auto" w:line="268" w:before="0" w:after="0"/>
        <w:rPr>
          <w:rFonts w:ascii="Times New Roman;sans-serif" w:hAnsi="Times New Roman;sans-serif"/>
          <w:b w:val="false"/>
          <w:color w:val="231F20"/>
          <w:sz w:val="20"/>
        </w:rPr>
      </w:pPr>
      <w:r>
        <w:rPr>
          <w:rFonts w:ascii="Times New Roman;sans-serif" w:hAnsi="Times New Roman;sans-serif"/>
          <w:b w:val="false"/>
          <w:color w:val="231F20"/>
          <w:sz w:val="20"/>
        </w:rPr>
        <w:t>Furthermore, cyber threat actors may in the future attempt to gain unauthorized access to, modify, alter and use our vehicles, products and systems to (i) gain control of, (ii) change the functionality, user interface and performance characteristics of and/or (iii) gain access to data stored in or generated by, our vehicles, products and systems. Advances in technology,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 source software, which can create additional risks, including potential security vulnerabilities. We and our third-party service providers’ systems have in the past and may in the future be affected by security incidents. Our systems are also vulnerable to damage or interruption from, among other things, computer viruses, malware, ransomware, killware, computer denial or degradation of service attacks, telecommunications failures, social engineering schemes (such as phishing or smishing), domain name spoofing, insider theft, physical theft, fire, terrorist attacks, natural disasters, power loss, war, or misuse, mistake or other attempts to harm our products and systems. Our data center and our third-party service providers’ or vendors’ data centers could be subject to break-ins, sabotage and intentional acts of vandalism causing potential disruptions. Some of our systems will not be fully redundant, and our disaster recovery planning cannot account for all eventualities. Any problems at our or our third-party service providers’ or vendors’ data centers and/or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or trade secrets. In addition, regardless of their veracity, reports of unauthorized access to our vehicles, systems or data, as well as other factors that may result in the perception that our vehicles, systems or data are vulnerable to being “hacked,” could negatively affect our brand. In addition, some members of the U.S. federal government, including certain members of Congress and the National Highway Traffic Safety Administration (“</w:t>
      </w:r>
      <w:r>
        <w:rPr>
          <w:rFonts w:ascii="Times New Roman;sans-serif" w:hAnsi="Times New Roman;sans-serif"/>
          <w:b w:val="false"/>
          <w:i/>
          <w:color w:val="231F20"/>
          <w:sz w:val="20"/>
        </w:rPr>
        <w:t>NHTSA</w:t>
      </w:r>
      <w:r>
        <w:rPr>
          <w:color w:val="231F20"/>
        </w:rPr>
        <w:t>”</w:t>
      </w:r>
      <w:r>
        <w:rPr>
          <w:rFonts w:ascii="Times New Roman;sans-serif" w:hAnsi="Times New Roman;sans-serif"/>
          <w:b w:val="false"/>
          <w:color w:val="231F20"/>
          <w:sz w:val="20"/>
        </w:rPr>
        <w:t>)</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have recently focused attention on automotive cybersecurity issues and may in the future propose or implement regulations specific to automotive cybersecurity. In addition, the United Nations Economic Commission for Europe has introduced new regulations governing connected vehicle cybersecurity, which became effective in January 2021 and are expected to apply in the European Union to all new vehicle types beginning in July 2022 and to all new vehicles produced from July 2024. Such regulations are also in effect, or expected to come into effect, in certain other international jurisdictions. These and other regulations could adversely affect the timing of our entry into the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may not have adequate insurance coverage to cover losses associated with any of the foregoing, if any.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vehicle management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tools, vehicle security systems, vehicle security management processes, procurement of bill of material items, supply chain management, inventory management, production planning and execution, lean manufacturing,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inventory management,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reside in third-party intellectual property or open source software and/or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will then be responsible for working with our service personnel to install such updates to the software, and their vehicle will be subject to these vulnerabilities until they do so. Any compromise of our intellectual property, proprietary information, systems or vehicles or inability prevent or effectively remedy errors, bugs, vulnerabilities or defects in our software and hardware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results of operations, prospects and financial condition.</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 related information. Additionally, we will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Accordingly, we are subject 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pStyle w:val="TextBody"/>
        <w:spacing w:before="0" w:after="0"/>
        <w:rPr/>
      </w:pPr>
      <w:r>
        <w:rPr/>
      </w:r>
    </w:p>
    <w:p>
      <w:pPr>
        <w:pStyle w:val="TextBody"/>
        <w:spacing w:lineRule="auto" w:line="268" w:before="0" w:after="0"/>
        <w:rPr/>
      </w:pPr>
      <w:r>
        <w:rPr>
          <w:rFonts w:ascii="Times New Roman;sans-serif" w:hAnsi="Times New Roman;sans-serif"/>
          <w:b w:val="false"/>
          <w:color w:val="231F20"/>
          <w:sz w:val="20"/>
        </w:rPr>
        <w:t>The global data protection landscape is rapidly evolving, and implementation standards and enforcement practices are likely to remain uncertain for the foreseeable future. We may not be able to monitor and react to all developments in a timely manner. For example, the European Union adopted the General Data Protection Regulation (“</w:t>
      </w:r>
      <w:r>
        <w:rPr>
          <w:rFonts w:ascii="Times New Roman;sans-serif" w:hAnsi="Times New Roman;sans-serif"/>
          <w:b w:val="false"/>
          <w:i/>
          <w:color w:val="231F20"/>
          <w:sz w:val="20"/>
        </w:rPr>
        <w:t>GDPR</w:t>
      </w:r>
      <w:r>
        <w:rPr>
          <w:color w:val="231F20"/>
        </w:rPr>
        <w:t>”</w:t>
      </w:r>
      <w:r>
        <w:rPr>
          <w:rFonts w:ascii="Times New Roman;sans-serif" w:hAnsi="Times New Roman;sans-serif"/>
          <w:b w:val="false"/>
          <w:color w:val="231F20"/>
          <w:sz w:val="20"/>
        </w:rPr>
        <w:t>)</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which became effective in May 2018, California adopted the California Consumer Privacy Act of 2018 (“</w:t>
      </w:r>
      <w:r>
        <w:rPr>
          <w:rFonts w:ascii="Times New Roman;sans-serif" w:hAnsi="Times New Roman;sans-serif"/>
          <w:b w:val="false"/>
          <w:i/>
          <w:color w:val="231F20"/>
          <w:sz w:val="20"/>
        </w:rPr>
        <w:t>CCPA</w:t>
      </w:r>
      <w:r>
        <w:rPr>
          <w:color w:val="231F20"/>
        </w:rPr>
        <w:t>”</w:t>
      </w:r>
      <w:r>
        <w:rPr>
          <w:rFonts w:ascii="Times New Roman;sans-serif" w:hAnsi="Times New Roman;sans-serif"/>
          <w:b w:val="false"/>
          <w:color w:val="231F20"/>
          <w:sz w:val="20"/>
        </w:rPr>
        <w:t>)</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which became effective in January 2020, Canada adopted the Personal Information Protection and Electronic Documents Act (“</w:t>
      </w:r>
      <w:r>
        <w:rPr>
          <w:rFonts w:ascii="Times New Roman;sans-serif" w:hAnsi="Times New Roman;sans-serif"/>
          <w:b w:val="false"/>
          <w:i/>
          <w:color w:val="231F20"/>
          <w:sz w:val="20"/>
        </w:rPr>
        <w:t>PIPEDA</w:t>
      </w:r>
      <w:r>
        <w:rPr>
          <w:color w:val="231F20"/>
        </w:rPr>
        <w:t>”</w:t>
      </w:r>
      <w:r>
        <w:rPr>
          <w:rFonts w:ascii="Times New Roman;sans-serif" w:hAnsi="Times New Roman;sans-serif"/>
          <w:b w:val="false"/>
          <w:color w:val="231F20"/>
          <w:sz w:val="20"/>
        </w:rPr>
        <w:t>) and continues to amend the statute, the United Arab Emirates adopted the Data Protection Law (“</w:t>
      </w:r>
      <w:r>
        <w:rPr>
          <w:rFonts w:ascii="Times New Roman;sans-serif" w:hAnsi="Times New Roman;sans-serif"/>
          <w:b w:val="false"/>
          <w:i/>
          <w:color w:val="231F20"/>
          <w:sz w:val="20"/>
        </w:rPr>
        <w:t>DPL</w:t>
      </w:r>
      <w:r>
        <w:rPr>
          <w:color w:val="231F20"/>
        </w:rPr>
        <w:t>”</w:t>
      </w:r>
      <w:r>
        <w:rPr>
          <w:rFonts w:ascii="Times New Roman;sans-serif" w:hAnsi="Times New Roman;sans-serif"/>
          <w:b w:val="false"/>
          <w:color w:val="231F20"/>
          <w:sz w:val="20"/>
        </w:rPr>
        <w:t>), which became effective in January 2022, and the Kingdom of Saudi Arabia enacted the Personal Data Protection Law (“</w:t>
      </w:r>
      <w:r>
        <w:rPr>
          <w:rFonts w:ascii="Times New Roman;sans-serif" w:hAnsi="Times New Roman;sans-serif"/>
          <w:b w:val="false"/>
          <w:i/>
          <w:color w:val="231F20"/>
          <w:sz w:val="20"/>
        </w:rPr>
        <w:t>PDPL</w:t>
      </w:r>
      <w:r>
        <w:rPr>
          <w:color w:val="231F20"/>
        </w:rPr>
        <w:t>”</w:t>
      </w:r>
      <w:r>
        <w:rPr>
          <w:rFonts w:ascii="Times New Roman;sans-serif" w:hAnsi="Times New Roman;sans-serif"/>
          <w:b w:val="false"/>
          <w:color w:val="231F20"/>
          <w:sz w:val="20"/>
        </w:rPr>
        <w:t>) which will take effect in March 2022. Each of the GDPR, the CCPA, the PIPEDA, the DPL and the PDPL impose additional obligations on companies regarding the handling of personal data and provides certain individual privacy rights to persons whose data is collected. Compliance with existing, proposed and recently enacted laws and regulations (including implementation of the privacy and process enhancements called for under the GDPR, CCPA, PIPEDA, DPL and PDPL) can be costly, and any failure to comply with these regulatory standards could subject us to legal and reputational risks.</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Specifically, failure to comply with the GDPR can result in significant fines and other liability, including, under the GDPR, fines of up to EUR 20 million or four percent (4%) of global revenue, whichever is greater. The cost of compliance, and the potential for fines and penalties for non-compliance, with GDPR may have a significant adverse effect on our business and operations. Recent legal developments in the European Economic Area (“</w:t>
      </w:r>
      <w:r>
        <w:rPr>
          <w:rFonts w:ascii="Times New Roman;sans-serif" w:hAnsi="Times New Roman;sans-serif"/>
          <w:b w:val="false"/>
          <w:i/>
          <w:color w:val="000000"/>
          <w:sz w:val="24"/>
        </w:rPr>
        <w:t>EEA</w:t>
      </w:r>
      <w:r>
        <w:rPr>
          <w:color w:val="000000"/>
        </w:rPr>
        <w:t>”</w:t>
      </w:r>
      <w:r>
        <w:rPr>
          <w:rFonts w:ascii="Times New Roman;sans-serif" w:hAnsi="Times New Roman;sans-serif"/>
          <w:b w:val="false"/>
          <w:color w:val="000000"/>
          <w:sz w:val="20"/>
        </w:rPr>
        <w:t xml:space="preserve">), including recent rulings from the Court of Justice of the European Union and from various EU member state data protection authorities, have created complexity and uncertainty regarding transfers of personal data from the EEA to the United States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and other so-called third countries outside the EEA. Similar complexities and uncertainties also apply to transfers from the United Kingdom to third countries. While we have taken steps to mitigate the impact on us, the efficacy and longevity of these mechanisms remains uncertain.</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At the state level, we are subject to law and regulations such as the CCPA.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we expand our operations, the CCPA may increase our compliance costs and potential liability. Some observers have noted that the CCPA could mark the beginning of a trend toward more stringent privacy legislation in the United States. Additionally, effective in most material respects starting on January 1, 2023, the California Privacy Rights Act (“</w:t>
      </w:r>
      <w:r>
        <w:rPr>
          <w:rFonts w:ascii="Times New Roman;sans-serif" w:hAnsi="Times New Roman;sans-serif"/>
          <w:b w:val="false"/>
          <w:i/>
          <w:color w:val="231F20"/>
          <w:sz w:val="20"/>
        </w:rPr>
        <w:t>CPRA</w:t>
      </w:r>
      <w:r>
        <w:rPr>
          <w:color w:val="231F20"/>
        </w:rPr>
        <w:t>”</w:t>
      </w:r>
      <w:r>
        <w:rPr>
          <w:rFonts w:ascii="Times New Roman;sans-serif" w:hAnsi="Times New Roman;sans-serif"/>
          <w:b w:val="false"/>
          <w:color w:val="231F20"/>
          <w:sz w:val="20"/>
        </w:rPr>
        <w:t>)</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will significantly modify the CCPA, including by expanding California residents’ rights with respect to certain sensitive personal information. The CPRA also creates a new state agency that will be vested with the authority to implement and enforce the CCPA and the CPRA.</w:t>
      </w:r>
    </w:p>
    <w:p>
      <w:pPr>
        <w:pStyle w:val="TextBody"/>
        <w:spacing w:before="0" w:after="0"/>
        <w:rPr/>
      </w:pPr>
      <w:r>
        <w:rPr/>
      </w:r>
    </w:p>
    <w:p>
      <w:pPr>
        <w:pStyle w:val="TextBody"/>
        <w:spacing w:lineRule="auto" w:line="268" w:before="0" w:after="0"/>
        <w:rPr>
          <w:rFonts w:ascii="Times New Roman;sans-serif" w:hAnsi="Times New Roman;sans-serif"/>
          <w:b w:val="false"/>
          <w:color w:val="231F20"/>
          <w:sz w:val="20"/>
        </w:rPr>
      </w:pPr>
      <w:r>
        <w:rPr>
          <w:rFonts w:ascii="Times New Roman;sans-serif" w:hAnsi="Times New Roman;sans-serif"/>
          <w:b w:val="false"/>
          <w:color w:val="231F20"/>
          <w:sz w:val="20"/>
        </w:rPr>
        <w:t>Other states, including Virginia and Colorado, have enacted or are in the process of enacting, or considering similar laws. Compliance with these state statutes, other similar state or federal laws that may be enacted in the future, and other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Most jurisdictions have enacted laws requiring companies to notify individuals, regulatory authorities and other third parties of security breaches involving certain types of data. For example, laws in all 50 U.S. states generally require business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Risks Related to Our Employees and Human Resources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The loss of key personnel or an inability to attract, retain and motivate qualified personnel may impair our ability to expand our business.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Although we do not currently anticipate widespread departure of our senior leadership team or other key employees, it is always possible that we could lose some key personnel. The replacement of any members of our senior management team or other key personnel likely would involve significant time and costs and may significantly delay or prevent the achievement of our business objectives. Our future success also depends, in part, on our ability to continue to attract, integrate and retain highly skilled personnel. Competition for highly skilled personnel is frequently intense, especially in the San Francisco Bay Area, where we have a substantial presence and need for highly skilled personnel, including, in particular, engineers.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are highly dependent on the services of Peter Rawlinson, our Chief Executive Officer and Chief Technology Officer.</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will need to hire and train a significant number of employees to engage in full-scale commercial manufacturing operations, and our business could be adversely affected by labor and union activities.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will need to hire and train a significant number of employees to engage in full capacity commercial manufacturing operations. This needs to be accomplished in a very short period of time in order for us to scale commercial production and sales and service operations. There are various risks and challenges associated with hiring, training and managing a large workforce, such as establishing efficient communication channels, procedures and rules of conduct, hiring an adequate number of experienced manufacturing, supply chain management and logistics managerial personnel and creating an effective company culture, and these risks and challenges may be exacerbated by the short period of time in which we intend to scale up our hourly workforce. Although the area surrounding our Casa Grande, Arizona manufacturing facilities is home to a highly trained workforce with experience in engineering and manufacturing, this workforce does not have significant experience with electric vehicle manufacturing, and many jobs will require significant training. If we are unsuccessful in hiring and training a workforce in a timely and cost-effective manner, our business, financial condition and results of operations could be adversely affected.</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Furthermore, although none of our employees are currently represented by a labor union,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 companies’ operations. In the event our employees seek to join or form a labor union, we could be subject to risks as we engage in an attempt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Misconduct by our employees and independent contractors during and before their employment with us could expose us to potentially significant legal liabilities, reputational harm and/or other damages to our business.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Risks Related to Litigation and Regulation</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are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our facilities. The costs of compliance, including remediating contamination if any is found on our properties and any changes to our operations mandated by new or amended laws, may be significant. We may also face unexpected delays in obtaining permits and approvals required by such laws in connection with our manufacturing facilities, which would hinder our ability to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new model year and changes to the model within a model year. These laws and standards are subject to change from time to time, and we could become subject to additional regulations in the future, which would increase the effort and expense of compliance. In 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delays or substantial expenses, our business could be adversely affected.</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also expect to become subject to laws and regulations applicable to the supply, manufacture, import, sale and service of automobiles internationally, including in Europe, the Middle East and China. Applicable regulations in countries outside of the U.S., such as standards relating to vehicle safety,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may face regulatory limitations on our ability to sell vehicles directly, which could materially and adversely affect our ability to sell our vehicles.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We are currently licensed as a motor vehicle dealer in several states and anticipate that we can become a licensed dealer in additional states as we open retail locations in those states. In some states, we have also opened or expect to open Lucid Studios to educate and inform customers about our vehicles, but Lucid Studios will not actually transact in the sale of vehicles.</w:t>
      </w:r>
      <w:r>
        <w:rPr>
          <w:color w:val="000000"/>
        </w:rPr>
        <w:t xml:space="preserve"> </w:t>
      </w:r>
      <w:r>
        <w:rPr>
          <w:rFonts w:ascii="Times New Roman;sans-serif" w:hAnsi="Times New Roman;sans-serif"/>
          <w:b w:val="false"/>
          <w:color w:val="231F20"/>
          <w:sz w:val="20"/>
        </w:rPr>
        <w:t>The application of these state laws to our operations continues to be difficult to predict. Laws in some states have limited our ability to obtain dealer licenses from state motor vehicle regulators and may continue to do so.</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 xml:space="preserve">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 to state, our distribution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240" w:after="283"/>
        <w:rPr/>
      </w:pPr>
      <w:r>
        <w:rPr>
          <w:rFonts w:ascii="Times New Roman;sans-serif" w:hAnsi="Times New Roman;sans-serif"/>
          <w:b w:val="false"/>
          <w:color w:val="231F20"/>
          <w:sz w:val="20"/>
        </w:rPr>
        <w:t>model must</w:t>
      </w:r>
      <w:r>
        <w:rPr>
          <w:color w:val="000000"/>
        </w:rPr>
        <w:t xml:space="preserve"> </w:t>
      </w:r>
      <w:r>
        <w:rPr>
          <w:rFonts w:ascii="Times New Roman;sans-serif" w:hAnsi="Times New Roman;sans-serif"/>
          <w:b w:val="false"/>
          <w:color w:val="231F20"/>
          <w:sz w:val="20"/>
        </w:rPr>
        <w:t>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have in the past and may choose in the future, or we may be compelled to undertake product recalls or take other actions, which could adversely affect our business, prospects, results of operations, reputation and financial condition.</w:t>
      </w:r>
    </w:p>
    <w:p>
      <w:pPr>
        <w:pStyle w:val="TextBody"/>
        <w:spacing w:lineRule="auto" w:line="288" w:before="240" w:after="283"/>
        <w:rPr/>
      </w:pPr>
      <w:r>
        <w:rPr>
          <w:rFonts w:ascii="Times New Roman;sans-serif" w:hAnsi="Times New Roman;sans-serif"/>
          <w:b w:val="false"/>
          <w:color w:val="231F20"/>
          <w:sz w:val="20"/>
        </w:rPr>
        <w:t>Product recalls may result in adverse publicity, damage our reputation and adversely affect our business, prospects, results of operations and financial condition. For example, in February 2022, we voluntarily recalled certain vehicles due to a potential issue regarding the manufacture of the front strut damper by our supplier, or we may in the future voluntarily or involuntarily initiate additional recalls if any of our electric vehicles or components (including our batteries) prove to be defective or noncompliant with applicable federal motor vehicle safety standards. If a large number</w:t>
      </w:r>
      <w:r>
        <w:rPr>
          <w:color w:val="000000"/>
        </w:rPr>
        <w:t xml:space="preserve"> </w:t>
      </w:r>
      <w:r>
        <w:rPr>
          <w:rFonts w:ascii="Times New Roman;sans-serif" w:hAnsi="Times New Roman;sans-serif"/>
          <w:b w:val="false"/>
          <w:color w:val="231F20"/>
          <w:sz w:val="20"/>
        </w:rPr>
        <w:t>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 xml:space="preserve">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employment matters. </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For example, 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On December 3, 2021, we received a subpoena from the Securities and Exchange Commission (the “SEC”) requesting the production of certain documents related to an investigation by the SEC. Although there is no assurance as to the scope or outcome of this matter, the investigation appears to concern the merger between Churchill and Lucid and certain projections and statements. We are cooperating fully with the SEC in its review.</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 January 26, 2022, a purported shareholder of the Company filed a shareholder derivative action, purportedly on behalf of the Company, against certain of the Company’s officers and directors in California federal court, captioned Sahr Lebbie v. Churchill Capital Corporation IV, et al., 4:22-cv-00531-SK (N.D. Cal.). The complaint also names the Company as a nominal defendant. Based on allegations that are similar to those in the Consolidated Class Action, the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The Complaint seeks compensatory damages, interest thereon, certain corporate governance reforms, and attorneys’ fees and expenses. The Company is advancing defendants’ fees and expenses incurred in their defense of the action.</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 xml:space="preserve">Litigation and regulatory proceedings may be protracted and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manufacturing or selling our vehicles in some or all markets, all of which could negatively affect our sales and revenue growth and adversely affect our business, prospects, results of operations, cash flows and financial condition.</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may become subject to product liability claims, which could harm our financial condition and liquidity if we are not able to successfully defend or insure against such claims.</w:t>
      </w:r>
    </w:p>
    <w:p>
      <w:pPr>
        <w:pStyle w:val="TextBody"/>
        <w:spacing w:lineRule="auto" w:line="288" w:before="240" w:after="283"/>
        <w:rPr/>
      </w:pPr>
      <w:r>
        <w:rPr>
          <w:rFonts w:ascii="Times New Roman;sans-serif" w:hAnsi="Times New Roman;sans-serif"/>
          <w:b w:val="false"/>
          <w:color w:val="231F20"/>
          <w:sz w:val="20"/>
        </w:rPr>
        <w:t>We may become subject to product liability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w:t>
      </w:r>
      <w:r>
        <w:rPr>
          <w:color w:val="000000"/>
        </w:rPr>
        <w:t xml:space="preserve"> </w:t>
      </w:r>
      <w:r>
        <w:rPr>
          <w:rFonts w:ascii="Times New Roman;sans-serif" w:hAnsi="Times New Roman;sans-serif"/>
          <w:b w:val="false"/>
          <w:color w:val="231F20"/>
          <w:sz w:val="20"/>
        </w:rPr>
        <w:t>from or related to failures, claimed failures or misuse of new technologies that we expect to offer, including</w:t>
      </w:r>
      <w:r>
        <w:rPr>
          <w:color w:val="000000"/>
        </w:rPr>
        <w:t xml:space="preserve"> </w:t>
      </w:r>
      <w:r>
        <w:rPr>
          <w:rFonts w:ascii="Times New Roman;sans-serif" w:hAnsi="Times New Roman;sans-serif"/>
          <w:b w:val="false"/>
          <w:i/>
          <w:color w:val="231F20"/>
          <w:sz w:val="20"/>
        </w:rPr>
        <w:t xml:space="preserve">ADAS </w:t>
      </w:r>
      <w:r>
        <w:rPr>
          <w:rFonts w:ascii="Times New Roman;sans-serif" w:hAnsi="Times New Roman;sans-serif"/>
          <w:b w:val="false"/>
          <w:color w:val="231F20"/>
          <w:sz w:val="20"/>
        </w:rPr>
        <w:t xml:space="preserve">features in our vehicles. See “— Risks Related to Litigation and Regulation — </w:t>
      </w:r>
      <w:r>
        <w:rPr>
          <w:rFonts w:ascii="Times New Roman;sans-serif" w:hAnsi="Times New Roman;sans-serif"/>
          <w:b w:val="false"/>
          <w:i/>
          <w:color w:val="231F20"/>
          <w:sz w:val="20"/>
        </w:rPr>
        <w:t>ADAS technology is subject to uncertain and evolving regulations</w:t>
      </w:r>
      <w:r>
        <w:rPr>
          <w:rFonts w:ascii="Times New Roman;sans-serif" w:hAnsi="Times New Roman;sans-serif"/>
          <w:b w:val="false"/>
          <w:color w:val="231F20"/>
          <w:sz w:val="20"/>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w:t>
      </w:r>
    </w:p>
    <w:p>
      <w:pPr>
        <w:pStyle w:val="TextBody"/>
        <w:spacing w:lineRule="auto" w:line="288" w:before="240" w:after="283"/>
        <w:rPr/>
      </w:pPr>
      <w:r>
        <w:rPr>
          <w:rFonts w:ascii="Times New Roman;sans-serif" w:hAnsi="Times New Roman;sans-serif"/>
          <w:b w:val="false"/>
          <w:color w:val="231F20"/>
          <w:sz w:val="20"/>
        </w:rPr>
        <w:t>A successful product liability claim against us could require us to pay a substantial monetary award.</w:t>
      </w:r>
      <w:r>
        <w:rPr>
          <w:color w:val="000000"/>
        </w:rPr>
        <w:t xml:space="preserve"> </w:t>
      </w:r>
      <w:r>
        <w:rPr>
          <w:rFonts w:ascii="Times New Roman;sans-serif" w:hAnsi="Times New Roman;sans-serif"/>
          <w:b w:val="false"/>
          <w:color w:val="231F20"/>
          <w:sz w:val="20"/>
        </w:rPr>
        <w:t>Our risks in this area are particularly pronounced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may be exposed to delays, limitations and risks related to the environmental permits and other operating permits required to operate our manufacturing facilities.</w:t>
      </w:r>
    </w:p>
    <w:p>
      <w:pPr>
        <w:pStyle w:val="TextBody"/>
        <w:spacing w:lineRule="auto" w:line="288" w:before="240" w:after="283"/>
        <w:rPr/>
      </w:pPr>
      <w:r>
        <w:rPr>
          <w:rFonts w:ascii="Times New Roman;sans-serif" w:hAnsi="Times New Roman;sans-serif"/>
          <w:b w:val="false"/>
          <w:color w:val="231F20"/>
          <w:sz w:val="20"/>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Times New Roman;sans-serif" w:hAnsi="Times New Roman;sans-serif"/>
          <w:b w:val="false"/>
          <w:i/>
          <w:color w:val="231F20"/>
          <w:sz w:val="20"/>
        </w:rPr>
        <w:t>We have experienced and may in the future experience significant delays in the design, manufacture, launch and financing of the Lucid Air, which could harm our business and prospects.</w:t>
      </w:r>
      <w:r>
        <w:rPr>
          <w:color w:val="231F20"/>
        </w:rPr>
        <w:t>”</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are subject to various environmental, health and safety laws and regulations that could impose substantial costs on us and cause delays in expanding our production facilities.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 xml:space="preserve">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complying with them.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expenses needed to comply with environmental laws and regulations can be significant, and violations could result in substantial fines and penalties, third-party damages, suspension of production or a cessation of our operations.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the Lucid Air, which could have a material adverse effect on our business, prospects and results of operations.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ADAS technology is subject to uncertain and evolving regulations.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expect to introduce certain ADAS technologies into our vehicles over time. ADAS technology is subject to considerable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are subject to U.S. and foreign anti-corruption, anti-money laundering and anti-boycott laws and regulations. We can face criminal liability and other serious consequences for violations, which can harm our business.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are subject to governmental export and import controls and laws that could subject us to liability if we are not in compliance with such laws.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Our vehicles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Changes in U.S. trade policy, including the imposition of tariffs and the resulting consequences, could adversely affect our business, prospects, results of operations and financial condition.</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The U.S. government has adopted a new approach to trade policy and in some cases has attempted to renegotiate or terminate certain existing bilateral or multi-lateral trade agreements. It has also imposed tariffs on certain foreign goods, including steel and certain vehicle parts, which have begun to result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In December, the United States adopted the Uyghur Forced Labor Prevention Act (“</w:t>
      </w:r>
      <w:r>
        <w:rPr>
          <w:rFonts w:ascii="Times New Roman;sans-serif" w:hAnsi="Times New Roman;sans-serif"/>
          <w:b w:val="false"/>
          <w:i/>
          <w:color w:val="000000"/>
          <w:sz w:val="20"/>
        </w:rPr>
        <w:t>UFLPA</w:t>
      </w:r>
      <w:r>
        <w:rPr>
          <w:color w:val="000000"/>
        </w:rPr>
        <w:t>”</w:t>
      </w:r>
      <w:r>
        <w:rPr>
          <w:rFonts w:ascii="Times New Roman;sans-serif" w:hAnsi="Times New Roman;sans-serif"/>
          <w:b w:val="false"/>
          <w:color w:val="000000"/>
          <w:sz w:val="20"/>
        </w:rPr>
        <w:t>)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come into effect on June 21, 2022. While we are not presently aware of any direct impacts these restrictions will have on its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w:t>
      </w:r>
      <w:r>
        <w:rPr>
          <w:color w:val="231F20"/>
        </w:rPr>
        <w:t xml:space="preserve"> </w:t>
      </w:r>
      <w:r>
        <w:rPr>
          <w:rFonts w:ascii="Times New Roman;sans-serif" w:hAnsi="Times New Roman;sans-serif"/>
          <w:b w:val="false"/>
          <w:color w:val="231F20"/>
          <w:sz w:val="20"/>
        </w:rPr>
        <w:t>and could have an adverse effect on our business and results of operations</w:t>
      </w:r>
      <w:r>
        <w:rPr>
          <w:rFonts w:ascii="Times New Roman;sans-serif" w:hAnsi="Times New Roman;sans-serif"/>
          <w:b w:val="false"/>
          <w:color w:val="000000"/>
          <w:sz w:val="20"/>
        </w:rPr>
        <w:t>.</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A failure to properly comply with foreign trade zone laws and regulations could increase the cost of our duties and tariffs.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Risks Related to Intellectual Property</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 xml:space="preserve">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provisions, as well as through patent, trademark, copyright and trade secret laws in the United States and other jurisdictions.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potentially resulting in the loss of our competitive advantage and a decrease in our revenue which would adversely affect our business, prospects, financial condition and results of operations.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The measures we take to obtain, maintain, protect and enforce our intellectual property, including preventing unauthorized use by third parties, may not be effective for various reasons, including the following:</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any patent applications we file may not result in the issuance of patents;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we may not be the first inventor of the subject matter to which we have filed a particular patent application, and we may not be the first party to file such a patent application;</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 scope of our issued patents may not be broad enough to protect our inventions and proprietary technology;</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our issued patents may be challenged or invalidated by our competitors or other third parties;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patents have a finite term, and competitors and other third parties may offer identical or similar products after the expiration of our patents that cover such products;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our employees, contractors or business partners may breach their confidentiality, non-disclosure and non-use obligations;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competitors and other third parties may independently develop technologies that are the same or similar to ours;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 costs associated with enforcing patents or other intellectual property rights, or confidentiality and invention assignment agreements may make enforcement impracticable; and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competitors and other third parties may circumvent or otherwise design around our patents or other intellectual property.</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pStyle w:val="TextBody"/>
        <w:spacing w:lineRule="auto" w:line="288" w:before="240" w:after="283"/>
        <w:rPr/>
      </w:pPr>
      <w:r>
        <w:rPr>
          <w:rFonts w:ascii="Times New Roman;sans-serif" w:hAnsi="Times New Roman;sans-serif"/>
          <w:b w:val="false"/>
          <w:color w:val="231F20"/>
          <w:sz w:val="20"/>
        </w:rPr>
        <w:t>It is our policy to enter into confidentiality and invention assignment agreements with our employees and contractors that have developed material intellectual property for us, but these agreements may not be</w:t>
      </w:r>
      <w:r>
        <w:rPr>
          <w:color w:val="000000"/>
        </w:rPr>
        <w:t xml:space="preserve"> </w:t>
      </w:r>
      <w:r>
        <w:rPr>
          <w:rFonts w:ascii="Times New Roman;sans-serif" w:hAnsi="Times New Roman;sans-serif"/>
          <w:b w:val="false"/>
          <w:color w:val="231F20"/>
          <w:sz w:val="20"/>
        </w:rPr>
        <w:t>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have licensed and plan to further license patents and other intellectual property from third parties, including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may be sued by third parties for alleged infringement, misappropriation or other violation of their intellectual property, which could be time-consuming and costly and result in significant legal liability.</w:t>
      </w:r>
    </w:p>
    <w:p>
      <w:pPr>
        <w:pStyle w:val="TextBody"/>
        <w:spacing w:lineRule="auto" w:line="288" w:before="240" w:after="283"/>
        <w:rPr/>
      </w:pPr>
      <w:r>
        <w:rPr>
          <w:rFonts w:ascii="Times New Roman;sans-serif" w:hAnsi="Times New Roman;sans-serif"/>
          <w:b w:val="false"/>
          <w:color w:val="231F20"/>
          <w:sz w:val="20"/>
        </w:rPr>
        <w:t>There is considerable patent and other intellectual property development activity in our industry.</w:t>
      </w:r>
      <w:r>
        <w:rPr>
          <w:color w:val="000000"/>
        </w:rPr>
        <w:t xml:space="preserve"> </w:t>
      </w:r>
      <w:r>
        <w:rPr>
          <w:rFonts w:ascii="Times New Roman;sans-serif" w:hAnsi="Times New Roman;sans-serif"/>
          <w:b w:val="false"/>
          <w:color w:val="231F20"/>
          <w:sz w:val="20"/>
        </w:rPr>
        <w:t>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pay substantial damages, including treble damages for willful infringement, or ongoing royalty payments;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cease developing, selling, leasing, using or incorporating certain components into vehicles or offering goods or services that incorporate or use the asserted intellectual property;</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seek a license from the owner of the asserted intellectual property, which license may not be available on reasonable terms, or at all;</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comply with other unfavorable terms; or</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establish and maintain alternative branding for our products and services.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personnel from our business operations. Such disputes, with or without merit, could also cause potential customers to refrain from purchasing our products or otherwise cause us reputational harm and negative publicity.</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Furthermore, many of our employees were previously employed by other automotive companies or by suppliers to automotive companies.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lose valuable intellectual property or personnel. A loss of key personnel,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Some of our products contain open source software, which may pose particular risks to our proprietary software, products and services in a manner that could harm our business.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 xml:space="preserve">We use open source software in our products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services unless and until we can re-engineer them to avoid infringement, which may be a costly and time-consuming process, and we may not be able to complete the re-engineering process successfully.</w:t>
      </w:r>
    </w:p>
    <w:p>
      <w:pPr>
        <w:pStyle w:val="TextBody"/>
        <w:spacing w:before="0" w:after="0"/>
        <w:rPr/>
      </w:pPr>
      <w:r>
        <w:rPr/>
      </w:r>
    </w:p>
    <w:p>
      <w:pPr>
        <w:pStyle w:val="TextBody"/>
        <w:spacing w:lineRule="auto" w:line="268" w:before="0" w:after="0"/>
        <w:rPr>
          <w:rFonts w:ascii="Times New Roman;sans-serif" w:hAnsi="Times New Roman;sans-serif"/>
          <w:b w:val="false"/>
          <w:color w:val="231F20"/>
          <w:sz w:val="20"/>
        </w:rPr>
      </w:pPr>
      <w:r>
        <w:rPr>
          <w:rFonts w:ascii="Times New Roman;sans-serif" w:hAnsi="Times New Roman;sans-serif"/>
          <w:b w:val="false"/>
          <w:color w:val="231F20"/>
          <w:sz w:val="20"/>
        </w:rPr>
        <w:t>Additionally, the use of certain open source software can lead to greater risks than use of third-party commercial software, as open source licensors generally do not provide warranties or controls on the origin of software or other contractual protections regarding infringement claims or the quality of the code, including with respect to security vulnerabilities. Moreover, some open source projects have known security and other vulnerabilities and architectural instabilities, or are otherwise subject to security attacks due to their wide availability, and are provided on an “ as-is” basis.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Risks Related to Financing and Strategic Transactions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will require additional capital to support business growth, and this capital might not be available on commercially reasonable terms, or at all.</w:t>
      </w:r>
    </w:p>
    <w:p>
      <w:pPr>
        <w:pStyle w:val="TextBody"/>
        <w:spacing w:before="0" w:after="0"/>
        <w:rPr/>
      </w:pPr>
      <w:r>
        <w:rPr/>
      </w:r>
    </w:p>
    <w:p>
      <w:pPr>
        <w:pStyle w:val="TextBody"/>
        <w:spacing w:lineRule="auto" w:line="268" w:before="0" w:after="0"/>
        <w:rPr/>
      </w:pPr>
      <w:r>
        <w:rPr>
          <w:rFonts w:ascii="Times New Roman;sans-serif" w:hAnsi="Times New Roman;sans-serif"/>
          <w:b w:val="false"/>
          <w:color w:val="231F20"/>
          <w:sz w:val="20"/>
        </w:rPr>
        <w:t xml:space="preserve">We have funded our operations since inception primarily through equity and convertible debt financings. For example, in December 2021, we issued approximately </w:t>
      </w:r>
      <w:r>
        <w:rPr>
          <w:rFonts w:ascii="Times New Roman;sans-serif" w:hAnsi="Times New Roman;sans-serif"/>
          <w:b w:val="false"/>
          <w:color w:val="000000"/>
          <w:sz w:val="20"/>
        </w:rPr>
        <w:t>$2 billion of 1.25% convertible senior notes due 2026 (the “2026 Notes”)</w:t>
      </w:r>
      <w:r>
        <w:rPr>
          <w:rFonts w:ascii="Times New Roman;sans-serif" w:hAnsi="Times New Roman;sans-serif"/>
          <w:b w:val="false"/>
          <w:color w:val="231F20"/>
          <w:sz w:val="20"/>
        </w:rPr>
        <w:t xml:space="preserve">. We anticipate that we will need to raise additional funds through equity, equity-linked or debt financings. Our business is capital-intensive, and we expect the costs and expenses associated with our planned operations will continue to increase in the near term. We do not expect to achieve positive cash flow from operations for several years, if at all. In addition, during the first year following the Transactions, we expect to settle tax withholding obligations in connection with vesting of the CEO RSU Award (as defined in “Management’s Discussion and Analysis of Financial Condition and Results of Operations — </w:t>
      </w:r>
      <w:r>
        <w:rPr>
          <w:rFonts w:ascii="Times New Roman;sans-serif" w:hAnsi="Times New Roman;sans-serif"/>
          <w:b w:val="false"/>
          <w:i/>
          <w:color w:val="231F20"/>
          <w:sz w:val="20"/>
        </w:rPr>
        <w:t>Critical Accounting Policies and Estimates — CEO RSU Award</w:t>
      </w:r>
      <w:r>
        <w:rPr>
          <w:color w:val="231F20"/>
        </w:rPr>
        <w:t>”</w:t>
      </w:r>
      <w:r>
        <w:rPr>
          <w:rFonts w:ascii="Times New Roman;sans-serif" w:hAnsi="Times New Roman;sans-serif"/>
          <w:b w:val="false"/>
          <w:color w:val="231F20"/>
          <w:sz w:val="20"/>
        </w:rPr>
        <w:t>) through “net settlement,” i.e., by remitting cash to satisfy the tax withholding obligation and withholding a number of the vested shares on each vesting date. The amount of the tax withholding due on each vesting date will be based on the fair value of our common stock on such vesting date. Depending on the fair value of our common stock and the number of RSUs vesting on any applicable vesting date, such net settlement could require us to expend substantial funds to satisfy tax withholding. Our plan to continue the commercial production of our vehicles and grow our business is dependent upon the timely availability of funds and further investment in design, engineering, component procurement, testing, and the build-out of manufacturing capabilities. 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the ongoing COVID-19 pandemic,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results of operations, prospects and financial condition.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Financial Accounting Standards Board published an Accounting Standards Update, which we refer to as ASU 2020-06, which simplifies certain of the accounting standards that apply to convertible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ASU 2020-06, we expect that the 2026 Notes we issued will be reflected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higher reported loss.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shares underlying the 2026 Notes will be reflected in our diluted earnings per share using the “if converted” method, in accordance with ASU 2020-06. 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 </w: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Servicing our current and future debt may require a significant amount of cash, and we may not have sufficient cash flow from our business to pay our indebtedness. Our payment obligations under such indebtedness may limit the funds available to us, and the terms of our debt agreements may restrict our flexibility in operating our business or otherwise adversely affect our results of operations.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December 2021, we issued approximately $2.0 billion principal amount of 2026 Notes. See Note 6 - Long-Term Debt to our consolidated financial statements included elsewhere in this Annual Report for further information on our outstanding debt obligations. Our ability to make scheduled payments of the principal of, to pay interest on or to refinance our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our indebtedness, combined with our other existing and future financial obligations and contractual commitments, could have other important consequences. For example, it could:</w:t>
      </w:r>
    </w:p>
    <w:p>
      <w:pPr>
        <w:pStyle w:val="TextBody"/>
        <w:spacing w:lineRule="auto" w:line="276" w:before="120" w:after="283"/>
        <w:ind w:left="0" w:right="0" w:hanging="360"/>
        <w:rPr>
          <w:color w:val="000000"/>
        </w:rPr>
      </w:pPr>
      <w:r>
        <w:rPr>
          <w:color w:val="000000"/>
        </w:rPr>
        <w:t xml:space="preserve">• </w:t>
      </w:r>
      <w:r>
        <w:rPr>
          <w:rFonts w:ascii="Times New Roman;sans-serif" w:hAnsi="Times New Roman;sans-serif"/>
          <w:b w:val="false"/>
          <w:color w:val="000000"/>
          <w:sz w:val="20"/>
        </w:rPr>
        <w:t>make us more vulnerable to adverse changes in general U.S. and worldwide economic, industry and competitive conditions and adverse changes in government regulation;</w:t>
      </w:r>
    </w:p>
    <w:p>
      <w:pPr>
        <w:pStyle w:val="TextBody"/>
        <w:spacing w:lineRule="auto" w:line="288" w:before="120" w:after="283"/>
        <w:ind w:left="0" w:right="0" w:hanging="360"/>
        <w:rPr>
          <w:color w:val="000000"/>
        </w:rPr>
      </w:pPr>
      <w:r>
        <w:rPr>
          <w:color w:val="000000"/>
        </w:rPr>
        <w:t xml:space="preserve">• </w:t>
      </w:r>
      <w:r>
        <w:rPr>
          <w:rFonts w:ascii="Times New Roman;sans-serif" w:hAnsi="Times New Roman;sans-serif"/>
          <w:b w:val="false"/>
          <w:color w:val="000000"/>
          <w:sz w:val="20"/>
        </w:rPr>
        <w:t>limit our flexibility in planning for, or reacting to, changes in our business and our industry;</w:t>
      </w:r>
    </w:p>
    <w:p>
      <w:pPr>
        <w:pStyle w:val="TextBody"/>
        <w:spacing w:lineRule="auto" w:line="288" w:before="120" w:after="283"/>
        <w:ind w:left="0" w:right="0" w:hanging="360"/>
        <w:rPr>
          <w:color w:val="000000"/>
        </w:rPr>
      </w:pPr>
      <w:r>
        <w:rPr>
          <w:color w:val="000000"/>
        </w:rPr>
        <w:t xml:space="preserve">• </w:t>
      </w:r>
      <w:r>
        <w:rPr>
          <w:rFonts w:ascii="Times New Roman;sans-serif" w:hAnsi="Times New Roman;sans-serif"/>
          <w:b w:val="false"/>
          <w:color w:val="000000"/>
          <w:sz w:val="20"/>
        </w:rPr>
        <w:t>place us at a disadvantage compared to our competitors who have less debt;</w:t>
      </w:r>
    </w:p>
    <w:p>
      <w:pPr>
        <w:pStyle w:val="TextBody"/>
        <w:spacing w:lineRule="auto" w:line="288" w:before="120" w:after="283"/>
        <w:ind w:left="0" w:right="0" w:hanging="360"/>
        <w:rPr>
          <w:color w:val="000000"/>
        </w:rPr>
      </w:pPr>
      <w:r>
        <w:rPr>
          <w:color w:val="000000"/>
        </w:rPr>
        <w:t xml:space="preserve">• </w:t>
      </w:r>
      <w:r>
        <w:rPr>
          <w:rFonts w:ascii="Times New Roman;sans-serif" w:hAnsi="Times New Roman;sans-serif"/>
          <w:b w:val="false"/>
          <w:color w:val="000000"/>
          <w:sz w:val="20"/>
        </w:rPr>
        <w:t>limit our ability to borrow additional amounts to fund acquisitions, for working capital and for other general corporate purposes; and</w:t>
      </w:r>
    </w:p>
    <w:p>
      <w:pPr>
        <w:pStyle w:val="TextBody"/>
        <w:spacing w:lineRule="auto" w:line="288" w:before="120" w:after="283"/>
        <w:ind w:left="0" w:right="0" w:hanging="360"/>
        <w:rPr>
          <w:color w:val="000000"/>
        </w:rPr>
      </w:pPr>
      <w:r>
        <w:rPr>
          <w:color w:val="000000"/>
        </w:rPr>
        <w:t xml:space="preserve">• </w:t>
      </w:r>
      <w:r>
        <w:rPr>
          <w:rFonts w:ascii="Times New Roman;sans-serif" w:hAnsi="Times New Roman;sans-serif"/>
          <w:b w:val="false"/>
          <w:color w:val="000000"/>
          <w:sz w:val="20"/>
        </w:rPr>
        <w:t>make an acquisition of our company less attractive or more difficult.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under certain of our future debt instruments, we may be subject to customary affirmative and negative covenants regarding our business and operations, including limitations on our ability to enter into certain acquisitions or consolidations or engage in certain asset dispositions. Any debt financing secured by us in the future could involve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Further, shares of our common stock are subordinate in right of payment to all of our current and future debt. We cannot assure that there would be any remaining funds after the payment of all of our debt for any distribution to our stockholders.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harm our business, results of operations and financial condition. In addition, if we incur additional indebtedness, the risks related to our business and our ability to service or repay our indebtedness would increase.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still incur substantially more debt or take other actions that would diminish our ability to make payments on our 2026 Notes when due.</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may be able to incur substantial additional debt in the future, subject to the restrictions contained in our debt instruments, some of which may be secured debt. We are not restricted under the terms of the indenture governing our 2026 Notes from incurring additional debt, securing existing or future debt, recapitalizing our debt or taking a number of other actions that are not limited by the terms of such indenture governing our 2026 Notes that could have the effect of diminishing our ability to make payments on our 2026 Notes when due.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2026 Notes, if triggered, may adversely affect our financial condition and operating results.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From and after September 15, 2026, noteholders may convert their 2026 Notes at any time at their election until the close of business on the second scheduled trading day immediately before the maturity date.</w:t>
      </w:r>
      <w:r>
        <w:rPr>
          <w:color w:val="000000"/>
        </w:rPr>
        <w:t xml:space="preserve"> </w:t>
      </w:r>
      <w:r>
        <w:rPr>
          <w:rFonts w:ascii="Times New Roman;sans-serif" w:hAnsi="Times New Roman;sans-serif"/>
          <w:b w:val="false"/>
          <w:color w:val="000000"/>
          <w:sz w:val="20"/>
        </w:rPr>
        <w:t xml:space="preserve">In the event the conditional conversion feature of the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 xml:space="preserve">Notes is triggered, holders of such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 xml:space="preserve">Notes will be entitled under the indenture governing such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 xml:space="preserve">Notes to convert their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 xml:space="preserve">Notes at any time during specified periods at their option. If one or more holders of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 xml:space="preserve">Notes elect to convert such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 xml:space="preserve">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Notes as a current rather than long-term liability, which would result in a material reduction of our net working capital.</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be unable to raise the funds necessary to repurchase the notes for cash following a fundamental change, or to pay any cash amounts due upon conversion, and our other indebtedness may limit our ability to repurchase the notes or pay cash upon their conversion.</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Noteholders may, subject to a limited exception, require us to repurchase their notes following a fundamental change at a cash repurchase price generally equal to the principal amount of the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 xml:space="preserve">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 xml:space="preserve">Notes or pay any cash amounts due upon conversion. In addition, applicable law, regulatory authorities and the agreements governing our other indebtedness may restrict our ability to repurchase the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 xml:space="preserve">Notes or pay any cash amounts due upon conversion. Our failure to repurchase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 xml:space="preserve">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Notes.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 rating agency may not rate the 2026 Notes or may assign a rating that is lower than expected.</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We do not intend to seek to have the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 xml:space="preserve">Notes rated by any rating agency. However, if one or more rating agencies rate the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 xml:space="preserve">Notes and assign a rating that is lower than the rating that investors expect, or reduce their rating in the future, then the trading price of our common stock and the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Notes could significantly decline.</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In addition, market perceptions of our creditworthiness will directly affect the trading price of the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 xml:space="preserve">Notes. Accordingly, if a ratings agency rates any of our indebtedness in the future or downgrades or withdraws the rating, or puts us on credit watch, then the trading price of the </w:t>
      </w:r>
      <w:r>
        <w:rPr>
          <w:rFonts w:ascii="Times New Roman;sans-serif" w:hAnsi="Times New Roman;sans-serif"/>
          <w:b w:val="false"/>
          <w:color w:val="000000"/>
          <w:sz w:val="20"/>
          <w:highlight w:val="white"/>
        </w:rPr>
        <w:t>2026</w:t>
      </w:r>
      <w:r>
        <w:rPr>
          <w:color w:val="000000"/>
        </w:rPr>
        <w:t xml:space="preserve"> </w:t>
      </w:r>
      <w:r>
        <w:rPr>
          <w:rFonts w:ascii="Times New Roman;sans-serif" w:hAnsi="Times New Roman;sans-serif"/>
          <w:b w:val="false"/>
          <w:color w:val="000000"/>
          <w:sz w:val="20"/>
        </w:rPr>
        <w:t>Notes will likely decline.</w:t>
      </w:r>
    </w:p>
    <w:p>
      <w:pPr>
        <w:pStyle w:val="TextBody"/>
        <w:spacing w:before="0" w:after="0"/>
        <w:rPr/>
      </w:pPr>
      <w:r>
        <w:rPr/>
      </w:r>
    </w:p>
    <w:p>
      <w:pPr>
        <w:pStyle w:val="TextBody"/>
        <w:spacing w:lineRule="auto" w:line="276" w:before="0" w:after="0"/>
        <w:rPr>
          <w:rFonts w:ascii="Times New Roman;sans-serif" w:hAnsi="Times New Roman;sans-serif"/>
          <w:b/>
          <w:i/>
          <w:color w:val="231F20"/>
          <w:sz w:val="20"/>
        </w:rPr>
      </w:pPr>
      <w:r>
        <w:rPr>
          <w:rFonts w:ascii="Times New Roman;sans-serif" w:hAnsi="Times New Roman;sans-serif"/>
          <w:b/>
          <w:i/>
          <w:color w:val="231F20"/>
          <w:sz w:val="20"/>
        </w:rPr>
        <w:t>We may not be able to identify adequate strategic relationship opportunities or form strategic relationships, in the future.</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expect that strategic business relationships will be an important factor in the growth and success of our business. However, there are no assurances that we will be able to identify or secure suitable business relationship opportunities in the future or that our competitors will not capitalize on such opportunities before we do.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may acquire other businesses, which could require significant management attention, disrupt our business, dilute stockholder value and adversely affect our results of operations.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would result in increased fixed obligations and exposure to potential unknown liabilities of the acquired business and could also include covenants or other restrictions that would impede our ability to manage our operations.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Our financial results may vary significantly from period to period due to fluctuations in our production levels, operating costs, product demand and other factors.</w:t>
      </w:r>
    </w:p>
    <w:p>
      <w:pPr>
        <w:pStyle w:val="TextBody"/>
        <w:spacing w:before="0" w:after="0"/>
        <w:rPr/>
      </w:pPr>
      <w:r>
        <w:rPr/>
      </w:r>
    </w:p>
    <w:p>
      <w:pPr>
        <w:pStyle w:val="TextBody"/>
        <w:spacing w:lineRule="auto" w:line="268" w:before="0" w:after="0"/>
        <w:rPr>
          <w:rFonts w:ascii="Times New Roman;sans-serif" w:hAnsi="Times New Roman;sans-serif"/>
          <w:b w:val="false"/>
          <w:color w:val="231F20"/>
          <w:sz w:val="20"/>
        </w:rPr>
      </w:pPr>
      <w:r>
        <w:rPr>
          <w:rFonts w:ascii="Times New Roman;sans-serif" w:hAnsi="Times New Roman;sans-serif"/>
          <w:b w:val="false"/>
          <w:color w:val="231F20"/>
          <w:sz w:val="20"/>
        </w:rPr>
        <w:t>We expect our period-to-period financial results to vary based on our production levels,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In addition, automotive manufacturers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Risks Related to Tax</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Our ability to use net operating loss carryforwards and certain other tax attributes may be limited.</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We have accumulated U.S. federal and state net operating loss (“</w:t>
      </w:r>
      <w:r>
        <w:rPr>
          <w:rFonts w:ascii="Times New Roman;sans-serif" w:hAnsi="Times New Roman;sans-serif"/>
          <w:b w:val="false"/>
          <w:i/>
          <w:color w:val="231F20"/>
          <w:sz w:val="20"/>
        </w:rPr>
        <w:t>NOL</w:t>
      </w:r>
      <w:r>
        <w:rPr>
          <w:color w:val="231F20"/>
        </w:rPr>
        <w:t>”</w:t>
      </w:r>
      <w:r>
        <w:rPr>
          <w:rFonts w:ascii="Times New Roman;sans-serif" w:hAnsi="Times New Roman;sans-serif"/>
          <w:b w:val="false"/>
          <w:color w:val="231F20"/>
          <w:sz w:val="20"/>
        </w:rPr>
        <w:t>) carryforwards and research and development credits which may be available to offset and reduce future taxable income. While our U.S. federal NOL carryforwards arising in taxable years beginning after December 31, 2017, will not be subject to expiration, some of our U.S. federal and state NOL carryforwards from taxable years prior to 2018 will begin to expire in 2028. As of December 31, 2021, we also had U.S. federal research and development credit carryforwards which will begin to expire in 2034 and state research and development credit carryforwards with no expiration.</w:t>
      </w:r>
      <w:r>
        <w:rPr>
          <w:color w:val="231F20"/>
        </w:rPr>
        <w:t xml:space="preserve"> </w:t>
      </w:r>
      <w:r>
        <w:rPr>
          <w:rFonts w:ascii="Times New Roman;sans-serif" w:hAnsi="Times New Roman;sans-serif"/>
          <w:b w:val="false"/>
          <w:color w:val="231F20"/>
          <w:sz w:val="20"/>
        </w:rPr>
        <w:t>Please refer to Note 16 - Income Taxes for a further discussion of the tax attributes of our NOL carryforwards. As of December 31, 2021, we maintain a full valuation allowance for our net deferred tax assets.</w:t>
      </w:r>
    </w:p>
    <w:p>
      <w:pPr>
        <w:pStyle w:val="TextBody"/>
        <w:spacing w:lineRule="auto" w:line="268" w:before="240" w:after="283"/>
        <w:rPr>
          <w:rFonts w:ascii="Times New Roman;sans-serif" w:hAnsi="Times New Roman;sans-serif"/>
          <w:b w:val="false"/>
          <w:color w:val="231F20"/>
          <w:sz w:val="20"/>
        </w:rPr>
      </w:pPr>
      <w:r>
        <w:rPr>
          <w:rFonts w:ascii="Times New Roman;sans-serif" w:hAnsi="Times New Roman;sans-serif"/>
          <w:b w:val="false"/>
          <w:color w:val="231F20"/>
          <w:sz w:val="20"/>
        </w:rPr>
        <w:t>Our U.S. federal and state NOL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In general, an “ownership change” will occur if there is a cumulative change in our ownership by “5-percent shareholders” that exceeds 50 percentage points over a rolling three-year period. Similar rules may apply under state tax laws. We have completed a formal Section 382 study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of our equity transactions through December 31, 2020.</w:t>
      </w:r>
      <w:r>
        <w:rPr>
          <w:color w:val="231F20"/>
        </w:rPr>
        <w:t xml:space="preserve"> </w:t>
      </w:r>
      <w:r>
        <w:rPr>
          <w:rFonts w:ascii="Times New Roman;sans-serif" w:hAnsi="Times New Roman;sans-serif"/>
          <w:b w:val="false"/>
          <w:color w:val="231F20"/>
          <w:sz w:val="20"/>
        </w:rPr>
        <w:t xml:space="preserve">The study determined that we experienced an “ownership change” in 2016, and we will not be able to utilize approximately $12 million of our gross U.S. federal NOL and $15 million of gross U.S. federal research and development tax credit (or $3 million in net credit) carryforwards. </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We have not yet completed an analysis of whether the business combination also caused an “ownership change”. In addition, we may experience ownership changes in the future as a result of subsequent shifts in our stock ownership (including as a result of the issuance of common stock in connection with a conversion of our outstanding 2026 Notes), some of which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It is possible that we will not generate taxable income in time to use any of our NOL carryforwards and research and development credits before their expiration.</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Unanticipated tax laws or any change in the application of existing tax laws to us or our customers or any change to our corporate structure may adversely impact our profitability and business.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may change our corporate structure, our business operations or certain agreements that we have entered into relating to taxes in a particular jurisdiction. These changes may materially and adversely impact our consolidated financial statements.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Our warrants are accounted for as liabilities and the changes in value of our warrants could have a material effect on our financial results.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Risks Related to Public Company Requirements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The requirements of being a public company may strain our resources and distract our management, which could make it difficult to manage our business.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In addition, most members of our management team have limited experience managing a publicly traded company, interacting with public company investors, and complying with the increasingly complex laws pertaining to public companies. These new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Times New Roman;sans-serif" w:hAnsi="Times New Roman;sans-serif"/>
          <w:b w:val="false"/>
          <w:color w:val="000000"/>
          <w:sz w:val="20"/>
          <w:highlight w:val="white"/>
        </w:rPr>
        <w:t>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spacing w:lineRule="auto" w:line="288" w:before="240" w:after="283"/>
        <w:rPr/>
      </w:pPr>
      <w:r>
        <w:rPr>
          <w:rFonts w:ascii="Times New Roman;sans-serif" w:hAnsi="Times New Roman;sans-serif"/>
          <w:b w:val="false"/>
          <w:color w:val="231F20"/>
          <w:sz w:val="20"/>
        </w:rPr>
        <w:t xml:space="preserve">To implement, maintain and improve the effectiveness of our disclosure controls and procedures, we will need to commit significant resources, hire additional staff and provide additional management oversight. </w:t>
      </w:r>
      <w:r>
        <w:rPr>
          <w:rFonts w:ascii="Times New Roman;sans-serif" w:hAnsi="Times New Roman;sans-serif"/>
          <w:b w:val="false"/>
          <w:color w:val="000000"/>
          <w:sz w:val="20"/>
        </w:rPr>
        <w:t xml:space="preserve">To comply with the requirements of being a public company, we have undertaken, and expect to continue to further undertake in the future, various actions, such as, hiring additional accounting staff and implementing new internal controls and procedures </w:t>
      </w:r>
      <w:r>
        <w:rPr>
          <w:rFonts w:ascii="Times New Roman;sans-serif" w:hAnsi="Times New Roman;sans-serif"/>
          <w:b w:val="false"/>
          <w:color w:val="231F20"/>
          <w:sz w:val="20"/>
        </w:rPr>
        <w:t>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pStyle w:val="TextBody"/>
        <w:spacing w:before="0" w:after="0"/>
        <w:rPr/>
      </w:pPr>
      <w:r>
        <w:rPr/>
      </w:r>
    </w:p>
    <w:p>
      <w:pPr>
        <w:pStyle w:val="TextBody"/>
        <w:spacing w:lineRule="auto" w:line="288" w:before="0" w:after="0"/>
        <w:rPr>
          <w:rFonts w:ascii="Times New Roman;sans-serif" w:hAnsi="Times New Roman;sans-serif"/>
          <w:b/>
          <w:i/>
          <w:color w:val="231F20"/>
          <w:sz w:val="20"/>
        </w:rPr>
      </w:pPr>
      <w:r>
        <w:rPr>
          <w:rFonts w:ascii="Times New Roman;sans-serif" w:hAnsi="Times New Roman;sans-serif"/>
          <w:b/>
          <w:i/>
          <w:color w:val="231F20"/>
          <w:sz w:val="20"/>
        </w:rPr>
        <w:t>We recently ceased to be an emerging growth company, and now are required to comply with certain heightened reporting requirements, including those relating to auditing standards and disclosure about our executive compensation.</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The Jumpstart Our Business Startups Act of 2012, (the “JOBS Act”), contains provisions that, among other things, relax certain reporting requirements for “emerging growth companies,” including certain requirements relating to auditing standards and compensation disclosure. Prior to December 31, 2021,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When we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have been comparable to companies that comply with public company effective dates, and our stockholders and potential investors may have difficulty in analyzing our historical operating results if comparing us to such companies. In addition, because we relied on exemptions available to emerging growth companies, our historical public filings contained less information about our executive compensation and internal control over financial reporting than issuers that are not emerging growth companies. </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We expect to incur additional costs associated with the heightened reporting requirements described above, including the requirement to provide auditor’s attestation report on our system of internal controls over financial reporting pursuant to Section 404(b) of the Sarbanes-Oxley Act, as well as additional audit costs resulting from PCAOB requirements. In addition, our auditors may identify control deficiencies of varying degrees of severity, and we may incur significant costs to remediate those deficiencies or otherwise improve our internal controls.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lineRule="auto" w:line="256" w:before="0" w:after="0"/>
        <w:rPr>
          <w:rFonts w:ascii="Times New Roman;sans-serif" w:hAnsi="Times New Roman;sans-serif"/>
          <w:b/>
          <w:i/>
          <w:color w:val="000000"/>
          <w:sz w:val="20"/>
        </w:rPr>
      </w:pPr>
      <w:r>
        <w:rPr>
          <w:rFonts w:ascii="Times New Roman;sans-serif" w:hAnsi="Times New Roman;sans-serif"/>
          <w:b/>
          <w:i/>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spacing w:lineRule="auto" w:line="26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SEC’s internal control over financial reporting requirements. Internal control over financial reporting is complex and may be revised over time to adapt to changes in our business, or changes in applicable accounting rules.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As part of such requirements, we are required to provide management’s attestation on the report on internal control over financial reporting by our independent registered public accounting firm. Prior to the Transactions,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December 31, 2021 as Churchill’s operations prior to the Transactions were insignificant compared to those of the consolidated entity post-Transactions. The design of internal controls over financial reporting for our business post-Transactions has required and will continue to require significant time and resources from management and other personnel. As a result, our management was unable, without incurring unreasonable effort or expense to conduct an assessment of our internal control over financial reporting as of December 31, 2021 and has excluded management's report on internal control over financial reporting pursuant to Section 215.02 of the SEC Division of Corporation Finance's Regulation S-K Compliance &amp; Disclosure Interpretations.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report any control deficiencies that constitute a “material weakness” in our internal control over financial reporting. We had previously identified material weaknesses in our internal control over financial reporting.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in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pStyle w:val="TextBody"/>
        <w:spacing w:lineRule="auto" w:line="276" w:before="240" w:after="283"/>
        <w:rPr>
          <w:rFonts w:ascii="Times New Roman;sans-serif" w:hAnsi="Times New Roman;sans-serif"/>
          <w:b/>
          <w:i/>
          <w:color w:val="231F20"/>
          <w:sz w:val="20"/>
        </w:rPr>
      </w:pPr>
      <w:r>
        <w:rPr>
          <w:rFonts w:ascii="Times New Roman;sans-serif" w:hAnsi="Times New Roman;sans-serif"/>
          <w:b/>
          <w:i/>
          <w:color w:val="231F20"/>
          <w:sz w:val="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may be forced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Risks Related to Our Common Stock</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There is no guarantee that an active and liquid public market for our securities will be sustained.</w:t>
      </w:r>
    </w:p>
    <w:p>
      <w:pPr>
        <w:pStyle w:val="TextBody"/>
        <w:spacing w:lineRule="auto" w:line="288" w:before="240" w:after="283"/>
        <w:rPr/>
      </w:pPr>
      <w:r>
        <w:rPr>
          <w:rFonts w:ascii="Times New Roman;sans-serif" w:hAnsi="Times New Roman;sans-serif"/>
          <w:b w:val="false"/>
          <w:color w:val="231F20"/>
          <w:sz w:val="20"/>
        </w:rPr>
        <w:t>Our common stock has been trading on</w:t>
      </w:r>
      <w:r>
        <w:rPr>
          <w:color w:val="000000"/>
        </w:rPr>
        <w:t xml:space="preserve"> </w:t>
      </w:r>
      <w:r>
        <w:rPr>
          <w:rFonts w:ascii="Times New Roman;sans-serif" w:hAnsi="Times New Roman;sans-serif"/>
          <w:b w:val="false"/>
          <w:color w:val="231F20"/>
          <w:sz w:val="20"/>
        </w:rPr>
        <w:t>a national securities exchange for less than 12 months. Prior to the Merger, Churchill was a blank check company and there was no public market for Legacy Lucid Common Shares since Legacy Lucid was a private company. A liquid trading market for our common stock may not be sustained. In the absence of a liquid public trading market for our common stock:</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holders of our common stock may not be able to liquidate their investment in shares of our common stock;</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holders of our common stock may not be able to resell their shares of our common stock at favorable prices, or at all;</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 market price of shares of our common stock may experience significant price volatility; and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there may be less efficiency in carrying out purchase and sale orders with respect to our common stock.</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The price of our common stock is volatile, and this volatility may negatively impact the market price of our common stock and the trading price of the notes.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Factors affecting the trading price of our securities may include: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market conditions in the broader stock market in general, or in our industry in particular;</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actual or anticipated fluctuations in our quarterly financial results or the quarterly financial results of companies perceived to be similar to ours;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changes in the market’s expectations about our operating results;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 public’s reaction to our press releases, other public announcements and filings with the SEC;</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 public’s reaction to the number of unit reservations, financial projections and any other guidance or metrics that we may publicly disclose from time to time;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speculation in the press or investment community;</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actual or anticipated developments in our business, competitors’ businesses or the competitive landscape generally;</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 operating results failing to meet the expectation of securities analysts or investors in a particular period;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 timing of the achievement of objectives under our business plan and the timing and amount of costs we incur in connection therewith;</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changes in financial estimates and recommendations by securities analysts concerning us or the market in general;</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operating and stock price performance of other companies that investors deem comparable to ours;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changes in laws and regulations affecting our business;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commencement of, or involvement in, litigation or investigations involving us;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changes in our capital structure, such as future issuances of securities or the incurrence of additional debt;</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 volume of our common stock available for public sale;</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any major change in our Board or management;</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 and the lock-up agreements with the initial purchasers in the offering of 2026 Notes;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general economic and political conditions such as recessions, interest rates, “trade wars,” pandemics (such as COVID-19) and acts of war or terrorism; and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other risk factors listed in this section “Risk Factors.”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notes regardless of our business, prospects, financial conditions or results of operations. Broad market and industry factors, including, most recently, the impact of the novel coronavirus, COVID-19, and any other global pandemics, as well as general economic, political and market conditions such as recessions or interest rate changes, may seriously affect the market price of our common stock and other securities,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 xml:space="preserve">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notes may impact the market price of our common stock, in particular during any redemption conversion period in connection with a redemption of notes or any observation period for a conversion of notes.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pStyle w:val="TextBody"/>
        <w:spacing w:before="0" w:after="0"/>
        <w:rPr/>
      </w:pPr>
      <w:r>
        <w:rPr/>
      </w:r>
    </w:p>
    <w:p>
      <w:pPr>
        <w:pStyle w:val="TextBody"/>
        <w:spacing w:lineRule="auto" w:line="288" w:before="0" w:after="0"/>
        <w:rPr/>
      </w:pPr>
      <w:r>
        <w:rPr>
          <w:rFonts w:ascii="Times New Roman;sans-serif" w:hAnsi="Times New Roman;sans-serif"/>
          <w:b/>
          <w:i/>
          <w:color w:val="231F20"/>
          <w:sz w:val="20"/>
        </w:rPr>
        <w:t>The issuance of additional shares of our common stock or other equity or equity-linked securities, or sales of a significant portion of our common stock, could depress the market price of our common stock.</w:t>
      </w:r>
      <w:r>
        <w:rPr>
          <w:color w:val="231F20"/>
        </w:rPr>
        <w:t xml:space="preserve"> </w:t>
      </w:r>
    </w:p>
    <w:p>
      <w:pPr>
        <w:pStyle w:val="TextBody"/>
        <w:spacing w:before="0" w:after="0"/>
        <w:rPr/>
      </w:pPr>
      <w:r>
        <w:rPr/>
      </w:r>
    </w:p>
    <w:p>
      <w:pPr>
        <w:pStyle w:val="TextBody"/>
        <w:spacing w:lineRule="auto" w:line="268" w:before="0" w:after="0"/>
        <w:rPr/>
      </w:pPr>
      <w:r>
        <w:rPr>
          <w:rFonts w:ascii="Times New Roman;sans-serif" w:hAnsi="Times New Roman;sans-serif"/>
          <w:b w:val="false"/>
          <w:color w:val="231F20"/>
          <w:sz w:val="20"/>
        </w:rPr>
        <w:t xml:space="preserve">Future issuances of shares of our common stock, or of securities convertible into or exercisable for our common stock, could depress the market price of our common stock and result in significant dilution for holders of our common stock. As of December 31, 2021, we had outstanding (i) 1,647,555,590 shares of our common stock, (ii) warrants to purchase up to 44,350,000 shares of our common stock, (iii) options and restricted stock units covering 112,354,513 shares of our common stock, and (iv) a maximum number of </w:t>
      </w:r>
      <w:r>
        <w:rPr>
          <w:rFonts w:ascii="Times New Roman;sans-serif" w:hAnsi="Times New Roman;sans-serif"/>
          <w:b w:val="false"/>
          <w:color w:val="000000"/>
          <w:sz w:val="20"/>
        </w:rPr>
        <w:t>55,106,677 shares of common stock issuable upon conversion of the 2026 Notes</w:t>
      </w:r>
      <w:r>
        <w:rPr>
          <w:rFonts w:ascii="Times New Roman;sans-serif" w:hAnsi="Times New Roman;sans-serif"/>
          <w:b w:val="false"/>
          <w:color w:val="231F20"/>
          <w:sz w:val="20"/>
        </w:rPr>
        <w:t xml:space="preserve">. The exercise of our outstanding warrants 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Incentive Plan, or for other reasons. </w:t>
      </w:r>
    </w:p>
    <w:p>
      <w:pPr>
        <w:pStyle w:val="TextBody"/>
        <w:spacing w:lineRule="auto" w:line="276" w:before="240" w:after="283"/>
        <w:rPr>
          <w:rFonts w:ascii="Times New Roman;sans-serif" w:hAnsi="Times New Roman;sans-serif"/>
          <w:b w:val="false"/>
          <w:color w:val="231F20"/>
          <w:sz w:val="20"/>
        </w:rPr>
      </w:pPr>
      <w:r>
        <w:rPr>
          <w:rFonts w:ascii="Times New Roman;sans-serif" w:hAnsi="Times New Roman;sans-serif"/>
          <w:b w:val="false"/>
          <w:color w:val="231F20"/>
          <w:sz w:val="20"/>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Pursuant to the Investor Rights Agreement, the Churchill Sponsor has restrictions on the sale or transfer of shares of common stock and Private Placement Warrants held by it for a period of 18 months after the Closing of the Transactions. However, following the expiration of this lock-up period, the Churchill Sponsor will not be restricted from selling our securities held by it, other than by applicable securities laws. In addition, pursuant to the Investor Rights Agreement, Ayar, the Churchill Sponsor, and certain other parties thereto are entitled to, among other things, certain registration rights, including demand, piggy-back and shelf registration rights.</w:t>
      </w:r>
      <w:r>
        <w:rPr>
          <w:color w:val="231F20"/>
        </w:rPr>
        <w:t xml:space="preserve"> </w:t>
      </w:r>
      <w:r>
        <w:rPr>
          <w:rFonts w:ascii="Times New Roman;sans-serif" w:hAnsi="Times New Roman;sans-serif"/>
          <w:b w:val="false"/>
          <w:color w:val="231F20"/>
          <w:sz w:val="20"/>
        </w:rPr>
        <w:t xml:space="preserve">If one or more of these stockholders were to sell a substantial portion of the shares they hold, it could cause the trading price of our common stock to decline. </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pStyle w:val="TextBody"/>
        <w:spacing w:lineRule="auto" w:line="288" w:before="240" w:after="283"/>
        <w:rPr/>
      </w:pPr>
      <w:r>
        <w:rPr>
          <w:rFonts w:ascii="Times New Roman;sans-serif" w:hAnsi="Times New Roman;sans-serif"/>
          <w:b w:val="false"/>
          <w:color w:val="231F20"/>
          <w:sz w:val="20"/>
        </w:rPr>
        <w:t>As of December 31, 2021, Ayar held approximately</w:t>
      </w:r>
      <w:r>
        <w:rPr>
          <w:color w:val="231F20"/>
          <w:highlight w:val="white"/>
        </w:rPr>
        <w:t xml:space="preserve"> </w:t>
      </w:r>
      <w:r>
        <w:rPr>
          <w:rFonts w:ascii="Times New Roman;sans-serif" w:hAnsi="Times New Roman;sans-serif"/>
          <w:b w:val="false"/>
          <w:color w:val="231F20"/>
          <w:sz w:val="20"/>
          <w:highlight w:val="white"/>
        </w:rPr>
        <w:t xml:space="preserve">61.6% </w:t>
      </w:r>
      <w:r>
        <w:rPr>
          <w:rFonts w:ascii="Times New Roman;sans-serif" w:hAnsi="Times New Roman;sans-serif"/>
          <w:b w:val="false"/>
          <w:color w:val="231F20"/>
          <w:sz w:val="20"/>
        </w:rPr>
        <w:t>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notes.</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The Churchill Sponsor and Ayar beneficially own a significant equity interest in us and may take actions that conflict with your interests.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The interests of the Churchill Sponsor and Ayar may not align with our interests and the interests of our other stockholders or securityholders. The Churchill Sponsor and Ayar are each in the business of making investments in companies and may acquire and hold interests in businesses that compete directly or indirectly with us. The Churchill Sponsor and Ayar and their respective affiliates, may also pursue acquisition opportunities that may be complementary to our business and, as a result, those acquisition opportunities may not be available to us.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We do not anticipate paying any cash dividends for the foreseeable future.</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have never declared or paid cash dividends on our capital stock, and we do not anticipate paying any cash dividends in the foreseeable future. We currently intend to retain our future earnings, if any, for the foreseeable future, to fund the development and growth of our business.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Please see the section titled “Management’s Discussion and Analysis of Financial Condition and Results of Operations — Liquidity and Capital Resources” in this Annual Report.</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any derivative action or proceeding brought on our behalf;</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any action asserting a claim of breach of a fiduciary duty owed by any of our directors, officers or employees to us or our stockholders;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any action asserting a claim against us or any of our directors or officers or other employees governed by the internal affairs doctrine.</w:t>
      </w:r>
    </w:p>
    <w:p>
      <w:pPr>
        <w:pStyle w:val="TextBody"/>
        <w:spacing w:lineRule="auto" w:line="288" w:before="240" w:after="283"/>
        <w:rPr/>
      </w:pPr>
      <w:r>
        <w:rPr>
          <w:rFonts w:ascii="Times New Roman;sans-serif" w:hAnsi="Times New Roman;sans-serif"/>
          <w:b w:val="false"/>
          <w:color w:val="231F20"/>
          <w:sz w:val="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w:t>
      </w:r>
      <w:r>
        <w:rPr>
          <w:color w:val="000000"/>
        </w:rPr>
        <w:t xml:space="preserve"> </w:t>
      </w:r>
      <w:r>
        <w:rPr>
          <w:rFonts w:ascii="Times New Roman;sans-serif" w:hAnsi="Times New Roman;sans-serif"/>
          <w:b w:val="false"/>
          <w:color w:val="231F20"/>
          <w:sz w:val="20"/>
        </w:rPr>
        <w:t>be no assurance that such provisions will be enforced by a court in those other jurisdictions.</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Some provisions of Delaware law and our current certificate of incorporation and our current bylaws may deter third parties from acquiring us and diminish the value of our common stock and the notes.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Our current certificate of incorporation and our current bylaws provide for, among other things: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the ability of our Board to issue one or more series of preferred stock with voting or other rights or preferences that could have the effect of impeding the success of an attempt to acquire us or otherwise effect a change in control;</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subject to the Investor Rights Agreement, advance notice for nominations of directors by stockholders and for stockholders to include matters to be considered at stockholder meetings; and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certain limitations on convening special stockholder meetings.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prior to such time, the Board approved either the business combination or the transaction that resulted in the stockholder becoming an interested stockholder;</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upon consummation of the transaction that resulted in the stockholder becoming an interested stockholder, the interested stockholder owned at least 85% of voting stock outstanding at the time the transaction commenced, excluding certain shares; or</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at or subsequent to that time, the business combination is approved by our Board and by the affirmative vote of holders of at least two-thirds of the votes of our outstanding voting stock that is not owned by the interested stockholder.</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notes.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The trading market for our common stock is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would likely decline. If any analyst who covers us were to cease coverage of us or fail to regularly publish reports on us, we could lose visibility in the financial markets, which could cause our stock price or trading volume to decline.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240" w:after="240"/>
        <w:rPr>
          <w:rFonts w:ascii="Times New Roman;sans-serif" w:hAnsi="Times New Roman;sans-serif"/>
          <w:b w:val="false"/>
          <w:color w:val="000000"/>
          <w:sz w:val="20"/>
        </w:rPr>
      </w:pPr>
      <w:r>
        <w:rPr>
          <w:rFonts w:ascii="Times New Roman;sans-serif" w:hAnsi="Times New Roman;sans-serif"/>
          <w:b w:val="false"/>
          <w:color w:val="000000"/>
          <w:sz w:val="20"/>
        </w:rPr>
        <w:t>We are headquartered in Newark, California and have manufacturing facilities in Casa Grande, Arizona. We currently do not own the land on which our material properties are situated; these properties are subject to various lease arrangements with third-party entities.</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rPr/>
      </w:pPr>
      <w:r>
        <w:rPr/>
      </w:r>
    </w:p>
    <w:p>
      <w:pPr>
        <w:pStyle w:val="TextBody"/>
        <w:spacing w:lineRule="auto" w:line="288" w:before="240" w:after="240"/>
        <w:rPr>
          <w:rFonts w:ascii="Times New Roman;sans-serif" w:hAnsi="Times New Roman;sans-serif"/>
          <w:b w:val="false"/>
          <w:color w:val="000000"/>
          <w:sz w:val="20"/>
        </w:rPr>
      </w:pPr>
      <w:r>
        <w:rPr>
          <w:rFonts w:ascii="Times New Roman;sans-serif" w:hAnsi="Times New Roman;sans-serif"/>
          <w:b w:val="false"/>
          <w:color w:val="000000"/>
          <w:sz w:val="20"/>
        </w:rPr>
        <w:t>Excluding our growing portfolio of retail locations, a list of certain of our facilities are outlined below:</w:t>
      </w:r>
    </w:p>
    <w:tbl>
      <w:tblPr>
        <w:tblW w:w="8769" w:type="dxa"/>
        <w:jc w:val="left"/>
        <w:tblInd w:w="0" w:type="dxa"/>
        <w:tblCellMar>
          <w:top w:w="28" w:type="dxa"/>
          <w:left w:w="28" w:type="dxa"/>
          <w:bottom w:w="28" w:type="dxa"/>
          <w:right w:w="28" w:type="dxa"/>
        </w:tblCellMar>
      </w:tblPr>
      <w:tblGrid>
        <w:gridCol w:w="1715"/>
        <w:gridCol w:w="1508"/>
        <w:gridCol w:w="1532"/>
        <w:gridCol w:w="109"/>
        <w:gridCol w:w="109"/>
        <w:gridCol w:w="109"/>
        <w:gridCol w:w="688"/>
        <w:gridCol w:w="688"/>
        <w:gridCol w:w="694"/>
        <w:gridCol w:w="109"/>
        <w:gridCol w:w="109"/>
        <w:gridCol w:w="109"/>
        <w:gridCol w:w="378"/>
        <w:gridCol w:w="378"/>
        <w:gridCol w:w="534"/>
      </w:tblGrid>
      <w:tr>
        <w:trPr/>
        <w:tc>
          <w:tcPr>
            <w:tcW w:w="1715"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Address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Primary Use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 Expiry</w:t>
            </w:r>
          </w:p>
        </w:tc>
      </w:tr>
      <w:tr>
        <w:trPr/>
        <w:tc>
          <w:tcPr>
            <w:tcW w:w="47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7373 Gateway Blvd., Newark, 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HQ (Lucid1)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09/30/30</w:t>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7500 Gateway Blvd., Newark, 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HQ (Lucid2)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09/30/30</w:t>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7151 Gateway Blvd., Newark, 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HQ (Lucid3)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12/31/26</w:t>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317 S. Thornton Rd., Casa Grande, AZ</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(AMP-1)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12/19/22</w:t>
            </w:r>
            <w:r>
              <w:rPr>
                <w:rFonts w:ascii="Times New Roman;sans-serif" w:hAnsi="Times New Roman;sans-serif"/>
                <w:b w:val="false"/>
                <w:color w:val="000000"/>
                <w:sz w:val="13"/>
              </w:rPr>
              <w:t>(1)</w:t>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2592 E. Hanna Rd., Suites 115 and 120, Casa Grande, AZ</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(LPM-1)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03/31/25</w:t>
            </w:r>
            <w:r>
              <w:rPr>
                <w:rFonts w:ascii="Times New Roman;sans-serif" w:hAnsi="Times New Roman;sans-serif"/>
                <w:b w:val="false"/>
                <w:color w:val="000000"/>
                <w:sz w:val="13"/>
              </w:rPr>
              <w:t>(2)</w:t>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1115 W. Alameda Dr., Tempe, AZ</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Logistics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02/28/26</w:t>
            </w:r>
            <w:r>
              <w:rPr>
                <w:rFonts w:ascii="Times New Roman;sans-serif" w:hAnsi="Times New Roman;sans-serif"/>
                <w:b w:val="false"/>
                <w:color w:val="000000"/>
                <w:sz w:val="13"/>
              </w:rPr>
              <w:t>(3)</w:t>
            </w:r>
          </w:p>
        </w:tc>
      </w:tr>
      <w:tr>
        <w:trPr/>
        <w:tc>
          <w:tcPr>
            <w:tcW w:w="4755"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1108 W Gila Bend Highway, Casa Grande, AZ</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Logistics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06/14/24</w:t>
            </w:r>
            <w:r>
              <w:rPr>
                <w:rFonts w:ascii="Times New Roman;sans-serif" w:hAnsi="Times New Roman;sans-serif"/>
                <w:b w:val="false"/>
                <w:color w:val="000000"/>
                <w:sz w:val="13"/>
              </w:rPr>
              <w:t>(4)</w:t>
            </w:r>
          </w:p>
        </w:tc>
      </w:tr>
    </w:tbl>
    <w:p>
      <w:pPr>
        <w:pStyle w:val="TextBody"/>
        <w:spacing w:before="0" w:after="0"/>
        <w:rPr/>
      </w:pPr>
      <w:r>
        <w:rPr/>
      </w:r>
    </w:p>
    <w:p>
      <w:pPr>
        <w:pStyle w:val="TextBody"/>
        <w:spacing w:lineRule="auto" w:line="288" w:before="0" w:after="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We have an option to purchase the AMP-1 property.</w:t>
      </w:r>
    </w:p>
    <w:p>
      <w:pPr>
        <w:pStyle w:val="TextBody"/>
        <w:spacing w:lineRule="auto" w:line="288" w:before="0" w:after="0"/>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We have options to renew the LPM-1 lease through early 2035.</w:t>
      </w:r>
    </w:p>
    <w:p>
      <w:pPr>
        <w:pStyle w:val="TextBody"/>
        <w:spacing w:lineRule="auto" w:line="288" w:before="0" w:after="0"/>
        <w:ind w:left="0" w:right="0" w:hanging="360"/>
        <w:rPr/>
      </w:pPr>
      <w:r>
        <w:rPr>
          <w:rFonts w:ascii="Times New Roman;sans-serif" w:hAnsi="Times New Roman;sans-serif"/>
          <w:b w:val="false"/>
          <w:color w:val="000000"/>
          <w:sz w:val="13"/>
        </w:rPr>
        <w:t>(3)</w:t>
      </w:r>
      <w:r>
        <w:rPr>
          <w:rFonts w:ascii="Times New Roman;sans-serif" w:hAnsi="Times New Roman;sans-serif"/>
          <w:b w:val="false"/>
          <w:color w:val="000000"/>
          <w:sz w:val="20"/>
        </w:rPr>
        <w:t>We have options to renew the Tempe lease through early 2036.</w:t>
      </w:r>
    </w:p>
    <w:p>
      <w:pPr>
        <w:pStyle w:val="TextBody"/>
        <w:spacing w:lineRule="auto" w:line="288" w:before="0" w:after="0"/>
        <w:ind w:left="0" w:right="0" w:hanging="360"/>
        <w:rPr/>
      </w:pPr>
      <w:r>
        <w:rPr>
          <w:rFonts w:ascii="Times New Roman;sans-serif" w:hAnsi="Times New Roman;sans-serif"/>
          <w:b w:val="false"/>
          <w:color w:val="000000"/>
          <w:sz w:val="13"/>
        </w:rPr>
        <w:t>(4)</w:t>
      </w:r>
      <w:r>
        <w:rPr>
          <w:rFonts w:ascii="Times New Roman;sans-serif" w:hAnsi="Times New Roman;sans-serif"/>
          <w:b w:val="false"/>
          <w:color w:val="000000"/>
          <w:sz w:val="20"/>
        </w:rPr>
        <w:t>We have an option to renew the Gila Bend lease through 2026.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legal proceedings, please see the description set forth in the “Legal Matters” section in Note 15 – Commitments and Contingencies in the notes to the consolidated financial statements in Item 8 of Part II of this Annual Report, which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Stock Market LLC under the ticker symbol “LCID.” Prior to July 23, 2021 and before the completion of the Transactions, Churchill’s Class A common stock traded on the New York Stock Exchange under the ticker symbol “CCIV”.</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At January 31, 2022, there were 118 holders of record of our common stock. A substantially greater number of beneficial owners hold shares through banks, brokers and other financial institutions.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common stock to date. The payment of cash dividends in the future is dependent upon our revenues and earnings, if any, capital requirements, the terms of any indebtedness and general financial condition. The payment of any cash dividends will be within the discretion of the Board at such time. In addition, the Board is not currently contemplating and does not anticipate declaring any stock dividends in the foreseeable future.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For a description of securities authorized under our equity compensation plans, see Part II, Item 8, “Note 13 – Stock-based awards”.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 Use of Proceeds from Registered Offerings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14, 2021, we issued and sold $1,750,000,000 principal amount of our 1.25% 2026 Notes in a private offering to qualified institutional buyers pursuant to Rule 144A under the Securities Act. Pursuant to the purchase agreement between us and the initial purchasers of the Convertible Notes, we granted the initial purchasers an option, for settlement within a period of 13 days from, and including, December 14, 2021 to purchase up to an additional $262,500,000 principal amount of our 2026 Notes. On December 20, 2021, we issued and sold an additional $262,500,000 principal amount of 2026 Notes pursuant to this option.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with respect to the shares of our common stock that we repurchased during the three months ended December 31, 2021. </w:t>
      </w:r>
    </w:p>
    <w:tbl>
      <w:tblPr>
        <w:tblW w:w="8400" w:type="dxa"/>
        <w:jc w:val="left"/>
        <w:tblInd w:w="0" w:type="dxa"/>
        <w:tblCellMar>
          <w:top w:w="28" w:type="dxa"/>
          <w:left w:w="28" w:type="dxa"/>
          <w:bottom w:w="28" w:type="dxa"/>
          <w:right w:w="28" w:type="dxa"/>
        </w:tblCellMar>
      </w:tblPr>
      <w:tblGrid>
        <w:gridCol w:w="514"/>
        <w:gridCol w:w="452"/>
        <w:gridCol w:w="459"/>
        <w:gridCol w:w="109"/>
        <w:gridCol w:w="109"/>
        <w:gridCol w:w="109"/>
        <w:gridCol w:w="514"/>
        <w:gridCol w:w="514"/>
        <w:gridCol w:w="516"/>
        <w:gridCol w:w="109"/>
        <w:gridCol w:w="109"/>
        <w:gridCol w:w="109"/>
        <w:gridCol w:w="267"/>
        <w:gridCol w:w="780"/>
        <w:gridCol w:w="138"/>
        <w:gridCol w:w="109"/>
        <w:gridCol w:w="109"/>
        <w:gridCol w:w="109"/>
        <w:gridCol w:w="494"/>
        <w:gridCol w:w="494"/>
        <w:gridCol w:w="496"/>
        <w:gridCol w:w="109"/>
        <w:gridCol w:w="109"/>
        <w:gridCol w:w="109"/>
        <w:gridCol w:w="426"/>
        <w:gridCol w:w="426"/>
        <w:gridCol w:w="602"/>
      </w:tblGrid>
      <w:tr>
        <w:trPr/>
        <w:tc>
          <w:tcPr>
            <w:tcW w:w="514"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Month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spacing w:lineRule="auto" w:line="240" w:before="0" w:after="0"/>
              <w:jc w:val="center"/>
              <w:rPr/>
            </w:pPr>
            <w:r>
              <w:rPr>
                <w:rFonts w:ascii="Times New Roman;sans-serif" w:hAnsi="Times New Roman;sans-serif"/>
                <w:b/>
                <w:color w:val="000000"/>
                <w:sz w:val="16"/>
              </w:rPr>
              <w:t xml:space="preserve">Shares Purchased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br/>
              <w:t>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 Purchased</w:t>
              <w:br/>
              <w:t>As Part of Publicly</w:t>
              <w:br/>
              <w:t>Announced Plans</w:t>
              <w:br/>
              <w:t>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br/>
              <w:t>Number of Shares</w:t>
              <w:br/>
              <w:t>that May Yet Be</w:t>
              <w:br/>
              <w:t>Purchased Under</w:t>
              <w:br/>
              <w:t>the Plans or</w:t>
              <w:br/>
              <w:t>Programs</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857,825 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857,825</w:t>
            </w:r>
            <w:r>
              <w:rPr>
                <w:color w:val="000000"/>
              </w:rPr>
              <w:t>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shares that were acquired from directors and employees to satisfy certain tax obligations in connection with their purchase of shares of Legacy Lucid Series E Preferred Shares.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This performance graph shall not be deemed “filed” for purposes of Section 18 of the Securities Exchange Act of 1934, as amended (the“Exchange Act”), or incorporated by reference into any of our other filings under the Securities Act of 1933, as amended (the “Securities Act”), or the Exchange Act, except as shall be expressly set forth by specific reference in such filing.</w:t>
      </w:r>
    </w:p>
    <w:p>
      <w:pPr>
        <w:pStyle w:val="TextBody"/>
        <w:spacing w:lineRule="auto" w:line="288" w:before="240" w:after="283"/>
        <w:rPr/>
      </w:pPr>
      <w:r>
        <w:rPr>
          <w:rFonts w:ascii="Times New Roman;sans-serif" w:hAnsi="Times New Roman;sans-serif"/>
          <w:b w:val="false"/>
          <w:color w:val="000000"/>
          <w:sz w:val="20"/>
          <w:highlight w:val="white"/>
        </w:rPr>
        <w:t xml:space="preserve">The following graph shows a comparison, from September 18, 2020 through </w:t>
      </w:r>
      <w:r>
        <w:rPr>
          <w:rFonts w:ascii="Times New Roman;sans-serif" w:hAnsi="Times New Roman;sans-serif"/>
          <w:b w:val="false"/>
          <w:color w:val="000000"/>
          <w:sz w:val="20"/>
        </w:rPr>
        <w:t>December 31, 2021</w:t>
      </w:r>
      <w:r>
        <w:rPr>
          <w:rFonts w:ascii="Times New Roman;sans-serif" w:hAnsi="Times New Roman;sans-serif"/>
          <w:b w:val="false"/>
          <w:color w:val="000000"/>
          <w:sz w:val="20"/>
          <w:highlight w:val="white"/>
        </w:rPr>
        <w:t xml:space="preserve">, of the cumulative total return on our common stock, The NASDAQ Composite Index and the 20 largest public companies sharing the same SIC code as us, which is SIC code 3711, “Motor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Vehicles and Passenger Car Bodies” (Motor Vehicles and Passenger Car Bodies Public Company Group). Such returns are based on historical results and are not intended to suggest future performance. Data for The NASDAQ Composite Index and the Motor Vehicles and Passenger Car Bodies Public Company Group assumes an investment of $100 on September 18, 2020 and reinvestment of dividends. We have never declared or paid cash dividends on our common stock nor do we anticipate paying any such cash dividends in the foreseeable future.</w:t>
      </w:r>
    </w:p>
    <w:p>
      <w:pPr>
        <w:pStyle w:val="TextBody"/>
        <w:spacing w:before="240" w:after="283"/>
        <w:rPr/>
      </w:pPr>
      <w:r>
        <w:rPr/>
        <w:drawing>
          <wp:inline distT="0" distB="63500" distL="0" distR="0">
            <wp:extent cx="7315200" cy="5286375"/>
            <wp:effectExtent l="0" t="0" r="0" b="0"/>
            <wp:docPr id="6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 descr=""/>
                    <pic:cNvPicPr>
                      <a:picLocks noChangeAspect="1" noChangeArrowheads="1"/>
                    </pic:cNvPicPr>
                  </pic:nvPicPr>
                  <pic:blipFill>
                    <a:blip r:embed="rId2"/>
                    <a:stretch>
                      <a:fillRect/>
                    </a:stretch>
                  </pic:blipFill>
                  <pic:spPr bwMode="auto">
                    <a:xfrm>
                      <a:off x="0" y="0"/>
                      <a:ext cx="7315200" cy="5286375"/>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Financial Condition and Results of Operations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that Lucid management believes is relevant to an assessment and understanding of Lucid’s consolidated results of operations and financial condition as of December 31, 2021 and for the fiscal year ended December 31, 2021. The discussion should be read together with our consolidated financial statements and related notes that are included elsewhere in this annual report on Form 10-K (this “Annual Report”). For discussion related to our financial condition as of December 31, 2020, results of operations for year ended December 31, 2020 and year to year comparison between year ended December 31, 2020 and 2019, refer to the final prospectus and definitive proxy statement (the “Proxy Statement/Prospectus”) filed on June 25, 2021 with the U.S. Securities and Exchange Commission (the “SEC”) pursuant to Rule 424(b) under the Securities Act of 1933 (the “Securities Act”), as amended. This discussion may contain forward-looking statements based upon Lucid’s current expectations, estimates and projections that involve risks and uncertainties. Our actual results could differ materially from those anticipated in these forward-looking statements as a result of various factors, including those set forth under “Risk Factors” in Part I, Item 1A of this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technology and automotive company with a mission to inspire the adoption of sustainable energy by creating advanced technologies and the most captivating luxury electric vehicles, centered around the human experience. Our focus on in-house technological innovation, vertical integration, and a “clean sheet” approach to engineering and design have led to the development of our groundbreaking electric vehicle, the Lucid Air.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vehicles directly to consumers through our retail sales network and through direct online sales. We believe that owning our sales network provides an opportunity to closely manage the customer experience, gather direct customer feedback, and ensure that customer interactions are on-brand and tailored to our customers’ need. We also operate an in-house vehicle service network, with brick-and-mortar service centers in various geographies and a mobile service fleet. In addition to our in-house service capabilities, we established and continue to grow an approved list of specially trained collision repair shops which also serve as a repair hub for our mobile service offerings in some cases. </w:t>
      </w:r>
    </w:p>
    <w:p>
      <w:pPr>
        <w:pStyle w:val="TextBody"/>
        <w:spacing w:lineRule="auto" w:line="288" w:before="240" w:after="283"/>
        <w:rPr/>
      </w:pPr>
      <w:r>
        <w:rPr>
          <w:rFonts w:ascii="Times New Roman;sans-serif" w:hAnsi="Times New Roman;sans-serif"/>
          <w:b w:val="false"/>
          <w:color w:val="000000"/>
          <w:sz w:val="20"/>
        </w:rPr>
        <w:t>We began delivering the Lucid Air to customers in October 2021. We expect to launch additional vehicles over the coming decade. We have already commenced design and engineering work for Project Gravity, a luxury SUV that is expected to leverage many of the technological advancements and learnings from the Lucid Air. We expect to begin production of Project Gravity in the first half of 2024. After the Lucid Air and Project Gravity, we plan to leverage our technological and manufacturing advancements to develop and manufacture progressively more affordable vehicles in higher volumes. We further believe that our battery systems expertise positions us to produce compelling stationary energy storage system (“</w:t>
      </w:r>
      <w:r>
        <w:rPr>
          <w:rFonts w:ascii="Times New Roman;sans-serif" w:hAnsi="Times New Roman;sans-serif"/>
          <w:b w:val="false"/>
          <w:i/>
          <w:color w:val="000000"/>
          <w:sz w:val="20"/>
        </w:rPr>
        <w:t>ESS</w:t>
      </w:r>
      <w:r>
        <w:rPr>
          <w:color w:val="000000"/>
        </w:rPr>
        <w:t>”</w:t>
      </w:r>
      <w:r>
        <w:rPr>
          <w:rFonts w:ascii="Times New Roman;sans-serif" w:hAnsi="Times New Roman;sans-serif"/>
          <w:b w:val="false"/>
          <w:color w:val="000000"/>
          <w:sz w:val="20"/>
        </w:rPr>
        <w:t>) products. ESS is a technologically adjacent opportunity which can leverage the modular design of our battery packs and our extensive experience with battery pack and battery management systems.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Impact of the COVID-19 Pandemic on our Business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COVID-19 pandemic continues to impact the global economy and cause significant macroeconomic uncertainty. Infection rates vary across the jurisdictions in which we operate. Governmental authorities have continued to implement numerous and constantly evolving measures to try to contain the virus, such as travel bans and restrictions, masking recommendations and mandates, vaccine recommendations and mandates, limits on gatherings, quarantines, shelter-in-place orders and business shutdowns. We have taken proactive action to protect the health and safety of our employees, customers, partners and suppliers, consistent with the latest and evolving governmental guidelines. We expect to continue to implement appropriate measures until the COVID-19 pandemic is adequately contained. We continue to monitor the rapidly evolving situation and guidance from international and domestic authorities, including federal, state and local public health authorities, and may take additional actions based on their recommendations and requirements or as we otherwise see fit to protect the health and safety of our employees, customers, partners and suppliers.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While certain of our and our suppliers’ operations have from time-to-time been temporarily affected by government-mandated restrictions, we were able to commence deliveries of the Lucid Air to customers and to proceed with the construction of the Arizona plant. Broader impacts of the pandemic have included ongoing, industry-wide challenges in logistics and supply chains, such as increased port congestion, intermittent supplier delays and a shortfall of semiconductor supply. Because we rely on third party suppliers for the development, manufacture, and/or provision and development of many of the key components and materials used in our vehicles, as well as provisioning and servicing equipment in our manufacturing facilities, we have been affected by such industry-wide challenges in logistics and supply chains. While we continue to focus on mitigating risks to our operations and supply chain in the current industry environment, we expect that these industry-wide trends will continue to affect our ability and the ability of our suppliers to obtain parts, components and manufacturing equipment on a timely basis for the foreseeable future.</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the current circumstances, given the dynamic nature of the situation, any impact on our financial condition, results of operations or cash flows in the future continues to be difficult to estimate and predict, as it depends on future events that are highly uncertain and cannot be predicted with accuracy, including, but not limited to, the duration and continued spread of the outbreak, its severity, potential additional waves of infection, the emergence of more virulent or more dangerous strains of the virus, the actions taken to mitigate the virus or its impact, the development, distribution, efficacy and acceptance of vaccines worldwide, how quickly and to what extent normal economic and operating conditions can resume, the broader impact that the pandemic is having on the economy and our industry and specific implications the pandemic may have on our suppliers and on global logistics. See Item 1A., “Risk Factors,” for additional information regarding risks associated with the COVID-19 pandemic, including under the caption “The ongoing COVID-19 pandemic has adversely affected our business, results of operations and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Key Factors Affecting Our Performance</w:t>
      </w:r>
      <w:r>
        <w:rPr>
          <w:color w:val="000000"/>
        </w:rPr>
        <w:t xml:space="preserve"> </w:t>
      </w:r>
    </w:p>
    <w:p>
      <w:pPr>
        <w:pStyle w:val="TextBody"/>
        <w:spacing w:lineRule="auto" w:line="288" w:before="240" w:after="283"/>
        <w:rPr/>
      </w:pPr>
      <w:r>
        <w:rPr>
          <w:rFonts w:ascii="Times New Roman;sans-serif" w:hAnsi="Times New Roman;sans-serif"/>
          <w:b w:val="false"/>
          <w:color w:val="000000"/>
          <w:sz w:val="20"/>
        </w:rPr>
        <w:t xml:space="preserve">We believe that our future success and financial performance depend on a number of factors that present significant opportunities for our business, but also pose risks and challenges, including those discussed below and in the section entitled </w:t>
      </w:r>
      <w:r>
        <w:rPr>
          <w:color w:val="000000"/>
        </w:rPr>
        <w:t>“</w:t>
      </w:r>
      <w:r>
        <w:rPr>
          <w:rFonts w:ascii="Times New Roman;sans-serif" w:hAnsi="Times New Roman;sans-serif"/>
          <w:b w:val="false"/>
          <w:i/>
          <w:color w:val="000000"/>
          <w:sz w:val="20"/>
        </w:rPr>
        <w:t xml:space="preserve">Risk Factors” </w:t>
      </w:r>
      <w:r>
        <w:rPr>
          <w:rFonts w:ascii="Times New Roman;sans-serif" w:hAnsi="Times New Roman;sans-serif"/>
          <w:b w:val="false"/>
          <w:color w:val="000000"/>
          <w:sz w:val="20"/>
        </w:rPr>
        <w:t>in Part I, Item 1A of this Annual Report.</w:t>
      </w:r>
    </w:p>
    <w:p>
      <w:pPr>
        <w:pStyle w:val="TextBody"/>
        <w:spacing w:lineRule="auto" w:line="288" w:before="240" w:after="283"/>
        <w:rPr/>
      </w:pPr>
      <w:r>
        <w:rPr>
          <w:rFonts w:ascii="Times New Roman;sans-serif" w:hAnsi="Times New Roman;sans-serif"/>
          <w:b/>
          <w:i/>
          <w:color w:val="000000"/>
          <w:sz w:val="20"/>
        </w:rPr>
        <w:t>Design and Technology Leadership</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are positioned to be a leader in the electric vehicle market by unlocking the potential for advanced, high-performance, and long-range electric vehicles to co-exist. The Lucid Air is designed with race-proven battery pack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 We have received significant interest in the Lucid Air from potential customers. As of December 31, 2021, we had refundable reservations and non-refundable orders of cars yet to be delivered that reflect a potential order book greater than $2.2 billion. </w:t>
      </w:r>
    </w:p>
    <w:p>
      <w:pPr>
        <w:pStyle w:val="TextBody"/>
        <w:spacing w:lineRule="auto" w:line="288" w:before="240" w:after="283"/>
        <w:rPr/>
      </w:pPr>
      <w:r>
        <w:rPr>
          <w:rFonts w:ascii="Times New Roman;sans-serif" w:hAnsi="Times New Roman;sans-serif"/>
          <w:b/>
          <w:i/>
          <w:color w:val="000000"/>
          <w:sz w:val="20"/>
        </w:rPr>
        <w:t>Direct-to-Consumer Model</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 direct-to-consumer sales and service model, which we believe will allow us to offer a personalized experience for our customers based on their purchase and ownership preferences. We expect to continue to incur significant expenses in our sales and marketing operations for sale of the Lucid Air, including to open Studios, hire a sales force, invest in marketing and brand awareness, and stand up a service center operation. As of December 31, 2021, we had opened twenty Studios and service centers, one in each of Arizona, Canada, New York, Michigan, Texas, Virginia, Washington, and two in Illinois, three in Florida, as well eight in California. We expect additional stores and service centers to open in North America, Europe, and the Middle East in 2022. We also intend to hire additional sales, customer service, and service centers personnel. We believe that investing in our direct-to-consumer sales and service model will be critical to deliver and service the Lucid electric vehicles we plan to manufacture and sell. </w:t>
      </w:r>
    </w:p>
    <w:p>
      <w:pPr>
        <w:pStyle w:val="TextBody"/>
        <w:spacing w:lineRule="auto" w:line="288" w:before="240" w:after="283"/>
        <w:rPr/>
      </w:pPr>
      <w:r>
        <w:rPr>
          <w:rFonts w:ascii="Times New Roman;sans-serif" w:hAnsi="Times New Roman;sans-serif"/>
          <w:b/>
          <w:i/>
          <w:color w:val="000000"/>
          <w:sz w:val="20"/>
        </w:rPr>
        <w:t>Establishing Manufacturing Capacity</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as we continue our phased construction of our AMP-1 and LPM-1 facilities and international expansion.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Technology Innovation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Project Gravity, and future generations of our electric vehicles and other products.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Inflationary Pressure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U.S. economy has experienced increased inflation recently, including as a result of the COVID-19 pandemic. Our cost to manufacture a vehicle is heavily influenced by the cost of the key components and materials used in the vehicle, cost of labor, as well as cost of equipment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used in our manufacturing facilities. As we continue our phased construction of our AMP-1 facility, increases in steel prices and cost of construction labor have led to higher capital expenditures. We expect that the inflationary pressure will persist for the foreseeable future.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Fiscal Year Highlights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Churchill and Legacy Lucid consummated the Merger. Pursuant to the Merger Agreement, Legacy Lucid became a wholly owned subsidiary of Churchill and Churchill was immediately renamed “Lucid Group, Inc.”. The total net proceeds to us were $4,400.3 million, which consisted of $4,439.2 million gross proceeds, net of $131.4 million in costs incurred by Churchill prior to the Closing, $38.9 million of transaction costs, consisting of banking, legal, and other professional fees, $2.7 million of costs expensed in our consolidated statements of operations, and $0.2 million paid to redeem 21,644 shares of Churchill Class A common stock held by public stockholders.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Revenue for the year ended December 31, 2021 was $27.1 million, which was largely attributable to commercial sales of the Lucid Air Dream Edition that began in the fourth quarter of 2021. Historically, revenue was primarily attributable to the sale of battery pack systems, supplies and related services for vehicles to a single customer. We do not expect the sales from the battery pack systems for the world’s premier electric racing series to be material for the go-forward commercialized 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Lucid issued an aggregate of $2,012.5 million principal amount of 1.25% convertible senior notes. The net proceeds from the issuance of the 2026 Notes were $1,986.6 million, net of debt discounts and issuance costs.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incurred net losses of $2,579.8 million for the year ended December 31, 2021, and expect to incur significant net losses for the foreseeable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i/>
          <w:color w:val="000000"/>
          <w:sz w:val="20"/>
        </w:rPr>
        <w:t>Revenue</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 for the periods presented (in thousands):</w:t>
      </w:r>
    </w:p>
    <w:tbl>
      <w:tblPr>
        <w:tblW w:w="5433" w:type="dxa"/>
        <w:jc w:val="left"/>
        <w:tblInd w:w="0" w:type="dxa"/>
        <w:tblCellMar>
          <w:top w:w="28" w:type="dxa"/>
          <w:left w:w="28" w:type="dxa"/>
          <w:bottom w:w="28" w:type="dxa"/>
          <w:right w:w="28" w:type="dxa"/>
        </w:tblCellMar>
      </w:tblPr>
      <w:tblGrid>
        <w:gridCol w:w="266"/>
        <w:gridCol w:w="234"/>
        <w:gridCol w:w="236"/>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210"/>
        <w:gridCol w:w="211"/>
        <w:gridCol w:w="532"/>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1"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 vs. 2020</w:t>
            </w:r>
          </w:p>
        </w:tc>
      </w:tr>
      <w:tr>
        <w:trPr/>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began generating sales from the deliveries of vehicles in the fourth quarter of 2021. We recognize vehicle sales when the customer obtains control of the vehicle which is upon delivery. We also generate revenue from the sale of battery pack systems, supplies and related services for vehicles to a single customer.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Revenue increased by $23.1 million for the year ended December 31, 2021, compared to the year ended December 31, 2020, primarily related to $21.3 million from our first customer deliveries of Lucid Air vehicles.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cost of revenue for the periods presented (in thousands):</w:t>
      </w:r>
    </w:p>
    <w:tbl>
      <w:tblPr>
        <w:tblW w:w="6412" w:type="dxa"/>
        <w:jc w:val="left"/>
        <w:tblInd w:w="0" w:type="dxa"/>
        <w:tblCellMar>
          <w:top w:w="28" w:type="dxa"/>
          <w:left w:w="28" w:type="dxa"/>
          <w:bottom w:w="28" w:type="dxa"/>
          <w:right w:w="28" w:type="dxa"/>
        </w:tblCellMar>
      </w:tblPr>
      <w:tblGrid>
        <w:gridCol w:w="451"/>
        <w:gridCol w:w="396"/>
        <w:gridCol w:w="398"/>
        <w:gridCol w:w="196"/>
        <w:gridCol w:w="736"/>
        <w:gridCol w:w="109"/>
        <w:gridCol w:w="109"/>
        <w:gridCol w:w="109"/>
        <w:gridCol w:w="109"/>
        <w:gridCol w:w="196"/>
        <w:gridCol w:w="556"/>
        <w:gridCol w:w="109"/>
        <w:gridCol w:w="109"/>
        <w:gridCol w:w="109"/>
        <w:gridCol w:w="109"/>
        <w:gridCol w:w="196"/>
        <w:gridCol w:w="736"/>
        <w:gridCol w:w="109"/>
        <w:gridCol w:w="109"/>
        <w:gridCol w:w="109"/>
        <w:gridCol w:w="109"/>
        <w:gridCol w:w="290"/>
        <w:gridCol w:w="290"/>
        <w:gridCol w:w="291"/>
        <w:gridCol w:w="109"/>
        <w:gridCol w:w="109"/>
        <w:gridCol w:w="154"/>
      </w:tblGrid>
      <w:tr>
        <w:trPr/>
        <w:tc>
          <w:tcPr>
            <w:tcW w:w="451"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 vs. 2020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*nm</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i/>
          <w:color w:val="000000"/>
          <w:sz w:val="20"/>
        </w:rPr>
        <w:t xml:space="preserve">*nm </w:t>
      </w:r>
      <w:r>
        <w:rPr>
          <w:rFonts w:ascii="Times New Roman;sans-serif" w:hAnsi="Times New Roman;sans-serif"/>
          <w:b w:val="false"/>
          <w:color w:val="000000"/>
          <w:sz w:val="20"/>
        </w:rPr>
        <w:t>- not meaningful</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Costs of revenue related to vehicle sales primarily include direct parts, materials, shipping and handling costs, allocable overhead costs such as depreciation of manufacturing related equipment and facilities, information technology costs, personnel costs, including wages and stock-based compensation, estimated warranty costs and charges to reduce inventories to their net realizable value less costs to sell or charges for inventory obsolescence.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Cost of revenue related to battery pack systems, supplies and related services for electric vehicles primarily consists of direct parts and materials, shipping and handling costs, personnel costs including wages and stock-based compensation, and estimated warranty costs related to battery pack systems. Cost of battery pack systems also includes allocated overhead costs such as depreciation of manufacturing related equipment and facilities, and information technology costs.</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 increased by $151.8 million for the year ended December 31, 2021, compared to the year ended December 31, 2020, primarily due to the manufacture and sale of our first production vehicles in the fourth quarter of 2021. We had significant personnel and overhead costs to operate our large-scale manufacturing facilities while ramping up production, with production activity for a limited quantity of vehicles in the quarter ended December 31, 2021. In the near term, we expect our production volume of vehicles to be significantly less than our manufacturing capacity. Additionally, we recorded an impairment charge of $48.9 million in the quarter ended December 31, 2021 to reduce our inventories to their net realizable values less costs to sell. We expect impairment charges could negatively affect our costs of vehicle sales in the near term as we ramp production volumes up toward our manufacturing capacity.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i/>
          <w:color w:val="000000"/>
          <w:sz w:val="20"/>
        </w:rPr>
        <w:t>Operating Expenses</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operating expenses for the periods presented (in thousands):</w:t>
      </w:r>
    </w:p>
    <w:tbl>
      <w:tblPr>
        <w:tblW w:w="7742" w:type="dxa"/>
        <w:jc w:val="left"/>
        <w:tblInd w:w="0" w:type="dxa"/>
        <w:tblCellMar>
          <w:top w:w="28" w:type="dxa"/>
          <w:left w:w="28" w:type="dxa"/>
          <w:bottom w:w="28" w:type="dxa"/>
          <w:right w:w="28" w:type="dxa"/>
        </w:tblCellMar>
      </w:tblPr>
      <w:tblGrid>
        <w:gridCol w:w="923"/>
        <w:gridCol w:w="812"/>
        <w:gridCol w:w="815"/>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210"/>
        <w:gridCol w:w="211"/>
        <w:gridCol w:w="532"/>
      </w:tblGrid>
      <w:tr>
        <w:trPr/>
        <w:tc>
          <w:tcPr>
            <w:tcW w:w="923"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 vs. 2020</w:t>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5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5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240" w:after="283"/>
        <w:rPr/>
      </w:pPr>
      <w:r>
        <w:rPr>
          <w:rFonts w:ascii="Times New Roman;sans-serif" w:hAnsi="Times New Roman;sans-serif"/>
          <w:b w:val="false"/>
          <w:i/>
          <w:color w:val="000000"/>
          <w:sz w:val="20"/>
        </w:rPr>
        <w:t>Research and Development</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efforts have primarily focused on the development of our battery and powertrain technology, the Lucid Air, Project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prototype material, engineering, design and testing services, and allocated facilities costs, such as office and rent expense and depreciation expense, and other engineering, designing, and testing expenses.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$239.1 million, or 47%, for the year ended December 31, 2021 as compared to the prior year. The increase was primarily attributable to increases in personnel-related expenses of $238.4 million due to growth in headcount (which included stock-based compensation expense of $133.6 million), increase in facilities related costs of $65.4 million, partially offset by a decrease of $64.7 million for prototype material, engineering, design and testing services.</w:t>
      </w:r>
    </w:p>
    <w:p>
      <w:pPr>
        <w:pStyle w:val="TextBody"/>
        <w:spacing w:lineRule="auto" w:line="288" w:before="240" w:after="283"/>
        <w:rPr/>
      </w:pPr>
      <w:r>
        <w:rPr>
          <w:rFonts w:ascii="Times New Roman;sans-serif" w:hAnsi="Times New Roman;sans-serif"/>
          <w:b w:val="false"/>
          <w:i/>
          <w:color w:val="000000"/>
          <w:sz w:val="20"/>
        </w:rPr>
        <w:t>Selling, General, and Administrative</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by $563.5 million, or over 633%, for the year ended December 31, 2021 as compared to the prior year. The increase was primarily attributable to increases in personnel-related expenses of $447.6 million due to growth in headcount (which included stock-based compensation expense of $370.0 million) and increase in facilities related costs of $53.4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other income and expense, net for the periods presented (in thousands):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702"/>
        <w:gridCol w:w="1489"/>
        <w:gridCol w:w="1496"/>
        <w:gridCol w:w="582"/>
        <w:gridCol w:w="360"/>
        <w:gridCol w:w="216"/>
        <w:gridCol w:w="216"/>
        <w:gridCol w:w="216"/>
        <w:gridCol w:w="216"/>
        <w:gridCol w:w="499"/>
        <w:gridCol w:w="308"/>
        <w:gridCol w:w="216"/>
        <w:gridCol w:w="109"/>
        <w:gridCol w:w="109"/>
        <w:gridCol w:w="109"/>
        <w:gridCol w:w="402"/>
        <w:gridCol w:w="404"/>
        <w:gridCol w:w="266"/>
        <w:gridCol w:w="109"/>
        <w:gridCol w:w="109"/>
        <w:gridCol w:w="109"/>
        <w:gridCol w:w="210"/>
        <w:gridCol w:w="211"/>
        <w:gridCol w:w="542"/>
      </w:tblGrid>
      <w:tr>
        <w:trPr/>
        <w:tc>
          <w:tcPr>
            <w:tcW w:w="1702"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1496"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9" w:type="dxa"/>
            <w:gridSpan w:val="9"/>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2" w:type="dxa"/>
            <w:gridSpan w:val="9"/>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 vs. 2020</w:t>
            </w:r>
          </w:p>
        </w:tc>
      </w:tr>
      <w:tr>
        <w:trPr/>
        <w:tc>
          <w:tcPr>
            <w:tcW w:w="4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6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forward contracts</w:t>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(454,546)</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(118,382)</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(336,164)</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convertible preferred stock warrant liability</w:t>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(6,976)</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(5,771)</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common stock warrant liability</w:t>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(582,760)</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(582,760)</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46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costs expensed</w:t>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(2,717)</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(2,717)</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46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46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net</w:t>
            </w:r>
          </w:p>
        </w:tc>
        <w:tc>
          <w:tcPr>
            <w:tcW w:w="9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(1,049,266)</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(120,341)</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(928,925)</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0"/>
        <w:rPr/>
      </w:pPr>
      <w:r>
        <w:rPr>
          <w:rFonts w:ascii="Times New Roman;sans-serif" w:hAnsi="Times New Roman;sans-serif"/>
          <w:b w:val="false"/>
          <w:i/>
          <w:color w:val="000000"/>
          <w:sz w:val="20"/>
        </w:rPr>
        <w:t xml:space="preserve">*nm </w:t>
      </w:r>
      <w:r>
        <w:rPr>
          <w:rFonts w:ascii="Times New Roman;sans-serif" w:hAnsi="Times New Roman;sans-serif"/>
          <w:b w:val="false"/>
          <w:color w:val="000000"/>
          <w:sz w:val="20"/>
        </w:rPr>
        <w:t>- not meaningful</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Change in Fair Value of Contingent Forward Contracts</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contingent forward contracts provided the holder the right to purchase Legacy Lucid Series D preferred stock and Legacy Lucid Series E preferred stock in future periods and were subject to remeasurement to fair value at each balance sheet date. Changes in the fair value of our contingent forward contracts were recognized in the consolidated statements of operations and comprehensive loss.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Change in contingent forward contracts liability increased by $336.2 million, or over 284%, for the year ended December 31, 2021 as compared to the prior year primarily due to the change in fair value of the Legacy Lucid Series E contingent forward contracts. The Legacy Lucid Series E contingent forward contracts were settled during six months ended June 30,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val="false"/>
          <w:i/>
          <w:color w:val="000000"/>
          <w:sz w:val="20"/>
        </w:rPr>
        <w:t>Change in Fair Value of Convertible Preferred Stock Warrant Liability</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convertible preferred stock warrant liability related to the warrants to purchase shares of Legacy Lucid Series D preferred stock was subject to remeasurement to fair value at each balance sheet date. Changes in the fair value of our convertible preferred stock warrant liability were recognized in the consolidated statements of operations and comprehensive loss. All issued and outstanding shares of Legacy Lucid Series D preferred stock were settled in March 2021 and there will no longer be future earnings adjustments pertaining to the convertible preferred share warrant liability related to Legacy Lucid Series D preferred stock.</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recorded loss of $7.0 million for the year ended December 31, 2021 due to the changes in fair value of the convertible preferred stock warrant liability related to Legacy Lucid Series D preferred stock upon the exercise and settlement of all outstanding warrants to purchase Legacy Lucid Series D preferred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Change in Fair Value of Common Stock Warrant Liability </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Our common stock warrant liability relates to the private warrants to purchase shares of Lucid Group common stock that were effectively issued upon the Closing in connection with the reverse recapitalization treatment of the Merger. Our common stock warrant liability is subject to remeasurement to fair value at each balance sheet date. Changes in the fair value of our common stock warrant liability were recognized in the consolidated statements of operations and comprehensive loss.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private warrants remained unexercised as of December 31, 2021. The liability was remeasured to fair value, resulting in a loss of $582.8 million for the year ended December 31, 2021, and was classified within change in fair value of common stock warrant liability in the consolidated statements of operations. See Note 9 - Common Stock Warrant Liability in our consolidated financial statements included elsewhere in this Annual Report for more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Transaction Costs Expensed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Merger, we incurred $2.7 million in one-time direct and incremental transaction costs, consisting of banking, legal, and other professional fees. Transaction costs incurred by Lucid were allocated on a relative fair value basis between equity and liability-classified instruments deemed to be issued for financial reporting purposes at the Closing by Lucid. The transaction costs of $36.2 million allocable to equity-classified instruments, including the common stock and public warrants, were charged as a direct reduction to Lucid’s additional paid-in capital of the gross proceeds remitted to Lucid from Churchill. The transaction costs of $2.7 million allocable to liability-classified instruments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measured at fair value, including the private warrants, were charged to the consolidated statement of operations upon the Closing for the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val="false"/>
          <w:i/>
          <w:color w:val="000000"/>
          <w:sz w:val="20"/>
        </w:rPr>
        <w:t>Interest Expense</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primarily of the interest incurred related to the 2026 Notes issued in December 2021, and on our capital leases.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Interest expense incurred related to the 2026 Notes is not material for the year ended December 31, 2021. Interest expense did not significantly fluctuate during the year ended December 31, 2021 as compared to the prior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Other expense, net consists primarily of foreign currency gains and losses.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Other expense did not significantly fluctuate during the year ended December 31, 2021 as compared to the prior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i/>
          <w:color w:val="000000"/>
          <w:sz w:val="20"/>
        </w:rPr>
        <w:t>Provision for (Benefit from) Income Taxes</w:t>
      </w:r>
      <w:r>
        <w:rPr>
          <w:color w:val="000000"/>
        </w:rPr>
        <w:t xml:space="preserve"> </w:t>
      </w:r>
    </w:p>
    <w:tbl>
      <w:tblPr>
        <w:tblW w:w="7507" w:type="dxa"/>
        <w:jc w:val="left"/>
        <w:tblInd w:w="0" w:type="dxa"/>
        <w:tblCellMar>
          <w:top w:w="28" w:type="dxa"/>
          <w:left w:w="28" w:type="dxa"/>
          <w:bottom w:w="28" w:type="dxa"/>
          <w:right w:w="28" w:type="dxa"/>
        </w:tblCellMar>
      </w:tblPr>
      <w:tblGrid>
        <w:gridCol w:w="1109"/>
        <w:gridCol w:w="973"/>
        <w:gridCol w:w="977"/>
        <w:gridCol w:w="221"/>
        <w:gridCol w:w="221"/>
        <w:gridCol w:w="221"/>
        <w:gridCol w:w="221"/>
        <w:gridCol w:w="221"/>
        <w:gridCol w:w="221"/>
        <w:gridCol w:w="248"/>
        <w:gridCol w:w="248"/>
        <w:gridCol w:w="221"/>
        <w:gridCol w:w="109"/>
        <w:gridCol w:w="109"/>
        <w:gridCol w:w="109"/>
        <w:gridCol w:w="265"/>
        <w:gridCol w:w="265"/>
        <w:gridCol w:w="266"/>
        <w:gridCol w:w="122"/>
        <w:gridCol w:w="122"/>
        <w:gridCol w:w="122"/>
        <w:gridCol w:w="268"/>
        <w:gridCol w:w="268"/>
        <w:gridCol w:w="380"/>
      </w:tblGrid>
      <w:tr>
        <w:trPr/>
        <w:tc>
          <w:tcPr>
            <w:tcW w:w="1109"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 vs. 2020</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bl>
    <w:p>
      <w:pPr>
        <w:pStyle w:val="TextBody"/>
        <w:spacing w:lineRule="auto" w:line="288" w:before="0" w:after="0"/>
        <w:rPr/>
      </w:pPr>
      <w:r>
        <w:rPr>
          <w:rFonts w:ascii="Times New Roman;sans-serif" w:hAnsi="Times New Roman;sans-serif"/>
          <w:b w:val="false"/>
          <w:i/>
          <w:color w:val="000000"/>
          <w:sz w:val="20"/>
        </w:rPr>
        <w:t xml:space="preserve">*nm </w:t>
      </w:r>
      <w:r>
        <w:rPr>
          <w:rFonts w:ascii="Times New Roman;sans-serif" w:hAnsi="Times New Roman;sans-serif"/>
          <w:b w:val="false"/>
          <w:color w:val="000000"/>
          <w:sz w:val="20"/>
        </w:rPr>
        <w:t>- not meaningful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provision for (benefit from) income taxes consists of an estimate for U.S. federal and state income taxes based on enacted rates, as adjusted for allowable credits, deductions, uncertain tax positions, changes in deferred tax assets and liabilities, and changes in the tax law. We maintain a valuation allowance against the full value of our U.S. and state net deferred tax assets because we believe it is more likely than not that the recoverability of these deferred tax assets will not be realized.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provision for (benefit from) income taxes did not significantly fluctuate during the year ended December 31, 2021 as compared to the prior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Liquidity and Capital Resources</w:t>
      </w:r>
      <w:r>
        <w:rPr>
          <w:color w:val="000000"/>
        </w:rPr>
        <w:t xml:space="preserve">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Lucid had $6.3 billion of cash and cash equivalents. Our sources of cash are predominantly from proceeds from Lucid’s de-SPAC transaction with Churchill (plus PIPE), and the issuance of convertible debt.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expect that our current sources of liquidity together with our projection of cash flows from operating activities will provide us with adequate liquidity over at least the next 12 months, including investment in funding (i) ongoing operations, (ii) research and development projects for new products/ technologies, (iii) ongoing production and manufacturing ramps at existing manufacturing facilities in Casa Grande, Arizona, (iv) Phase 2 of construction at Advanced Manufacturing Plant 1 (“AMP-1”) in Casa Grande, Arizona, (v) the start of construction of a manufacturing facility in the Kingdom of Saudi Arabia, (vi) retail Studios and service centers, and (vii) other initiatives related to the sale of vehicles and/ or technology.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anticipate our cumulative spending on capital expenditures to be in the range of $2.0 billion over the next twelve months to support our continued commercialization and growth objectives as we strategically invest in manufacturing capacity and capabilities, our retail Studios and service center footprint throughout North America and across the globe, development of different products and technologies, and other areas supporting the growth of Lucid’s business. We expect our operating expenses to increase in the 2022 calendar year to grow and support the operations of a global automotive company targeting volumes in line with Lucid’s aspirations.</w:t>
      </w:r>
    </w:p>
    <w:p>
      <w:pPr>
        <w:pStyle w:val="TextBody"/>
        <w:spacing w:lineRule="auto" w:line="288" w:before="240" w:after="283"/>
        <w:rPr/>
      </w:pPr>
      <w:r>
        <w:rPr>
          <w:rFonts w:ascii="Times New Roman;sans-serif" w:hAnsi="Times New Roman;sans-serif"/>
          <w:b w:val="false"/>
          <w:color w:val="000000"/>
          <w:sz w:val="20"/>
        </w:rPr>
        <w:t>As of December 31, 2021, our total minimum lease payments are $311.8 million, of which $36.7 million is due in the succeeding 12 months.</w:t>
      </w:r>
      <w:r>
        <w:rPr>
          <w:color w:val="000000"/>
        </w:rPr>
        <w:t xml:space="preserve"> </w:t>
      </w:r>
      <w:r>
        <w:rPr>
          <w:rFonts w:ascii="Times New Roman;sans-serif" w:hAnsi="Times New Roman;sans-serif"/>
          <w:b w:val="false"/>
          <w:color w:val="000000"/>
          <w:sz w:val="20"/>
        </w:rPr>
        <w:t>We also have an agreement to spend $804.3 million to purchase battery cells over the next four years.</w:t>
      </w:r>
      <w:r>
        <w:rPr>
          <w:color w:val="000000"/>
        </w:rPr>
        <w:t xml:space="preserve"> </w:t>
      </w:r>
      <w:r>
        <w:rPr>
          <w:rFonts w:ascii="Times New Roman;sans-serif" w:hAnsi="Times New Roman;sans-serif"/>
          <w:b w:val="false"/>
          <w:color w:val="000000"/>
          <w:sz w:val="20"/>
        </w:rPr>
        <w:t xml:space="preserve">For details regarding these obligations, refer to Note 14 - Leases and Note 15 - Commitments and Contingencies. We may incur additional payments due as a result of the cash associated with the net settlement of the CEO RSU Award further described below.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Lucid entered into a purchase agreement pursuant to which we issued $2,012.5 million of the 2026 Notes. The 2026 Notes accrue interest at a rate of 1.25% per annum, payable semi-annually in arrears on June 15 and December 15 of each year, beginning on June 15, 2022. The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generated significant losses from our operations as reflected in our accumulated deficit of $6.1 billion and $1.4 billion as of December 31, 2021 and 2020, respectively. Additionally, we have generated significant negative cash flows from operations and investing activities as we continue to support the growth of our business. </w:t>
      </w:r>
    </w:p>
    <w:p>
      <w:pPr>
        <w:pStyle w:val="TextBody"/>
        <w:spacing w:lineRule="auto" w:line="288" w:before="240" w:after="283"/>
        <w:rPr/>
      </w:pPr>
      <w:r>
        <w:rPr>
          <w:rFonts w:ascii="Times New Roman;sans-serif" w:hAnsi="Times New Roman;sans-serif"/>
          <w:b w:val="false"/>
          <w:color w:val="000000"/>
          <w:sz w:val="20"/>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in Part I, Item 1A.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 (in thousands):</w:t>
      </w:r>
    </w:p>
    <w:tbl>
      <w:tblPr>
        <w:tblW w:w="9182" w:type="dxa"/>
        <w:jc w:val="left"/>
        <w:tblInd w:w="0" w:type="dxa"/>
        <w:tblCellMar>
          <w:top w:w="28" w:type="dxa"/>
          <w:left w:w="28" w:type="dxa"/>
          <w:bottom w:w="28" w:type="dxa"/>
          <w:right w:w="28" w:type="dxa"/>
        </w:tblCellMar>
      </w:tblPr>
      <w:tblGrid>
        <w:gridCol w:w="1720"/>
        <w:gridCol w:w="1515"/>
        <w:gridCol w:w="1520"/>
        <w:gridCol w:w="524"/>
        <w:gridCol w:w="526"/>
        <w:gridCol w:w="176"/>
        <w:gridCol w:w="152"/>
        <w:gridCol w:w="152"/>
        <w:gridCol w:w="152"/>
        <w:gridCol w:w="487"/>
        <w:gridCol w:w="489"/>
        <w:gridCol w:w="176"/>
        <w:gridCol w:w="152"/>
        <w:gridCol w:w="152"/>
        <w:gridCol w:w="152"/>
        <w:gridCol w:w="449"/>
        <w:gridCol w:w="451"/>
        <w:gridCol w:w="237"/>
      </w:tblGrid>
      <w:tr>
        <w:trPr/>
        <w:tc>
          <w:tcPr>
            <w:tcW w:w="1720"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(1,058,133)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(570,196)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(235,299)</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(420,693)</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(459,582)</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(104,290)</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7,136,428 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1,290,545 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621,432 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10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5,657,602 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260,767 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281,843 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Cash Used in Operating Activities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used in operating activities to date have been primarily comprised of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 </w:t>
      </w:r>
    </w:p>
    <w:p>
      <w:pPr>
        <w:pStyle w:val="TextBody"/>
        <w:spacing w:lineRule="auto" w:line="288" w:before="240" w:after="283"/>
        <w:rPr/>
      </w:pPr>
      <w:r>
        <w:rPr>
          <w:rFonts w:ascii="Times New Roman;sans-serif" w:hAnsi="Times New Roman;sans-serif"/>
          <w:b w:val="false"/>
          <w:color w:val="000000"/>
          <w:sz w:val="20"/>
        </w:rPr>
        <w:t>Net cash used in operating activities of $1,058.1 million for the year ended December 31, 2021 primarily consisted of $2,579.8 million of net loss, adjusted for $1,704.2 million</w:t>
      </w:r>
      <w:r>
        <w:rPr>
          <w:color w:val="231F20"/>
        </w:rPr>
        <w:t xml:space="preserve"> </w:t>
      </w:r>
      <w:r>
        <w:rPr>
          <w:rFonts w:ascii="Times New Roman;sans-serif" w:hAnsi="Times New Roman;sans-serif"/>
          <w:b w:val="false"/>
          <w:color w:val="231F20"/>
          <w:sz w:val="20"/>
        </w:rPr>
        <w:t xml:space="preserve">of non-cash charges and an increase in net operating assets of $182.5 million. The non-cash charges primarily included losses for changes in fair value of contingent forward contracts and warrant liabilities of $1,044.3 million, stock-based compensation expense of $516.8 million, non-cash operating lease cost of $12.6 million, depreciation and amortization of property and equipment of $62.9 million, amortization of insurance premium of $18.5 million, and write-down of inventory of $48.9 million. The decrease in net operating assets is primarily due </w:t>
      </w:r>
      <w:r>
        <w:rPr>
          <w:rFonts w:ascii="Times New Roman;sans-serif" w:hAnsi="Times New Roman;sans-serif"/>
          <w:b w:val="false"/>
          <w:color w:val="000000"/>
          <w:sz w:val="20"/>
        </w:rPr>
        <w:t>to a decrease in operating assets of $253.7 million offset by an increase in operating liabilities of $71.2 million.</w:t>
      </w:r>
    </w:p>
    <w:p>
      <w:pPr>
        <w:pStyle w:val="TextBody"/>
        <w:spacing w:lineRule="auto" w:line="288" w:before="240" w:after="283"/>
        <w:rPr/>
      </w:pPr>
      <w:r>
        <w:rPr>
          <w:rFonts w:ascii="Times New Roman;sans-serif" w:hAnsi="Times New Roman;sans-serif"/>
          <w:b w:val="false"/>
          <w:color w:val="000000"/>
          <w:sz w:val="20"/>
        </w:rPr>
        <w:t>Net cash used in operating activities of $570.2 million for the year ended December 31, 2020 primarily consisted of $719.4 million of net losses, adjusted for $134.6 million of non-cash charges and a decrease in net operating assets and liabilities of $14.6 million. The non-cash charges primarily included the changes in stock-based compensation of $4.6 million, depreciation and amortization of $10.4 million, and the fair value of contingent forward contracts and warrant liabilities of $119.6 million. The decrease in net operating assets and liabilities primarily relate to decreases in operating assets of $17.8 million and decreases in operating liabilities of $3.2 million.</w:t>
      </w:r>
      <w:r>
        <w:rPr>
          <w:color w:val="000000"/>
        </w:rPr>
        <w:t xml:space="preserve"> </w:t>
      </w:r>
    </w:p>
    <w:p>
      <w:pPr>
        <w:pStyle w:val="TextBody"/>
        <w:spacing w:lineRule="auto" w:line="288" w:before="240" w:after="283"/>
        <w:rPr/>
      </w:pPr>
      <w:r>
        <w:rPr>
          <w:rFonts w:ascii="Times New Roman;sans-serif" w:hAnsi="Times New Roman;sans-serif"/>
          <w:b/>
          <w:i/>
          <w:color w:val="000000"/>
          <w:sz w:val="20"/>
        </w:rPr>
        <w:t>Cash Used in Investing Activities</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experience negative cash flows from investing activities as we expand our business and continue to build our infrastructure. Cash flows from investing activities primarily relate to capital expenditures to support our growth. </w:t>
      </w:r>
    </w:p>
    <w:p>
      <w:pPr>
        <w:pStyle w:val="TextBody"/>
        <w:spacing w:lineRule="auto" w:line="288" w:before="240" w:after="283"/>
        <w:rPr/>
      </w:pPr>
      <w:r>
        <w:rPr>
          <w:rFonts w:ascii="Times New Roman;sans-serif" w:hAnsi="Times New Roman;sans-serif"/>
          <w:b w:val="false"/>
          <w:color w:val="000000"/>
          <w:sz w:val="20"/>
        </w:rPr>
        <w:t>Net cash used in investing activities of $420.7 million for the year ended December 31, 2021 was primarily attributable to capital expenditures. Net cash used in investing activities of $459.6 million for the year ended December 31, 2020 was entirely attributable to capital expenditures.</w:t>
      </w:r>
      <w:r>
        <w:rPr>
          <w:color w:val="000000"/>
        </w:rPr>
        <w:t xml:space="preserve">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0"/>
        <w:rPr/>
      </w:pPr>
      <w:r>
        <w:rPr/>
      </w:r>
    </w:p>
    <w:p>
      <w:pPr>
        <w:pStyle w:val="TextBody"/>
        <w:spacing w:lineRule="auto" w:line="288" w:before="240" w:after="283"/>
        <w:rPr/>
      </w:pPr>
      <w:r>
        <w:rPr>
          <w:rFonts w:ascii="Times New Roman;sans-serif" w:hAnsi="Times New Roman;sans-serif"/>
          <w:b/>
          <w:i/>
          <w:color w:val="000000"/>
          <w:sz w:val="20"/>
        </w:rPr>
        <w:t>Cash Provided by Financing Activities</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our operations primarily from the issuances of equity securities, including convertible preferred stock, the proceeds of the Merger, and the 2026 Notes.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of $7,136.4 million during the year ended December 31, 2021 was primarily attributable to gross proceeds of approximately $4,439.2 million from the Merger, $600.0 million of proceeds from the issuance of Legacy Lucid Series E preferred stock, $173.3 million of proceeds from the exercises of public warrants, $2,002.4 million in net proceeds from the issuance of the 2026 Notes, $3.0 million of proceeds from the issuance of Legacy Lucid Series D preferred stock, $8.1 million of proceeds from the exercises of stock options, and $41.9 million in proceeds from short-term insurance financing notes, partially offset by $15.9 million for the payment of transaction costs for the issuance of the 2026 Notes, $27.9 million for the payment of short-term insurance financing note, $3.1 million for the payment of finance lease liabilities, $3.0 million cash paid for the repurchase of Legacy Lucid Series B preferred stock, $38.9 million paid for transaction costs related to the Merger, $20.7 million for the repurchase of treasury stock, and $22.1 million for employee tax withholding related to stock repurchases.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$1,290.5 million during the year ended December 31, 2020 was primarily attributable to $899.7 million of proceeds from the issuance of Lucid Series E Preferred Shares, $400.0 million of proceeds from the issuance of Lucid Series D Preferred Shares and $3.3 million of proceeds from the exercises of stock options, partially offset by the $12.1 million repurchase of Lucid Series C Preferred Shares.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Critical Accounting Policies and Estimates</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and the related notes thereto included elsewhere in this Annual Report are prepared in accordance with generally accepted accounting principles in the United States (“U.S. GAAP”). The preparation of our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For additional information about our accounting policies, see Note 2 - Summary of Significant Accounting Policies in the consolidated financial statements included elsewhere in this Annual Report.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Inventory Valuation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or net realizable value. Cost is computed using standard cost for vehicles, which approximates actual cost on a first-in, first-out basis. We record inventory write-downs for excess or obsolete inventories based upon assumptions about current and future demand forecasts. If our inventory on-hand is in excess of future demand forecast, the excess amounts are written-off.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Inventory is also reviewed to determine whether its carrying value exceeds the net amount realizable upon the ultimate sale of the inventory. This requires us to determine the selling price of our vehicles less the estimated cost to convert the inventory on-hand into a finished product. Once inventory is written-down, a new, lower cost basis for that inventory is established and subsequent changes in facts and circumstances do not result in the restoration or increase in that newly established cost basis.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have granted stock-based awards consisting primarily of incentive and non-qualified stock options and restricted stock units (“RSUs”) to employees, members of our board of directors, and non-employees.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spacing w:lineRule="auto" w:line="288" w:before="240" w:after="283"/>
        <w:rPr/>
      </w:pPr>
      <w:r>
        <w:rPr>
          <w:rFonts w:ascii="Times New Roman;sans-serif" w:hAnsi="Times New Roman;sans-serif"/>
          <w:b w:val="false"/>
          <w:color w:val="000000"/>
          <w:sz w:val="20"/>
        </w:rPr>
        <w:t>Stock options generally vest over four years, and the majority of which vest at a rate of 25% on the first anniversary of the grant date, with the remainder vesting ratably each month over the next three years.</w:t>
      </w:r>
      <w:r>
        <w:rPr>
          <w:color w:val="231F20"/>
        </w:rPr>
        <w:t xml:space="preserve"> </w:t>
      </w:r>
      <w:r>
        <w:rPr>
          <w:rFonts w:ascii="Times New Roman;sans-serif" w:hAnsi="Times New Roman;sans-serif"/>
          <w:b w:val="false"/>
          <w:color w:val="231F20"/>
          <w:sz w:val="20"/>
        </w:rPr>
        <w:t xml:space="preserve">Stock options generally expire 10 years from the date of grant and are exercisable when the options vest. Stock-based compensation expense for stock options is generally recognized on a straight-line basis over the requisite service period based on the estimated fair value of the awards on the date of grant. We estimate the fair value of stock options granted using the Black-Scholes option-pricing model. The Black-Scholes option-pricing model requires certain subjective inputs and assumptions, including the fair value of our underlying common stock, expected common stock price volatility, expected dividend yield of our common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stock, risk-free interest rates, and the expected option term. The assumptions used in the Black-Scholes option-pricing model are estimated as follows:</w:t>
      </w:r>
    </w:p>
    <w:p>
      <w:pPr>
        <w:pStyle w:val="TextBody"/>
        <w:spacing w:lineRule="auto" w:line="288" w:before="240" w:after="283"/>
        <w:rPr/>
      </w:pPr>
      <w:r>
        <w:rPr>
          <w:rFonts w:ascii="Times New Roman;sans-serif" w:hAnsi="Times New Roman;sans-serif"/>
          <w:b w:val="false"/>
          <w:i/>
          <w:color w:val="231F20"/>
          <w:sz w:val="20"/>
        </w:rPr>
        <w:t>Fair value of common stock</w:t>
      </w:r>
      <w:r>
        <w:rPr>
          <w:color w:val="231F20"/>
        </w:rPr>
        <w:t xml:space="preserve"> — </w:t>
      </w:r>
      <w:r>
        <w:rPr>
          <w:rFonts w:ascii="Times New Roman;sans-serif" w:hAnsi="Times New Roman;sans-serif"/>
          <w:b w:val="false"/>
          <w:color w:val="231F20"/>
          <w:sz w:val="20"/>
        </w:rPr>
        <w:t xml:space="preserve">The fair value of our common stock was estimated because our common stock had not yet been publicly traded prior to the Merger. </w:t>
      </w:r>
    </w:p>
    <w:p>
      <w:pPr>
        <w:pStyle w:val="TextBody"/>
        <w:spacing w:lineRule="auto" w:line="288" w:before="240" w:after="283"/>
        <w:rPr/>
      </w:pPr>
      <w:r>
        <w:rPr>
          <w:rFonts w:ascii="Times New Roman;sans-serif" w:hAnsi="Times New Roman;sans-serif"/>
          <w:b w:val="false"/>
          <w:i/>
          <w:color w:val="231F20"/>
          <w:sz w:val="20"/>
        </w:rPr>
        <w:t>Expected Volatility</w:t>
      </w:r>
      <w:r>
        <w:rPr>
          <w:color w:val="231F20"/>
        </w:rPr>
        <w:t xml:space="preserve"> — </w:t>
      </w:r>
      <w:r>
        <w:rPr>
          <w:rFonts w:ascii="Times New Roman;sans-serif" w:hAnsi="Times New Roman;sans-serif"/>
          <w:b w:val="false"/>
          <w:color w:val="231F20"/>
          <w:sz w:val="20"/>
        </w:rPr>
        <w:t>The volatility rate was determined by using an average of historical volatilities of selected industry peers deemed to be comparable to our business corresponding to the expected option term as we did not have sufficient history of trading in our common stock prior to the Merger.</w:t>
      </w:r>
    </w:p>
    <w:p>
      <w:pPr>
        <w:pStyle w:val="TextBody"/>
        <w:spacing w:lineRule="auto" w:line="288" w:before="240" w:after="283"/>
        <w:rPr/>
      </w:pPr>
      <w:r>
        <w:rPr>
          <w:rFonts w:ascii="Times New Roman;sans-serif" w:hAnsi="Times New Roman;sans-serif"/>
          <w:b w:val="false"/>
          <w:i/>
          <w:color w:val="231F20"/>
          <w:sz w:val="20"/>
        </w:rPr>
        <w:t>Dividend Yield</w:t>
      </w:r>
      <w:r>
        <w:rPr>
          <w:color w:val="231F20"/>
        </w:rPr>
        <w:t xml:space="preserve"> — </w:t>
      </w:r>
      <w:r>
        <w:rPr>
          <w:rFonts w:ascii="Times New Roman;sans-serif" w:hAnsi="Times New Roman;sans-serif"/>
          <w:b w:val="false"/>
          <w:color w:val="231F20"/>
          <w:sz w:val="20"/>
        </w:rPr>
        <w:t>The expected dividend yield was zero as we had never declared or paid cash dividends and have no current plans to do so in the foreseeable future.</w:t>
      </w:r>
    </w:p>
    <w:p>
      <w:pPr>
        <w:pStyle w:val="TextBody"/>
        <w:spacing w:lineRule="auto" w:line="288" w:before="240" w:after="283"/>
        <w:rPr/>
      </w:pPr>
      <w:r>
        <w:rPr>
          <w:rFonts w:ascii="Times New Roman;sans-serif" w:hAnsi="Times New Roman;sans-serif"/>
          <w:b w:val="false"/>
          <w:i/>
          <w:color w:val="231F20"/>
          <w:sz w:val="20"/>
        </w:rPr>
        <w:t>Risk Free Interest Rate</w:t>
      </w:r>
      <w:r>
        <w:rPr>
          <w:color w:val="231F20"/>
        </w:rPr>
        <w:t xml:space="preserve"> — </w:t>
      </w:r>
      <w:r>
        <w:rPr>
          <w:rFonts w:ascii="Times New Roman;sans-serif" w:hAnsi="Times New Roman;sans-serif"/>
          <w:b w:val="false"/>
          <w:color w:val="231F20"/>
          <w:sz w:val="20"/>
        </w:rPr>
        <w:t>The risk-free interest rate was based on the U.S. Treasury yield curve in effect at the time of grant for zero-coupon U.S. Treasury notes with maturities corresponding to the expected option term.</w:t>
      </w:r>
    </w:p>
    <w:p>
      <w:pPr>
        <w:pStyle w:val="TextBody"/>
        <w:spacing w:lineRule="auto" w:line="288" w:before="240" w:after="283"/>
        <w:rPr/>
      </w:pPr>
      <w:r>
        <w:rPr>
          <w:rFonts w:ascii="Times New Roman;sans-serif" w:hAnsi="Times New Roman;sans-serif"/>
          <w:b w:val="false"/>
          <w:i/>
          <w:color w:val="231F20"/>
          <w:sz w:val="20"/>
        </w:rPr>
        <w:t xml:space="preserve">Expected Option Term </w:t>
      </w:r>
      <w:r>
        <w:rPr>
          <w:color w:val="231F20"/>
        </w:rPr>
        <w:t xml:space="preserve">— </w:t>
      </w:r>
      <w:r>
        <w:rPr>
          <w:rFonts w:ascii="Times New Roman;sans-serif" w:hAnsi="Times New Roman;sans-serif"/>
          <w:b w:val="false"/>
          <w:color w:val="231F20"/>
          <w:sz w:val="20"/>
        </w:rPr>
        <w:t>The expected option term represented the period that the Lucid Group Options were expected to be outstanding and is based on historical experience of similar awards, giving consideration to the contractual terms, vesting schedules and expectations of future employee behavior.</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continue to use judgment in evaluating the expected volatility over the expected option term and the expected option term utilized in our stock-based compensation expense calculation on a prospective basis. As we continue to accumulate additional data related to our common stock, we may refine our estimates of the expected volatility over the expected option term, which could materially impact our future stock- based compensation expense.</w:t>
      </w:r>
    </w:p>
    <w:p>
      <w:pPr>
        <w:pStyle w:val="TextBody"/>
        <w:spacing w:lineRule="auto" w:line="288" w:before="240" w:after="283"/>
        <w:rPr>
          <w:rFonts w:ascii="Times New Roman;sans-serif" w:hAnsi="Times New Roman;sans-serif"/>
          <w:b w:val="false"/>
          <w:i/>
          <w:color w:val="231F20"/>
          <w:sz w:val="20"/>
        </w:rPr>
      </w:pPr>
      <w:r>
        <w:rPr>
          <w:rFonts w:ascii="Times New Roman;sans-serif" w:hAnsi="Times New Roman;sans-serif"/>
          <w:b w:val="false"/>
          <w:i/>
          <w:color w:val="231F20"/>
          <w:sz w:val="20"/>
        </w:rPr>
        <w:t>RSUs</w:t>
      </w:r>
    </w:p>
    <w:p>
      <w:pPr>
        <w:pStyle w:val="TextBody"/>
        <w:spacing w:before="0" w:after="0"/>
        <w:rPr/>
      </w:pPr>
      <w:r>
        <w:rPr/>
      </w:r>
    </w:p>
    <w:p>
      <w:pPr>
        <w:pStyle w:val="TextBody"/>
        <w:spacing w:lineRule="auto" w:line="268" w:before="0" w:after="0"/>
        <w:rPr/>
      </w:pPr>
      <w:r>
        <w:rPr>
          <w:rFonts w:ascii="Times New Roman;sans-serif" w:hAnsi="Times New Roman;sans-serif"/>
          <w:b w:val="false"/>
          <w:color w:val="231F20"/>
          <w:sz w:val="20"/>
        </w:rPr>
        <w:t>RSUs are subject to both service-based and performance-based vesting conditions. The service-based vesting condition for these awards is typically satisfied equally over four years with a cliff vesting period of one year and continued vesting in equal quarterly installments thereafter. The performance-based vesting condition was satisfied upon the Closing</w:t>
      </w:r>
      <w:r>
        <w:rPr>
          <w:color w:val="000000"/>
        </w:rPr>
        <w:t xml:space="preserve"> </w:t>
      </w:r>
      <w:r>
        <w:rPr>
          <w:rFonts w:ascii="Times New Roman;sans-serif" w:hAnsi="Times New Roman;sans-serif"/>
          <w:b w:val="false"/>
          <w:color w:val="000000"/>
          <w:sz w:val="20"/>
        </w:rPr>
        <w:t>of the Merger</w:t>
      </w:r>
      <w:r>
        <w:rPr>
          <w:rFonts w:ascii="Times New Roman;sans-serif" w:hAnsi="Times New Roman;sans-serif"/>
          <w:b w:val="false"/>
          <w:color w:val="231F20"/>
          <w:sz w:val="20"/>
        </w:rPr>
        <w:t>. These qualifying liquidity events were not deemed probable until consummated, and therefore, stock-based compensation related to these RSUs remained unrecognized prior to the consummation of the</w:t>
      </w:r>
      <w:r>
        <w:rPr>
          <w:color w:val="000000"/>
        </w:rPr>
        <w:t xml:space="preserve"> </w:t>
      </w:r>
      <w:r>
        <w:rPr>
          <w:rFonts w:ascii="Times New Roman;sans-serif" w:hAnsi="Times New Roman;sans-serif"/>
          <w:b w:val="false"/>
          <w:color w:val="000000"/>
          <w:sz w:val="20"/>
        </w:rPr>
        <w:t>Merger</w:t>
      </w:r>
      <w:r>
        <w:rPr>
          <w:rFonts w:ascii="Times New Roman;sans-serif" w:hAnsi="Times New Roman;sans-serif"/>
          <w:b w:val="false"/>
          <w:color w:val="231F20"/>
          <w:sz w:val="20"/>
        </w:rPr>
        <w:t>.</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estimate the fair value of RSUs based on the estimated fair value of our underlying common stock as of the date of the grant. Stock-based compensation for RSUs is generally recognized on a graded vesting basis over the requisite service period once the performance condition is satisfied. Stock-based compensation for RSUs that vest based only on continuous service is recognized on a straight-line basis over the requisite service period.</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CEO RSU Award</w:t>
      </w:r>
    </w:p>
    <w:p>
      <w:pPr>
        <w:pStyle w:val="TextBody"/>
        <w:spacing w:lineRule="auto" w:line="288" w:before="240" w:after="283"/>
        <w:rPr/>
      </w:pPr>
      <w:r>
        <w:rPr>
          <w:rFonts w:ascii="Times New Roman;sans-serif" w:hAnsi="Times New Roman;sans-serif"/>
          <w:b w:val="false"/>
          <w:color w:val="231F20"/>
          <w:sz w:val="20"/>
        </w:rPr>
        <w:t>In March 2021, our board of directors approved the grant of RSUs to Peter Rawlinson as Lucid’s CEO (the “</w:t>
      </w:r>
      <w:r>
        <w:rPr>
          <w:rFonts w:ascii="Times New Roman;sans-serif" w:hAnsi="Times New Roman;sans-serif"/>
          <w:b w:val="false"/>
          <w:i/>
          <w:color w:val="231F20"/>
          <w:sz w:val="20"/>
        </w:rPr>
        <w:t>CEO RSU Award</w:t>
      </w:r>
      <w:r>
        <w:rPr>
          <w:color w:val="231F20"/>
        </w:rPr>
        <w:t>”</w:t>
      </w:r>
      <w:r>
        <w:rPr>
          <w:rFonts w:ascii="Times New Roman;sans-serif" w:hAnsi="Times New Roman;sans-serif"/>
          <w:b w:val="false"/>
          <w:color w:val="231F20"/>
          <w:sz w:val="20"/>
        </w:rPr>
        <w:t>) to encourage Mr. Rawlinson to focus on the long-term success of Lucid. The CEO RSU Award is comprised of RSUs that are subject to performance and service conditions (the “CEO Time-Based RSUs”) and RSUs that are subject to performance and market conditions (the “CEO Performance RSUs”), as described further below.</w:t>
      </w:r>
    </w:p>
    <w:p>
      <w:pPr>
        <w:pStyle w:val="TextBody"/>
        <w:spacing w:lineRule="auto" w:line="288" w:before="240" w:after="283"/>
        <w:rPr/>
      </w:pPr>
      <w:r>
        <w:rPr>
          <w:rFonts w:ascii="Times New Roman;sans-serif" w:hAnsi="Times New Roman;sans-serif"/>
          <w:b w:val="false"/>
          <w:i/>
          <w:color w:val="000000"/>
          <w:sz w:val="20"/>
        </w:rPr>
        <w:t xml:space="preserve">CEO Time-Based RSUs </w:t>
      </w:r>
      <w:r>
        <w:rPr>
          <w:color w:val="000000"/>
        </w:rPr>
        <w:t xml:space="preserve">— </w:t>
      </w:r>
      <w:r>
        <w:rPr>
          <w:rFonts w:ascii="Times New Roman;sans-serif" w:hAnsi="Times New Roman;sans-serif"/>
          <w:b w:val="false"/>
          <w:color w:val="000000"/>
          <w:sz w:val="20"/>
        </w:rPr>
        <w:t>The performance condition was satisfied upon the Closing of the Merger. The service conditions will be satisfied in 16 equal quarterly installments on March 5, June 5, September 5, and December 5 beginning on the first quarterly installment date that is at least two months after the Closing, which was December 5, 2021, provided that Mr. Rawlinson remains in continuous service through each vesting date.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grant date fair value of the CEO Time-Based RSUs will be recognized using a graded vesting attribution method over the service period for each tranche. The grant date fair value of the CEO Time-Based RSUs was based on the estimated fair value of Lucid’s underlying common stock as of the date of the grant. </w:t>
      </w:r>
    </w:p>
    <w:p>
      <w:pPr>
        <w:pStyle w:val="TextBody"/>
        <w:spacing w:lineRule="auto" w:line="288" w:before="240" w:after="283"/>
        <w:rPr/>
      </w:pPr>
      <w:r>
        <w:rPr>
          <w:rFonts w:ascii="Times New Roman;sans-serif" w:hAnsi="Times New Roman;sans-serif"/>
          <w:b w:val="false"/>
          <w:i/>
          <w:color w:val="000000"/>
          <w:sz w:val="20"/>
        </w:rPr>
        <w:t xml:space="preserve">CEO Performance RSUs </w:t>
      </w:r>
      <w:r>
        <w:rPr>
          <w:color w:val="000000"/>
        </w:rPr>
        <w:t xml:space="preserve">— </w:t>
      </w:r>
      <w:r>
        <w:rPr>
          <w:rFonts w:ascii="Times New Roman;sans-serif" w:hAnsi="Times New Roman;sans-serif"/>
          <w:b w:val="false"/>
          <w:color w:val="000000"/>
          <w:sz w:val="20"/>
        </w:rPr>
        <w:t>The performance condition was satisfied upon the Closing of the Merger. The market conditions will be satisfied based upon the achievement of certain market capitalization goals of Lucid Group and the continued employment of Mr. Rawlinson at each vesting date during the five-year period beginning after the Closing of the Merger. The CEO Performance RSUs will vest only if Lucid Group achieves the Lucid Group market capitalization targets, which if achieved, would allow Lucid Group’s other stockholders to benefit from the increases in our market capitalization. The Lucid market capitalization targets will be adjusted to reflect any stock splits, stock dividends, combinations, reorganizations, reclassifications, or other similar changes in capitalization or corporate events.</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grant date fair value of the CEO Performance RSUs will be recognized using a graded vesting attribution method over the estimated requisite service periods for the five tranches, regardless of whether the Lucid Group market capitalization targets are achieved. If the Lucid Group market capitalization targets are met sooner than the requisite service period, the stock-based compensation expense will be adjusted to reflect the cumulative expense associated with the vested award.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January 2022, the market capitalization condition was met for four of the five tranches of CEO Performance RSUs, representing 13,934,271 performance RSUs. The vesting of these four tranches is subject to continuous service, and review and certification by the Board of Directors, which we expect to occur in March 2022. As of December 31, 2021, the unamortized expense related to these four tranches amounted to $85.4 million which would be recognized as a stock-based compensation expense upon vesting.</w:t>
      </w:r>
    </w:p>
    <w:p>
      <w:pPr>
        <w:pStyle w:val="TextBody"/>
        <w:spacing w:lineRule="auto" w:line="288" w:before="240" w:after="283"/>
        <w:rPr/>
      </w:pPr>
      <w:r>
        <w:rPr>
          <w:rFonts w:ascii="Times New Roman;sans-serif" w:hAnsi="Times New Roman;sans-serif"/>
          <w:b w:val="false"/>
          <w:i/>
          <w:color w:val="000000"/>
          <w:sz w:val="20"/>
        </w:rPr>
        <w:t>Tax Withholding</w:t>
      </w:r>
      <w:r>
        <w:rPr>
          <w:color w:val="000000"/>
        </w:rPr>
        <w:t xml:space="preserve"> — </w:t>
      </w:r>
      <w:r>
        <w:rPr>
          <w:rFonts w:ascii="Times New Roman;sans-serif" w:hAnsi="Times New Roman;sans-serif"/>
          <w:b w:val="false"/>
          <w:color w:val="000000"/>
          <w:sz w:val="20"/>
        </w:rPr>
        <w:t>During the first year following the Closing of the Merger, we expect that we will settle tax withholding obligations in connection with any vesting of the CEO RSU Award through “net settlement,” i.e., by remitting cash to satisfy the tax withholding obligation and withholding a number of the vested shares on each vesting date. However, in each instance of vesting, we will assess the facts and circumstances at that time to determine the appropriate method of tax settlement, which could include the satisfaction of tax withholding obligations via open market “sell to cover” sales by our CEO to the extent required to cover such obligations. The amount of the tax withholding due on each vesting and net settlement date will be based on the fair value of the common stock on such vesting and net settlement date. Depending on the fair value of the common stock and the number of RSUs vesting on any applicable vesting and net settlement date, such net settlement could require us to expend substantial cash funds to satisfy tax withholding.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Common Stock Warrant Liability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accounted for privately placed common stock warrants (the “private warrants”) to purchase shares of Lucid Group common stock as liabilities at their estimated fair value because these private warrants are not deemed indexed to our common stock. The warrants were recorded at fair value upon issuance and were subject to remeasurement to fair value at each reporting period, with any fair value adjustments recognized as a component within other income (expense), net in our consolidated statements of operations and comprehensive loss. A portion of our private warrants are subject to certain contingent forfeiture provisions.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fair value of the private warrants that are not subject to the contingent forfeiture provisions was estimated using a Black-Scholes option pricing model that takes into account the contract terms as well as the quoted price of our common stock in an active market. The volatility is based on the actual market activity of our peer group as well as our historical volatility. The expected life is based on the remaining contractual term of the warrants, and the risk-free interest rate is based on the implied yield available on U.S. Treasury securities with a maturity equivalent to the warrants’ expected life.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fair value of the private warrants that are subject to the contingent forfeiture provisions was estimated using a Monte-Carlo simulation, which involved random iterations of future stock-price paths over the contractual life of the private warrants, including the probability distribution of outcomes, the payoff to the holder was determined based on the achievement of the various market thresholds within each simulated path. The present value of the payoff in each simulated trial is calculated, and the fair value of the liability is determined by taking the average of all present values.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See Note 9 - Common Stock Warrant Liability and Note 12 – Earnback Shares and Warrants to the consolidated financial statements included elsewhere in this Annual Report for more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Contingent Forward Contract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accounted for the contingent forward contract to purchase Legacy Lucid Series E preferred stock as a derivative liability because the contingent forward contract could require us to issue additional stock at a future date. The contingent forward contract was recorded at fair value upon issuance and was subject to remeasurement to fair value at each period end, with any fair value adjustments recognized as a component within other income (expense), net in our consolidated statements of operations and comprehensive loss. The fair value of the contingent forward contract liability for the Legacy Lucid Series E preferred stock issued in February 2021 and April 2021 was determined based on the forward payoff, which was determined as the difference between the estimated Legacy Lucid Series E preferred stock fair value and the $7.90 per share purchase price. We settled the contingent forward contract in April 2021.</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See Note 7 - Contingent Forward Contracts to the consolidated financial statements included elsewhere in this Annual Report for more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Convertible Preferred Stock Warrant Liability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accounted for warrants to purchase shares of Legacy Lucid Series D preferred stock as liabilities at their estimated fair value because these warrants obligate us to transfer assets to the holders at a future date under certain circumstances, such as a merger, acquisition, reorganization, sale of all or substantially all of our assets, each a change of control event. The warrants were recorded at fair value upon issuance and were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subject to remeasurement to fair value at each period end, with any fair value adjustments recognized as a component within other income (expense), net in our consolidated statements of operations and comprehensive loss. We used a Black-Scholes model to calculate the fair value of the redeemable convertible preferred stock warrant liability. In February 2021, all outstanding warrants to purchase shares of Legacy Lucid Series D Preferred Shares were exercised.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 Convertible Preferred Stock to the consolidated financial statements included elsewhere in this Annual Report for more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the asset and liability method in accounting for income taxes. Under this method, deferred tax assets and liabilities are recorded based on the estimated future tax effects of temporary differences between the financial reporting and tax bases of existing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We recognize the effect on deferred income taxes of a change in tax rates in the period that includes the enactment date. Valuation allowances are established when necessary to reduce deferred tax assets to the net amount that we believe is more-likely-than-not to be realized.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make estimates, assumptions and judgments to determine our provision for Lucid Group’s income taxes, deferred tax assets and liabilities, and any valuation allowance recorded against deferred tax assets. We consider all available evidence, both positive and negative, including historical levels of income, expectations and risks associated with estimates of future taxable income, and ongoing tax planning strategies in assessing the need for a valuation allowance. We assess the likelihood that our deferred tax assets will be recovered from future taxable income, and to the extent it believes that recovery is not likely, it establishes a valuation allowance.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Report, have not been material, are recognized within provision for income taxes.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See Note 2 - Summary of Significant Accounting Policies to our consolidated financial statements included elsewhere in this Annual Report for more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did not have during the periods presented, and we do not currently have, any off-balance sheet activities or have any arrangements or relationships with unconsolidated entities, such as variable interest, special purpose, and structured finance entities.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Item 7A. Qualitative and Quantitative Disclosures about Market Risk.</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 for changes in interest rates applicable to our cash and cash equivalents, restricted cash, and short-term investments. We had cash, cash equivalents and restricted cash totaling $6.3 billion as of December 31, 2021. Our cash and cash equivalents and short-term investments were invested primarily in money market funds and certificates of deposits. Our investment policy is focused on the preservation of capital and supporting our liquidity needs. Under the policy, we invest in highly rated securities, issued by the U.S. government or liquid money market funds. We do not invest in financial instruments for trading or speculative purposes, nor do we use leveraged financial instruments. We utilize external investment managers who adhere to the guidelines of our investment policy. A hypothetical 10% change in interest rates would not have a had material impact on the value of our cash, cash equivalents or short-term investments as of December 31,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0" w:after="0"/>
        <w:rPr/>
      </w:pPr>
      <w:r>
        <w:rPr/>
      </w:r>
    </w:p>
    <w:p>
      <w:pPr>
        <w:pStyle w:val="TextBody"/>
        <w:spacing w:before="240" w:after="283"/>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Index of Consolidated Financial Statements for the fiscal years ended December 31, 2021, 2020 and 2019.</w:t>
      </w:r>
    </w:p>
    <w:tbl>
      <w:tblPr>
        <w:tblW w:w="10205" w:type="dxa"/>
        <w:jc w:val="left"/>
        <w:tblInd w:w="0" w:type="dxa"/>
        <w:tblCellMar>
          <w:top w:w="28" w:type="dxa"/>
          <w:left w:w="28" w:type="dxa"/>
          <w:bottom w:w="28" w:type="dxa"/>
          <w:right w:w="28" w:type="dxa"/>
        </w:tblCellMar>
      </w:tblPr>
      <w:tblGrid>
        <w:gridCol w:w="3408"/>
        <w:gridCol w:w="2941"/>
        <w:gridCol w:w="2956"/>
        <w:gridCol w:w="109"/>
        <w:gridCol w:w="109"/>
        <w:gridCol w:w="109"/>
        <w:gridCol w:w="167"/>
        <w:gridCol w:w="167"/>
        <w:gridCol w:w="239"/>
      </w:tblGrid>
      <w:tr>
        <w:trPr/>
        <w:tc>
          <w:tcPr>
            <w:tcW w:w="3408" w:type="dxa"/>
            <w:tcBorders/>
            <w:shd w:fill="auto" w:val="clear"/>
            <w:vAlign w:val="center"/>
          </w:tcPr>
          <w:p>
            <w:pPr>
              <w:pStyle w:val="TableContents"/>
              <w:spacing w:before="0" w:after="283"/>
              <w:rPr>
                <w:sz w:val="4"/>
                <w:szCs w:val="4"/>
              </w:rPr>
            </w:pPr>
            <w:r>
              <w:rPr>
                <w:sz w:val="4"/>
                <w:szCs w:val="4"/>
              </w:rPr>
            </w:r>
          </w:p>
        </w:tc>
        <w:tc>
          <w:tcPr>
            <w:tcW w:w="2941" w:type="dxa"/>
            <w:tcBorders/>
            <w:shd w:fill="auto" w:val="clear"/>
            <w:vAlign w:val="center"/>
          </w:tcPr>
          <w:p>
            <w:pPr>
              <w:pStyle w:val="TableContents"/>
              <w:spacing w:before="0" w:after="283"/>
              <w:rPr>
                <w:sz w:val="4"/>
                <w:szCs w:val="4"/>
              </w:rPr>
            </w:pPr>
            <w:r>
              <w:rPr>
                <w:sz w:val="4"/>
                <w:szCs w:val="4"/>
              </w:rPr>
            </w:r>
          </w:p>
        </w:tc>
        <w:tc>
          <w:tcPr>
            <w:tcW w:w="29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9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3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pPr>
            <w:hyperlink w:anchor="ia0aee3224e084461b915ceeab76401ac_76">
              <w:r>
                <w:rPr>
                  <w:rStyle w:val="InternetLink"/>
                  <w:rFonts w:ascii="Times New Roman;sans-serif" w:hAnsi="Times New Roman;sans-serif"/>
                  <w:b w:val="false"/>
                  <w:color w:val="3051F2"/>
                  <w:sz w:val="20"/>
                  <w:u w:val="single"/>
                </w:rPr>
                <w:t>Report of Independent Registered Public Accounting Firm</w:t>
              </w:r>
            </w:hyperlink>
            <w:r>
              <w:rPr>
                <w:color w:val="3051F2"/>
              </w:rPr>
              <w:t xml:space="preserve"> </w:t>
            </w:r>
            <w:r>
              <w:rPr>
                <w:rFonts w:ascii="Times New Roman;sans-serif" w:hAnsi="Times New Roman;sans-serif"/>
                <w:b w:val="false"/>
                <w:color w:val="3051F2"/>
                <w:sz w:val="20"/>
              </w:rPr>
              <w:t>(PCAOB ID Number 248)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a0aee3224e084461b915ceeab76401ac_76">
              <w:r>
                <w:rPr>
                  <w:rStyle w:val="InternetLink"/>
                  <w:rFonts w:ascii="Times New Roman;sans-serif" w:hAnsi="Times New Roman;sans-serif"/>
                  <w:b w:val="false"/>
                  <w:strike w:val="false"/>
                  <w:dstrike w:val="false"/>
                  <w:color w:val="000000"/>
                  <w:sz w:val="20"/>
                  <w:u w:val="none"/>
                  <w:effect w:val="none"/>
                </w:rPr>
                <w:t>77</w:t>
              </w:r>
            </w:hyperlink>
          </w:p>
        </w:tc>
      </w:tr>
      <w:tr>
        <w:trPr/>
        <w:tc>
          <w:tcPr>
            <w:tcW w:w="9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of Lucid Group, Inc. and its consolidated subsidiaries: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82">
              <w:r>
                <w:rPr>
                  <w:rStyle w:val="InternetLink"/>
                </w:rPr>
                <w:t xml:space="preserve">Consolidated Balance Sheets as of </w:t>
              </w:r>
            </w:hyperlink>
            <w:r>
              <w:rPr>
                <w:rFonts w:ascii="Times New Roman;sans-serif" w:hAnsi="Times New Roman;sans-serif"/>
                <w:b w:val="false"/>
                <w:color w:val="3051F2"/>
                <w:sz w:val="20"/>
                <w:u w:val="single"/>
              </w:rPr>
              <w:t>December 31, 2021</w:t>
            </w:r>
            <w:hyperlink w:anchor="ia0aee3224e084461b915ceeab76401ac_82">
              <w:r>
                <w:rPr>
                  <w:rStyle w:val="InternetLink"/>
                </w:rPr>
                <w:t xml:space="preserve"> and </w:t>
              </w:r>
            </w:hyperlink>
            <w:r>
              <w:rPr>
                <w:rFonts w:ascii="Times New Roman;sans-serif" w:hAnsi="Times New Roman;sans-serif"/>
                <w:b w:val="false"/>
                <w:color w:val="3051F2"/>
                <w:sz w:val="20"/>
                <w:u w:val="single"/>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0aee3224e084461b915ceeab76401ac_82">
              <w:r>
                <w:rPr>
                  <w:rStyle w:val="InternetLink"/>
                  <w:rFonts w:ascii="Times New Roman;sans-serif" w:hAnsi="Times New Roman;sans-serif"/>
                  <w:b w:val="false"/>
                  <w:strike w:val="false"/>
                  <w:dstrike w:val="false"/>
                  <w:color w:val="000000"/>
                  <w:sz w:val="20"/>
                  <w:u w:val="none"/>
                  <w:effect w:val="none"/>
                </w:rPr>
                <w:t>78</w:t>
              </w:r>
            </w:hyperlink>
          </w:p>
        </w:tc>
      </w:tr>
      <w:tr>
        <w:trPr/>
        <w:tc>
          <w:tcPr>
            <w:tcW w:w="9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85">
              <w:r>
                <w:rPr>
                  <w:rStyle w:val="InternetLink"/>
                </w:rPr>
                <w:t xml:space="preserve">Consolidated Statements of Operations and Comprehensive Loss for the years ended </w:t>
              </w:r>
            </w:hyperlink>
            <w:r>
              <w:rPr>
                <w:rFonts w:ascii="Times New Roman;sans-serif" w:hAnsi="Times New Roman;sans-serif"/>
                <w:b w:val="false"/>
                <w:color w:val="0E32E1"/>
                <w:sz w:val="20"/>
                <w:u w:val="single"/>
              </w:rPr>
              <w:t>December 31, 2021</w:t>
            </w:r>
            <w:hyperlink w:anchor="ia0aee3224e084461b915ceeab76401ac_85">
              <w:r>
                <w:rPr>
                  <w:rStyle w:val="InternetLink"/>
                </w:rPr>
                <w:t xml:space="preserve">, </w:t>
              </w:r>
            </w:hyperlink>
            <w:r>
              <w:rPr>
                <w:rFonts w:ascii="Times New Roman;sans-serif" w:hAnsi="Times New Roman;sans-serif"/>
                <w:b w:val="false"/>
                <w:color w:val="0E32E1"/>
                <w:sz w:val="20"/>
                <w:u w:val="single"/>
              </w:rPr>
              <w:t>2020</w:t>
            </w:r>
            <w:hyperlink w:anchor="ia0aee3224e084461b915ceeab76401ac_85">
              <w:r>
                <w:rPr>
                  <w:rStyle w:val="InternetLink"/>
                </w:rPr>
                <w:t xml:space="preserve"> and 2019</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0aee3224e084461b915ceeab76401ac_85">
              <w:r>
                <w:rPr>
                  <w:rStyle w:val="InternetLink"/>
                  <w:rFonts w:ascii="Times New Roman;sans-serif" w:hAnsi="Times New Roman;sans-serif"/>
                  <w:b w:val="false"/>
                  <w:strike w:val="false"/>
                  <w:dstrike w:val="false"/>
                  <w:color w:val="000000"/>
                  <w:sz w:val="20"/>
                  <w:u w:val="none"/>
                  <w:effect w:val="none"/>
                </w:rPr>
                <w:t>79</w:t>
              </w:r>
            </w:hyperlink>
          </w:p>
        </w:tc>
      </w:tr>
      <w:tr>
        <w:trPr/>
        <w:tc>
          <w:tcPr>
            <w:tcW w:w="9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88">
              <w:r>
                <w:rPr>
                  <w:rStyle w:val="InternetLink"/>
                </w:rPr>
                <w:t xml:space="preserve">Consolidated Statements of Convertible Preferred Stock and Stockholders' Equity (Deficit) for the years ended </w:t>
              </w:r>
            </w:hyperlink>
            <w:r>
              <w:rPr>
                <w:rFonts w:ascii="Times New Roman;sans-serif" w:hAnsi="Times New Roman;sans-serif"/>
                <w:b w:val="false"/>
                <w:color w:val="0E32E1"/>
                <w:sz w:val="20"/>
                <w:u w:val="single"/>
              </w:rPr>
              <w:t>December 31, 2021</w:t>
            </w:r>
            <w:hyperlink w:anchor="ia0aee3224e084461b915ceeab76401ac_88">
              <w:r>
                <w:rPr>
                  <w:rStyle w:val="InternetLink"/>
                </w:rPr>
                <w:t xml:space="preserve">, </w:t>
              </w:r>
            </w:hyperlink>
            <w:r>
              <w:rPr>
                <w:rFonts w:ascii="Times New Roman;sans-serif" w:hAnsi="Times New Roman;sans-serif"/>
                <w:b w:val="false"/>
                <w:color w:val="0E32E1"/>
                <w:sz w:val="20"/>
                <w:u w:val="single"/>
              </w:rPr>
              <w:t>2020</w:t>
            </w:r>
            <w:hyperlink w:anchor="ia0aee3224e084461b915ceeab76401ac_88">
              <w:r>
                <w:rPr>
                  <w:rStyle w:val="InternetLink"/>
                </w:rPr>
                <w:t xml:space="preserve"> and </w:t>
              </w:r>
            </w:hyperlink>
            <w:r>
              <w:rPr>
                <w:rFonts w:ascii="Times New Roman;sans-serif" w:hAnsi="Times New Roman;sans-serif"/>
                <w:b w:val="false"/>
                <w:color w:val="0E32E1"/>
                <w:sz w:val="20"/>
                <w:u w:val="single"/>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0aee3224e084461b915ceeab76401ac_88">
              <w:r>
                <w:rPr>
                  <w:rStyle w:val="InternetLink"/>
                  <w:rFonts w:ascii="Times New Roman;sans-serif" w:hAnsi="Times New Roman;sans-serif"/>
                  <w:b w:val="false"/>
                  <w:strike w:val="false"/>
                  <w:dstrike w:val="false"/>
                  <w:color w:val="000000"/>
                  <w:sz w:val="20"/>
                  <w:u w:val="none"/>
                  <w:effect w:val="none"/>
                </w:rPr>
                <w:t>80</w:t>
              </w:r>
            </w:hyperlink>
          </w:p>
        </w:tc>
      </w:tr>
      <w:tr>
        <w:trPr/>
        <w:tc>
          <w:tcPr>
            <w:tcW w:w="9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91">
              <w:r>
                <w:rPr>
                  <w:rStyle w:val="InternetLink"/>
                </w:rPr>
                <w:t xml:space="preserve">Consolidated Statements of Cash Flows for the years ended </w:t>
              </w:r>
            </w:hyperlink>
            <w:r>
              <w:rPr>
                <w:rFonts w:ascii="Times New Roman;sans-serif" w:hAnsi="Times New Roman;sans-serif"/>
                <w:b w:val="false"/>
                <w:color w:val="0E32E1"/>
                <w:sz w:val="20"/>
                <w:u w:val="single"/>
              </w:rPr>
              <w:t>December 31, 2021</w:t>
            </w:r>
            <w:hyperlink w:anchor="ia0aee3224e084461b915ceeab76401ac_91">
              <w:r>
                <w:rPr>
                  <w:rStyle w:val="InternetLink"/>
                </w:rPr>
                <w:t xml:space="preserve">, </w:t>
              </w:r>
            </w:hyperlink>
            <w:r>
              <w:rPr>
                <w:rFonts w:ascii="Times New Roman;sans-serif" w:hAnsi="Times New Roman;sans-serif"/>
                <w:b w:val="false"/>
                <w:color w:val="0E32E1"/>
                <w:sz w:val="20"/>
                <w:u w:val="single"/>
              </w:rPr>
              <w:t>2020</w:t>
            </w:r>
            <w:hyperlink w:anchor="ia0aee3224e084461b915ceeab76401ac_91">
              <w:r>
                <w:rPr>
                  <w:rStyle w:val="InternetLink"/>
                </w:rPr>
                <w:t xml:space="preserve"> and </w:t>
              </w:r>
            </w:hyperlink>
            <w:r>
              <w:rPr>
                <w:rFonts w:ascii="Times New Roman;sans-serif" w:hAnsi="Times New Roman;sans-serif"/>
                <w:b w:val="false"/>
                <w:color w:val="0E32E1"/>
                <w:sz w:val="20"/>
                <w:u w:val="single"/>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0aee3224e084461b915ceeab76401ac_91">
              <w:r>
                <w:rPr>
                  <w:rStyle w:val="InternetLink"/>
                  <w:rFonts w:ascii="Times New Roman;sans-serif" w:hAnsi="Times New Roman;sans-serif"/>
                  <w:b w:val="false"/>
                  <w:strike w:val="false"/>
                  <w:dstrike w:val="false"/>
                  <w:color w:val="000000"/>
                  <w:sz w:val="20"/>
                  <w:u w:val="none"/>
                  <w:effect w:val="none"/>
                </w:rPr>
                <w:t>81</w:t>
              </w:r>
            </w:hyperlink>
          </w:p>
        </w:tc>
      </w:tr>
      <w:tr>
        <w:trPr/>
        <w:tc>
          <w:tcPr>
            <w:tcW w:w="9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0aee3224e084461b915ceeab76401ac_94">
              <w:r>
                <w:rPr>
                  <w:rStyle w:val="InternetLink"/>
                  <w:rFonts w:ascii="Times New Roman;sans-serif" w:hAnsi="Times New Roman;sans-serif"/>
                  <w:b w:val="false"/>
                  <w:color w:val="3051F2"/>
                  <w:sz w:val="20"/>
                  <w:u w:val="single"/>
                </w:rPr>
                <w:t>Notes to Consolidated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0aee3224e084461b915ceeab76401ac_94">
              <w:r>
                <w:rPr>
                  <w:rStyle w:val="InternetLink"/>
                  <w:rFonts w:ascii="Times New Roman;sans-serif" w:hAnsi="Times New Roman;sans-serif"/>
                  <w:b w:val="false"/>
                  <w:strike w:val="false"/>
                  <w:dstrike w:val="false"/>
                  <w:color w:val="000000"/>
                  <w:sz w:val="20"/>
                  <w:u w:val="none"/>
                  <w:effect w:val="none"/>
                </w:rPr>
                <w:t>83</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56" w:before="240" w:after="283"/>
        <w:rPr>
          <w:rFonts w:ascii="Times New Roman;sans-serif" w:hAnsi="Times New Roman;sans-serif"/>
          <w:b w:val="false"/>
          <w:color w:val="000000"/>
          <w:sz w:val="19"/>
        </w:rPr>
      </w:pPr>
      <w:r>
        <w:rPr>
          <w:rFonts w:ascii="Times New Roman;sans-serif" w:hAnsi="Times New Roman;sans-serif"/>
          <w:b w:val="false"/>
          <w:color w:val="000000"/>
          <w:sz w:val="19"/>
        </w:rPr>
        <w:t>Board of Directors and Stockholders</w:t>
      </w:r>
    </w:p>
    <w:p>
      <w:pPr>
        <w:pStyle w:val="TextBody"/>
        <w:spacing w:lineRule="auto" w:line="256" w:before="0" w:after="0"/>
        <w:rPr>
          <w:rFonts w:ascii="Times New Roman;sans-serif" w:hAnsi="Times New Roman;sans-serif"/>
          <w:b w:val="false"/>
          <w:color w:val="000000"/>
          <w:sz w:val="19"/>
        </w:rPr>
      </w:pPr>
      <w:r>
        <w:rPr>
          <w:rFonts w:ascii="Times New Roman;sans-serif" w:hAnsi="Times New Roman;sans-serif"/>
          <w:b w:val="false"/>
          <w:color w:val="000000"/>
          <w:sz w:val="19"/>
        </w:rPr>
        <w:t>Lucid Group, Inc.</w:t>
      </w:r>
    </w:p>
    <w:p>
      <w:pPr>
        <w:pStyle w:val="TextBody"/>
        <w:spacing w:before="0" w:after="0"/>
        <w:rPr/>
      </w:pPr>
      <w:r>
        <w:rPr/>
      </w:r>
    </w:p>
    <w:p>
      <w:pPr>
        <w:pStyle w:val="TextBody"/>
        <w:spacing w:lineRule="auto" w:line="374" w:before="0" w:after="0"/>
        <w:rPr>
          <w:rFonts w:ascii="Times New Roman;sans-serif" w:hAnsi="Times New Roman;sans-serif"/>
          <w:b/>
          <w:color w:val="000000"/>
          <w:sz w:val="19"/>
        </w:rPr>
      </w:pPr>
      <w:r>
        <w:rPr>
          <w:rFonts w:ascii="Times New Roman;sans-serif" w:hAnsi="Times New Roman;sans-serif"/>
          <w:b/>
          <w:color w:val="000000"/>
          <w:sz w:val="19"/>
        </w:rPr>
        <w:t xml:space="preserve">Opinion on the financial statements </w:t>
      </w:r>
    </w:p>
    <w:p>
      <w:pPr>
        <w:pStyle w:val="TextBody"/>
        <w:spacing w:lineRule="auto" w:line="256" w:before="0" w:after="0"/>
        <w:rPr/>
      </w:pPr>
      <w:r>
        <w:rPr>
          <w:rFonts w:ascii="Times New Roman;sans-serif" w:hAnsi="Times New Roman;sans-serif"/>
          <w:b w:val="false"/>
          <w:color w:val="000000"/>
          <w:sz w:val="19"/>
        </w:rPr>
        <w:t xml:space="preserve">We have audited the accompanying consolidated balance sheets of Lucid Group, Inc. (a Delaware corporation) and subsidiaries (the “Company”) as of </w:t>
      </w:r>
      <w:r>
        <w:rPr>
          <w:rFonts w:ascii="Times New Roman;sans-serif" w:hAnsi="Times New Roman;sans-serif"/>
          <w:b w:val="false"/>
          <w:color w:val="000000"/>
          <w:sz w:val="20"/>
        </w:rPr>
        <w:t>December 31, 2021</w:t>
      </w:r>
      <w:r>
        <w:rPr>
          <w:color w:val="000000"/>
        </w:rPr>
        <w:t xml:space="preserve"> </w:t>
      </w:r>
      <w:r>
        <w:rPr>
          <w:rFonts w:ascii="Times New Roman;sans-serif" w:hAnsi="Times New Roman;sans-serif"/>
          <w:b w:val="false"/>
          <w:color w:val="000000"/>
          <w:sz w:val="19"/>
        </w:rPr>
        <w:t xml:space="preserve">and 2020, the related consolidated statements of operations and comprehensive loss, convertible preferred stock and stockholders’ equity (deficit), and cash flows for each of the three years in the period ended </w:t>
      </w:r>
      <w:r>
        <w:rPr>
          <w:rFonts w:ascii="Times New Roman;sans-serif" w:hAnsi="Times New Roman;sans-serif"/>
          <w:b w:val="false"/>
          <w:color w:val="000000"/>
          <w:sz w:val="20"/>
        </w:rPr>
        <w:t>December 31, 2021</w:t>
      </w:r>
      <w:r>
        <w:rPr>
          <w:rFonts w:ascii="Times New Roman;sans-serif" w:hAnsi="Times New Roman;sans-serif"/>
          <w:b w:val="false"/>
          <w:color w:val="000000"/>
          <w:sz w:val="19"/>
        </w:rPr>
        <w:t>, and the related notes (collectively referred to as the “financial statements”). In our opinion, the financial statements present fairly, in all material respects, the financial position of the Company</w:t>
      </w:r>
      <w:r>
        <w:rPr>
          <w:color w:val="0000FF"/>
        </w:rPr>
        <w:t xml:space="preserve"> </w:t>
      </w:r>
      <w:r>
        <w:rPr>
          <w:rFonts w:ascii="Times New Roman;sans-serif" w:hAnsi="Times New Roman;sans-serif"/>
          <w:b w:val="false"/>
          <w:color w:val="000000"/>
          <w:sz w:val="19"/>
        </w:rPr>
        <w:t xml:space="preserve">as of </w:t>
      </w:r>
      <w:r>
        <w:rPr>
          <w:rFonts w:ascii="Times New Roman;sans-serif" w:hAnsi="Times New Roman;sans-serif"/>
          <w:b w:val="false"/>
          <w:color w:val="000000"/>
          <w:sz w:val="20"/>
        </w:rPr>
        <w:t>December 31, 2021</w:t>
      </w:r>
      <w:r>
        <w:rPr>
          <w:color w:val="000000"/>
        </w:rPr>
        <w:t xml:space="preserve"> </w:t>
      </w:r>
      <w:r>
        <w:rPr>
          <w:rFonts w:ascii="Times New Roman;sans-serif" w:hAnsi="Times New Roman;sans-serif"/>
          <w:b w:val="false"/>
          <w:color w:val="000000"/>
          <w:sz w:val="19"/>
        </w:rPr>
        <w:t>and 2020, and the results of its</w:t>
      </w:r>
      <w:r>
        <w:rPr>
          <w:color w:val="0000FF"/>
        </w:rPr>
        <w:t xml:space="preserve"> </w:t>
      </w:r>
      <w:r>
        <w:rPr>
          <w:rFonts w:ascii="Times New Roman;sans-serif" w:hAnsi="Times New Roman;sans-serif"/>
          <w:b w:val="false"/>
          <w:color w:val="000000"/>
          <w:sz w:val="19"/>
        </w:rPr>
        <w:t>operations and its</w:t>
      </w:r>
      <w:r>
        <w:rPr>
          <w:color w:val="0000FF"/>
        </w:rPr>
        <w:t xml:space="preserve"> </w:t>
      </w:r>
      <w:r>
        <w:rPr>
          <w:rFonts w:ascii="Times New Roman;sans-serif" w:hAnsi="Times New Roman;sans-serif"/>
          <w:b w:val="false"/>
          <w:color w:val="000000"/>
          <w:sz w:val="19"/>
        </w:rPr>
        <w:t>cash flows for each of the three years in the period ended December 31, 2021, in conformity with accounting principles generally accepted in the United States of America.</w:t>
      </w:r>
    </w:p>
    <w:p>
      <w:pPr>
        <w:pStyle w:val="TextBody"/>
        <w:spacing w:before="0" w:after="0"/>
        <w:rPr/>
      </w:pPr>
      <w:r>
        <w:rPr/>
      </w:r>
    </w:p>
    <w:p>
      <w:pPr>
        <w:pStyle w:val="TextBody"/>
        <w:spacing w:lineRule="auto" w:line="374" w:before="0" w:after="0"/>
        <w:rPr>
          <w:rFonts w:ascii="Times New Roman;sans-serif" w:hAnsi="Times New Roman;sans-serif"/>
          <w:b/>
          <w:color w:val="000000"/>
          <w:sz w:val="19"/>
        </w:rPr>
      </w:pPr>
      <w:r>
        <w:rPr>
          <w:rFonts w:ascii="Times New Roman;sans-serif" w:hAnsi="Times New Roman;sans-serif"/>
          <w:b/>
          <w:color w:val="000000"/>
          <w:sz w:val="19"/>
        </w:rPr>
        <w:t>Change in accounting principle</w:t>
      </w:r>
    </w:p>
    <w:p>
      <w:pPr>
        <w:pStyle w:val="TextBody"/>
        <w:spacing w:lineRule="auto" w:line="256" w:before="0" w:after="0"/>
        <w:rPr/>
      </w:pPr>
      <w:r>
        <w:rPr>
          <w:rFonts w:ascii="Times New Roman;sans-serif" w:hAnsi="Times New Roman;sans-serif"/>
          <w:b w:val="false"/>
          <w:color w:val="000000"/>
          <w:sz w:val="19"/>
        </w:rPr>
        <w:t xml:space="preserve">As discussed in Note 2 – Summary of Significant Accounting Policies to the consolidated financial statements, the Company has changed its method of accounting for leases as of January 1, 2021 due to the adoption of Accounting Standards Update (“ASU”) No. 2016 – 02, </w:t>
      </w:r>
      <w:r>
        <w:rPr>
          <w:rFonts w:ascii="Times New Roman;sans-serif" w:hAnsi="Times New Roman;sans-serif"/>
          <w:b w:val="false"/>
          <w:i/>
          <w:color w:val="000000"/>
          <w:sz w:val="19"/>
        </w:rPr>
        <w:t>Leases</w:t>
      </w:r>
      <w:r>
        <w:rPr>
          <w:color w:val="000000"/>
        </w:rPr>
        <w:t xml:space="preserve"> </w:t>
      </w:r>
      <w:r>
        <w:rPr>
          <w:rFonts w:ascii="Times New Roman;sans-serif" w:hAnsi="Times New Roman;sans-serif"/>
          <w:b w:val="false"/>
          <w:color w:val="000000"/>
          <w:sz w:val="19"/>
        </w:rPr>
        <w:t xml:space="preserve">(Topic 842). </w:t>
      </w:r>
    </w:p>
    <w:p>
      <w:pPr>
        <w:pStyle w:val="TextBody"/>
        <w:spacing w:before="0" w:after="0"/>
        <w:rPr/>
      </w:pPr>
      <w:r>
        <w:rPr/>
      </w:r>
    </w:p>
    <w:p>
      <w:pPr>
        <w:pStyle w:val="TextBody"/>
        <w:spacing w:lineRule="auto" w:line="374" w:before="0" w:after="0"/>
        <w:rPr>
          <w:rFonts w:ascii="Times New Roman;sans-serif" w:hAnsi="Times New Roman;sans-serif"/>
          <w:b/>
          <w:color w:val="000000"/>
          <w:sz w:val="19"/>
        </w:rPr>
      </w:pPr>
      <w:r>
        <w:rPr>
          <w:rFonts w:ascii="Times New Roman;sans-serif" w:hAnsi="Times New Roman;sans-serif"/>
          <w:b/>
          <w:color w:val="000000"/>
          <w:sz w:val="19"/>
        </w:rPr>
        <w:t xml:space="preserve">Basis for opinion </w:t>
      </w:r>
    </w:p>
    <w:p>
      <w:pPr>
        <w:pStyle w:val="TextBody"/>
        <w:spacing w:lineRule="auto" w:line="256" w:before="0" w:after="0"/>
        <w:rPr>
          <w:rFonts w:ascii="Times New Roman;sans-serif" w:hAnsi="Times New Roman;sans-serif"/>
          <w:b w:val="false"/>
          <w:color w:val="000000"/>
          <w:sz w:val="19"/>
        </w:rPr>
      </w:pPr>
      <w:r>
        <w:rPr>
          <w:rFonts w:ascii="Times New Roman;sans-serif" w:hAnsi="Times New Roman;sans-serif"/>
          <w:b w:val="false"/>
          <w:color w:val="000000"/>
          <w:sz w:val="19"/>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19"/>
        </w:rPr>
      </w:pPr>
      <w:r>
        <w:rPr>
          <w:rFonts w:ascii="Times New Roman;sans-serif" w:hAnsi="Times New Roman;sans-serif"/>
          <w:b w:val="false"/>
          <w:color w:val="000000"/>
          <w:sz w:val="19"/>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19"/>
        </w:rPr>
      </w:pPr>
      <w:r>
        <w:rPr>
          <w:rFonts w:ascii="Times New Roman;sans-serif" w:hAnsi="Times New Roman;sans-serif"/>
          <w:b w:val="false"/>
          <w:color w:val="000000"/>
          <w:sz w:val="19"/>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rPr/>
      </w:pPr>
      <w:r>
        <w:rPr/>
      </w:r>
    </w:p>
    <w:p>
      <w:pPr>
        <w:pStyle w:val="TextBody"/>
        <w:spacing w:lineRule="auto" w:line="374" w:before="0" w:after="0"/>
        <w:rPr>
          <w:rFonts w:ascii="Times New Roman;sans-serif" w:hAnsi="Times New Roman;sans-serif"/>
          <w:b/>
          <w:color w:val="000000"/>
          <w:sz w:val="19"/>
        </w:rPr>
      </w:pPr>
      <w:r>
        <w:rPr>
          <w:rFonts w:ascii="Times New Roman;sans-serif" w:hAnsi="Times New Roman;sans-serif"/>
          <w:b/>
          <w:color w:val="000000"/>
          <w:sz w:val="19"/>
        </w:rPr>
        <w:t xml:space="preserve">Critical audit matters </w:t>
      </w:r>
    </w:p>
    <w:p>
      <w:pPr>
        <w:pStyle w:val="TextBody"/>
        <w:spacing w:lineRule="auto" w:line="256" w:before="0" w:after="0"/>
        <w:rPr>
          <w:rFonts w:ascii="Times New Roman;sans-serif" w:hAnsi="Times New Roman;sans-serif"/>
          <w:b w:val="false"/>
          <w:color w:val="000000"/>
          <w:sz w:val="19"/>
        </w:rPr>
      </w:pPr>
      <w:r>
        <w:rPr>
          <w:rFonts w:ascii="Times New Roman;sans-serif" w:hAnsi="Times New Roman;sans-serif"/>
          <w:b w:val="false"/>
          <w:color w:val="000000"/>
          <w:sz w:val="19"/>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spacing w:before="0" w:after="0"/>
        <w:rPr/>
      </w:pPr>
      <w:r>
        <w:rPr/>
      </w:r>
    </w:p>
    <w:p>
      <w:pPr>
        <w:pStyle w:val="TextBody"/>
        <w:spacing w:lineRule="auto" w:line="256" w:before="0" w:after="0"/>
        <w:rPr>
          <w:rFonts w:ascii="Times New Roman;sans-serif" w:hAnsi="Times New Roman;sans-serif"/>
          <w:b w:val="false"/>
          <w:i/>
          <w:color w:val="000000"/>
          <w:sz w:val="19"/>
        </w:rPr>
      </w:pPr>
      <w:r>
        <w:rPr>
          <w:rFonts w:ascii="Times New Roman;sans-serif" w:hAnsi="Times New Roman;sans-serif"/>
          <w:b w:val="false"/>
          <w:i/>
          <w:color w:val="000000"/>
          <w:sz w:val="19"/>
        </w:rPr>
        <w:t>Accounting for Warrants</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19"/>
        </w:rPr>
      </w:pPr>
      <w:r>
        <w:rPr>
          <w:rFonts w:ascii="Times New Roman;sans-serif" w:hAnsi="Times New Roman;sans-serif"/>
          <w:b w:val="false"/>
          <w:color w:val="000000"/>
          <w:sz w:val="19"/>
        </w:rPr>
        <w:t>As discussed in Note 9 and 11, in connection with the reverse recapitalization treatment of the Merger with Churchill Capital Corp IV. Inc. the Company effectively issued 44,350,000 private warrants and 41,400,000 publicly-traded warrants to purchase shares of the Company’s common stock. The private warrants were recognized as a liability and the public warrants were equity-classified.</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19"/>
        </w:rPr>
      </w:pPr>
      <w:r>
        <w:rPr>
          <w:rFonts w:ascii="Times New Roman;sans-serif" w:hAnsi="Times New Roman;sans-serif"/>
          <w:b w:val="false"/>
          <w:color w:val="000000"/>
          <w:sz w:val="19"/>
        </w:rPr>
        <w:t xml:space="preserve">The principal considerations for our determination that accounting for warrants is a critical audit matter are the complex provisions affecting classification that require significant audit effort including evaluating each feature of these warrants and the impact of these features on the classification. </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19"/>
        </w:rPr>
      </w:pPr>
      <w:r>
        <w:rPr>
          <w:rFonts w:ascii="Times New Roman;sans-serif" w:hAnsi="Times New Roman;sans-serif"/>
          <w:b w:val="false"/>
          <w:color w:val="000000"/>
          <w:sz w:val="19"/>
        </w:rPr>
        <w:t xml:space="preserve">Our audit procedures related to the accounting for warrants included the following, among others: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19"/>
        </w:rPr>
        <w:t xml:space="preserve">we inspected the warrant agreement and evaluated the completeness and appropriateness of the Company’s technical accounting analyses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19"/>
        </w:rPr>
        <w:t>we also involved our subject matter resources to assist in evaluating management’s conclusion on the interpretation and application of the relevant accounting literature.</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19"/>
        </w:rPr>
      </w:pPr>
      <w:r>
        <w:rPr>
          <w:rFonts w:ascii="Times New Roman;sans-serif" w:hAnsi="Times New Roman;sans-serif"/>
          <w:b w:val="false"/>
          <w:color w:val="000000"/>
          <w:sz w:val="19"/>
        </w:rPr>
        <w:t xml:space="preserve">/s/ GRANT THORNTON LLP </w:t>
      </w:r>
    </w:p>
    <w:p>
      <w:pPr>
        <w:pStyle w:val="TextBody"/>
        <w:spacing w:before="0" w:after="0"/>
        <w:rPr/>
      </w:pPr>
      <w:r>
        <w:rPr/>
      </w:r>
    </w:p>
    <w:p>
      <w:pPr>
        <w:pStyle w:val="TextBody"/>
        <w:spacing w:lineRule="auto" w:line="374" w:before="0" w:after="0"/>
        <w:rPr>
          <w:rFonts w:ascii="Times New Roman;sans-serif" w:hAnsi="Times New Roman;sans-serif"/>
          <w:b w:val="false"/>
          <w:color w:val="000000"/>
          <w:sz w:val="19"/>
        </w:rPr>
      </w:pPr>
      <w:r>
        <w:rPr>
          <w:rFonts w:ascii="Times New Roman;sans-serif" w:hAnsi="Times New Roman;sans-serif"/>
          <w:b w:val="false"/>
          <w:color w:val="000000"/>
          <w:sz w:val="19"/>
        </w:rPr>
        <w:t>We have served as the Company’s auditor since 2020.</w:t>
      </w:r>
    </w:p>
    <w:p>
      <w:pPr>
        <w:pStyle w:val="TextBody"/>
        <w:spacing w:lineRule="auto" w:line="256" w:before="0" w:after="0"/>
        <w:rPr>
          <w:rFonts w:ascii="Times New Roman;sans-serif" w:hAnsi="Times New Roman;sans-serif"/>
          <w:b w:val="false"/>
          <w:color w:val="000000"/>
          <w:sz w:val="19"/>
        </w:rPr>
      </w:pPr>
      <w:r>
        <w:rPr>
          <w:rFonts w:ascii="Times New Roman;sans-serif" w:hAnsi="Times New Roman;sans-serif"/>
          <w:b w:val="false"/>
          <w:color w:val="000000"/>
          <w:sz w:val="19"/>
        </w:rPr>
        <w:t>San Francisco, California</w:t>
      </w:r>
    </w:p>
    <w:p>
      <w:pPr>
        <w:pStyle w:val="TextBody"/>
        <w:spacing w:lineRule="auto" w:line="256" w:before="0" w:after="0"/>
        <w:rPr>
          <w:rFonts w:ascii="Times New Roman;sans-serif" w:hAnsi="Times New Roman;sans-serif"/>
          <w:b w:val="false"/>
          <w:color w:val="000000"/>
          <w:sz w:val="19"/>
        </w:rPr>
      </w:pPr>
      <w:r>
        <w:rPr>
          <w:rFonts w:ascii="Times New Roman;sans-serif" w:hAnsi="Times New Roman;sans-serif"/>
          <w:b w:val="false"/>
          <w:color w:val="000000"/>
          <w:sz w:val="19"/>
        </w:rPr>
        <w:t>February 28, 2022</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CellMar>
          <w:top w:w="28" w:type="dxa"/>
          <w:left w:w="28" w:type="dxa"/>
          <w:bottom w:w="28" w:type="dxa"/>
          <w:right w:w="28" w:type="dxa"/>
        </w:tblCellMar>
      </w:tblPr>
      <w:tblGrid>
        <w:gridCol w:w="2813"/>
        <w:gridCol w:w="2113"/>
        <w:gridCol w:w="1956"/>
        <w:gridCol w:w="109"/>
        <w:gridCol w:w="109"/>
        <w:gridCol w:w="109"/>
        <w:gridCol w:w="211"/>
        <w:gridCol w:w="991"/>
        <w:gridCol w:w="109"/>
        <w:gridCol w:w="109"/>
        <w:gridCol w:w="109"/>
        <w:gridCol w:w="109"/>
        <w:gridCol w:w="211"/>
        <w:gridCol w:w="991"/>
        <w:gridCol w:w="156"/>
      </w:tblGrid>
      <w:tr>
        <w:trPr/>
        <w:tc>
          <w:tcPr>
            <w:tcW w:w="2813"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c>
          <w:tcPr>
            <w:tcW w:w="19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68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614,412 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6,506,977 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7,881,713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1,402,681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CONVERTIBLE PREFERRED STOCK AND STOCKHOLDERS' EQUITY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151,753 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warrant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CONVERTIBLE PREFERRED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$0.0001 par value; 0 and 1,058,949,780 shares authorized as of December 31, 2021 and 2020, respectively; 0 and 957,159,704 shares issued and outstanding as of December 31, 2021 and 2020, respectively; liquidation preference of $0, and $3,497,913 as of December 31, 2021 and 2020,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2,494,076 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$0.0001; 10,000,000 and 0 shares authorized as of December 31, 2021 and 2020, respectively; no shares issued and outstanding as of December 31, 2021 and 2020,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15,000,000,000 and 1,189,800,259 shares authorized as of December 31, 2021 and 2020, respectively; 1,648,413,415 and 28,791,702 shares issued and 1,647,555,590 and 28,791,702 outstanding as of December 31, 2021 and 2020,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9,995,778 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857,825 and 0 shares at December 31, 2021 and 2020,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(6,065,872)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(1,356,893)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(1,318,777)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TOTAL LIABILITIES, CONVERTIBLE PREFERRED STOCK AND STOCKHOLDERS’ EQUITY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7,881,713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1,402,681</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CellMar>
          <w:top w:w="28" w:type="dxa"/>
          <w:left w:w="28" w:type="dxa"/>
          <w:bottom w:w="28" w:type="dxa"/>
          <w:right w:w="28" w:type="dxa"/>
        </w:tblCellMar>
      </w:tblPr>
      <w:tblGrid>
        <w:gridCol w:w="2273"/>
        <w:gridCol w:w="1775"/>
        <w:gridCol w:w="1782"/>
        <w:gridCol w:w="266"/>
        <w:gridCol w:w="920"/>
        <w:gridCol w:w="109"/>
        <w:gridCol w:w="109"/>
        <w:gridCol w:w="109"/>
        <w:gridCol w:w="109"/>
        <w:gridCol w:w="270"/>
        <w:gridCol w:w="811"/>
        <w:gridCol w:w="109"/>
        <w:gridCol w:w="109"/>
        <w:gridCol w:w="109"/>
        <w:gridCol w:w="109"/>
        <w:gridCol w:w="270"/>
        <w:gridCol w:w="811"/>
        <w:gridCol w:w="155"/>
      </w:tblGrid>
      <w:tr>
        <w:trPr/>
        <w:tc>
          <w:tcPr>
            <w:tcW w:w="2273"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5"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220,223 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and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(1,530,446)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(257,934)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forward contracts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convertible preferred stock warrant liability</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liability</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(582,760)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expensed</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(1,049,266)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(benefit from)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(2,579,712)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(277,334)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and comprehensive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(277,357)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contribution related to repurchase of Series B convertible preferred stock</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contribution related to repurchase of Series C convertible preferred stock</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 related to the issuance of Series E convertible preferred stock</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(2,167,332)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(269,422)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used in computing net loss per share attributable to common stockholders, basic and diluted</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740,393,759 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24,825,944 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20,595,229 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CONVERTIBLE PREFERRED STOCK AND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STOCKHOLDERS’ EQUITY (DEFICIT)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3509" w:type="dxa"/>
        <w:jc w:val="center"/>
        <w:tblInd w:w="0" w:type="dxa"/>
        <w:tblCellMar>
          <w:top w:w="28" w:type="dxa"/>
          <w:left w:w="28" w:type="dxa"/>
          <w:bottom w:w="28" w:type="dxa"/>
          <w:right w:w="28" w:type="dxa"/>
        </w:tblCellMar>
      </w:tblPr>
      <w:tblGrid>
        <w:gridCol w:w="746"/>
        <w:gridCol w:w="234"/>
        <w:gridCol w:w="236"/>
        <w:gridCol w:w="109"/>
        <w:gridCol w:w="109"/>
        <w:gridCol w:w="109"/>
        <w:gridCol w:w="600"/>
        <w:gridCol w:w="601"/>
        <w:gridCol w:w="216"/>
        <w:gridCol w:w="109"/>
        <w:gridCol w:w="109"/>
        <w:gridCol w:w="109"/>
        <w:gridCol w:w="196"/>
        <w:gridCol w:w="886"/>
        <w:gridCol w:w="109"/>
        <w:gridCol w:w="109"/>
        <w:gridCol w:w="109"/>
        <w:gridCol w:w="109"/>
        <w:gridCol w:w="109"/>
        <w:gridCol w:w="109"/>
        <w:gridCol w:w="109"/>
        <w:gridCol w:w="600"/>
        <w:gridCol w:w="601"/>
        <w:gridCol w:w="216"/>
        <w:gridCol w:w="109"/>
        <w:gridCol w:w="109"/>
        <w:gridCol w:w="109"/>
        <w:gridCol w:w="196"/>
        <w:gridCol w:w="436"/>
        <w:gridCol w:w="109"/>
        <w:gridCol w:w="109"/>
        <w:gridCol w:w="109"/>
        <w:gridCol w:w="109"/>
        <w:gridCol w:w="196"/>
        <w:gridCol w:w="886"/>
        <w:gridCol w:w="109"/>
        <w:gridCol w:w="109"/>
        <w:gridCol w:w="109"/>
        <w:gridCol w:w="109"/>
        <w:gridCol w:w="196"/>
        <w:gridCol w:w="661"/>
        <w:gridCol w:w="109"/>
        <w:gridCol w:w="109"/>
        <w:gridCol w:w="109"/>
        <w:gridCol w:w="109"/>
        <w:gridCol w:w="196"/>
        <w:gridCol w:w="886"/>
        <w:gridCol w:w="109"/>
        <w:gridCol w:w="109"/>
        <w:gridCol w:w="109"/>
        <w:gridCol w:w="109"/>
        <w:gridCol w:w="196"/>
        <w:gridCol w:w="886"/>
        <w:gridCol w:w="154"/>
      </w:tblGrid>
      <w:tr>
        <w:trPr/>
        <w:tc>
          <w:tcPr>
            <w:tcW w:w="7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Convertible </w:t>
              <w:b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4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 (Deficit)</w:t>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Shares</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3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2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January 1, 2019</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137,248,112</w:t>
            </w:r>
            <w:r>
              <w:rPr>
                <w:color w:val="000000"/>
              </w:rPr>
              <w:t> </w:t>
            </w:r>
          </w:p>
        </w:tc>
        <w:tc>
          <w:tcPr>
            <w:tcW w:w="21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259,960</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20,165,672</w:t>
            </w:r>
            <w:r>
              <w:rPr>
                <w:color w:val="000000"/>
              </w:rPr>
              <w:t> </w:t>
            </w:r>
          </w:p>
        </w:tc>
        <w:tc>
          <w:tcPr>
            <w:tcW w:w="21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294</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(360,156)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(359,860)</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(277,357)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(277,357)</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Series C convertible preferred stock</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(9,442,858)</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(47,531)</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Extinguishment of Series C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D convertible preferred stock</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374,777,280 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871,985 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1,123,069 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7,719 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7,719 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502,582,534</w:t>
            </w:r>
            <w:r>
              <w:rPr>
                <w:color w:val="000000"/>
              </w:rPr>
              <w:t>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1,074,010</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21,288,741</w:t>
            </w:r>
            <w:r>
              <w:rPr>
                <w:color w:val="000000"/>
              </w:rPr>
              <w:t>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16,431</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(637,513)</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(621,080)</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(719,380)</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(719,380)</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Extinguishment and reclassification of Series B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Series C convertible preferred stock</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(11,507,389)</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(24,885)</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12,784 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D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164,992,213 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of Series D contingent forward contract liability</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39,563 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E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301,092,346 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898,932 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of Series E contingent forward contract liability</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110,456 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7,502,961 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957,159,704</w:t>
            </w:r>
            <w:r>
              <w:rPr>
                <w:color w:val="000000"/>
              </w:rPr>
              <w:t>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2,494,076</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28,791,702</w:t>
            </w:r>
            <w:r>
              <w:rPr>
                <w:color w:val="000000"/>
              </w:rPr>
              <w:t>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38,113</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(1,356,893)</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(1,318,777)</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(2,579,761)</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(2,579,761)</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Series B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(3,525,365)</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D convertible preferred stock upon exercise of warrants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1,546,799 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12,936 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E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200,728,229 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3,206,159 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(22,395)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(2,129,218)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(2,151,613)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related to Series E convertible preferred stock</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123,614 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convertible preferred stock into common stock in connection with the reverse recapitalization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(1,155,909,367)</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(5,836,785)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1,155,909,367 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5,836,669 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5,836,785 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and common stock warrants upon the reverse recapitalization, net of issuance costs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425,395,023 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3,590,914 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3,590,956 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and sale of common stock for tax withholdings of employee 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repurchase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(857,825)</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employee 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601,176 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common stock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26,640,121 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public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11,076,026 </w:t>
            </w:r>
          </w:p>
        </w:tc>
        <w:tc>
          <w:tcPr>
            <w:tcW w:w="2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8,131 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8,132 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393,143 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393,143 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1,647,555,590</w:t>
            </w:r>
            <w:r>
              <w:rPr>
                <w:color w:val="000000"/>
              </w:rPr>
              <w:t> </w:t>
            </w:r>
          </w:p>
        </w:tc>
        <w:tc>
          <w:tcPr>
            <w:tcW w:w="2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165</w:t>
            </w:r>
            <w:r>
              <w:rPr>
                <w:color w:val="000000"/>
              </w:rPr>
              <w:t>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9,995,778</w:t>
            </w:r>
            <w:r>
              <w:rPr>
                <w:color w:val="000000"/>
              </w:rPr>
              <w:t>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(6,065,872)</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3,909,355</w:t>
            </w:r>
            <w:r>
              <w:rPr>
                <w:color w:val="000000"/>
              </w:rPr>
              <w:t>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number of shares of convertible preferred stock and common stock issued and outstanding prior to the Merger have been retroactively adjusted by the Exchange Ratio to give effect to the reverse recapitalization treatment of the Merger. See Note 1 - Description of Business and Note 3 - Reverse Capitalization for more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CellMar>
          <w:top w:w="28" w:type="dxa"/>
          <w:left w:w="28" w:type="dxa"/>
          <w:bottom w:w="28" w:type="dxa"/>
          <w:right w:w="28" w:type="dxa"/>
        </w:tblCellMar>
      </w:tblPr>
      <w:tblGrid>
        <w:gridCol w:w="2082"/>
        <w:gridCol w:w="1805"/>
        <w:gridCol w:w="1818"/>
        <w:gridCol w:w="211"/>
        <w:gridCol w:w="1046"/>
        <w:gridCol w:w="109"/>
        <w:gridCol w:w="109"/>
        <w:gridCol w:w="109"/>
        <w:gridCol w:w="109"/>
        <w:gridCol w:w="211"/>
        <w:gridCol w:w="896"/>
        <w:gridCol w:w="109"/>
        <w:gridCol w:w="109"/>
        <w:gridCol w:w="109"/>
        <w:gridCol w:w="109"/>
        <w:gridCol w:w="211"/>
        <w:gridCol w:w="896"/>
        <w:gridCol w:w="157"/>
      </w:tblGrid>
      <w:tr>
        <w:trPr/>
        <w:tc>
          <w:tcPr>
            <w:tcW w:w="2082" w:type="dxa"/>
            <w:tcBorders/>
            <w:shd w:fill="auto" w:val="clear"/>
            <w:vAlign w:val="center"/>
          </w:tcPr>
          <w:p>
            <w:pPr>
              <w:pStyle w:val="TableContents"/>
              <w:spacing w:before="0" w:after="283"/>
              <w:rPr>
                <w:sz w:val="4"/>
                <w:szCs w:val="4"/>
              </w:rPr>
            </w:pPr>
            <w:r>
              <w:rPr>
                <w:sz w:val="4"/>
                <w:szCs w:val="4"/>
              </w:rPr>
            </w:r>
          </w:p>
        </w:tc>
        <w:tc>
          <w:tcPr>
            <w:tcW w:w="1805" w:type="dxa"/>
            <w:tcBorders/>
            <w:shd w:fill="auto" w:val="clear"/>
            <w:vAlign w:val="center"/>
          </w:tcPr>
          <w:p>
            <w:pPr>
              <w:pStyle w:val="TableContents"/>
              <w:spacing w:before="0" w:after="283"/>
              <w:rPr>
                <w:sz w:val="4"/>
                <w:szCs w:val="4"/>
              </w:rPr>
            </w:pPr>
            <w:r>
              <w:rPr>
                <w:sz w:val="4"/>
                <w:szCs w:val="4"/>
              </w:rPr>
            </w:r>
          </w:p>
        </w:tc>
        <w:tc>
          <w:tcPr>
            <w:tcW w:w="18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0"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(2,579,761)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(277,357)</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insurance premium</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Write-down of inventory</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forward contract liability</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preferred stock warrant liability</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liability</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Financed insurance premium</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 and security deposit</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accrued liabilities</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2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(235,299)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equipment, and software</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short term investments</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 from sale of property, equipment, and software</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2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 from issuance of convertible notes, net of issuance costs</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70,949 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transaction costs for the issuance of convertible notes</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short-term insurance financing note</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capital lease liabilities</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finance lease liabilities</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short-term insurance financing note</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Series B convertible preferred stock</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Series C convertible preferred stock</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Series D convertible preferred stock</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Series E convertible preferred stock</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exercise of public warrants</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reverse recapitalization</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transaction costs related to the reverse recapitalization</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repurchase</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repurchases from employees for tax withholdings</w:t>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2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621,432 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12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281,843 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cash, cash equivalents, and restricted cash</w:t>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640,418 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cash, cash equivalents, and restricted cash</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6,298,020 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640,418 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379,651 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82625"/>
                <wp:effectExtent l="0" t="0" r="0" b="0"/>
                <wp:wrapNone/>
                <wp:docPr id="83" name="Frame82"/>
                <a:graphic xmlns:a="http://schemas.openxmlformats.org/drawingml/2006/main">
                  <a:graphicData uri="http://schemas.microsoft.com/office/word/2010/wordprocessingShape">
                    <wps:wsp>
                      <wps:cNvSpPr txBox="1"/>
                      <wps:spPr>
                        <a:xfrm>
                          <a:off x="0" y="0"/>
                          <a:ext cx="6480175" cy="682625"/>
                        </a:xfrm>
                        <a:prstGeom prst="rect"/>
                      </wps:spPr>
                      <wps:txbx>
                        <w:txbxContent>
                          <w:p>
                            <w:pPr>
                              <w:pStyle w:val="TextBody"/>
                              <w:spacing w:lineRule="auto" w:line="333"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CellMar>
          <w:top w:w="28" w:type="dxa"/>
          <w:left w:w="28" w:type="dxa"/>
          <w:bottom w:w="28" w:type="dxa"/>
          <w:right w:w="28" w:type="dxa"/>
        </w:tblCellMar>
      </w:tblPr>
      <w:tblGrid>
        <w:gridCol w:w="2334"/>
        <w:gridCol w:w="1997"/>
        <w:gridCol w:w="2007"/>
        <w:gridCol w:w="211"/>
        <w:gridCol w:w="976"/>
        <w:gridCol w:w="109"/>
        <w:gridCol w:w="109"/>
        <w:gridCol w:w="109"/>
        <w:gridCol w:w="109"/>
        <w:gridCol w:w="282"/>
        <w:gridCol w:w="544"/>
        <w:gridCol w:w="109"/>
        <w:gridCol w:w="109"/>
        <w:gridCol w:w="109"/>
        <w:gridCol w:w="109"/>
        <w:gridCol w:w="281"/>
        <w:gridCol w:w="545"/>
        <w:gridCol w:w="156"/>
      </w:tblGrid>
      <w:tr>
        <w:trPr/>
        <w:tc>
          <w:tcPr>
            <w:tcW w:w="2334" w:type="dxa"/>
            <w:tcBorders/>
            <w:shd w:fill="auto" w:val="clear"/>
            <w:vAlign w:val="center"/>
          </w:tcPr>
          <w:p>
            <w:pPr>
              <w:pStyle w:val="TableContents"/>
              <w:spacing w:before="0" w:after="283"/>
              <w:rPr>
                <w:sz w:val="4"/>
                <w:szCs w:val="4"/>
              </w:rPr>
            </w:pPr>
            <w:r>
              <w:rPr>
                <w:sz w:val="4"/>
                <w:szCs w:val="4"/>
              </w:rPr>
            </w:r>
          </w:p>
        </w:tc>
        <w:tc>
          <w:tcPr>
            <w:tcW w:w="1997" w:type="dxa"/>
            <w:tcBorders/>
            <w:shd w:fill="auto" w:val="clear"/>
            <w:vAlign w:val="center"/>
          </w:tcPr>
          <w:p>
            <w:pPr>
              <w:pStyle w:val="TableContents"/>
              <w:spacing w:before="0" w:after="283"/>
              <w:rPr>
                <w:sz w:val="4"/>
                <w:szCs w:val="4"/>
              </w:rPr>
            </w:pPr>
            <w:r>
              <w:rPr>
                <w:sz w:val="4"/>
                <w:szCs w:val="4"/>
              </w:rPr>
            </w:r>
          </w:p>
        </w:tc>
        <w:tc>
          <w:tcPr>
            <w:tcW w:w="20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 interest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disclosure of non-cash investing and financing activity:</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and equipment included in accounts payable and accrued expense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and equipment and right-of-use assets obtained through leases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Extinguishment of Series B convertible preferred stock included in additional paid-in capital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Extinguishment of Series B convertible preferred stock included in accrued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Series D convertible preferred stock upon settlement of contingent forward contracts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Series D convertible preferred stock upon exercise of preferred stock warrants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Convertible Notes converted into Series D convertible preferred stock</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Unamortized Convertible Notes debt issuance cost and debt discount converted into Series D convertible preferred stock</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interest of Convertible Notes converted to Series D convertible preferred stock</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financing cost reclassed to convertible preferred stock</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Series E convertible preferred stock contingent forward contracts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Settlement of Series E convertible preferred stock contingent forward contract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 contribution upon forfeit of Series E awards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Series E convertible preferred stock upon settlement of contingent forward contracts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upon conversion of preferred stock in connection with the reverse recapitalization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5,836,785 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82625"/>
                <wp:effectExtent l="0" t="0" r="0" b="0"/>
                <wp:wrapNone/>
                <wp:docPr id="84" name="Frame83"/>
                <a:graphic xmlns:a="http://schemas.openxmlformats.org/drawingml/2006/main">
                  <a:graphicData uri="http://schemas.microsoft.com/office/word/2010/wordprocessingShape">
                    <wps:wsp>
                      <wps:cNvSpPr txBox="1"/>
                      <wps:spPr>
                        <a:xfrm>
                          <a:off x="0" y="0"/>
                          <a:ext cx="6480175" cy="682625"/>
                        </a:xfrm>
                        <a:prstGeom prst="rect"/>
                      </wps:spPr>
                      <wps:txbx>
                        <w:txbxContent>
                          <w:p>
                            <w:pPr>
                              <w:pStyle w:val="TextBody"/>
                              <w:spacing w:lineRule="auto" w:line="333"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NOTE 1</w:t>
      </w:r>
      <w:r>
        <w:rPr>
          <w:color w:val="000000"/>
        </w:rPr>
        <w:t xml:space="preserve"> – </w:t>
      </w:r>
      <w:r>
        <w:rPr>
          <w:rFonts w:ascii="Times New Roman;sans-serif" w:hAnsi="Times New Roman;sans-serif"/>
          <w:b/>
          <w:color w:val="000000"/>
          <w:sz w:val="20"/>
        </w:rPr>
        <w:t>DESCRIPTION OF BUSINESS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Lucid Group, Inc. (“Lucid”) is a automotive company focused on designing, developing, manufacturing, and selling the next generation of electric vehicle (“EV”), EV powertrains and battery systems.</w:t>
      </w:r>
    </w:p>
    <w:p>
      <w:pPr>
        <w:pStyle w:val="TextBody"/>
        <w:spacing w:lineRule="auto" w:line="288" w:before="240" w:after="283"/>
        <w:rPr/>
      </w:pPr>
      <w:r>
        <w:rPr>
          <w:rFonts w:ascii="Times New Roman;sans-serif" w:hAnsi="Times New Roman;sans-serif"/>
          <w:b w:val="false"/>
          <w:color w:val="000000"/>
          <w:sz w:val="20"/>
        </w:rPr>
        <w:t>Lucid was originally incorporated in Delaware on April 30, 2020 under the name Churchill Capital Corp IV (formerly known as Annetta Acquisition Corp) (“Churchill”) as a special purpose acquisition company with the purpose of effecting a merger with one or more operating businesses. On February 22, 2021, Churchill entered into a definitive merger agreement (the “Merger Agreement”) with Atieva, Inc. (“Legacy Lucid”) in which Legacy Lucid would become a wholly owned subsidiary of Churchill (the “Merger”). Upon the closing of the Merger on July 23, 2021 (the “Closing”), Churchill was immediately renamed to “Lucid Group, Inc.” The Merger between Churchill and Legacy Lucid was accounted for as a reverse recapitalization. See Note 3</w:t>
      </w:r>
      <w:r>
        <w:rPr>
          <w:color w:val="000000"/>
        </w:rPr>
        <w:t xml:space="preserve"> – </w:t>
      </w:r>
      <w:r>
        <w:rPr>
          <w:rFonts w:ascii="Times New Roman;sans-serif" w:hAnsi="Times New Roman;sans-serif"/>
          <w:b w:val="false"/>
          <w:color w:val="000000"/>
          <w:sz w:val="20"/>
        </w:rPr>
        <w:t>Reverse Recapitalization for more information.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Throughout the notes to the consolidated financial statements, unless otherwise noted, the “Company,” “we,” “us” or “our” and similar terms refer to Legacy Lucid and its subsidiaries prior to the consummation of the Merger, and Lucid and its subsidiaries after the consummation of the Merger.</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Liquidity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devotes its efforts to business planning, research and development, recruiting of management and technical staff, acquiring operating assets, and raising capital.</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From inception through December 31, 2021, the Company has incurred operating losses and negative cash flows from operating activities. For the years ended December 31, 2021, 2020 and 2019, the Company has incurred operating losses, including net losses of $2.6 billion, $719.4 million and $277.4 million, respectively. The Company has an accumulated deficit of $6.1 billion as of December 31, 2021.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2021, the Company completed the first phase of the construction of its newly built manufacturing plant in Casa Grande, Arizona (the “Arizona plant”). The Company began commercial production of its first vehicle, the Lucid Air, in September 2021 and delivered its first vehicles in late October 2021. The Company continues to expand the Arizona plant and build-out of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are not identified and confirmed.</w:t>
      </w:r>
    </w:p>
    <w:p>
      <w:pPr>
        <w:pStyle w:val="TextBody"/>
        <w:spacing w:lineRule="auto" w:line="288" w:before="240" w:after="283"/>
        <w:rPr/>
      </w:pPr>
      <w:r>
        <w:rPr>
          <w:rFonts w:ascii="Times New Roman;sans-serif" w:hAnsi="Times New Roman;sans-serif"/>
          <w:b w:val="false"/>
          <w:color w:val="000000"/>
          <w:sz w:val="20"/>
        </w:rPr>
        <w:t>The Company’s existing sources of liquidity include cash and cash equivalents. Historically, the Company funded operations primarily with issuances of convertible preferred stock and convertible notes. Upon the completion of the Merger, the Company received $4,400.3 million in cash proceeds, net of transaction costs.</w:t>
      </w:r>
      <w:r>
        <w:rPr>
          <w:color w:val="000000"/>
          <w:highlight w:val="white"/>
        </w:rPr>
        <w:t xml:space="preserve"> </w:t>
      </w:r>
      <w:r>
        <w:rPr>
          <w:rFonts w:ascii="Times New Roman;sans-serif" w:hAnsi="Times New Roman;sans-serif"/>
          <w:b w:val="false"/>
          <w:color w:val="000000"/>
          <w:sz w:val="20"/>
          <w:highlight w:val="white"/>
        </w:rPr>
        <w:t xml:space="preserve">In December 2021, the Company issued an aggregate of </w:t>
      </w:r>
      <w:r>
        <w:rPr>
          <w:rFonts w:ascii="Times New Roman;sans-serif" w:hAnsi="Times New Roman;sans-serif"/>
          <w:b w:val="false"/>
          <w:color w:val="000000"/>
          <w:sz w:val="20"/>
        </w:rPr>
        <w:t>$2,012.5 million</w:t>
      </w:r>
      <w:r>
        <w:rPr>
          <w:color w:val="000000"/>
          <w:highlight w:val="white"/>
        </w:rPr>
        <w:t xml:space="preserve"> </w:t>
      </w:r>
      <w:r>
        <w:rPr>
          <w:rFonts w:ascii="Times New Roman;sans-serif" w:hAnsi="Times New Roman;sans-serif"/>
          <w:b w:val="false"/>
          <w:color w:val="000000"/>
          <w:sz w:val="20"/>
          <w:highlight w:val="white"/>
        </w:rPr>
        <w:t xml:space="preserve">principal amount of 1.25% convertible senior notes due in December 2026.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Certain Significant Risks and Uncertainties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current business activities consist of research and development efforts to design and develop a high-performance fully electric vehicle and advanced electric vehicle powertrain components, including battery pack systems; building of the Company’s production operations in Casa Grande, Arizona; and build-out of the Company’s retail stores and service centers for distribution of the vehicles to customers.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our ability to access potential markets, and secure long-term financing.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a dynamic high-technology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continues to impact the global economy and cause significant macroeconomic uncertainty. Infection rates vary across the jurisdictions in which we operate. Governmental authorities have continued to implement numerous and constantly evolving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measures to try to contain the virus, such as travel bans and restrictions, masking recommendations and mandates, vaccine recommendations and mandates, limits on gatherings, quarantines, shelter-in-place orders and business shutdowns. We have taken proactive action to protect the health and safety of our employees, customers, partners and suppliers, consistent with the latest and evolving governmental guidelines. We expect to continue to implement appropriate measures until the COVID-19 pandemic is adequately contained. We continue to monitor the rapidly evolving situation and guidance from international and domestic authorities, including federal, state and local public health authorities, and may take additional actions based on their recommendations and requirements or as we otherwise see fit to protect the health and safety of our employees, customers, partners and suppliers.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While certain of our and our suppliers’ operations have from time-to-time been temporarily affected by government-mandated restrictions, we were able to commence deliveries of the Lucid Air to customers and to proceed with the construction of the Arizona plant. Broader impacts of the pandemic have included ongoing, industry-wide challenges in logistics and supply chains, such as increased port congestion, intermittent supplier delays and a shortfall of semiconductor supply. Because we rely on third party suppliers for the development, manufacture, and/or provision and development of many of the key components and materials used in our vehicles, as well as provisioning and servicing equipment in our manufacturing facilities, we have been affected by such industry-wide challenges in logistics and supply chains. While we continue to focus on mitigating risks to our operations and supply chain in the current industry environment, we expect that these industry-wide trends will continue to affect our ability and the ability of our suppliers to obtain parts, components and manufacturing equipment on a timely basis for the foreseeable future.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the current circumstances, given the dynamic nature of the situation, any impact on our financial condition, results of operations or cash flows in the future continues to be difficult to estimate and predict, as it depends on future events that are highly uncertain and cannot be predicted with accuracy, including, but not limited to, the duration and continued spread of the outbreak, its severity, potential additional waves of infection, the emergence of more virulent or more dangerous strains of the virus, the actions taken to mitigate the virus or its impact, the development, distribution, efficacy and acceptance of vaccines worldwide, how quickly and to what extent normal economic and operating conditions can resume, the broader impact that the pandemic is having on the economy and our industry and specific implications the pandemic may have on our suppliers and on global logistics. See Item 1A., “Risk Factors,” for additional information regarding risks associated with the COVID-19 pandemic, including under the caption “The ongoing COVID-19 pandemic has adversely affected our business, results of operations and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NOTE 2</w:t>
      </w:r>
      <w:r>
        <w:rPr>
          <w:color w:val="000000"/>
        </w:rPr>
        <w:t xml:space="preserve"> – </w:t>
      </w:r>
      <w:r>
        <w:rPr>
          <w:rFonts w:ascii="Times New Roman;sans-serif" w:hAnsi="Times New Roman;sans-serif"/>
          <w:b/>
          <w:color w:val="000000"/>
          <w:sz w:val="20"/>
        </w:rPr>
        <w:t>SUMMARY OF SIGNIFICANT ACCOUNTING POLICIES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included herein have been prepared in accordance with generally accepted accounting principles in the United States of America (“U.S. GAAP”). The consolidated financial statements include the accounts of the Company and its wholly owned subsidiaries. All significant intercompany balances and transactions have been eliminated in consolidation. Certain prior-period amounts have been reclassified in the accompanying consolidated financial statements and notes thereto in order to conform to the current period presentation.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and reporting segment and one reportable segment, as the CODM reviews financial information presented on a consolidated basis for purposes of making operating decisions, allocating resources, and evaluating financial performance.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the determination of the useful lives of property and equipment, fair value of preferred stock warrants, fair value of common stock warrants, fair value of contingent forward contracts liability, valuation of deferred income tax assets and uncertain tax positions, fair value of common stock and other assumptions used to measure stock-based compensation expense, and estimated incremental borrowing rates for assessing operating and financing lease liabilities.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investments with an original or remaining maturity at the date of purchase of three months or less to be cash equivalents.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in other current assets and noncurrent assets is primarily related to letters of credit issued to the landlords for certain of the Company’s leasehold facilities.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restricted cash to amounts shown in the statements of cash flows (in thousands):</w:t>
      </w:r>
    </w:p>
    <w:tbl>
      <w:tblPr>
        <w:tblW w:w="8517" w:type="dxa"/>
        <w:jc w:val="left"/>
        <w:tblInd w:w="0" w:type="dxa"/>
        <w:tblCellMar>
          <w:top w:w="28" w:type="dxa"/>
          <w:left w:w="28" w:type="dxa"/>
          <w:bottom w:w="28" w:type="dxa"/>
          <w:right w:w="28" w:type="dxa"/>
        </w:tblCellMar>
      </w:tblPr>
      <w:tblGrid>
        <w:gridCol w:w="1525"/>
        <w:gridCol w:w="1341"/>
        <w:gridCol w:w="1364"/>
        <w:gridCol w:w="211"/>
        <w:gridCol w:w="976"/>
        <w:gridCol w:w="109"/>
        <w:gridCol w:w="109"/>
        <w:gridCol w:w="109"/>
        <w:gridCol w:w="109"/>
        <w:gridCol w:w="211"/>
        <w:gridCol w:w="826"/>
        <w:gridCol w:w="109"/>
        <w:gridCol w:w="109"/>
        <w:gridCol w:w="109"/>
        <w:gridCol w:w="109"/>
        <w:gridCol w:w="211"/>
        <w:gridCol w:w="826"/>
        <w:gridCol w:w="154"/>
      </w:tblGrid>
      <w:tr>
        <w:trPr/>
        <w:tc>
          <w:tcPr>
            <w:tcW w:w="1525"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current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noncurrent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consist of current trade receivables from a single customer. The Company records accounts receivable, net of an allowance for expected credit losses. Management’s estimate for expected credit losses for outstanding accounts receivable are based on historical write-off experience, an analysis of the aging of outstanding receivables, customer payment patterns, and the establishment of specific reserves for customers in an adverse financial condition. Adjustments are made based upon the Company’s expectations of changes in macroeconomic conditions that may impact the collectability of outstanding receivables. The Company also considers current market conditions and reasonable and supportable forecasts of future economic conditions to inform adjustments to historical loss data. The Company reassesses the adequacy of estimated credit losses each reporting period. At December 31, 2021 and 2020, the Company did not record an allowance for expected credit losses.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Short-Term Investments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Investments with original or remaining maturities of more than three months at the time of purchase are generally classified as short-term investments and consist of time deposits. At December 31, 2021 and 2020, the Company held short-term investments of nil and $0.5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concentration of credit risk consist of cash, cash equivalents, and accounts receivable. The Company places its cash primarily with domestic financial institutions that are federally insured within statutory limits, but at times its deposits may exceed federally insured limits. Further, accounts receivable primarily consists of current trade receivables from a single customer as of December 31, 2021 and 2020, which relates specifically to sales of its battery packs.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Inventory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or net realizable value. Cost is computed using standard cost for vehicles, which approximates actual cost on a first-in, first-out basis. The Company records inventory write-downs for excess or obsolete inventories based upon assumptions about current and future demand forecasts. If inventory on-hand is in excess of future demand forecast, the excess amounts are written-off.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also reviewed to determine whether its carrying value exceeds the net amount realizable upon the ultimate sale of the inventory. This requires an assessment to determine the selling price of the vehicles less the estimated cost to convert the inventory on-hand into a finished product. Once inventory is written-down, a new, lower cost basis for that inventory is established and subsequent changes in facts and circumstances do not result in the restoration or increase in that newly established cost basis.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Property, Plant, and Equipment</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Property, plant, and equipment are stated at cost, less accumulated depreciation and amortization for leasehold improvements. Depreciation is recorded using the straight-line method over the estimated useful lives of the related assets. The Company generally uses the following estimated useful lives for each asset category: </w:t>
      </w:r>
    </w:p>
    <w:tbl>
      <w:tblPr>
        <w:tblW w:w="8666" w:type="dxa"/>
        <w:jc w:val="left"/>
        <w:tblInd w:w="0" w:type="dxa"/>
        <w:tblCellMar>
          <w:top w:w="28" w:type="dxa"/>
          <w:left w:w="28" w:type="dxa"/>
          <w:bottom w:w="28" w:type="dxa"/>
          <w:right w:w="28" w:type="dxa"/>
        </w:tblCellMar>
      </w:tblPr>
      <w:tblGrid>
        <w:gridCol w:w="1054"/>
        <w:gridCol w:w="925"/>
        <w:gridCol w:w="931"/>
        <w:gridCol w:w="109"/>
        <w:gridCol w:w="109"/>
        <w:gridCol w:w="109"/>
        <w:gridCol w:w="1589"/>
        <w:gridCol w:w="1589"/>
        <w:gridCol w:w="2251"/>
      </w:tblGrid>
      <w:tr>
        <w:trPr/>
        <w:tc>
          <w:tcPr>
            <w:tcW w:w="1054"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2251"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Life (years)</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Tooling &amp; Vehicles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3 - 7</w:t>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the lease term or the estimated useful lives of the assets</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Expenditures for repair and maintenance costs are expensed as incurred, and expenditures for major renewals and improvements that increase functionality of the asset are capitalized and depreciated ratably over the identified useful life. Upon disposition or retirement of property and equipment, the related cost and accumulated depreciation and amortization are removed, and any gain or loss is reflected in operations. The disposition loss on fixed assets recorded for the years ended December 31, 2021, 2020 and 2019 is immaterial.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Impairment of Long-Lived Assets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Long-lived assets, such as property, plant and equipment are reviewed for impairment whenever events or changes in circumstances indicate that the carrying amount of an asset may not be recoverable. If circumstances require a long-lived asset or asset group be tested for potential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the carrying amount of the underlying asset exceeds its fair value. No impairment loss was recognized for the years ended December 31, 2021, 2020 and 2019.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Foreign Currency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U.S. dollar is the functional currency of the Company’s consolidated subsidiaries operating outside of the U.S. Monetary assets and liabilities of these subsidiaries are remeasured into U.S. dollars from the local currency at rates in effect at period-end and nonmonetary assets and liabilities are remeasured at historical rates. Expenses incurred in currencies other than the U.S. dollar (the functional currency) are remeasured at average exchange rates in effect during each period. Foreign currency gains and losses from remeasurement are included within other (expense) income, net in the Company’s consolidated statements of operations, and were immaterial for the years ended December 31, 2021, 2020, and 2019.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 from Contracts with Customers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 2019, the Company adopted ASU No. 2014-09, Revenue from Contracts with Customers (“Topic 606”) using the modified retrospective method, which did not result in an adjustment upon adoption.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follows a five-step process in which the Company identifies the contract, identifies the related performance obligations, determines the transaction price, allocates the transaction price to the identified performance obligations, and recognizes revenue when (or as) the performance obligations are satisfied.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Vehicle Sales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Vehicle sales revenue is generated from the sale of electric vehicles to customers. There are two performance obligations identified in vehicle sale arrangements. These are the vehicle including an onboard advanced driver assistance system (ADAS), and the right to unspecified over-the-air (OTA) software updates to be provided as and when available over the term of the basic vehicle warranty, which is generally 4 years. Shipping and handling provided by Company is considered a fulfillment activity.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is typically received at or prior to the transfer of control of the vehicle to the customer. Generally, control transfers to the customer at the deemed delivery when the customer takes physical possession of the vehicle, which may be at a Lucid Studio or other destination chosen by the customer. The Company’s vehicle contracts do not contain a significant financing component. The Company has elected to exclude sales taxes from the measurement of the transaction price. The Company estimates the standalone selling price of all performance obligations by considering costs used to develop and deliver the good or service, third-party pricing of similar goods or services and other information that </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may be available. The transaction price is allocated among the performance obligations in proportion to the standalone selling price of the Company’s performance obligations.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Battery Pack System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Battery pack system revenue consists of the sales of battery pack systems, supplies and related services for vehicles. The sale of battery pack systems along with related supplies is a single performance obligation to be recognized at the point in time when control is transferred to the customer. Shipping and handling provided by Company is considered a fulfillment activity. While customers generally have the right to return defective or non-conforming products, past experience has demonstrated that product returns have been immaterial. Customer remedies may include either a cash refund or an exchange of the returned product. As a result, the right of return and related refund liability for non-conforming or defective goods is estimated and recorded as a reduction in revenue, if necessary. Payment for the products sold are made upon invoice or in accordance with payment terms customary to the business. The Company’s battery pack system contracts do not contain a significant financing component. The Company has elected to exclude sales taxes from the measurement of the transaction price.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Control transfers to the customer when the product is delivered to the customer as the customer can then direct the product’s use and obtain substantially all of the remaining benefits from the asset at that point in time.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Cost of Revenue</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Vehicle Sales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Cost of revenue includes direct parts, materials, shipping and handling costs, allocable overhead costs such as depreciation of manufacturing related equipment and facilities, information technology costs, personnel costs, including wages and stock-based compensation, estimated warranty costs and charges to reduce inventories to their net realizable value less costs to sell or charges for inventory obsolescence.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Battery Pack Systems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includes direct parts, material and labor costs, manufacturing overhead, including amortized tooling costs, shipping and logistic costs, and reserves for estimated warranty expenses related to its battery packs. Cost of revenue also includes adjustments to warranty expense and charges to write down the carrying value of inventory when it exceeds its estimated net realizable value or to provide for obsolete and on-hand inventory in excess of forecasted demand.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Warranties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 manufacturer’s warranty on all vehicles and battery packs it sells and accrues a warranty reserve for warranty coverage, as applicable. These estimates are based on actual claims incurred to date and an estimate of the nature, frequency, and costs of future claims. The Company accrues a warranty reserve for all products sold which includes the Company’s best estimates of the projected costs to repair or replace items under warranties and recalls when identified. Changes to the Company’s historical or projected warranty experience may cause material changes to the warranty reserve in the future. The portion of the warranty reserve expected to be incurred within the next 12 months is included within accrued liabilities and other, while the remaining balance is included within other long-term liabilities in the consolidated balance sheets. The warranty expense recorded as a component of cost of revenue in the consolidated statements of operations was immaterial for the years ended December 31, 2021, 2020, and 2019.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utilizes the liability method to account for income taxes,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before="0" w:after="0"/>
        <w:rPr/>
      </w:pPr>
      <w:r>
        <w:rPr/>
      </w:r>
    </w:p>
    <w:p>
      <w:pPr>
        <w:pStyle w:val="TextBody"/>
        <w:spacing w:lineRule="auto" w:line="288" w:before="240" w:after="283"/>
        <w:rPr/>
      </w:pPr>
      <w:r>
        <w:rPr>
          <w:rFonts w:ascii="Times New Roman;sans-serif" w:hAnsi="Times New Roman;sans-serif"/>
          <w:b w:val="false"/>
          <w:color w:val="000000"/>
          <w:sz w:val="20"/>
          <w:highlight w:val="white"/>
        </w:rPr>
        <w:t xml:space="preserve">The Company recognizes deferred tax assets to the extent that these assets are more likely than not to be realized. In making such a determination, all available positive and negative evidence are considered, including future reversals of existing taxable temporary differences, projected future taxable income, </w:t>
      </w:r>
      <w:r>
        <w:rPr>
          <w:rFonts w:ascii="Times New Roman;sans-serif" w:hAnsi="Times New Roman;sans-serif"/>
          <w:b w:val="false"/>
          <w:color w:val="000000"/>
          <w:sz w:val="20"/>
        </w:rPr>
        <w:t>tax-planning</w:t>
      </w:r>
      <w:r>
        <w:rPr>
          <w:color w:val="000000"/>
          <w:highlight w:val="white"/>
        </w:rPr>
        <w:t xml:space="preserve"> </w:t>
      </w:r>
      <w:r>
        <w:rPr>
          <w:rFonts w:ascii="Times New Roman;sans-serif" w:hAnsi="Times New Roman;sans-serif"/>
          <w:b w:val="false"/>
          <w:color w:val="000000"/>
          <w:sz w:val="20"/>
          <w:highlight w:val="white"/>
        </w:rPr>
        <w:t>strategies, and results of recent operations. If it is determined that deferred tax assets would be realized in the future in excess of their net recorded amount, an adjustment would be made to the deferred tax asset valuation allowance, which would reduce the provision for income taxes.</w:t>
      </w:r>
    </w:p>
    <w:p>
      <w:pPr>
        <w:pStyle w:val="TextBody"/>
        <w:spacing w:lineRule="auto" w:line="288" w:before="240" w:after="283"/>
        <w:rPr/>
      </w:pPr>
      <w:r>
        <w:rPr>
          <w:rFonts w:ascii="Times New Roman;sans-serif" w:hAnsi="Times New Roman;sans-serif"/>
          <w:b w:val="false"/>
          <w:color w:val="000000"/>
          <w:sz w:val="20"/>
        </w:rPr>
        <w:t xml:space="preserve">The Company records uncertain tax positions on the basis of a two-step process which includes (1) determining whether it is more likely than not that the tax positions will be sustained on the basis of the </w:t>
      </w:r>
      <w:r>
        <w:rPr>
          <w:rFonts w:ascii="Times New Roman;sans-serif" w:hAnsi="Times New Roman;sans-serif"/>
          <w:b w:val="false"/>
          <w:color w:val="000000"/>
          <w:sz w:val="20"/>
          <w:highlight w:val="white"/>
        </w:rPr>
        <w:t>technical merits of the position</w:t>
      </w:r>
      <w:r>
        <w:rPr>
          <w:rFonts w:ascii="Times New Roman;sans-serif" w:hAnsi="Times New Roman;sans-serif"/>
          <w:b w:val="false"/>
          <w:color w:val="000000"/>
          <w:sz w:val="20"/>
        </w:rPr>
        <w:t>, and (2) for those tax positions that meet the more-likely-than-not recognition threshold, the Company recognizes the amount of tax benefit that is more than 50 percent likely to be realized upon ultimate settlement with the related tax authority.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Company’s policy is to recognize interest related to unrecognized tax benefits in other income (expense)—net and to recognize penalties in general and administrative expenses in the consolidated statements of operations and comprehensive loss. Accrued interest and penalties are included within income tax liabilities in the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spacing w:lineRule="auto" w:line="288" w:before="240" w:after="283"/>
        <w:rPr/>
      </w:pPr>
      <w:r>
        <w:rPr>
          <w:rFonts w:ascii="Times New Roman;sans-serif" w:hAnsi="Times New Roman;sans-serif"/>
          <w:b w:val="false"/>
          <w:color w:val="000000"/>
          <w:sz w:val="20"/>
        </w:rPr>
        <w:t xml:space="preserve">The Company issues stock-based compensation awards to employees, officers, directors, and non-employees in the form of stock options and restricted stock units (“RSUs”). The Company measures and recognizes compensation expense for stock-based awards based on the awards’ fair value on the date of grant. The Company accounts for forfeitures of stock-based awards when they occur. The fair value of RSUs that vest based on service and performance conditions is measured using the fair value of the Company’s common stock on the date of the grant. The fair value of RSUs that vest based on service and market conditions is measured using a Monte Carlo simulation model on the date of grant. The fair value of stock options that vest based on service condition is measured using the Black-Scholes option pricing model on the date of grant. The Monte Carlo simulation model and the Black-Scholes option pricing model requires the input of highly subjective assumptions, including the fair value of the Company’s common stock, the expected term of the award, the expected volatility of the Company’s common stock, risk-free interest rates, and the expected dividend yield of the Company’s common stock. </w:t>
      </w:r>
      <w:r>
        <w:rPr>
          <w:rFonts w:ascii="Times New Roman;sans-serif" w:hAnsi="Times New Roman;sans-serif"/>
          <w:b w:val="false"/>
          <w:color w:val="000000"/>
          <w:sz w:val="20"/>
          <w:highlight w:val="white"/>
        </w:rPr>
        <w:t>The assumptions used to determine the fair value of the awards represent management’s best estimates.</w:t>
      </w:r>
      <w:r>
        <w:rPr>
          <w:color w:val="000000"/>
        </w:rPr>
        <w:t xml:space="preserve"> </w:t>
      </w:r>
      <w:r>
        <w:rPr>
          <w:rFonts w:ascii="Times New Roman;sans-serif" w:hAnsi="Times New Roman;sans-serif"/>
          <w:b w:val="false"/>
          <w:color w:val="000000"/>
          <w:sz w:val="20"/>
        </w:rPr>
        <w:t>These estimates involve inherent uncertainties and the application of management’s judgment.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fair value of awards that vest</w:t>
      </w:r>
      <w:r>
        <w:rPr>
          <w:color w:val="231F20"/>
        </w:rPr>
        <w:t xml:space="preserve"> </w:t>
      </w:r>
      <w:r>
        <w:rPr>
          <w:rFonts w:ascii="Times New Roman;sans-serif" w:hAnsi="Times New Roman;sans-serif"/>
          <w:b w:val="false"/>
          <w:color w:val="231F20"/>
          <w:sz w:val="20"/>
        </w:rPr>
        <w:t xml:space="preserve">based only continuous service are recognized on a straight-line basis over the requisite service period. </w:t>
      </w:r>
      <w:r>
        <w:rPr>
          <w:rFonts w:ascii="Times New Roman;sans-serif" w:hAnsi="Times New Roman;sans-serif"/>
          <w:b w:val="false"/>
          <w:color w:val="000000"/>
          <w:sz w:val="20"/>
        </w:rPr>
        <w:t xml:space="preserve">The fair value of awards that vest based on performance or market conditions is recognized over the requisite service period using the accelerated attribution method. Stock-based compensation expense is only recognized for awards with performance conditions once the performance condition becomes probable of being achieved. </w:t>
      </w:r>
      <w:r>
        <w:rPr>
          <w:rFonts w:ascii="Times New Roman;sans-serif" w:hAnsi="Times New Roman;sans-serif"/>
          <w:b w:val="false"/>
          <w:color w:val="231F20"/>
          <w:sz w:val="20"/>
        </w:rPr>
        <w:t>The performance-based vesting condition was satisfied upon the Closing</w:t>
      </w:r>
      <w:r>
        <w:rPr>
          <w:color w:val="000000"/>
        </w:rPr>
        <w:t xml:space="preserve"> </w:t>
      </w:r>
      <w:r>
        <w:rPr>
          <w:rFonts w:ascii="Times New Roman;sans-serif" w:hAnsi="Times New Roman;sans-serif"/>
          <w:b w:val="false"/>
          <w:color w:val="000000"/>
          <w:sz w:val="20"/>
        </w:rPr>
        <w:t>of the Merger</w:t>
      </w:r>
      <w:r>
        <w:rPr>
          <w:rFonts w:ascii="Times New Roman;sans-serif" w:hAnsi="Times New Roman;sans-serif"/>
          <w:b w:val="false"/>
          <w:color w:val="231F20"/>
          <w:sz w:val="20"/>
        </w:rPr>
        <w:t>. The market-based</w:t>
      </w:r>
      <w:r>
        <w:rPr>
          <w:color w:val="000000"/>
        </w:rPr>
        <w:t xml:space="preserve"> </w:t>
      </w:r>
      <w:r>
        <w:rPr>
          <w:rFonts w:ascii="Times New Roman;sans-serif" w:hAnsi="Times New Roman;sans-serif"/>
          <w:b w:val="false"/>
          <w:color w:val="000000"/>
          <w:sz w:val="20"/>
        </w:rPr>
        <w:t>RSUs will vest only if the Company achieves certain market capitalization targets.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Comprehensive Loss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Comprehensive loss is composed of two components: net loss and other comprehensive income (loss). Other comprehensive income (loss) refers to revenue, expenses, gains, and losses that under U.S. GAAP are recorded as an element of stockholders’ equity (deficit) but are excluded from net loss. For the years ended December 31, 2021, 2020 and 2019, as there are no activities that impacted comprehensive income (loss), there are no differences between comprehensive loss and net loss reported in the Company’s consolidated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personnel-related expenses, contractor fees, engineering design and testing expenses, and allocated facilities cost. Substantially all of the Company’s research and development expenses are related to developing new products and services and improving existing products and services. Research and development expenses have been expensed as incurred and included in the consolidated statements of operations and comprehensive loss.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Selling, General, and Administrative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consist of personnel-related expenses for employees involved in general corporate, selling and marketing functions, including executive management and administration, legal, human resources, facilities and real estate, accounting, finance, tax, and information technology.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Advertising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Advertising is expensed as incurred and is included in sales and marketing expenses in the consolidated statements of operations and comprehensive loss. These costs were immaterial for the years ended December 31, 2021, 2020 and 2019,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for Leases prior to the adoption of ASC 842 (as defined below)</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Periods prior to fiscal year 2021 reflect the provisions of ASC 840, Leases (“ASC 840”) where </w:t>
      </w:r>
      <w:r>
        <w:rPr>
          <w:rFonts w:ascii="Times New Roman;sans-serif" w:hAnsi="Times New Roman;sans-serif"/>
          <w:b w:val="false"/>
          <w:color w:val="000000"/>
          <w:sz w:val="20"/>
          <w:highlight w:val="white"/>
        </w:rPr>
        <w:t xml:space="preserve">an arrangement is or contains a lease if there are specified assets and the right to control the use of a specified asset is conveyed for a period in exchange for consideration. Upon lease inception, the Company classifies leases as either operating or capital leases. Leases are classified as capital leases when the terms of the lease transfers substantially all of the risks and rewards of ownership to the lessee. All other leases are classified as operating leases. </w:t>
      </w:r>
    </w:p>
    <w:p>
      <w:pPr>
        <w:pStyle w:val="TextBody"/>
        <w:spacing w:lineRule="auto" w:line="288" w:before="240" w:after="283"/>
        <w:rPr/>
      </w:pPr>
      <w:r>
        <w:rPr>
          <w:rFonts w:ascii="Times New Roman;sans-serif" w:hAnsi="Times New Roman;sans-serif"/>
          <w:b w:val="false"/>
          <w:color w:val="000000"/>
          <w:sz w:val="20"/>
          <w:highlight w:val="white"/>
        </w:rPr>
        <w:t xml:space="preserve">Operating leases are not recognized on the consolidated balance sheets. For capital leases, the Company recognizes capital lease assets and corresponding lease liabilities within the consolidated balance sheets at lease commencement </w:t>
      </w:r>
      <w:r>
        <w:rPr>
          <w:rFonts w:ascii="Times New Roman;sans-serif" w:hAnsi="Times New Roman;sans-serif"/>
          <w:b w:val="false"/>
          <w:color w:val="000000"/>
          <w:sz w:val="20"/>
        </w:rPr>
        <w:t>at the present value of the rental payments</w:t>
      </w:r>
      <w:r>
        <w:rPr>
          <w:rFonts w:ascii="Times New Roman;sans-serif" w:hAnsi="Times New Roman;sans-serif"/>
          <w:b w:val="false"/>
          <w:color w:val="000000"/>
          <w:sz w:val="20"/>
          <w:highlight w:val="white"/>
        </w:rPr>
        <w:t xml:space="preserve">. The Company recognizes rent expense on a straight-line basis in the statements of operations for operating leases. For capital leases, the Company recognizes interest expense associated with the capital lease liability and depreciation expense associated with the capital lease asset. For capital lease assets and leasehold improvements, the estimated useful lives are limited to the shorter of the useful life of the asset or the term of the lease.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enters into operating and capital leases associated with its office space, manufacturing and retail facilities, and equipment. On certain of its operating lease agreements, the Company may receive rent holidays and other incentives, which are recognized over the lease term through rent expense. The difference between rent expense and the cash paid under the lease agreement is recorded as deferred rent. Lease incentives, including tenant improvement allowances, are also recorded as deferred rent and amortized on a straight-line basis over the lease term. The Company recorded deferred rent under other short-term and long-term liabilities in the consolidated balance sheet as of December 31, 2020.</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If the term of the lease does not exceed 12 months, the Company elects to record the rental expense in the period it is incurred, and no deferred rent is recorded.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Adoption of ASC 842 (as defined below)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1, 2021, the Company adopted ASU 2016-02, Leases, and all related guidance (“ASC 842”) and recorded a right-of-use (“ROU”) asset and a corresponding lease liability in our consolidated balance sheet for all eligible leases with terms longer than 12 months or less if the lease contains a purchase option or renewal term that the Company is reasonably certain to exercise.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lease agreements with lease and non-lease components, including embedded leases, and has elected not to utilize the practical expedient to account for lease and non-lease components together, rather the Company is accounting for the lease and non-lease components separately on the consolidated financial statements. </w:t>
      </w:r>
    </w:p>
    <w:p>
      <w:pPr>
        <w:pStyle w:val="TextBody"/>
        <w:spacing w:lineRule="auto" w:line="288" w:before="240" w:after="283"/>
        <w:rPr/>
      </w:pPr>
      <w:r>
        <w:rPr>
          <w:rFonts w:ascii="Times New Roman;sans-serif" w:hAnsi="Times New Roman;sans-serif"/>
          <w:b w:val="false"/>
          <w:color w:val="000000"/>
          <w:sz w:val="20"/>
        </w:rPr>
        <w:t>Operating lease assets are included within operating lease right-of-use (“ROU”) assets. Finance lease assets are included within property, plant and equipment, net. The corresponding operating lease liabilities and finance lease liabilities are included within other current liabilities and other</w:t>
      </w:r>
      <w:r>
        <w:rPr>
          <w:color w:val="000000"/>
        </w:rPr>
        <w:t> </w:t>
      </w:r>
      <w:r>
        <w:rPr>
          <w:rFonts w:ascii="Times New Roman;sans-serif" w:hAnsi="Times New Roman;sans-serif"/>
          <w:b w:val="false"/>
          <w:color w:val="000000"/>
          <w:sz w:val="20"/>
        </w:rPr>
        <w:t>long-term liabilities on the Company’s consolidated balance sheet as of December 31, 2021.</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All other lease assets and lease liabilities are recognized based on the present value of lease payments over the lease term at the later of ASC 842 adoption date or lease commencement date. The Company estimates the Company’s incremental borrowing rate based on the information available at adoption date or lease commencement date in determining the present value of lease payments.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Commitments and Contingencies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the Company accrues for the minimum amount within the range. Legal costs incurred in connection with loss contingencies are expensed as incurred.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Loss Per Share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 is computed in conformity with the two-class method required for participating securities. The Company considers all series of its convertible preferred stock to be participating securities as the holders of such shares have the right to receive nonforfeitable dividends on a pari passu basis in the event that a dividend is paid on common stock. Under the two-class method, the net loss attributable to common stockholders is not allocated to the convertible preferred stock as the preferred stockholders do not have a contractual obligation to share in the Company’s losses.</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computed by dividing net loss attributable to common stockholders by the weighted-average number of shares of common stock outstanding during the period. Diluted net loss per share is computed by giving effect to all potentially dilutive common share equivalents to the extent they are dilutive. For purposes of this calculation, convertible preferred stock, stock options, convertible and convertible preferred stock warrants are considered to be common stock equivalents but have been excluded from the calculation of diluted net loss per share attributable to common stockholders as their effect is anti-dilutive for all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Common Stock Warrants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warrants for shares of the Company’s common stock that are not indexed to its own stock as liabilities at fair value on the balance sheet. Liability-classified common stock warrants are subject to remeasurement to fair value as of any respective exercise date and as of each subsequent balance sheet date with changes in fair value recorded in the Company’s statement of operations and comprehensive loss. For issued or modified common stock warrants outstanding that meet all of the criteria for equity classification, the common stock warrants are recorded as a component of additional paid-in capital and are not remeasured to fair value in subsequent reporting periods.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Company’s publicly traded common stock warrants (the “public warrants”) are equity-classified instruments because they are deemed indexed to the Company’s own common stock and did not contain any provision that could require net cash settlement unless the holders of the underlying shares would also receive the same form of consideration as the holders of public warrants. The Company’s privately placed common stock warrants (the “private warrants”) are liability-classified instruments because they are not deemed indexed to the Company’s own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February 2016, the FASB issued ASU No. 2016-02 (“ASC 842”), Leases, to require lessees to recognize all leases, with certain exceptions, on the balance sheet, while recognition on the statement of operations will remain similar to current lease accounting. Subsequently, the FASB issued ASU No. 2018-10, Codification Improvements to Topic 842, Leases, ASU No. 2018-11, Targeted Improvements, ASU No. 2018-20, Narrow-Scope Improvements for Lessors, and ASU 2019-01, Codification Improvements, to clarify and amend the guidance in ASU No. 2016-02. ASC 842 eliminates real estate-specific provisions and modifies certain aspects of lessor accounting. This standard is effective for interim and annual periods beginning after December 15, 2018 for public business entities. Early adoption is permitted for all entities. The Company adopted ASC 842 as of January 1, 2021 using the modified retrospective approach (“adoption of the new lease standard”). This approach allows entities to either apply the new lease standard to the beginning of the earliest period presented or only to the consolidated financial statements in the period of adoption without restating prior periods. The Company has elected to apply the new guidance at the date of adoption without restating prior periods. In addition, the Company elected the package of practical expedients permitted under the transition guidance within the new standard, which allowed the Company to carry forward the historical determination of contracts as leases, lease classification and not reassess initial direct costs for historical lease arrangements. Accordingly, previously reported financial statements, including footnote disclosures, have not been recast to reflect the application of the new standard to all comparative periods presented. The finance lease classification under ASC 842 includes leases previously classified as capital leases under ASC 840.</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lease agreements with lease and non-lease components, including embedded leases, and has elected not to utilize the practical expedient to account for lease and non-lease components together, rather the Company is accounting for the lease and non-lease components separately on the consolidated financial statements. </w:t>
      </w:r>
    </w:p>
    <w:p>
      <w:pPr>
        <w:pStyle w:val="TextBody"/>
        <w:spacing w:lineRule="auto" w:line="288" w:before="240" w:after="283"/>
        <w:rPr/>
      </w:pPr>
      <w:r>
        <w:rPr>
          <w:rFonts w:ascii="Times New Roman;sans-serif" w:hAnsi="Times New Roman;sans-serif"/>
          <w:b w:val="false"/>
          <w:color w:val="000000"/>
          <w:sz w:val="20"/>
        </w:rPr>
        <w:t>Operating lease assets are included within operating lease right-of-use (“ROU”) assets. Finance lease assets are included within property, plant and equipment, net. The corresponding operating lease liabilities and finance lease liabilities are included within other current liabilities and other</w:t>
      </w:r>
      <w:r>
        <w:rPr>
          <w:color w:val="000000"/>
        </w:rPr>
        <w:t> </w:t>
      </w:r>
      <w:r>
        <w:rPr>
          <w:rFonts w:ascii="Times New Roman;sans-serif" w:hAnsi="Times New Roman;sans-serif"/>
          <w:b w:val="false"/>
          <w:color w:val="000000"/>
          <w:sz w:val="20"/>
        </w:rPr>
        <w:t>long-term liabilities on the Company’s consolidated balance sheet as of December 31, 2021.</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elected not to present short-term leases on the consolidated balance sheet as these leases have a lease term of 12 months or less at lease inception and do not contain purchase options or renewal terms that the Company is reasonably certain to exercise. All other lease assets and lease liabilities are recognized based on the present value of lease payments over the lease term at the later of ASC 842 adoption date or lease commencement date. Because most of the Company’s leases do not provide an implicit rate of return, the Company used the Company’s incremental borrowing rate based on the information available at adoption date or lease commencement date in determining the present value of lease payments.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Adoption of the new lease standard on January 1, 2021 had a material impact on the Company’s consolidated financial statements. The most significant impacts related to the (i) recording of ROU asset of $91.0 million, and (ii) recording lease liability of $122.8 million, as of January 1, 2021 on the consolidated balance sheets. The Company also reclassified prepaid expenses of $0.2 million and deferred rent balance, including tenant improvement allowances, and other liability balances of $31.8 million relating to the Company’s existing lease arrangements as of December 31, 2020, into the ROU asset balance as of January 1, 2021. ROU assets represent the Company’s right to use an underlying asset for the lease term and lease liabilities represent the Company’s obligation to make lease payments arising from the lease. The standard did not materially impact the Company’s consolidated statement of operations and comprehensive loss and consolidated statement of cash flows.</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cumulative effect of the changes made to the Company’s consolidated balance sheet as of January 1, 2021 for the adoption of the new lease standard was as follows (in thousands):</w:t>
      </w:r>
    </w:p>
    <w:tbl>
      <w:tblPr>
        <w:tblW w:w="8212" w:type="dxa"/>
        <w:jc w:val="left"/>
        <w:tblInd w:w="0" w:type="dxa"/>
        <w:tblCellMar>
          <w:top w:w="28" w:type="dxa"/>
          <w:left w:w="28" w:type="dxa"/>
          <w:bottom w:w="28" w:type="dxa"/>
          <w:right w:w="28" w:type="dxa"/>
        </w:tblCellMar>
      </w:tblPr>
      <w:tblGrid>
        <w:gridCol w:w="1056"/>
        <w:gridCol w:w="928"/>
        <w:gridCol w:w="940"/>
        <w:gridCol w:w="304"/>
        <w:gridCol w:w="1039"/>
        <w:gridCol w:w="157"/>
        <w:gridCol w:w="109"/>
        <w:gridCol w:w="109"/>
        <w:gridCol w:w="109"/>
        <w:gridCol w:w="470"/>
        <w:gridCol w:w="1072"/>
        <w:gridCol w:w="243"/>
        <w:gridCol w:w="109"/>
        <w:gridCol w:w="109"/>
        <w:gridCol w:w="109"/>
        <w:gridCol w:w="262"/>
        <w:gridCol w:w="896"/>
        <w:gridCol w:w="191"/>
      </w:tblGrid>
      <w:tr>
        <w:trPr/>
        <w:tc>
          <w:tcPr>
            <w:tcW w:w="1056"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Balances at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Adjustments from</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Adoption of New Lease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Standard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Balances at</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January 1, 2021</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21,660 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713,274 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713,274 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90,932 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90,932 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151,753 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159,507 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83,191 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122,330 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December 2019, the FASB issued ASU No. 2019-12, Income Taxes (Topic 740): Simplifying the Accounting for Income Taxes, which simplifies the accounting for income taxes by eliminating some exceptions to the general approach in Topic 740, Income Taxes in order to reduce cost and complexity of its application. For public business entities, the guidance is effective for fiscal years beginning after December 15, 2020 and interim periods within those fiscal years. For nonpublic entities, the guidance is effective for fiscal years beginning after December 15, 2021 and interim periods within fiscal years beginning after December 15, 2022. Early adoption is permitted if financial statements have not yet been issued (for public business entities) or have not yet been made available for issuance (for all other entities). The Company adopted this ASU starting on January 1, 2021. The adoption of this ASU did not have an immediate impact to the consolidated financial statements and related disclosure.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FASB issued ASU No. 2020-06, Debt — Debt with Conversion and Other Options (Subtopic 470-20) and Derivatives and Hedging — Contracts in Entity’s Own Equity (Subtopic 815-40): Accounting for Convertible Instruments and Contracts in an Entity’s Own Equity, which simplifies the accounting for certain financial instruments with characteristics of liabilities and equity, including convertible instruments and contracts on an entity’s own equity. The ASU eliminates the current accounting models for convertible instruments that require separation of beneficial conversion features and cash conversion features into equity. The ASU simplifies the requirements for the equity classification of contracts in an entity’s own equity. Additionally, the ASU amends existing earnings-per-share, or EPS, guidance by requiring that an entity use the if-converted method when calculating diluted EPS for convertible instruments and requires a presumption of settlement in shares in the calculation of diluted EPS when a contract can be settled in cash or shares. ASU 2020-06 is effective for fiscal years beginning after December 15, 2021, including interim periods within those fiscal years, with early adoption permitted for fiscal years beginning after December 15, 2020, including interim periods within those fiscal years. The Company early adopted this ASU on January 1, 2021 using the modified retrospective method. The adoption of this ASU did not have a material impact to the consolidated financial statements and related disclosures.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considered all other recently issued accounting pronouncements and does not believe the adoption of such pronouncements will have a material impact on its financial statements or notes thereto.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 xml:space="preserve">NOTE 3 </w:t>
      </w:r>
      <w:r>
        <w:rPr>
          <w:color w:val="000000"/>
        </w:rPr>
        <w:t xml:space="preserve">– </w:t>
      </w:r>
      <w:r>
        <w:rPr>
          <w:rFonts w:ascii="Times New Roman;sans-serif" w:hAnsi="Times New Roman;sans-serif"/>
          <w:b/>
          <w:color w:val="000000"/>
          <w:sz w:val="20"/>
        </w:rPr>
        <w:t>REVERSE RECAPITALIZATION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 July 23, 2021, upon the consummation of the Merger, all holders of 451,295,965 issued and outstanding Legacy Lucid common stock received shares of Lucid common stock at a deemed value of $10.00 per share after giving effect to the exchange ratio of 2.644 (the “Exchange Ratio”) resulting in 1,193,226,511 shares of Lucid common stock issued and outstanding as of the Closing and all holders of 42,182,931 issued and outstanding Legacy Lucid equity awards received Lucid equity awards covering 111,531,080 shares of Lucid common stock at a deemed value of $10.00 per share after giving effect to the Exchange Ratio, based on the following events contemplated by the Merger Agreement: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cancellation and conversion of all 437,182,072 issued and outstanding shares of Legacy Lucid preferred stock into 437,182,072 shares of Legacy Lucid common stock at the conversion rate as calculated pursuant to Legacy Lucid’s memorandum and articles of association at the date and time that the Merger became effective (“Effective Time”);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surrender and exchange of all 451,295,965 issued and outstanding shares of Legacy Lucid common stock (including Legacy Lucid common stock resulting from the conversion of the Legacy Lucid preferred stock) into 1,193,226,511 shares of Lucid common stock as adjusted by the Exchange Ratio;</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cancellation and exchange of all 25,764,610 granted and outstanding vested and unvested Legacy Lucid options, which became 68,121,210 Lucid options exercisable for shares of Lucid common stock with the same terms and vesting conditions except for the number of shares exercisable and the exercise price, each of which was adjusted by the Exchange Ratio; and</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before="0" w:after="0"/>
        <w:rPr/>
      </w:pPr>
      <w:r>
        <w:rPr/>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cancellation and exchange of all 16,418,321 granted and outstanding vested and unvested Legacy Lucid RSUs, which became 43,409,870 Lucid RSUs for shares of Lucid common stock with the same terms and vesting conditions except for the number of shares, which was adjusted by the Exchange Ratio.</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other related events that occurred in connection with the Closing are summarized below:</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Churchill entered into separate private placement subscription agreements (the “PIPE Investment”) contemporaneously with the execution of the Merger Agreement pursuant to which Churchill agreed to sell and issue an aggregate of 166,666,667 shares of common stock at a purchase price of $15.00 per share for an aggregate purchase price of $2,500.0 million. The PIPE Investment closed simultaneously with the Closing of the Merger;</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Churchill Sponsor IV LLC (the “Churchill Sponsor”) exercised its right to convert the outstanding and unpaid amount of $1.5 million under the working capital loan provided by the Churchill Sponsor to Churchill into an additional 1,500,000 private warrants at a price of $1.00 per warrant in satisfaction of such loan;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Churchill and the Churchill Sponsor entered into a letter agreement (the “Sponsor Agreement”), pursuant to which the Churchill Sponsor agreed that 17,250,000 shares of Churchill’s issued and outstanding common stock beneficially held by the Churchill Sponsor (the “Sponsor Earnback Shares”) and 14,783,333 private warrants beneficially held by the Churchill Sponsor (the “Sponsor Earnback Warrants”) to purchase shares of the Churchill’s common stock shall become subject to transfer restrictions and contingent forfeiture provisions upon the Closing of the Merger until Lucid’s stock price exceeded certain predetermined levels in the post-Merger period. Any such shares and warrants not released from these transfer restrictions during the earnback period, which expires on the fifth anniversary of the Closing, will be forfeited back to Lucid for no consideration. See Note 12 - Earnback Shares and Warrants for more information;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Churchill redeemed 21,644 public shares of Churchill’s Class A common stock at approximately $10.00 per share for an aggregate payment of $0.2 million.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After giving effect to the Merger and the redemption of Churchill shares as described above, the number of shares of common stock issued and outstanding immediately following the consummation of the Merger was as follows:</w:t>
      </w:r>
    </w:p>
    <w:tbl>
      <w:tblPr>
        <w:tblW w:w="8618" w:type="dxa"/>
        <w:jc w:val="left"/>
        <w:tblInd w:w="0" w:type="dxa"/>
        <w:tblCellMar>
          <w:top w:w="28" w:type="dxa"/>
          <w:left w:w="28" w:type="dxa"/>
          <w:bottom w:w="28" w:type="dxa"/>
          <w:right w:w="28" w:type="dxa"/>
        </w:tblCellMar>
      </w:tblPr>
      <w:tblGrid>
        <w:gridCol w:w="2544"/>
        <w:gridCol w:w="2231"/>
        <w:gridCol w:w="2244"/>
        <w:gridCol w:w="668"/>
        <w:gridCol w:w="668"/>
        <w:gridCol w:w="263"/>
      </w:tblGrid>
      <w:tr>
        <w:trPr/>
        <w:tc>
          <w:tcPr>
            <w:tcW w:w="2544" w:type="dxa"/>
            <w:tcBorders/>
            <w:shd w:fill="auto" w:val="clear"/>
            <w:vAlign w:val="center"/>
          </w:tcPr>
          <w:p>
            <w:pPr>
              <w:pStyle w:val="TableContents"/>
              <w:spacing w:before="0" w:after="283"/>
              <w:rPr>
                <w:sz w:val="4"/>
                <w:szCs w:val="4"/>
              </w:rPr>
            </w:pPr>
            <w:r>
              <w:rPr>
                <w:sz w:val="4"/>
                <w:szCs w:val="4"/>
              </w:rPr>
            </w:r>
          </w:p>
        </w:tc>
        <w:tc>
          <w:tcPr>
            <w:tcW w:w="2231" w:type="dxa"/>
            <w:tcBorders/>
            <w:shd w:fill="auto" w:val="clear"/>
            <w:vAlign w:val="center"/>
          </w:tcPr>
          <w:p>
            <w:pPr>
              <w:pStyle w:val="TableContents"/>
              <w:spacing w:before="0" w:after="283"/>
              <w:rPr>
                <w:sz w:val="4"/>
                <w:szCs w:val="4"/>
              </w:rPr>
            </w:pPr>
            <w:r>
              <w:rPr>
                <w:sz w:val="4"/>
                <w:szCs w:val="4"/>
              </w:rPr>
            </w:r>
          </w:p>
        </w:tc>
        <w:tc>
          <w:tcPr>
            <w:tcW w:w="2244"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7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r>
      <w:tr>
        <w:trPr/>
        <w:tc>
          <w:tcPr>
            <w:tcW w:w="7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public shares, prior to redemptions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207,000,000 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redemption of Churchill shares</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(21,644)</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public shares, net of redemptions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206,978,356 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Churchill Sponsor shares</w:t>
            </w:r>
            <w:r>
              <w:rPr>
                <w:rFonts w:ascii="Times New Roman;sans-serif" w:hAnsi="Times New Roman;sans-serif"/>
                <w:b w:val="false"/>
                <w:color w:val="000000"/>
                <w:sz w:val="13"/>
              </w:rPr>
              <w:t>(1)</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51,750,000 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PIPE shares</w:t>
            </w:r>
            <w:r>
              <w:rPr>
                <w:rFonts w:ascii="Times New Roman;sans-serif" w:hAnsi="Times New Roman;sans-serif"/>
                <w:b w:val="false"/>
                <w:color w:val="000000"/>
                <w:sz w:val="13"/>
              </w:rPr>
              <w:t>(2)</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166,666,667 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Churchill common stock outstanding immediately prior to the Merger</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425,395,023 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Lucid shares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1,193,226,511 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shares of Lucid common stock outstanding immediately after the Merger</w:t>
            </w:r>
            <w:r>
              <w:rPr>
                <w:rFonts w:ascii="Times New Roman;sans-serif" w:hAnsi="Times New Roman;sans-serif"/>
                <w:b w:val="false"/>
                <w:color w:val="000000"/>
                <w:sz w:val="13"/>
              </w:rPr>
              <w:t>(3)(4)</w:t>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1,618,621,534 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51,750,000 shares beneficially owned by the Churchill Sponsor as of the Closing of the Merger includes the 17,250,000 Sponsor Earnback Shares.</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(2)Reflects the sale and issuance of 166,666,667 shares of common stock to the PIPE Investors at $15.00 per share.</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(3)Excludes 111,531,080 shares of common stock as of the Closing of the Merger to be reserved for potential future issuance upon the exercise of Lucid options or settlement of Lucid RSUs.</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(4)Excludes the 85,750,000 warrants issued and outstanding as of the Closing of the Merger, which includes the 41,400,000 public warrants and the 44,350,000 private warrants held by the Churchill Sponsor. The 44,350,000 private warrants beneficially owned by the Churchill Sponsor as of the consummation of the Merger includes the 14,783,333 Sponsor Earnback Warrants.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Merger has been accounted for as a reverse recapitalization under U.S. GAAP. Under this method of accounting, Churchill has been treated as the acquired company for financial reporting purposes. The reverse recapitalization accounting treatment was primarily determined based on the stockholders of Legacy Lucid having a relative majority of the voting power of Lucid and having the ability to nominate the majority of the members of the Lucid board of directors, senior management of Legacy Lucid comprise the senior management of Lucid, and the strategy and operations of Legacy Lucid prior to the Merger comprise the only ongoing strategy and operations of Lucid. Accordingly, for accounting purposes, the financial statements of Lucid represent a continuation of the financial statements of Legacy Lucid with the Merger being treated as the equivalent of Legacy Lucid issuing shares for the net assets of Churchill, accompanied by a recapitalization. The net assets of Churchill were recognized as of the Closing at historical cost, with no goodwill or other intangible assets recorded. Operations prior to the Merger are presented as those of Legacy Lucid and the accumulated deficit of Legacy Lucid has been carried forward after Closing.</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All periods prior to the Merger have been retrospectively adjusted using the Exchange Ratio for the equivalent number of shares outstanding immediately after the Closing to effect the reverse recapitalization.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Merger, the Company raised $4,439.2 million of gross proceeds, including the contribution of $2,070.1 million of cash held in Churchill’s trust account from its initial public offering along with $2,500.0 million of cash raised by Churchill in connection with the PIPE Investment and $0.4 million of cash held in the Churchill operating cash account. The gross proceeds were net of $0.2 million paid to redeem 21,644 shares of Churchill Class A common stock held by public stockholders and $131.4 million in costs incurred by Churchill prior to the Closing. The Company additionally incurred $38.9 million of transaction costs, consisting of banking, legal, and other professional fees, of which $36.2 million was recorded as a reduction to additional paid-in capital of proceeds and the remaining $2.7 million was expensed in the consolidated statements of operations. The total net cash proceeds to the Company were $4,400.3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4 – BALANCE SHEETS COMPONENTS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INVENTORY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as of December 31, 2021, and 2020 were as follows (in thousands): </w:t>
      </w:r>
    </w:p>
    <w:tbl>
      <w:tblPr>
        <w:tblW w:w="4203" w:type="dxa"/>
        <w:jc w:val="left"/>
        <w:tblInd w:w="0" w:type="dxa"/>
        <w:tblCellMar>
          <w:top w:w="28" w:type="dxa"/>
          <w:left w:w="28" w:type="dxa"/>
          <w:bottom w:w="28" w:type="dxa"/>
          <w:right w:w="28" w:type="dxa"/>
        </w:tblCellMar>
      </w:tblPr>
      <w:tblGrid>
        <w:gridCol w:w="576"/>
        <w:gridCol w:w="505"/>
        <w:gridCol w:w="509"/>
        <w:gridCol w:w="211"/>
        <w:gridCol w:w="826"/>
        <w:gridCol w:w="109"/>
        <w:gridCol w:w="109"/>
        <w:gridCol w:w="109"/>
        <w:gridCol w:w="109"/>
        <w:gridCol w:w="245"/>
        <w:gridCol w:w="716"/>
        <w:gridCol w:w="179"/>
      </w:tblGrid>
      <w:tr>
        <w:trPr/>
        <w:tc>
          <w:tcPr>
            <w:tcW w:w="576"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1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Finished goods</w:t>
            </w:r>
            <w:r>
              <w:rPr>
                <w:color w:val="000000"/>
              </w:rPr>
              <w:t xml:space="preserve">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Inventory as of December 31, 2021 is primarily related to raw materials and work in progress related to the production of vehicles for sale. The inventory as of December 31, 2021 and 2020 also includes battery pack systems. We write-down inventory for any excess or obsolete inventories or when we believe that the net realizable value of inventories is less than the carrying value. During the year ended December 31, 2021, we recorded write-downs of $48.9 million in cost of revenues. No write-downs were recorded in fiscal years 2020 and 2019.</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Finished goods inventory includes vehicles in transit to fulfill customer orders and new vehicles available for sale.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as of December 31, 2021 and 2020 were as follows (in thousands):</w:t>
      </w:r>
    </w:p>
    <w:tbl>
      <w:tblPr>
        <w:tblW w:w="6863" w:type="dxa"/>
        <w:jc w:val="left"/>
        <w:tblInd w:w="0" w:type="dxa"/>
        <w:tblCellMar>
          <w:top w:w="28" w:type="dxa"/>
          <w:left w:w="28" w:type="dxa"/>
          <w:bottom w:w="28" w:type="dxa"/>
          <w:right w:w="28" w:type="dxa"/>
        </w:tblCellMar>
      </w:tblPr>
      <w:tblGrid>
        <w:gridCol w:w="1466"/>
        <w:gridCol w:w="1289"/>
        <w:gridCol w:w="1294"/>
        <w:gridCol w:w="211"/>
        <w:gridCol w:w="976"/>
        <w:gridCol w:w="109"/>
        <w:gridCol w:w="109"/>
        <w:gridCol w:w="109"/>
        <w:gridCol w:w="109"/>
        <w:gridCol w:w="211"/>
        <w:gridCol w:w="826"/>
        <w:gridCol w:w="154"/>
      </w:tblGrid>
      <w:tr>
        <w:trPr/>
        <w:tc>
          <w:tcPr>
            <w:tcW w:w="1466"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Tooling and Vehicles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leases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and bringing it to the location in the condition necessary for its intended use. No depreciation is provided for construction in progress until such time as the assets are completed and are ready for use. Construction in progress consisted of the following (in thousands):</w:t>
      </w:r>
    </w:p>
    <w:tbl>
      <w:tblPr>
        <w:tblW w:w="5214" w:type="dxa"/>
        <w:jc w:val="left"/>
        <w:tblInd w:w="0" w:type="dxa"/>
        <w:tblCellMar>
          <w:top w:w="28" w:type="dxa"/>
          <w:left w:w="28" w:type="dxa"/>
          <w:bottom w:w="28" w:type="dxa"/>
          <w:right w:w="28" w:type="dxa"/>
        </w:tblCellMar>
      </w:tblPr>
      <w:tblGrid>
        <w:gridCol w:w="922"/>
        <w:gridCol w:w="811"/>
        <w:gridCol w:w="817"/>
        <w:gridCol w:w="211"/>
        <w:gridCol w:w="826"/>
        <w:gridCol w:w="109"/>
        <w:gridCol w:w="109"/>
        <w:gridCol w:w="109"/>
        <w:gridCol w:w="109"/>
        <w:gridCol w:w="211"/>
        <w:gridCol w:w="826"/>
        <w:gridCol w:w="154"/>
      </w:tblGrid>
      <w:tr>
        <w:trPr/>
        <w:tc>
          <w:tcPr>
            <w:tcW w:w="922"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Tooling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of Arizona plant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construction in progress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for the years ended December 31, 2021, 2020 and 2019, was approximately $62.9 million, $10.2 million and $3.8 million, respectively.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OTHER CURRENT AND LONG-TERM LIABILITIES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and long-term liabilities as of December 31, 2021 and 2020 were as follows (in thousands):</w:t>
      </w:r>
    </w:p>
    <w:tbl>
      <w:tblPr>
        <w:tblW w:w="7283" w:type="dxa"/>
        <w:jc w:val="left"/>
        <w:tblInd w:w="0" w:type="dxa"/>
        <w:tblCellMar>
          <w:top w:w="28" w:type="dxa"/>
          <w:left w:w="28" w:type="dxa"/>
          <w:bottom w:w="28" w:type="dxa"/>
          <w:right w:w="28" w:type="dxa"/>
        </w:tblCellMar>
      </w:tblPr>
      <w:tblGrid>
        <w:gridCol w:w="1673"/>
        <w:gridCol w:w="1471"/>
        <w:gridCol w:w="1475"/>
        <w:gridCol w:w="211"/>
        <w:gridCol w:w="826"/>
        <w:gridCol w:w="109"/>
        <w:gridCol w:w="109"/>
        <w:gridCol w:w="109"/>
        <w:gridCol w:w="109"/>
        <w:gridCol w:w="211"/>
        <w:gridCol w:w="826"/>
        <w:gridCol w:w="154"/>
      </w:tblGrid>
      <w:tr>
        <w:trPr/>
        <w:tc>
          <w:tcPr>
            <w:tcW w:w="1673"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design, and testing accrual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leasehold improvements accrual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professional services accrual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 liability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 convertible preferred stock repurchase liability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insurance financing note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706" w:type="dxa"/>
        <w:jc w:val="left"/>
        <w:tblInd w:w="0" w:type="dxa"/>
        <w:tblCellMar>
          <w:top w:w="28" w:type="dxa"/>
          <w:left w:w="28" w:type="dxa"/>
          <w:bottom w:w="28" w:type="dxa"/>
          <w:right w:w="28" w:type="dxa"/>
        </w:tblCellMar>
      </w:tblPr>
      <w:tblGrid>
        <w:gridCol w:w="1485"/>
        <w:gridCol w:w="1303"/>
        <w:gridCol w:w="1306"/>
        <w:gridCol w:w="211"/>
        <w:gridCol w:w="826"/>
        <w:gridCol w:w="109"/>
        <w:gridCol w:w="109"/>
        <w:gridCol w:w="109"/>
        <w:gridCol w:w="109"/>
        <w:gridCol w:w="221"/>
        <w:gridCol w:w="757"/>
        <w:gridCol w:w="161"/>
      </w:tblGrid>
      <w:tr>
        <w:trPr/>
        <w:tc>
          <w:tcPr>
            <w:tcW w:w="1485"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liabilities, net of current portion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5 - FAIR VALUE MEASUREMENTS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Level 1</w:t>
      </w:r>
      <w:r>
        <w:rPr>
          <w:color w:val="000000"/>
        </w:rPr>
        <w:t>—</w:t>
      </w:r>
      <w:r>
        <w:rPr>
          <w:rFonts w:ascii="Times New Roman;sans-serif" w:hAnsi="Times New Roman;sans-serif"/>
          <w:b w:val="false"/>
          <w:color w:val="000000"/>
          <w:sz w:val="20"/>
        </w:rPr>
        <w:t>Quoted prices (unadjusted) in active markets for identical assets or liabilities.</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Level 2</w:t>
      </w:r>
      <w:r>
        <w:rPr>
          <w:color w:val="000000"/>
        </w:rPr>
        <w:t>—</w:t>
      </w:r>
      <w:r>
        <w:rPr>
          <w:rFonts w:ascii="Times New Roman;sans-serif" w:hAnsi="Times New Roman;sans-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Level 3</w:t>
      </w:r>
      <w:r>
        <w:rPr>
          <w:color w:val="000000"/>
        </w:rPr>
        <w:t>—</w:t>
      </w:r>
      <w:r>
        <w:rPr>
          <w:rFonts w:ascii="Times New Roman;sans-serif" w:hAnsi="Times New Roman;sans-serif"/>
          <w:b w:val="false"/>
          <w:color w:val="000000"/>
          <w:sz w:val="20"/>
        </w:rPr>
        <w:t>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investments consist solely of money market fund which is valued using quoted prices that are available in an active market. Level 2 investments consist solely of certificate of deposits. Level 3 liabilities consist of convertible preferred stock warrant liability and common stock warrant liability, in which the fair value was measured upon issuance and is remeasured at each reporting date. The valuation methodology and underlying assumptions are discussed further in Note 7 “Contingent Forward Contracts,” Note 8 “Convertible Preferred Stock Warrant Liability” and Note 9 “Common Stock Warrant Liability”.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financial assets and liabilities subject to fair value measurements on a recurring basis by level within the fair value hierarchy as of December 31, 2021 (in thousands):</w:t>
      </w:r>
    </w:p>
    <w:tbl>
      <w:tblPr>
        <w:tblW w:w="8339" w:type="dxa"/>
        <w:jc w:val="left"/>
        <w:tblInd w:w="0" w:type="dxa"/>
        <w:tblCellMar>
          <w:top w:w="28" w:type="dxa"/>
          <w:left w:w="28" w:type="dxa"/>
          <w:bottom w:w="28" w:type="dxa"/>
          <w:right w:w="28" w:type="dxa"/>
        </w:tblCellMar>
      </w:tblPr>
      <w:tblGrid>
        <w:gridCol w:w="976"/>
        <w:gridCol w:w="856"/>
        <w:gridCol w:w="867"/>
        <w:gridCol w:w="211"/>
        <w:gridCol w:w="976"/>
        <w:gridCol w:w="109"/>
        <w:gridCol w:w="109"/>
        <w:gridCol w:w="109"/>
        <w:gridCol w:w="109"/>
        <w:gridCol w:w="211"/>
        <w:gridCol w:w="406"/>
        <w:gridCol w:w="109"/>
        <w:gridCol w:w="109"/>
        <w:gridCol w:w="109"/>
        <w:gridCol w:w="109"/>
        <w:gridCol w:w="211"/>
        <w:gridCol w:w="976"/>
        <w:gridCol w:w="109"/>
        <w:gridCol w:w="109"/>
        <w:gridCol w:w="109"/>
        <w:gridCol w:w="109"/>
        <w:gridCol w:w="211"/>
        <w:gridCol w:w="976"/>
        <w:gridCol w:w="154"/>
      </w:tblGrid>
      <w:tr>
        <w:trPr/>
        <w:tc>
          <w:tcPr>
            <w:tcW w:w="97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6,102,017 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6,102,017 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6,102,017 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 liability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financial assets and liabilities subject to fair value measurements on a recurring basis by level within the fair value hierarchy as of December 31, 2020 (in thousands):</w:t>
      </w:r>
    </w:p>
    <w:tbl>
      <w:tblPr>
        <w:tblW w:w="8100" w:type="dxa"/>
        <w:jc w:val="left"/>
        <w:tblInd w:w="0" w:type="dxa"/>
        <w:tblCellMar>
          <w:top w:w="28" w:type="dxa"/>
          <w:left w:w="28" w:type="dxa"/>
          <w:bottom w:w="28" w:type="dxa"/>
          <w:right w:w="28" w:type="dxa"/>
        </w:tblCellMar>
      </w:tblPr>
      <w:tblGrid>
        <w:gridCol w:w="1330"/>
        <w:gridCol w:w="1175"/>
        <w:gridCol w:w="1185"/>
        <w:gridCol w:w="211"/>
        <w:gridCol w:w="40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33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warrant liability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contingent forward contract liability, convertible preferred stock warrant liability and common stock warrant liability measured and recorded at fair value on a recurring basis is as follows (in thousands):</w:t>
      </w:r>
    </w:p>
    <w:tbl>
      <w:tblPr>
        <w:tblW w:w="10113" w:type="dxa"/>
        <w:jc w:val="left"/>
        <w:tblInd w:w="0" w:type="dxa"/>
        <w:tblCellMar>
          <w:top w:w="28" w:type="dxa"/>
          <w:left w:w="28" w:type="dxa"/>
          <w:bottom w:w="28" w:type="dxa"/>
          <w:right w:w="28" w:type="dxa"/>
        </w:tblCellMar>
      </w:tblPr>
      <w:tblGrid>
        <w:gridCol w:w="983"/>
        <w:gridCol w:w="864"/>
        <w:gridCol w:w="868"/>
        <w:gridCol w:w="358"/>
        <w:gridCol w:w="692"/>
        <w:gridCol w:w="138"/>
        <w:gridCol w:w="109"/>
        <w:gridCol w:w="109"/>
        <w:gridCol w:w="109"/>
        <w:gridCol w:w="283"/>
        <w:gridCol w:w="829"/>
        <w:gridCol w:w="148"/>
        <w:gridCol w:w="109"/>
        <w:gridCol w:w="109"/>
        <w:gridCol w:w="109"/>
        <w:gridCol w:w="211"/>
        <w:gridCol w:w="976"/>
        <w:gridCol w:w="109"/>
        <w:gridCol w:w="109"/>
        <w:gridCol w:w="109"/>
        <w:gridCol w:w="109"/>
        <w:gridCol w:w="211"/>
        <w:gridCol w:w="721"/>
        <w:gridCol w:w="109"/>
        <w:gridCol w:w="109"/>
        <w:gridCol w:w="109"/>
        <w:gridCol w:w="109"/>
        <w:gridCol w:w="280"/>
        <w:gridCol w:w="819"/>
        <w:gridCol w:w="206"/>
      </w:tblGrid>
      <w:tr>
        <w:trPr/>
        <w:tc>
          <w:tcPr>
            <w:tcW w:w="983"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5" w:type="dxa"/>
            <w:gridSpan w:val="18"/>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2673"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w:t>
              <w:br/>
              <w:t>Forward</w:t>
              <w:br/>
              <w:t>Contract</w:t>
              <w:br/>
              <w:t>Liability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w:t>
              <w:br/>
              <w:t>Preferred Stock</w:t>
              <w:br/>
              <w:t>Warrant</w:t>
              <w:br/>
              <w:t>Liability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br/>
              <w:t>Warrant</w:t>
              <w:br/>
              <w:t>Liability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w:t>
              <w:br/>
              <w:t>Forward</w:t>
              <w:br/>
              <w:t>Contract</w:t>
              <w:br/>
              <w:t>Liability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w:t>
              <w:br/>
              <w:t>Preferred Stock</w:t>
              <w:br/>
              <w:t>Warrant</w:t>
              <w:br/>
              <w:t>Liability</w:t>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value-beginning of period</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2,167,332 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812,048 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454,546 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(2,621,878)</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value-end of period</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6 – LONG-TERM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2026 Notes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2026 Notes have been designated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 </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2026 Notes are unsecured obligations which bear regular interest at 1.25% per annum and will be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2026 Notes may convert all or a portion of their 2026 Notes at their option prior to September 15, 2026, in multiples of $1,000 principal amounts, only under the following circumstances: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during any calendar quarter commencing after the quarter ending on March 31, 2022 (and only during such calendar quarter), if the Company’s common stock price exceeds 130% of the conversion price for at least 20 trading days during the 30 consecutive trading days at the end of the prior calendar quarter;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upon the occurrence of specified corporate events; or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if the Company calls any or all 2026 Notes for redemption, at any time prior to the close of business on the scheduled trading day immediately preceding the redemption date, but only with respect to the notes called for redemption.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the issuance of the 2026 Notes as a single liability measured at its amortized cost, as no other embedded features require bifurcation and recognition as derivatives. The following is a summary of the 2026 Notes as of December 31, 2021 (in millions): </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882"/>
        <w:gridCol w:w="775"/>
        <w:gridCol w:w="780"/>
        <w:gridCol w:w="236"/>
        <w:gridCol w:w="857"/>
        <w:gridCol w:w="122"/>
        <w:gridCol w:w="109"/>
        <w:gridCol w:w="109"/>
        <w:gridCol w:w="109"/>
        <w:gridCol w:w="534"/>
        <w:gridCol w:w="1297"/>
        <w:gridCol w:w="279"/>
        <w:gridCol w:w="109"/>
        <w:gridCol w:w="109"/>
        <w:gridCol w:w="109"/>
        <w:gridCol w:w="265"/>
        <w:gridCol w:w="964"/>
        <w:gridCol w:w="137"/>
        <w:gridCol w:w="109"/>
        <w:gridCol w:w="109"/>
        <w:gridCol w:w="109"/>
        <w:gridCol w:w="211"/>
        <w:gridCol w:w="766"/>
        <w:gridCol w:w="109"/>
        <w:gridCol w:w="109"/>
        <w:gridCol w:w="109"/>
        <w:gridCol w:w="109"/>
        <w:gridCol w:w="197"/>
        <w:gridCol w:w="197"/>
        <w:gridCol w:w="289"/>
      </w:tblGrid>
      <w:tr>
        <w:trPr/>
        <w:tc>
          <w:tcPr>
            <w:tcW w:w="882"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r>
      <w:tr>
        <w:trPr/>
        <w:tc>
          <w:tcPr>
            <w:tcW w:w="2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5" w:type="dxa"/>
            <w:gridSpan w:val="15"/>
            <w:tcBorders/>
            <w:shd w:fill="auto" w:val="clear"/>
            <w:tcMar>
              <w:top w:w="0" w:type="dxa"/>
              <w:left w:w="0" w:type="dxa"/>
              <w:bottom w:w="0" w:type="dxa"/>
              <w:right w:w="0" w:type="dxa"/>
            </w:tcMar>
            <w:vAlign w:val="center"/>
          </w:tcPr>
          <w:p>
            <w:pPr>
              <w:pStyle w:val="TableContents"/>
              <w:spacing w:before="0" w:after="0"/>
              <w:jc w:val="center"/>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Discounts and Issuance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Carrying 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w:t>
            </w:r>
          </w:p>
        </w:tc>
      </w:tr>
      <w:tr>
        <w:trPr/>
        <w:tc>
          <w:tcPr>
            <w:tcW w:w="243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 convertible senior notes due in December 2026</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related to the 2026 Notes was $1.4 million, including less than $0.2 million attributable to the amortization of the debt discounts and debt issuance costs and $1.2 million in contractual interest for the year ended December 31, 2021. The effective interest rate for the convertible note is 1.5%.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2026 Notes were not eligible for conversion as of December 31, 2021. No sinking fund is provided for the 2026 Notes, which means that the Company is not required to redeem or retire them periodically.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 CONTINGENT FORWARD CONTRACTS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2018, the Company entered into a securities purchase agreement with PIF. Along with the execution of the securities purchase agreement, the Company granted PIF the right to purchase the Company’s Series D convertible preferred stock in future periods. The Company determined PIF’s right to participate in future Series D convertible preferred stock financing to be freestanding similar to a derivative in the form of contingent forward contracts and recorded the initial valuation of $18.6 million as a debt discount to the Convertible Notes issued in September 2018.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Company received $200.0 million in exchange for 82,496,092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 liability into Series D convertible preferred stock. In June 2020, upon satisfaction of the second set of milestones (refer to Note 10 “Convertible Preferred Stock”), the Company received the remaining $200.0 </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million in exchange for 82,496,121 shares of Series D convertible preferred stock as final settlement of the Series D contingent forward contract liability and revalued the contingent forward contracts liability to the then fair value of $39.6 million and reclassified the liability into Series D convertible preferred stock. The Series D contingent forward contract liability incurred a total fair value loss of $8.7 million during the year ended December 31, 2020. Since the Series D contingent forward contract liability was fully settled in June 2020, there was no related outstanding contingent forward contract liability as of December 31, 2020.</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As discussed in Note 10 “Convertible Preferred Stock”, in September 2020, along with the execution of the Securities Purchase Agreement, the Company granted Ayar Third Investment Company (“Ayar”) the right to purchase the Company’s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into contingent forward contract liabilities.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December 2020, Ayar waived the Company’s remaining outstanding obligations, and the Company received $400.0 million for the issuance of Series E convertible preferred stock. Upon settlement, the Company revalued the Series E contingent forward contracts to the then fair value of $110.5 million and reclassified the contingent forward contract liability into Series E convertible preferred stock. The Company recorded a loss of $109.7 million related to fair value remeasurements of the Series E contingent forward contracts during the year ended December 31, 2020.</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2021, the Company and Ayar entered into Amendment No. 1 to the original Series E Preferred Stock Purchase Agreement (“Amendment No. 1”). Under the Amendment No. 1, Ayar and the Company agreed to enter into the third closing of additional 133,818,821 Series E convertible preferred stock at $2.99 per share, aggregating to $400.0 million. Upon the signing of the Amendment No. 1, the Company received the issuance proceeds of $400.0 million from Ayar in February 2021.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and Ayar. Refer to Note 10 - Convertible Preferred Stock.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issued 66,909,408 Series E convertible preferred stock from the fourth closing at $2.99 per share for cash consideration of $200.0 million. The Company received $107.1 million of the total issuance proceeds in March 2021 and the remaining $92.9 million in April 2021. See Note 10 - Convertible Preferred Stock for more information.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the right to participate in future Series E convertible preferred share financing to be a freestanding financial instrument similar to a derivative in the form of contingent forward contracts and recorded the initial valuation of $1,444.9 million and $722.4 million for the third closing and fourth closing, respectively, as contingent forward contract liabilities. Since the contingent forward contract liability related to the third closing was fully settled in the same month following the execution of the amendment, the Company recorded no related fair value remeasurements in the consolidated statements of operations.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included 535,275 shares offered to the CEO in April 2021. The offer to employees in the fourth closing to participate in future Series E convertible preferred stock financing represent a fully vested, equity classified award. The award’s full fair value on each recipient’s grant date was recorded as stock-based compensation, and the related contingent forward contract liability was derecognized. The Company revalued the contingent forward contract liability for the remaining participants and recorded $454.5 million fair value remeasurement loss related to the contingent forward contract liability for the year ended December 31, 2021. Final fair value of the contingent forward contract liability of $1.2 billion was reclassified into Series E convertible preferred stock upon the fourth closing in April 2021. There was no related outstanding contingent forward contract liability as of December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Series E convertible preferred stock contingent forward contract liability for the third closing was determined using a forward payoff. The Company’s inputs used in determining the fair value on the issuance date and settlement date, were as follows:</w:t>
      </w:r>
    </w:p>
    <w:tbl>
      <w:tblPr>
        <w:tblW w:w="3227" w:type="dxa"/>
        <w:jc w:val="left"/>
        <w:tblInd w:w="0" w:type="dxa"/>
        <w:tblCellMar>
          <w:top w:w="28" w:type="dxa"/>
          <w:left w:w="28" w:type="dxa"/>
          <w:bottom w:w="28" w:type="dxa"/>
          <w:right w:w="28" w:type="dxa"/>
        </w:tblCellMar>
      </w:tblPr>
      <w:tblGrid>
        <w:gridCol w:w="754"/>
        <w:gridCol w:w="661"/>
        <w:gridCol w:w="669"/>
        <w:gridCol w:w="211"/>
        <w:gridCol w:w="616"/>
        <w:gridCol w:w="316"/>
      </w:tblGrid>
      <w:tr>
        <w:trPr/>
        <w:tc>
          <w:tcPr>
            <w:tcW w:w="754"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1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Series E convertible preferred stock contingent forward contract liability for the fourth closing was determined using a forward and an option payoff. The Company’s inputs used in determining the fair value on the issuance date were as follows:</w:t>
      </w:r>
    </w:p>
    <w:tbl>
      <w:tblPr>
        <w:tblW w:w="5178" w:type="dxa"/>
        <w:jc w:val="left"/>
        <w:tblInd w:w="0" w:type="dxa"/>
        <w:tblCellMar>
          <w:top w:w="28" w:type="dxa"/>
          <w:left w:w="28" w:type="dxa"/>
          <w:bottom w:w="28" w:type="dxa"/>
          <w:right w:w="28" w:type="dxa"/>
        </w:tblCellMar>
      </w:tblPr>
      <w:tblGrid>
        <w:gridCol w:w="1463"/>
        <w:gridCol w:w="1282"/>
        <w:gridCol w:w="1290"/>
        <w:gridCol w:w="211"/>
        <w:gridCol w:w="616"/>
        <w:gridCol w:w="316"/>
      </w:tblGrid>
      <w:tr>
        <w:trPr/>
        <w:tc>
          <w:tcPr>
            <w:tcW w:w="1463"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Series E convertible preferred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1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fair value of the Series E convertible preferred stock contingent forward contract liability for the fourth closing was determined as the difference between the Series E convertible preferred stock fair value and the purchase price. The Company estimated the fair value of each of the Series E convertible preferred stock on the settlement date by taking the closing price of Churchill’s Class A common stock on April 1, 2021 of $23.78 multiplied by the expected exchange ratio at the time, and discounted for lack of marketability.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 CONVERTIBLE PREFERRED STOCK WARRANT LIABILITY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March and September 2017, the Company issued two convertible preferred stock warrants to purchase a total of 1,546,799 shares of Series D convertible preferred stock, with an exercise price of $1.94 per share. The convertible preferred stock warrants had been recorded at fair value using a Monte-Carlo simulation at issuance and had been subsequently remeasured to fair value each reporting period with the changes recorded in the consolidated statements of operations. As of December 31, 2020, 1,546,799 shares of the Warrants had been outstanding with a fair value of $1.94 per share, and aggregate fair value of $3.0 million.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assumptions used in determining the fair value of convertible preferred stock warrants on December 31, 2020 were as follows: </w:t>
      </w:r>
    </w:p>
    <w:tbl>
      <w:tblPr>
        <w:tblW w:w="3378" w:type="dxa"/>
        <w:jc w:val="left"/>
        <w:tblInd w:w="0" w:type="dxa"/>
        <w:tblCellMar>
          <w:top w:w="28" w:type="dxa"/>
          <w:left w:w="28" w:type="dxa"/>
          <w:bottom w:w="28" w:type="dxa"/>
          <w:right w:w="28" w:type="dxa"/>
        </w:tblCellMar>
      </w:tblPr>
      <w:tblGrid>
        <w:gridCol w:w="756"/>
        <w:gridCol w:w="662"/>
        <w:gridCol w:w="667"/>
        <w:gridCol w:w="308"/>
        <w:gridCol w:w="308"/>
        <w:gridCol w:w="677"/>
      </w:tblGrid>
      <w:tr>
        <w:trPr/>
        <w:tc>
          <w:tcPr>
            <w:tcW w:w="75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29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0.5 - 1.5</w:t>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129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0.09 – 0.12%</w:t>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rate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6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February 2021, all the outstanding warrants were settled in its entirety at an exercise price of $1.94 per share for an aggregate purchase price of $3.0 million. Upon final settlement, the Company converted the warrant into $12.9 million Series D convertible preferred stock, and recorded $7.0 million and $1.2 million losses related to fair value remeasurements of the warrants in the consolidated statements of operations for the year ended December 31, 2021 and 2020, respectively.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fair value of the Series D preferred stock that was converted from warrant liability at settlement was estimated using the PWERM framework and considered the same three scenarios and probability for each of the three scenarios used to value our common stock: OPM scenario (20%), as-converted SPAC scenario (70%), and as-converted IPO scenario (10%). Under the OPM scenario, the fair value of Series D convertible preferred stock was a direct output of the model used for the equity valuation of the Company and reflected the present value. Under the as-converted SPAC scenario, the present value of the Series D convertible preferred stock was estimated using the pre-money equity value. Under the as-converted IPO scenario, the Company applied the market-based approach and determined the fair value based on the average revenue multiples derived from our peer group.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 COMMON STOCK WARRANT LIABILITY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 July 23, 2021, in connection with the reverse recapitalization treatment of the Merger, the Company effectively issued 44,350,000 private warrants to purchase shares of Lucid’s common stock. The private warrants were initially recognized as a liability with a fair value of $812.0 million. The private warrants remained unexercised and were remeasured to fair value of $1,394.8 million as of December 31, 2021, resulting in a loss of $582.8 million for the year ended December 31, 2021 recognized in the consolidated statements of operations.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44,350,000 private warrants included the 14,783,333 Sponsor Earnback Warrants subject to the contingent forfeiture provisions. The earnback triggering events were satisfied during the year ended December 31, 2021 such that the 14,783,333 Sponsor Earnback Warrants vested and are no longer subject to the transfer restrictions and contingent forfeiture provisions. See Note 12 - Earnback Shares and Warrants for more information.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private warrants that were subject to the contingent forfeiture provisions was initially estimated using a Monte-Carlo simulation to estimate a distribution of potential outcomes over the earnback period related to the achievement of the volume-weighted average trading sale price (the “VWAP”) thresholds. The present value of the payoff in each simulation is calculated, and the fair value of the liability is </w:t>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determined by taking the average of all present values. The fair value of the private warrants that were subject to the contingent forfeiture provisions were as follows:</w:t>
      </w:r>
    </w:p>
    <w:p>
      <w:pPr>
        <w:pStyle w:val="TextBody"/>
        <w:spacing w:before="0" w:after="0"/>
        <w:jc w:val="both"/>
        <w:rPr/>
      </w:pPr>
      <w:r>
        <w:rPr/>
      </w:r>
    </w:p>
    <w:tbl>
      <w:tblPr>
        <w:tblW w:w="6330" w:type="dxa"/>
        <w:jc w:val="left"/>
        <w:tblInd w:w="0" w:type="dxa"/>
        <w:tblCellMar>
          <w:top w:w="28" w:type="dxa"/>
          <w:left w:w="28" w:type="dxa"/>
          <w:bottom w:w="28" w:type="dxa"/>
          <w:right w:w="28" w:type="dxa"/>
        </w:tblCellMar>
      </w:tblPr>
      <w:tblGrid>
        <w:gridCol w:w="1880"/>
        <w:gridCol w:w="1652"/>
        <w:gridCol w:w="1658"/>
        <w:gridCol w:w="245"/>
        <w:gridCol w:w="716"/>
        <w:gridCol w:w="179"/>
      </w:tblGrid>
      <w:tr>
        <w:trPr/>
        <w:tc>
          <w:tcPr>
            <w:tcW w:w="1880" w:type="dxa"/>
            <w:tcBorders/>
            <w:shd w:fill="auto" w:val="clear"/>
            <w:vAlign w:val="center"/>
          </w:tcPr>
          <w:p>
            <w:pPr>
              <w:pStyle w:val="TableContents"/>
              <w:spacing w:before="0" w:after="283"/>
              <w:rPr>
                <w:sz w:val="4"/>
                <w:szCs w:val="4"/>
              </w:rPr>
            </w:pPr>
            <w:r>
              <w:rPr>
                <w:sz w:val="4"/>
                <w:szCs w:val="4"/>
              </w:rPr>
            </w:r>
          </w:p>
        </w:tc>
        <w:tc>
          <w:tcPr>
            <w:tcW w:w="1652"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23, 2021</w:t>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Tranche 1 with $20.00 VWAP threshold per share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Tranche 2 with $25.00 VWAP threshold per share</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Tranche 3 with $30.00 VWAP threshold per share</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private warrants that are not subject to the contingent forfeiture provisions was estimated using a Black-Scholes option pricing model, and were as follows:</w:t>
      </w:r>
    </w:p>
    <w:p>
      <w:pPr>
        <w:pStyle w:val="TextBody"/>
        <w:spacing w:before="0" w:after="0"/>
        <w:jc w:val="both"/>
        <w:rPr/>
      </w:pPr>
      <w:r>
        <w:rPr/>
      </w:r>
    </w:p>
    <w:tbl>
      <w:tblPr>
        <w:tblW w:w="6533" w:type="dxa"/>
        <w:jc w:val="left"/>
        <w:tblInd w:w="0" w:type="dxa"/>
        <w:tblCellMar>
          <w:top w:w="28" w:type="dxa"/>
          <w:left w:w="28" w:type="dxa"/>
          <w:bottom w:w="28" w:type="dxa"/>
          <w:right w:w="28" w:type="dxa"/>
        </w:tblCellMar>
      </w:tblPr>
      <w:tblGrid>
        <w:gridCol w:w="1172"/>
        <w:gridCol w:w="1030"/>
        <w:gridCol w:w="1038"/>
        <w:gridCol w:w="109"/>
        <w:gridCol w:w="109"/>
        <w:gridCol w:w="109"/>
        <w:gridCol w:w="338"/>
        <w:gridCol w:w="987"/>
        <w:gridCol w:w="174"/>
        <w:gridCol w:w="109"/>
        <w:gridCol w:w="109"/>
        <w:gridCol w:w="109"/>
        <w:gridCol w:w="245"/>
        <w:gridCol w:w="716"/>
        <w:gridCol w:w="179"/>
      </w:tblGrid>
      <w:tr>
        <w:trPr/>
        <w:tc>
          <w:tcPr>
            <w:tcW w:w="1172"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23, 2021</w:t>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private warrants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Assumptions used in the Monte-Carlo simulation models and Black-Scholes option pricing model take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Monte-Carlo simulation models and Black-Scholes option pricing models were as follows:</w:t>
      </w:r>
    </w:p>
    <w:tbl>
      <w:tblPr>
        <w:tblW w:w="5530" w:type="dxa"/>
        <w:jc w:val="left"/>
        <w:tblInd w:w="0" w:type="dxa"/>
        <w:tblCellMar>
          <w:top w:w="28" w:type="dxa"/>
          <w:left w:w="28" w:type="dxa"/>
          <w:bottom w:w="28" w:type="dxa"/>
          <w:right w:w="28" w:type="dxa"/>
        </w:tblCellMar>
      </w:tblPr>
      <w:tblGrid>
        <w:gridCol w:w="756"/>
        <w:gridCol w:w="662"/>
        <w:gridCol w:w="667"/>
        <w:gridCol w:w="109"/>
        <w:gridCol w:w="109"/>
        <w:gridCol w:w="109"/>
        <w:gridCol w:w="334"/>
        <w:gridCol w:w="334"/>
        <w:gridCol w:w="832"/>
        <w:gridCol w:w="109"/>
        <w:gridCol w:w="109"/>
        <w:gridCol w:w="109"/>
        <w:gridCol w:w="308"/>
        <w:gridCol w:w="308"/>
        <w:gridCol w:w="675"/>
      </w:tblGrid>
      <w:tr>
        <w:trPr/>
        <w:tc>
          <w:tcPr>
            <w:tcW w:w="75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23, 2021</w:t>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8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6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6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 CONVERTIBLE PREFERRED STOCK</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Convertible Preferred Stock</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Upon the Closing of the Merger, all 1,155,909,367 shares of issued and outstanding convertible preferred stock were cancelled and converted into 1,155,909,367 shares of Lucid common stock based upon the conversion rate as calculated pursuant to Legacy Lucid’s memorandum and articles of association at the date and time that the Merger became effective. As of December 31, 2021, there were no issued and outstanding shares of convertible preferred stock.</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2014 through April 2021, the Company had issued Series A, Series B, Series C, and Series D and Series E convertible preferred stock (“Series A,” “Series B,” “Series C,” “Series D,” “Series E,” respectively) (collectively, the “Convertible Preferred Stock”).</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was carried at its issuance price, net of issuance costs.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2018, concurrent with the execution of the Security Purchase Agreement with PIF, the Company entered into a Stock Repurchase Agreement (the “Repurchase Agreement”) with Blitz Technology Hong Kong Co. Limited and LeSoar Holdings, Limited (the “Sellers”) to repurchase Series C convertible preferred stock. From September 2018 to December 31, 2019, the Company repurchased in aggregate 11,331,430 shares of Series C convertible preferred stock with $60.0 million at a per share price of $5.30 from the first and second Company repurchase.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Third Company Repurchase (Series C - August 2020)</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Company entered into a Stock Repurchase Agreement with the Sellers. Pursuant to the Stock Repurchase Agreement, the Company agreed to repurchase 9,656,589 shares of Series C convertible preferred stock owned by the Sellers in August 2020 at a price of $1.02 per share for total of $9.9 million. The carrying value of the repurchased Series C convertible preferred stock is $20.4 million. As such, the Company recognized $10.5 million in additional paid-in capital under stockholder’s equity in the consolidated balance sheet as of December 31, 2020 related to the difference in fair value and carrying value of the Series C stock repurchased.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Fourth Company Repurchase (Series C - December 2020)</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the Company entered into a Stock Repurchase Agreement with Blitz Technology Hong Kong Co. Limited (“Blitz”). </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agreed to repurchase 1,850,800 Series C convertible preferred stock from Blitz at a price of $1.21 per share, aggregating to $2.2 million. As the carrying amount of each share of Series C was $2.42 aggregating to $4.5 million in September 2020, the Company recognized $2.2 million as additional paid-in capital under stockholders’ deficit in the consolidated balance sheet as of December 31, 2020, related to the difference in fair value and carrying value of the Series C shares repurchased.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Fifth Company Repurchase (Series B - December 2020)</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 December 22, 2020, the Company entered into an agreement with JAFCO Asia Technology Fund V (“JAFCO”) whereby the Company agreed to repurchase 3,525,332 Series B convertible preferred stock having a carrying value of $4.0 million, from JAFCO for a total consideration of $3.0 million. The agreement resulted in an extinguishment of the Series B convertible preferred stock and the Company recognized $1.0 million in additional paid-in capital being the difference in fair value of the consideration payable and the carrying value of the Series B convertible preferred stock. As of the date of extinguishment and as of December 31, 2020 the Series B convertible preferred stock subject to repurchase had been mandatorily redeemable within 45 days of the agreement and accordingly had been reclassified to other accrued liabilities on the consolidated balance sheets.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Series D Preferred Stock Issuance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2018, the Security Purchase Agreement with PIF granted PIF rights to purchase the Company’s Series D convertible stock at various tranches. The first tranche of $200.0 million had been issuable upon the approval of the PIF’s equity investment into the Company by CFIUS (refer to Note 7 – Contingent Forward Contracts). The second and third tranches of $400.0 million each had been issuable upon the Company’s satisfaction of certain milestones related to further development and enhancement in marketing, product, and administrative activities.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374,777,280 shares of Series D convertible preferred stock at a price of $2.33 per share, for net proceeds of approximately $872.0 million during the year ended December 31, 2019.</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Company received $200.0 million of the remaining $400.0 million in proceeds from PIF and issued 82,496,092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82,496,121 shares of Series D convertible preferred stock.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activities related to the PIF Convertible Notes and Series D convertible preferred stock funding as below (in thousands):</w:t>
      </w:r>
    </w:p>
    <w:tbl>
      <w:tblPr>
        <w:tblW w:w="7925" w:type="dxa"/>
        <w:jc w:val="left"/>
        <w:tblInd w:w="0" w:type="dxa"/>
        <w:tblCellMar>
          <w:top w:w="28" w:type="dxa"/>
          <w:left w:w="28" w:type="dxa"/>
          <w:bottom w:w="28" w:type="dxa"/>
          <w:right w:w="28" w:type="dxa"/>
        </w:tblCellMar>
      </w:tblPr>
      <w:tblGrid>
        <w:gridCol w:w="2385"/>
        <w:gridCol w:w="2096"/>
        <w:gridCol w:w="2103"/>
        <w:gridCol w:w="211"/>
        <w:gridCol w:w="976"/>
        <w:gridCol w:w="154"/>
      </w:tblGrid>
      <w:tr>
        <w:trPr/>
        <w:tc>
          <w:tcPr>
            <w:tcW w:w="2385" w:type="dxa"/>
            <w:tcBorders/>
            <w:shd w:fill="auto" w:val="clear"/>
            <w:vAlign w:val="center"/>
          </w:tcPr>
          <w:p>
            <w:pPr>
              <w:pStyle w:val="TableContents"/>
              <w:spacing w:before="0" w:after="283"/>
              <w:rPr>
                <w:sz w:val="4"/>
                <w:szCs w:val="4"/>
              </w:rPr>
            </w:pPr>
            <w:r>
              <w:rPr>
                <w:sz w:val="4"/>
                <w:szCs w:val="4"/>
              </w:rPr>
            </w:r>
          </w:p>
        </w:tc>
        <w:tc>
          <w:tcPr>
            <w:tcW w:w="2096" w:type="dxa"/>
            <w:tcBorders/>
            <w:shd w:fill="auto" w:val="clear"/>
            <w:vAlign w:val="center"/>
          </w:tcPr>
          <w:p>
            <w:pPr>
              <w:pStyle w:val="TableContents"/>
              <w:spacing w:before="0" w:after="283"/>
              <w:rPr>
                <w:sz w:val="4"/>
                <w:szCs w:val="4"/>
              </w:rPr>
            </w:pPr>
            <w:r>
              <w:rPr>
                <w:sz w:val="4"/>
                <w:szCs w:val="4"/>
              </w:rPr>
            </w:r>
          </w:p>
        </w:tc>
        <w:tc>
          <w:tcPr>
            <w:tcW w:w="21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Convertible Notes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 received in April 2019</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 received in October 2019</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 received in March 2020</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 received in June 2020</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forward contract liability reclassified to Series 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preferred stock warrant to Series D in February 2021</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preferred stock warrant liability to Series D in February 2021</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proceeds of Series 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Series E Convertible Preferred Stock Issuance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September 2020, the Company entered into an arrangement with Ayar to issue and sell Series E convertible preferred stock pursuant to a securities purchase agreement (the “SPAE”). Along with the execution of the SPAE, the Company granted Ayar the right to purchase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$2.99 per share of Series E convertible preferred stock. The Company needed to satisfy two sets of milestone conditions relating to further development and enhancement in marketing, product, and administrative activities for Ayar to provide funding under the SPAE.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Immediately upon closing of the SPAE, the Company received the full first tranche of $500.0 million in funding in exchange for 167,273,525 Series E convertible preferred stock as the requirement for the first milestones were met prior to execution of the purchase agreement. </w:t>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Subsequently, the Company successfully satisfied certain of the second set of milestones and received a waiver from PIF for the remaining milestones; and on December 24, 2020, the investor provided $400.0 million of funding in exchange for 133,818,821 shares as the final issuance of Series E convertible preferred stock related to the second milestones. Upon final settlement, the Company re-valued the liability associated with the contingent forward contract to the then fair value of $110.5 million from a contingent liability of $0.8 million and derecognized the liability as the contract was settled in its entirety. The Company recognized the increase in fair value of $109.7 million in the consolidated statements of operations and reclassified the liability into convertible preferred stock on the Company’s consolidated balance sheets as of December 31, 2020.</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2021, the Company and Ayar entered into Amendment No. 1 to the original Series E Preferred Stock Purchase Agreement (“Amendment No. 1”). Under the Amendment No. 1, Ayar and the Company agreed to enter into the third closing of additional 133,818,821 shares of Series E convertible preferred stock at $2.99 per share, aggregating to $400.0 million. Upon the signing of the Amendment No. 1, the Company received the issuance proceeds of $400.0 million from Ayar in February 2021.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The aggregate number of Series E Preferred Stock sold at the third closing and fourth closing would not exceed 200.7 million shares (“Extension Amount”). Ayar committed to purchase the entire Extension Amount to the extent not subscribed by Eligible Holders or Additional Purchasers.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issued 66,909,408 Series E convertible preferred stock from the fourth closing at $2.99 per share for cash consideration of $200.0 million. The Company received $107.1 million of the entire cash consideration in March 2021, and the remaining $92.9 million in April 2021. 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includes 535,275 shares offered to the CEO in April 2021. The offer to employees to participate in a future Series E convertible preferred stock financing represented a fully vested, equity classified award. The excess of the award’s fair value over the purchase price of $123.6 million on each recipient’s grant date during the year ended December 31, 2021 was recorded as stock-based compensation.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Along with the execution of Amendment No. 1, the Company also increased the authorized number of common shares and convertible preferred stock to 1,316,758,889 and 1,155,909,398 stock, respectively.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2020, the Company had the following convertible preferred stock, par value of $0.0001 per share, authorized, and outstanding (in thousands, except share and per share amounts):</w:t>
      </w:r>
    </w:p>
    <w:tbl>
      <w:tblPr>
        <w:tblW w:w="10616" w:type="dxa"/>
        <w:jc w:val="left"/>
        <w:tblInd w:w="0" w:type="dxa"/>
        <w:tblCellMar>
          <w:top w:w="28" w:type="dxa"/>
          <w:left w:w="28" w:type="dxa"/>
          <w:bottom w:w="28" w:type="dxa"/>
          <w:right w:w="28" w:type="dxa"/>
        </w:tblCellMar>
      </w:tblPr>
      <w:tblGrid>
        <w:gridCol w:w="353"/>
        <w:gridCol w:w="311"/>
        <w:gridCol w:w="312"/>
        <w:gridCol w:w="109"/>
        <w:gridCol w:w="109"/>
        <w:gridCol w:w="109"/>
        <w:gridCol w:w="666"/>
        <w:gridCol w:w="670"/>
        <w:gridCol w:w="306"/>
        <w:gridCol w:w="109"/>
        <w:gridCol w:w="109"/>
        <w:gridCol w:w="109"/>
        <w:gridCol w:w="592"/>
        <w:gridCol w:w="594"/>
        <w:gridCol w:w="336"/>
        <w:gridCol w:w="109"/>
        <w:gridCol w:w="109"/>
        <w:gridCol w:w="109"/>
        <w:gridCol w:w="211"/>
        <w:gridCol w:w="976"/>
        <w:gridCol w:w="109"/>
        <w:gridCol w:w="109"/>
        <w:gridCol w:w="109"/>
        <w:gridCol w:w="109"/>
        <w:gridCol w:w="236"/>
        <w:gridCol w:w="572"/>
        <w:gridCol w:w="123"/>
        <w:gridCol w:w="109"/>
        <w:gridCol w:w="109"/>
        <w:gridCol w:w="109"/>
        <w:gridCol w:w="240"/>
        <w:gridCol w:w="581"/>
        <w:gridCol w:w="125"/>
        <w:gridCol w:w="109"/>
        <w:gridCol w:w="109"/>
        <w:gridCol w:w="109"/>
        <w:gridCol w:w="211"/>
        <w:gridCol w:w="976"/>
        <w:gridCol w:w="154"/>
      </w:tblGrid>
      <w:tr>
        <w:trPr/>
        <w:tc>
          <w:tcPr>
            <w:tcW w:w="35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616" w:type="dxa"/>
            <w:gridSpan w:val="3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December 31, 2020</w:t>
            </w:r>
          </w:p>
        </w:tc>
      </w:tr>
      <w:tr>
        <w:trPr/>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Convertible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Preferred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Authorized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Conversion Per</w:t>
              <w:br/>
              <w:t>Share to Common</w:t>
              <w:b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Liquidation</w:t>
              <w:br/>
              <w:t>Per Share</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Liquidation</w:t>
              <w:br/>
              <w:t>Amount</w:t>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32,045,280 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32,045,280 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24,677,332 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24,677,332 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82,414,075 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59,575,253 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618,720,748 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539,769,493 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1,963,912 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301,092,345 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301,092,346 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1,349,449 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1,058,949,780 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957,159,704 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3,497,913 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2020, 3,525,332 Series B convertible preferred stock at aggregate fair value of $3.0 million were extinguished and reclassified to other accrued liabilities, with cash settlement occurring in January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rights and preferences of the outstanding convertible preferred stock through the Closing of the Merger are as follows:</w:t>
      </w:r>
    </w:p>
    <w:p>
      <w:pPr>
        <w:pStyle w:val="TextBody"/>
        <w:spacing w:lineRule="auto" w:line="288" w:before="240" w:after="283"/>
        <w:rPr/>
      </w:pPr>
      <w:r>
        <w:rPr>
          <w:rFonts w:ascii="Times New Roman;sans-serif" w:hAnsi="Times New Roman;sans-serif"/>
          <w:b/>
          <w:i/>
          <w:color w:val="000000"/>
          <w:sz w:val="20"/>
        </w:rPr>
        <w:t>Dividends</w:t>
      </w:r>
      <w:r>
        <w:rPr>
          <w:color w:val="000000"/>
        </w:rPr>
        <w:t>—</w:t>
      </w:r>
      <w:r>
        <w:rPr>
          <w:rFonts w:ascii="Times New Roman;sans-serif" w:hAnsi="Times New Roman;sans-serif"/>
          <w:b w:val="false"/>
          <w:color w:val="000000"/>
          <w:sz w:val="20"/>
        </w:rPr>
        <w:t>Through the Closing Date, Holders of Series A, Series B, and Series C had been entitled to receive noncumulative dividends at an annual rate of $0.03, $0.09, $0.19 per share, respectively. Holders of Series D and Series E had been entitled to receive noncumulative dividends at the rate of 8% of the Series D and Series E Original Issue Price (as adjusted for any Stock Split Change) per annum on each outstanding share of Series D and Series E through the Closing Date. Such dividends had been payable when and if declared by the Company’s board of directors (the “Board of Directors”). No other dividends would have been paid on any common or convertible preferred stock until such dividends on Series A, Series B, Series C, Series D and Series E had been paid or declared by the Board of Directors. Through the Closing Date, no dividends had been declared.</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before="0" w:after="0"/>
        <w:rPr/>
      </w:pPr>
      <w:r>
        <w:rPr/>
      </w:r>
    </w:p>
    <w:p>
      <w:pPr>
        <w:pStyle w:val="TextBody"/>
        <w:spacing w:lineRule="auto" w:line="288" w:before="240" w:after="283"/>
        <w:rPr/>
      </w:pPr>
      <w:r>
        <w:rPr>
          <w:rFonts w:ascii="Times New Roman;sans-serif" w:hAnsi="Times New Roman;sans-serif"/>
          <w:b/>
          <w:i/>
          <w:color w:val="000000"/>
          <w:sz w:val="20"/>
        </w:rPr>
        <w:t>Liquidation Preference</w:t>
      </w:r>
      <w:r>
        <w:rPr>
          <w:color w:val="000000"/>
        </w:rPr>
        <w:t>—</w:t>
      </w:r>
      <w:r>
        <w:rPr>
          <w:rFonts w:ascii="Times New Roman;sans-serif" w:hAnsi="Times New Roman;sans-serif"/>
          <w:b w:val="false"/>
          <w:color w:val="000000"/>
          <w:sz w:val="20"/>
        </w:rPr>
        <w:t>Until the Closing Date, in the event of any liquidation, dissolution, or winding-up of the Company, whether voluntary or involuntary (a Liquidation Event), before any distribution or payment would have been made to holders of common stock, each holder of convertible preferred stock then outstanding would have been entitled to be paid, pro rata, out of the assets of the Company available for distribution to members, whether from capital, surplus, or earnings, in the sequence of Series E, Series D, Series C, Series B and Series A, an amount equal to one and one-half times (1.5x), one and one-half times (1.5x), one time (1x), one time (1x), one time (1x) of the Series E, Series D, Series C, Series B, and Series A original issue price per share (as adjusted for Share Split Changes), plus all declared and unpaid distributions thereon.</w:t>
      </w:r>
    </w:p>
    <w:p>
      <w:pPr>
        <w:pStyle w:val="TextBody"/>
        <w:spacing w:lineRule="auto" w:line="288" w:before="240" w:after="283"/>
        <w:rPr/>
      </w:pPr>
      <w:r>
        <w:rPr>
          <w:rFonts w:ascii="Times New Roman;sans-serif" w:hAnsi="Times New Roman;sans-serif"/>
          <w:b/>
          <w:i/>
          <w:color w:val="000000"/>
          <w:sz w:val="20"/>
        </w:rPr>
        <w:t>Voting Rights</w:t>
      </w:r>
      <w:r>
        <w:rPr>
          <w:color w:val="000000"/>
        </w:rPr>
        <w:t>—</w:t>
      </w:r>
      <w:r>
        <w:rPr>
          <w:rFonts w:ascii="Times New Roman;sans-serif" w:hAnsi="Times New Roman;sans-serif"/>
          <w:b w:val="false"/>
          <w:color w:val="000000"/>
          <w:sz w:val="20"/>
        </w:rPr>
        <w:t>Until the Closing Date, the holders of Series A, Series B, Series C, Series D and Series E convertible preferred stock had been entitled to the number of votes equal to the number of common stock into which such convertible preferred stock had been convertible, and with respect to such vote, such holder had been entitled to full voting rights and powers equal to the voting rights and powers of the holders of common stock, and had been entitled, notwithstanding any provision hereof, to notice of any shareholders’ meeting in accordance with our bylaws. The holders of convertible preferred stock and the holders of common stock had been entitled to vote together and not as separate classes.</w:t>
      </w:r>
    </w:p>
    <w:p>
      <w:pPr>
        <w:pStyle w:val="TextBody"/>
        <w:spacing w:lineRule="auto" w:line="288" w:before="240" w:after="283"/>
        <w:rPr/>
      </w:pPr>
      <w:r>
        <w:rPr>
          <w:rFonts w:ascii="Times New Roman;sans-serif" w:hAnsi="Times New Roman;sans-serif"/>
          <w:b/>
          <w:i/>
          <w:color w:val="000000"/>
          <w:sz w:val="20"/>
        </w:rPr>
        <w:t>Conversion</w:t>
      </w:r>
      <w:r>
        <w:rPr>
          <w:color w:val="000000"/>
        </w:rPr>
        <w:t>—</w:t>
      </w:r>
      <w:r>
        <w:rPr>
          <w:rFonts w:ascii="Times New Roman;sans-serif" w:hAnsi="Times New Roman;sans-serif"/>
          <w:b w:val="false"/>
          <w:color w:val="000000"/>
          <w:sz w:val="20"/>
        </w:rPr>
        <w:t>Until the Closing Date, each Series A, Series B, Series C, Series D and Series E convertible preferred stock had been convertible, at the option of the holder, into one fully paid nonassessable common stock. The conversion formula had been adjusted for such events as dilutive issuances, stock splits, or business combinations. Each share of Series A, Series B, Series C, Series D and Series E convertible preferred stock had been automatically converted into one share of common stock at the applicable conversion price upon the earlier of (1) vote or written consent of the holders of at least 66.67% of the outstanding Series A, Series B, Series C, Series D or 50% for Series E convertible preferred stock, as applicable (each calculated on an as-converted basis), voting as a class, or (2) immediately before the closing of the Company’s sale of its common stock in a firm commitment underwritten public offering on a U.S. national securities exchange or other internationally recognized securities exchange, which had been reflected a pre-offering market capitalization in excess of $2.5 billion and which had resulted in gross proceeds to the Company of at least $200.0 million (before payment of underwriters’ discounts, commissions and offering expenses) (such transaction, a “Qualified IPO”).</w:t>
      </w:r>
    </w:p>
    <w:p>
      <w:pPr>
        <w:pStyle w:val="TextBody"/>
        <w:spacing w:lineRule="auto" w:line="288" w:before="240" w:after="283"/>
        <w:rPr/>
      </w:pPr>
      <w:r>
        <w:rPr>
          <w:rFonts w:ascii="Times New Roman;sans-serif" w:hAnsi="Times New Roman;sans-serif"/>
          <w:b/>
          <w:i/>
          <w:color w:val="000000"/>
          <w:sz w:val="20"/>
        </w:rPr>
        <w:t>Antidilution Adjustment</w:t>
      </w:r>
      <w:r>
        <w:rPr>
          <w:color w:val="000000"/>
        </w:rPr>
        <w:t>—</w:t>
      </w:r>
      <w:r>
        <w:rPr>
          <w:rFonts w:ascii="Times New Roman;sans-serif" w:hAnsi="Times New Roman;sans-serif"/>
          <w:b w:val="false"/>
          <w:color w:val="000000"/>
          <w:sz w:val="20"/>
        </w:rPr>
        <w:t>Until the Closing Date, subject to certain exceptions, if the Company had issued additional common stock without consideration or for a consideration per share, less than the conversion price with respect to such series of the convertible preferred stock in effect immediately before the issuance of such additional shares, the conversion price of such series of convertible preferred stock in effect immediately before each such issuance had been automatically adjusted. The new conversion price for such series of convertible preferred stock had been determined by multiplying the conversion price for such series of convertible preferred stock then in effect by a fraction, the numerator of which had been the number of common stock outstanding immediately before such issuance, plus the number of shares that the aggregate consideration received by the Company for such issuance would purchase at such conversion price then in effect, and the denominator of which had been the number of common stock outstanding immediately before such issuance, plus the number of such additional common stock to be issued.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 STOCKHOLDERS’ EQUITY (DEFICIT)</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authorized the issuance of 10,000,000 shares of undesignated preferred stock with a par value of $0.0001 per share with rights and preferences, including voting rights, designated from time to time by the board of directors. As of December 31, 2021, there were no issued and outstanding shares of preferred stock.</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Common Stock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 July 23, 2021, in connection with the reverse recapitalization treatment of the Merger, the Company effectively issued 425,395,023 new shares of common stock upon the Closing. The Company also converted all 1,155,909,367 shares of its issued and outstanding convertible preferred stock into 1,155,909,367 new shares of common stock as of the Closing of the Merger based upon the conversion rate as calculated pursuant to Legacy Lucid’s memorandum and articles of association. Immediately following the Merger, there were 1,618,621,534 shares of common stock outstanding with a par value of $0.0001. The holder of each share of common stock is entitled to one vote.</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Common Stock Warrants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 July 23, 2021, in connection with the reverse recapitalization treatment of the Merger, the Company effectively issued 41,400,000 publicly-traded warrants to purchase shares of its common stock. Each whole warrant entitles the holder to purchase one share of the Company’s common stock at a price of $11.50 per share. The public warrants were exercisable as of August 22, 2021 and expire on July 23, 2026, if not yet exercised by the holder or redeemed by the Company.</w:t>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an aggregate of 41,034,197 public warrants were exercised, of which 25,966,976 were exercised on a cashless basis. The aggregate cash proceeds received from the exercise of these public warrants were $173.3 million. The Company redeemed the remaining 365,803 public warrants that were not exercised by the holders at a redemption price of $0.01 per warrant.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of the Company’s issued and outstanding public warrants is as follows:</w:t>
      </w:r>
    </w:p>
    <w:tbl>
      <w:tblPr>
        <w:tblW w:w="7231" w:type="dxa"/>
        <w:jc w:val="left"/>
        <w:tblInd w:w="0" w:type="dxa"/>
        <w:tblCellMar>
          <w:top w:w="28" w:type="dxa"/>
          <w:left w:w="28" w:type="dxa"/>
          <w:bottom w:w="28" w:type="dxa"/>
          <w:right w:w="28" w:type="dxa"/>
        </w:tblCellMar>
      </w:tblPr>
      <w:tblGrid>
        <w:gridCol w:w="2003"/>
        <w:gridCol w:w="1763"/>
        <w:gridCol w:w="1768"/>
        <w:gridCol w:w="576"/>
        <w:gridCol w:w="579"/>
        <w:gridCol w:w="542"/>
      </w:tblGrid>
      <w:tr>
        <w:trPr/>
        <w:tc>
          <w:tcPr>
            <w:tcW w:w="2003" w:type="dxa"/>
            <w:tcBorders/>
            <w:shd w:fill="auto" w:val="clear"/>
            <w:vAlign w:val="center"/>
          </w:tcPr>
          <w:p>
            <w:pPr>
              <w:pStyle w:val="TableContents"/>
              <w:spacing w:before="0" w:after="283"/>
              <w:rPr>
                <w:sz w:val="4"/>
                <w:szCs w:val="4"/>
              </w:rPr>
            </w:pPr>
            <w:r>
              <w:rPr>
                <w:sz w:val="4"/>
                <w:szCs w:val="4"/>
              </w:rPr>
            </w:r>
          </w:p>
        </w:tc>
        <w:tc>
          <w:tcPr>
            <w:tcW w:w="1763" w:type="dxa"/>
            <w:tcBorders/>
            <w:shd w:fill="auto" w:val="clear"/>
            <w:vAlign w:val="center"/>
          </w:tcPr>
          <w:p>
            <w:pPr>
              <w:pStyle w:val="TableContents"/>
              <w:spacing w:before="0" w:after="283"/>
              <w:rPr>
                <w:sz w:val="4"/>
                <w:szCs w:val="4"/>
              </w:rPr>
            </w:pPr>
            <w:r>
              <w:rPr>
                <w:sz w:val="4"/>
                <w:szCs w:val="4"/>
              </w:rPr>
            </w:r>
          </w:p>
        </w:tc>
        <w:tc>
          <w:tcPr>
            <w:tcW w:w="1768"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 issued in connection with Merger on July 23, 2021</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41,400,000 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public warrants exercised</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(41,034,197)</w:t>
            </w:r>
          </w:p>
        </w:tc>
        <w:tc>
          <w:tcPr>
            <w:tcW w:w="5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 redeemed</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(365,803)</w:t>
            </w:r>
          </w:p>
        </w:tc>
        <w:tc>
          <w:tcPr>
            <w:tcW w:w="5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public warrants as of December 31, 2021</w:t>
            </w:r>
          </w:p>
        </w:tc>
        <w:tc>
          <w:tcPr>
            <w:tcW w:w="11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Treasury Stock</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the Company repurchased an aggregate of 857,825 shares of its common stock, including 712,742 shares from certain employees and 145,083 shares from directors of the Company’s predecessor, Atieva, Inc. at $24.15 per share.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Common Stock Reserved for Issuance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reserved for future issuances as of December 31, 2021 and 2020, are as follows:</w:t>
      </w:r>
    </w:p>
    <w:tbl>
      <w:tblPr>
        <w:tblW w:w="8817" w:type="dxa"/>
        <w:jc w:val="left"/>
        <w:tblInd w:w="0" w:type="dxa"/>
        <w:tblCellMar>
          <w:top w:w="28" w:type="dxa"/>
          <w:left w:w="28" w:type="dxa"/>
          <w:bottom w:w="28" w:type="dxa"/>
          <w:right w:w="28" w:type="dxa"/>
        </w:tblCellMar>
      </w:tblPr>
      <w:tblGrid>
        <w:gridCol w:w="1859"/>
        <w:gridCol w:w="1634"/>
        <w:gridCol w:w="1637"/>
        <w:gridCol w:w="592"/>
        <w:gridCol w:w="594"/>
        <w:gridCol w:w="366"/>
        <w:gridCol w:w="109"/>
        <w:gridCol w:w="109"/>
        <w:gridCol w:w="109"/>
        <w:gridCol w:w="668"/>
        <w:gridCol w:w="668"/>
        <w:gridCol w:w="472"/>
      </w:tblGrid>
      <w:tr>
        <w:trPr/>
        <w:tc>
          <w:tcPr>
            <w:tcW w:w="1859" w:type="dxa"/>
            <w:tcBorders/>
            <w:shd w:fill="auto" w:val="clear"/>
            <w:vAlign w:val="center"/>
          </w:tcPr>
          <w:p>
            <w:pPr>
              <w:pStyle w:val="TableContents"/>
              <w:spacing w:before="0" w:after="283"/>
              <w:rPr>
                <w:sz w:val="4"/>
                <w:szCs w:val="4"/>
              </w:rPr>
            </w:pPr>
            <w:r>
              <w:rPr>
                <w:sz w:val="4"/>
                <w:szCs w:val="4"/>
              </w:rPr>
            </w:r>
          </w:p>
        </w:tc>
        <w:tc>
          <w:tcPr>
            <w:tcW w:w="1634"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5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(on an as-converted basis)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957,159,704 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warrant (on an as-converted basis)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1,546,799 </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 to purchase common stock</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64,119,902 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70,675,318 </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48,234,611 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grants under equity plans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16,761,960 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10,526,235 </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convertible note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210,204,258 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1,039,908,056 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 EARNBACK SHARES AND WARRANTS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During the period between the Closing and the five-year anniversary of the Closing, the Churchill Sponsor has subjected the 17,250,000 Sponsor Earnback Shares of issued and outstanding common stock and 14,783,333 Sponsor Earnback Warrants of issued and outstanding private warrants to potential forfeiture to Lucid for no consideration until the occurrence of each tranche’s respective earnback triggering event. The 17,250,000 Sponsor Earnback Shares are comprised of three separate tranches of 5,750,000 shares per tranche. The 14,783,333 Sponsor Earnback Warrants are comprised of three separate tranches of (i) 4,927,778 warrants, (ii) 4,927,778 warrants, and (iii) 4,927,777 warrants. The earnback triggering events for the three respective tranches of the Sponsor Earnback Shares and Sponsor Earnback Warrants will be met upon the earlier of (i) the date on which the volume-weighted average trading sale price of one share of our common stock quoted on Nasdaq is greater than or equal to $20.00, $25.00, and $30.00, respectively, for any 40 trading days within any 60 consecutive trading day period or (ii) a change in control of Lucid pursuant to which stockholders of Lucid have the right to receive consideration implying a value per share greater than or equal to $20.00, $25.00, and $30.00, respectively.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earnback triggering events were determined to be indexed to the Company’s common stock as the earnback triggering events are measured on a dilutive basis.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earnback triggering events related to achieving a volume-weighted average trading sale price greater than or equal to $20.00, $25.00, and $30.00, respectively, for any 40 trading days within any 60 consecutive trading day period were satisfied on September 29, 2021, December 8, 2021, and December 23, 2021, respectively. As a result, the 17,250,000 Sponsor Earnback Shares of issued and outstanding common stock and 14,783,333 Sponsor Earnback Warrants of issued and outstanding private warrants were vested and no longer subject to the transfer restrictions and contingent forfeiture provisions.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13 – STOCK-BASED AWARDS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Legacy Lucid 2021 Stock Incentive Plan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Company’s board of directors adopted and the stockholders approved the 2021 Stock Incentive Plan (the “2021 Plan”). The 2021 Plan replaced the Company’s 2014 Plan. The 10,526,235 shares reserved for future issuance under the 2014 Plan were removed and added to the share reserve under the 2021 Plan. The 2021 Plan provided for the grant of incentive stock options, non-statutory stock options, restricted shares, restricted stock units (“RSU”), share appreciation rights, performance based awards and cash based awards to the Company’s employees, directors, and consultants.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Lucid 2021 Stock Incentive Plan and ESPP Addendum</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July 2021, the Company’s board of directors adopted and the stockholders approved the 2021 Incentive Plan (the “2021 Incentive Plan”), which includes an employee stock purchase plan as an addendum (the “ESPP Addendum”). The 2021 Incentive Plan replaced the 2021 Plan. The 2021 Incentive Plan provides for the grant of restricted shares, non-qualified stock options, incentive stock options, unrestricted shares, stock appreciation rights, restricted stock units and cash awards. Shares of common stock underlying awards that are forfeited or cancelled generally are returned to the pool of shares available for issuance under the 2021 Incentive Plan.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ESPP Addendum authorizes the issuance of shares of common stock pursuant to purchase rights granted to employees. The purchase price for each share purchased during an offering period will be the lesser of 85% of the fair market value of the share on the purchase date or 85% of the fair market value of the share on the offering date. The offering dates and purchase dates for the ESPP Addendum are determined at the discretion of the Company’s board of directors. During the year ended December 31, 2021, the Company has launched its ESPP Addendum. The stock-based compensation expense recognized during the year ended December 31, 2021 was immaterial.</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that remain available for issuance under the 2021 Incentive Plan, including the ESPP Addendum, was 16,761,960 as of December 31, 2021.</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Company’s outstanding stock options generally expire 10 years from the date of grant and are exercisable when the options vest. Incentive stock options and non-statutory options generally vest over four years, the majority of which vest at a rate of 25% on the first anniversary of the grant date, with the remainder vesting ratably each month over the next three years. A summary of stock option activity is as follows:</w:t>
      </w:r>
    </w:p>
    <w:tbl>
      <w:tblPr>
        <w:tblW w:w="10205" w:type="dxa"/>
        <w:jc w:val="left"/>
        <w:tblInd w:w="0" w:type="dxa"/>
        <w:tblCellMar>
          <w:top w:w="28" w:type="dxa"/>
          <w:left w:w="28" w:type="dxa"/>
          <w:bottom w:w="28" w:type="dxa"/>
          <w:right w:w="28" w:type="dxa"/>
        </w:tblCellMar>
      </w:tblPr>
      <w:tblGrid>
        <w:gridCol w:w="851"/>
        <w:gridCol w:w="748"/>
        <w:gridCol w:w="750"/>
        <w:gridCol w:w="557"/>
        <w:gridCol w:w="560"/>
        <w:gridCol w:w="330"/>
        <w:gridCol w:w="109"/>
        <w:gridCol w:w="109"/>
        <w:gridCol w:w="109"/>
        <w:gridCol w:w="369"/>
        <w:gridCol w:w="895"/>
        <w:gridCol w:w="190"/>
        <w:gridCol w:w="109"/>
        <w:gridCol w:w="109"/>
        <w:gridCol w:w="109"/>
        <w:gridCol w:w="759"/>
        <w:gridCol w:w="759"/>
        <w:gridCol w:w="761"/>
        <w:gridCol w:w="109"/>
        <w:gridCol w:w="109"/>
        <w:gridCol w:w="109"/>
        <w:gridCol w:w="265"/>
        <w:gridCol w:w="1229"/>
        <w:gridCol w:w="201"/>
      </w:tblGrid>
      <w:tr>
        <w:trPr/>
        <w:tc>
          <w:tcPr>
            <w:tcW w:w="851"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2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Options</w:t>
            </w:r>
          </w:p>
        </w:tc>
      </w:tr>
      <w:tr>
        <w:trPr/>
        <w:tc>
          <w:tcPr>
            <w:tcW w:w="2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Intrinsic Value (in thousands)</w:t>
            </w:r>
          </w:p>
        </w:tc>
      </w:tr>
      <w:tr>
        <w:trPr/>
        <w:tc>
          <w:tcPr>
            <w:tcW w:w="23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Balance—December 31, 2019</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69,305,845 </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21,236 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23,820,351 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(7,502,955)</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(14,947,923)</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Balance—December 31, 2020</w:t>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70,675,318 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118,155 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8,402,925 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(11,076,026)</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(3,882,315)</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Balance—December 31, 2021</w:t>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64,119,902 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2,370,666 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December 31, 2021</w:t>
            </w:r>
          </w:p>
        </w:tc>
        <w:tc>
          <w:tcPr>
            <w:tcW w:w="11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42,924,175 </w:t>
            </w:r>
          </w:p>
        </w:tc>
        <w:tc>
          <w:tcPr>
            <w:tcW w:w="3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1,599,512 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Aggregate intrinsic value represents the difference between the exercise price of the options and the fair value of common shares. The aggregate intrinsic value of options exercised was approximately $206.7 million, $8.3 million and $0.4 million for the years ended December 31, 2021, 2020 and 2019, respectively.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fair value of stock options granted during the years ended December 31, 2021, 2020 and 2019, was approximately $24.0 million, $14.8 million and $13.9 million, respectively, which is recognized over the respective vesting periods. The total fair value of stock options vested during the years ended December 31, 2021, 2020 and 2019, was approximately $6.2 million, $3.9 million and $6.9 million, respectively.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estimates the fair value of the options utilizing the Black-Scholes option pricing model, which is dependent upon several variables, including expected option term, expected volatility of the Company’s share price over the expected term, expected risk-free interest </w:t>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rate over the expected option term, and expected dividend yield rate over the expected option term, and actual forfeiture rates. A summary of the assumptions the Company utilized to record compensation expense for stock options granted during the year ended December 31, 2021, 2020 and 2019, is as follows:</w:t>
      </w:r>
    </w:p>
    <w:tbl>
      <w:tblPr>
        <w:tblW w:w="5763" w:type="dxa"/>
        <w:jc w:val="left"/>
        <w:tblInd w:w="0" w:type="dxa"/>
        <w:tblCellMar>
          <w:top w:w="28" w:type="dxa"/>
          <w:left w:w="28" w:type="dxa"/>
          <w:bottom w:w="28" w:type="dxa"/>
          <w:right w:w="28" w:type="dxa"/>
        </w:tblCellMar>
      </w:tblPr>
      <w:tblGrid>
        <w:gridCol w:w="870"/>
        <w:gridCol w:w="762"/>
        <w:gridCol w:w="768"/>
        <w:gridCol w:w="211"/>
        <w:gridCol w:w="406"/>
        <w:gridCol w:w="271"/>
        <w:gridCol w:w="109"/>
        <w:gridCol w:w="109"/>
        <w:gridCol w:w="109"/>
        <w:gridCol w:w="211"/>
        <w:gridCol w:w="406"/>
        <w:gridCol w:w="271"/>
        <w:gridCol w:w="109"/>
        <w:gridCol w:w="109"/>
        <w:gridCol w:w="109"/>
        <w:gridCol w:w="211"/>
        <w:gridCol w:w="406"/>
        <w:gridCol w:w="316"/>
      </w:tblGrid>
      <w:tr>
        <w:trPr/>
        <w:tc>
          <w:tcPr>
            <w:tcW w:w="87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3"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volatility</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Unit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RSU award activity is as follows:</w:t>
      </w:r>
    </w:p>
    <w:tbl>
      <w:tblPr>
        <w:tblW w:w="10205" w:type="dxa"/>
        <w:jc w:val="left"/>
        <w:tblInd w:w="0" w:type="dxa"/>
        <w:tblCellMar>
          <w:top w:w="28" w:type="dxa"/>
          <w:left w:w="28" w:type="dxa"/>
          <w:bottom w:w="28" w:type="dxa"/>
          <w:right w:w="28" w:type="dxa"/>
        </w:tblCellMar>
      </w:tblPr>
      <w:tblGrid>
        <w:gridCol w:w="843"/>
        <w:gridCol w:w="741"/>
        <w:gridCol w:w="743"/>
        <w:gridCol w:w="540"/>
        <w:gridCol w:w="541"/>
        <w:gridCol w:w="393"/>
        <w:gridCol w:w="109"/>
        <w:gridCol w:w="109"/>
        <w:gridCol w:w="109"/>
        <w:gridCol w:w="621"/>
        <w:gridCol w:w="587"/>
        <w:gridCol w:w="588"/>
        <w:gridCol w:w="109"/>
        <w:gridCol w:w="109"/>
        <w:gridCol w:w="109"/>
        <w:gridCol w:w="561"/>
        <w:gridCol w:w="520"/>
        <w:gridCol w:w="260"/>
        <w:gridCol w:w="109"/>
        <w:gridCol w:w="109"/>
        <w:gridCol w:w="109"/>
        <w:gridCol w:w="490"/>
        <w:gridCol w:w="1431"/>
        <w:gridCol w:w="36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431"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2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r>
      <w:tr>
        <w:trPr/>
        <w:tc>
          <w:tcPr>
            <w:tcW w:w="2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Time-Based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w:t>
            </w:r>
          </w:p>
        </w:tc>
      </w:tr>
      <w:tr>
        <w:trPr/>
        <w:tc>
          <w:tcPr>
            <w:tcW w:w="2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balance as of December 31, 2020</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34,067,889 </w:t>
            </w:r>
          </w:p>
        </w:tc>
        <w:tc>
          <w:tcPr>
            <w:tcW w:w="3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16,024,411 </w:t>
            </w:r>
          </w:p>
        </w:tc>
        <w:tc>
          <w:tcPr>
            <w:tcW w:w="5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50,092,300 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3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(1,068,049)</w:t>
            </w:r>
          </w:p>
        </w:tc>
        <w:tc>
          <w:tcPr>
            <w:tcW w:w="3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(1,068,049)</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3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(789,640)</w:t>
            </w:r>
          </w:p>
        </w:tc>
        <w:tc>
          <w:tcPr>
            <w:tcW w:w="3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(789,640)</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24.84 </w:t>
            </w:r>
          </w:p>
        </w:tc>
        <w:tc>
          <w:tcPr>
            <w:tcW w:w="3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balance as of December 31, 2021</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32,210,200 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16,024,411 </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48,234,611 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Time-based RSUs vest based on a performance condition and a service condition. The performance condition was satisfied upon the Closing of the Merger, and the service condition will be met generally over 4.0 years. The Company granted 13,834,748 shares of the time-based RSUs to the CEO that will vest in sixteen equal quarterly installments subject to continuous employment. The vesting of the time-based awards began on December 5, 2021. The service condition for 25% of the Company’s non-CEO RSUs will be satisfied 375 days after the Closing. The remaining RSUs will be satisfied in equal quarterly installments thereafter, subject to continuous employment. The fair value of these time-based RSUs was measured using the fair value of the Company’s common stock on the date of the grant, as based on the market price of Churchill’s stock adjusted for the expected exchange ratio at the time, and discounted for lack of marketability. The total fair value of RSUs vested during the year ended December 31, 2021 were $50.5 million. There are no RSU vested for the years ended 2020 and 2019.</w:t>
      </w:r>
    </w:p>
    <w:p>
      <w:pPr>
        <w:pStyle w:val="TextBody"/>
        <w:spacing w:lineRule="auto" w:line="268" w:before="240" w:after="283"/>
        <w:rPr>
          <w:rFonts w:ascii="Times New Roman;sans-serif" w:hAnsi="Times New Roman;sans-serif"/>
          <w:b w:val="false"/>
          <w:color w:val="000000"/>
          <w:sz w:val="20"/>
        </w:rPr>
      </w:pPr>
      <w:r>
        <w:rPr>
          <w:rFonts w:ascii="Times New Roman;sans-serif" w:hAnsi="Times New Roman;sans-serif"/>
          <w:b w:val="false"/>
          <w:color w:val="000000"/>
          <w:sz w:val="20"/>
        </w:rPr>
        <w:t>All performance-based RSUs are granted to the CEO. The CEO performance RSUs will vest subject to the performance and market conditions. The performance condition was satisfied upon the Closing. The market conditions will be satisfied and vest in five tranches based on the achievement of market capitalization goals applicable to each tranche over a six-month period subject to the CEO’s continuous employment through the applicable vesting date. Any CEO performance RSUs that have not vested within five years after the Closing will be forfeited. The fair value of these performance-based RSUs was measured on the grant date, March 27, 2021, using a Monte Carlo simulation model, with the following assumptions:</w:t>
      </w:r>
    </w:p>
    <w:tbl>
      <w:tblPr>
        <w:tblW w:w="3075" w:type="dxa"/>
        <w:jc w:val="left"/>
        <w:tblInd w:w="0" w:type="dxa"/>
        <w:tblCellMar>
          <w:top w:w="28" w:type="dxa"/>
          <w:left w:w="28" w:type="dxa"/>
          <w:bottom w:w="28" w:type="dxa"/>
          <w:right w:w="28" w:type="dxa"/>
        </w:tblCellMar>
      </w:tblPr>
      <w:tblGrid>
        <w:gridCol w:w="870"/>
        <w:gridCol w:w="762"/>
        <w:gridCol w:w="768"/>
        <w:gridCol w:w="197"/>
        <w:gridCol w:w="197"/>
        <w:gridCol w:w="281"/>
      </w:tblGrid>
      <w:tr>
        <w:trPr/>
        <w:tc>
          <w:tcPr>
            <w:tcW w:w="87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volatility</w:t>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w:t>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none of the market capitalization goals had been achieved. The Company recognizes compensation expense on a graded vesting schedule over the requisite vesting period for the time-based awards and over the derived service period for the CEO performance RSUs. Stock-based compensation expense is recognized when the relevant performance condition is considered probable of achievement for the performance-based award. In January 2022, the market capitalization condition was met for four of the five tranches, representing an aggregate of 13,934,271 performance RSUs. The vesting of these four tranches is subject to continuous service, and review and certification by the Board of Directors. As of December 31, 2021, the unamortized expense related to these four tranches amounted to </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$85.4 million which would be recognized as a stock-based compensation expense upon vesting. As of December 31, 2021, the unamortized expense for the fifth tranche, representing 2,090,140 RSUs, was $19.6 million and will be recognized over a period of 1.1 years.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employee and nonemployee stock-based compensation expense for the year ended December 31, 2021, 2020 and 2019, is classified in the consolidated statements of operations as follows (in thousands):</w:t>
      </w:r>
    </w:p>
    <w:tbl>
      <w:tblPr>
        <w:tblW w:w="6671" w:type="dxa"/>
        <w:jc w:val="left"/>
        <w:tblInd w:w="0" w:type="dxa"/>
        <w:tblCellMar>
          <w:top w:w="28" w:type="dxa"/>
          <w:left w:w="28" w:type="dxa"/>
          <w:bottom w:w="28" w:type="dxa"/>
          <w:right w:w="28" w:type="dxa"/>
        </w:tblCellMar>
      </w:tblPr>
      <w:tblGrid>
        <w:gridCol w:w="1068"/>
        <w:gridCol w:w="941"/>
        <w:gridCol w:w="945"/>
        <w:gridCol w:w="211"/>
        <w:gridCol w:w="826"/>
        <w:gridCol w:w="109"/>
        <w:gridCol w:w="109"/>
        <w:gridCol w:w="109"/>
        <w:gridCol w:w="109"/>
        <w:gridCol w:w="211"/>
        <w:gridCol w:w="616"/>
        <w:gridCol w:w="109"/>
        <w:gridCol w:w="109"/>
        <w:gridCol w:w="109"/>
        <w:gridCol w:w="109"/>
        <w:gridCol w:w="211"/>
        <w:gridCol w:w="616"/>
        <w:gridCol w:w="154"/>
      </w:tblGrid>
      <w:tr>
        <w:trPr/>
        <w:tc>
          <w:tcPr>
            <w:tcW w:w="1068"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for the year ended December 31, 2021 includes $383.2 million stock-based compensation expense related to the RSUs. The year ended December 31, 2021 also includes $123.6 million stock-based compensation expense related to the Series E convertible preferred stock issuances in March 2021 and April 2021. Refer to Note 7 “Contingent Forward Contracts” and Note 10 “Convertible Preferred Stock” for more information.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unamortized stock-based compensation related to awards that are not vested was $638.0 million as of December 31, 2021, and weighted average remaining amortization period as of December 31, 2021 was 2.5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14 – LEASES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various non-cancellable operating and finance lease agreements for certain of the Company’s offices, manufacturing and warehouse facilities, retail and service locations, equipment and vehicles, worldwide. The Company has determined if an arrangement is a lease, or contains a lease, including embedded leases, at inception and records the leases in the Company’s financial statements upon later of ASC 842 adoption date of January 1, 2021, or lease commencement, which is the date when the underlying asset is made available for use by the lessor.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Lease expense for operating lease payments is recognized on a straight-line basis over the lease term. Our assessed lease terms may include options to extend or terminate the lease when it is reasonably certain that we will exercise that option. Certain operating leases provide for annual increases to lease payments based on an index or rate. The Company estimates the annual increase in lease payments based on the index or rate at the lease commencement date, for both the Company’s historical leases and for new leases commencing after January 1, 2021. Differences between the estimated lease payment and actual payment are expensed as incurred. Lease expense for finance lease payments is recognized as amortization expense of the finance lease ROU asset and interest expense on the finance lease liability over the lease term.</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for the operating and finance leases where the Company is the lessee are presented as follows within the Company’s consolidated balance sheet (in thousands):</w:t>
      </w:r>
    </w:p>
    <w:tbl>
      <w:tblPr>
        <w:tblW w:w="5398" w:type="dxa"/>
        <w:jc w:val="left"/>
        <w:tblInd w:w="0" w:type="dxa"/>
        <w:tblCellMar>
          <w:top w:w="28" w:type="dxa"/>
          <w:left w:w="28" w:type="dxa"/>
          <w:bottom w:w="28" w:type="dxa"/>
          <w:right w:w="28" w:type="dxa"/>
        </w:tblCellMar>
      </w:tblPr>
      <w:tblGrid>
        <w:gridCol w:w="1397"/>
        <w:gridCol w:w="1225"/>
        <w:gridCol w:w="1232"/>
        <w:gridCol w:w="273"/>
        <w:gridCol w:w="1072"/>
        <w:gridCol w:w="199"/>
      </w:tblGrid>
      <w:tr>
        <w:trPr/>
        <w:tc>
          <w:tcPr>
            <w:tcW w:w="1397"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161,974 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11,056 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185,323 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196,379 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assets</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10,266 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 within the Company’s consolidated statement of operations (in thousands):</w:t>
      </w:r>
    </w:p>
    <w:tbl>
      <w:tblPr>
        <w:tblW w:w="4018" w:type="dxa"/>
        <w:jc w:val="left"/>
        <w:tblInd w:w="0" w:type="dxa"/>
        <w:tblCellMar>
          <w:top w:w="28" w:type="dxa"/>
          <w:left w:w="28" w:type="dxa"/>
          <w:bottom w:w="28" w:type="dxa"/>
          <w:right w:w="28" w:type="dxa"/>
        </w:tblCellMar>
      </w:tblPr>
      <w:tblGrid>
        <w:gridCol w:w="896"/>
        <w:gridCol w:w="786"/>
        <w:gridCol w:w="792"/>
        <w:gridCol w:w="299"/>
        <w:gridCol w:w="1025"/>
        <w:gridCol w:w="220"/>
      </w:tblGrid>
      <w:tr>
        <w:trPr/>
        <w:tc>
          <w:tcPr>
            <w:tcW w:w="89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expense:</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Operating lease expense </w:t>
            </w:r>
            <w:r>
              <w:rPr>
                <w:rFonts w:ascii="Times New Roman;sans-serif" w:hAnsi="Times New Roman;sans-serif"/>
                <w:b w:val="false"/>
                <w:color w:val="000000"/>
                <w:sz w:val="13"/>
              </w:rPr>
              <w:t>(1)</w:t>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31,097 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1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expense:</w:t>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leased assets</w:t>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expense</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36,983 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short-term leases, which are immaterial.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where the Company is the lessee is as follows:</w:t>
      </w:r>
    </w:p>
    <w:tbl>
      <w:tblPr>
        <w:tblW w:w="5969" w:type="dxa"/>
        <w:jc w:val="left"/>
        <w:tblInd w:w="0" w:type="dxa"/>
        <w:tblCellMar>
          <w:top w:w="28" w:type="dxa"/>
          <w:left w:w="28" w:type="dxa"/>
          <w:bottom w:w="28" w:type="dxa"/>
          <w:right w:w="28" w:type="dxa"/>
        </w:tblCellMar>
      </w:tblPr>
      <w:tblGrid>
        <w:gridCol w:w="1603"/>
        <w:gridCol w:w="1408"/>
        <w:gridCol w:w="1413"/>
        <w:gridCol w:w="314"/>
        <w:gridCol w:w="314"/>
        <w:gridCol w:w="917"/>
      </w:tblGrid>
      <w:tr>
        <w:trPr/>
        <w:tc>
          <w:tcPr>
            <w:tcW w:w="1603"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413"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5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4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9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9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where the Company is the lessee is as follows (in thousands):</w:t>
      </w:r>
    </w:p>
    <w:tbl>
      <w:tblPr>
        <w:tblW w:w="7604" w:type="dxa"/>
        <w:jc w:val="left"/>
        <w:tblInd w:w="0" w:type="dxa"/>
        <w:tblCellMar>
          <w:top w:w="28" w:type="dxa"/>
          <w:left w:w="28" w:type="dxa"/>
          <w:bottom w:w="28" w:type="dxa"/>
          <w:right w:w="28" w:type="dxa"/>
        </w:tblCellMar>
      </w:tblPr>
      <w:tblGrid>
        <w:gridCol w:w="2196"/>
        <w:gridCol w:w="1927"/>
        <w:gridCol w:w="1937"/>
        <w:gridCol w:w="299"/>
        <w:gridCol w:w="1025"/>
        <w:gridCol w:w="220"/>
      </w:tblGrid>
      <w:tr>
        <w:trPr/>
        <w:tc>
          <w:tcPr>
            <w:tcW w:w="2196"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193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 (interest payments)</w:t>
            </w:r>
          </w:p>
        </w:tc>
        <w:tc>
          <w:tcPr>
            <w:tcW w:w="1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1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tc>
        <w:tc>
          <w:tcPr>
            <w:tcW w:w="1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84,078 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finance lease liabilities</w:t>
            </w:r>
          </w:p>
        </w:tc>
        <w:tc>
          <w:tcPr>
            <w:tcW w:w="1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maturities of the Company’s operating and finance lease liabilities (excluding short-term leases) were as follows (in thousands):</w:t>
      </w:r>
    </w:p>
    <w:tbl>
      <w:tblPr>
        <w:tblW w:w="6175" w:type="dxa"/>
        <w:jc w:val="left"/>
        <w:tblInd w:w="0" w:type="dxa"/>
        <w:tblCellMar>
          <w:top w:w="28" w:type="dxa"/>
          <w:left w:w="28" w:type="dxa"/>
          <w:bottom w:w="28" w:type="dxa"/>
          <w:right w:w="28" w:type="dxa"/>
        </w:tblCellMar>
      </w:tblPr>
      <w:tblGrid>
        <w:gridCol w:w="1177"/>
        <w:gridCol w:w="1032"/>
        <w:gridCol w:w="1046"/>
        <w:gridCol w:w="251"/>
        <w:gridCol w:w="984"/>
        <w:gridCol w:w="129"/>
        <w:gridCol w:w="109"/>
        <w:gridCol w:w="109"/>
        <w:gridCol w:w="109"/>
        <w:gridCol w:w="264"/>
        <w:gridCol w:w="772"/>
        <w:gridCol w:w="193"/>
      </w:tblGrid>
      <w:tr>
        <w:trPr/>
        <w:tc>
          <w:tcPr>
            <w:tcW w:w="1177"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39,346 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34,791 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117,215 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(104,471)</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obligations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196,379 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 of lease obligations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185,323 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legacy lease accounting (ASC 840), future minimum lease payments under non-cancellable leases as of December 31, 2020 are as follows (in thousands):</w:t>
      </w:r>
    </w:p>
    <w:tbl>
      <w:tblPr>
        <w:tblW w:w="6175" w:type="dxa"/>
        <w:jc w:val="left"/>
        <w:tblInd w:w="0" w:type="dxa"/>
        <w:tblCellMar>
          <w:top w:w="28" w:type="dxa"/>
          <w:left w:w="28" w:type="dxa"/>
          <w:bottom w:w="28" w:type="dxa"/>
          <w:right w:w="28" w:type="dxa"/>
        </w:tblCellMar>
      </w:tblPr>
      <w:tblGrid>
        <w:gridCol w:w="1177"/>
        <w:gridCol w:w="1032"/>
        <w:gridCol w:w="1046"/>
        <w:gridCol w:w="251"/>
        <w:gridCol w:w="984"/>
        <w:gridCol w:w="129"/>
        <w:gridCol w:w="109"/>
        <w:gridCol w:w="109"/>
        <w:gridCol w:w="109"/>
        <w:gridCol w:w="264"/>
        <w:gridCol w:w="772"/>
        <w:gridCol w:w="193"/>
      </w:tblGrid>
      <w:tr>
        <w:trPr/>
        <w:tc>
          <w:tcPr>
            <w:tcW w:w="1177"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27,633 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27,474 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116,155 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253,796 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obligations</w:t>
            </w:r>
          </w:p>
        </w:tc>
        <w:tc>
          <w:tcPr>
            <w:tcW w:w="13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3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 of lease obligations</w:t>
            </w:r>
          </w:p>
        </w:tc>
        <w:tc>
          <w:tcPr>
            <w:tcW w:w="13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15 - COMMITMENTS AND CONTINGENCIES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the Company had $286.0 million and $406.1 million in commitments related to the Arizona manufacturing plant and equipment. These commitments represent future expected payments on open purchase orders entered into as of December 31, 2021 and 2020.</w:t>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before="0" w:after="0"/>
        <w:rPr/>
      </w:pPr>
      <w:r>
        <w:rPr/>
      </w:r>
    </w:p>
    <w:p>
      <w:pPr>
        <w:pStyle w:val="TextBody"/>
        <w:spacing w:lineRule="auto" w:line="288" w:before="240" w:after="283"/>
        <w:rPr/>
      </w:pPr>
      <w:r>
        <w:rPr>
          <w:rFonts w:ascii="Times New Roman;sans-serif" w:hAnsi="Times New Roman;sans-serif"/>
          <w:b w:val="false"/>
          <w:color w:val="000000"/>
          <w:sz w:val="22"/>
        </w:rPr>
        <w:t>T</w:t>
      </w:r>
      <w:r>
        <w:rPr>
          <w:rFonts w:ascii="Times New Roman;sans-serif" w:hAnsi="Times New Roman;sans-serif"/>
          <w:b w:val="false"/>
          <w:color w:val="000000"/>
          <w:sz w:val="20"/>
        </w:rPr>
        <w:t>he Company entered into a non-cancellable purchase commitment to purchase battery cells over the next 4 years. Battery cell costs can fluctuate from time to time based on, among other things, supply and demand, costs of raw materials, and purchase volumes. The estimated purchase commitment as of December 31, 2021 is as follows (in thousands):</w:t>
      </w:r>
    </w:p>
    <w:tbl>
      <w:tblPr>
        <w:tblW w:w="3456" w:type="dxa"/>
        <w:jc w:val="left"/>
        <w:tblInd w:w="0" w:type="dxa"/>
        <w:tblCellMar>
          <w:top w:w="28" w:type="dxa"/>
          <w:left w:w="28" w:type="dxa"/>
          <w:bottom w:w="28" w:type="dxa"/>
          <w:right w:w="28" w:type="dxa"/>
        </w:tblCellMar>
      </w:tblPr>
      <w:tblGrid>
        <w:gridCol w:w="821"/>
        <w:gridCol w:w="720"/>
        <w:gridCol w:w="724"/>
        <w:gridCol w:w="211"/>
        <w:gridCol w:w="826"/>
        <w:gridCol w:w="154"/>
      </w:tblGrid>
      <w:tr>
        <w:trPr/>
        <w:tc>
          <w:tcPr>
            <w:tcW w:w="821"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Years ended December 31,</w:t>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br/>
              <w:t>Purchase</w:t>
              <w:br/>
              <w:t>Commitment</w:t>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804,320 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 December 3, 2021, the Company received a subpoena from the Securities and Exchange Commission (the “SEC”) requesting the production of certain documents related to an investigation by the SEC. Although there is no assurance as to the scope or outcome of this matter, the investigation appears to concern the business combination between the Company (f/k/a Churchill Capital Corp. IV) and Atieva, Inc. and certain projections and statements. The Company is cooperating fully with the SEC in its review.</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 January 26, 2022, a purported shareholder of the Company filed a shareholder derivative action, purportedly on behalf of the Company, against certain of the Company’s officers and directors in California federal court, captioned Sahr Lebbie v. Churchill Capital Corporation IV, et al., 4:22-cv-00531-SK (N.D. Cal.). The complaint also names the Company as a nominal defendant. Based on allegations that are similar to those in the Consolidated Class Action, the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The Complaint seeks compensatory damages, interest thereon, certain corporate governance reforms, and attorneys’ fees and expenses. The Company is advancing defendants’ fees and expenses incurred in their defense of the action.</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may provide indemnification of varying scope and terms to customers, vendors, investors, directors, and officers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claim, nor has it been sued in connection with these indemnification arrangements. The Company has indemnification obligations with respect to letters of credit and surety bond primarily used as security against facility leases and utilities infrastructure in the amount of $30.4 million and $15.5 million as of December 31, 2021 and 2020, respectively, for which no liabilities are recorded on the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16 - INCOME TAXES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loss before income taxes for the years ended December 31, 2021, 2020 and 2019, are as follows (in thousands): </w:t>
      </w:r>
    </w:p>
    <w:tbl>
      <w:tblPr>
        <w:tblW w:w="8291" w:type="dxa"/>
        <w:jc w:val="left"/>
        <w:tblInd w:w="0" w:type="dxa"/>
        <w:tblCellMar>
          <w:top w:w="28" w:type="dxa"/>
          <w:left w:w="28" w:type="dxa"/>
          <w:bottom w:w="28" w:type="dxa"/>
          <w:right w:w="28" w:type="dxa"/>
        </w:tblCellMar>
      </w:tblPr>
      <w:tblGrid>
        <w:gridCol w:w="1369"/>
        <w:gridCol w:w="1201"/>
        <w:gridCol w:w="1209"/>
        <w:gridCol w:w="211"/>
        <w:gridCol w:w="1051"/>
        <w:gridCol w:w="109"/>
        <w:gridCol w:w="109"/>
        <w:gridCol w:w="109"/>
        <w:gridCol w:w="109"/>
        <w:gridCol w:w="211"/>
        <w:gridCol w:w="901"/>
        <w:gridCol w:w="109"/>
        <w:gridCol w:w="109"/>
        <w:gridCol w:w="109"/>
        <w:gridCol w:w="109"/>
        <w:gridCol w:w="211"/>
        <w:gridCol w:w="901"/>
        <w:gridCol w:w="154"/>
      </w:tblGrid>
      <w:tr>
        <w:trPr/>
        <w:tc>
          <w:tcPr>
            <w:tcW w:w="1369"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subject to domestic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subject to foreign income taxes</w:t>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(2,579,712)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(277,334)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an income tax provision/(benefit) of $49 thousand, $(188) thousand and $23 thousand in connection with its domestic, state, and foreign subsidiaries for the years ended December 31, 2021, 2020, and 2019, respectively, as follows (in thousands):</w:t>
      </w:r>
    </w:p>
    <w:tbl>
      <w:tblPr>
        <w:tblW w:w="6011" w:type="dxa"/>
        <w:jc w:val="left"/>
        <w:tblInd w:w="0" w:type="dxa"/>
        <w:tblCellMar>
          <w:top w:w="28" w:type="dxa"/>
          <w:left w:w="28" w:type="dxa"/>
          <w:bottom w:w="28" w:type="dxa"/>
          <w:right w:w="28" w:type="dxa"/>
        </w:tblCellMar>
      </w:tblPr>
      <w:tblGrid>
        <w:gridCol w:w="1085"/>
        <w:gridCol w:w="953"/>
        <w:gridCol w:w="961"/>
        <w:gridCol w:w="211"/>
        <w:gridCol w:w="406"/>
        <w:gridCol w:w="109"/>
        <w:gridCol w:w="109"/>
        <w:gridCol w:w="109"/>
        <w:gridCol w:w="109"/>
        <w:gridCol w:w="211"/>
        <w:gridCol w:w="541"/>
        <w:gridCol w:w="109"/>
        <w:gridCol w:w="109"/>
        <w:gridCol w:w="109"/>
        <w:gridCol w:w="109"/>
        <w:gridCol w:w="211"/>
        <w:gridCol w:w="406"/>
        <w:gridCol w:w="154"/>
      </w:tblGrid>
      <w:tr>
        <w:trPr/>
        <w:tc>
          <w:tcPr>
            <w:tcW w:w="1085"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tax expense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expense (benefit)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(benefit)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taxes at the federal statutory rate to our provision for income taxes for the years ended December 31, 2021, 2020, and 2019 was as follows:</w:t>
      </w:r>
    </w:p>
    <w:tbl>
      <w:tblPr>
        <w:tblW w:w="5485" w:type="dxa"/>
        <w:jc w:val="left"/>
        <w:tblInd w:w="0" w:type="dxa"/>
        <w:tblCellMar>
          <w:top w:w="28" w:type="dxa"/>
          <w:left w:w="28" w:type="dxa"/>
          <w:bottom w:w="28" w:type="dxa"/>
          <w:right w:w="28" w:type="dxa"/>
        </w:tblCellMar>
      </w:tblPr>
      <w:tblGrid>
        <w:gridCol w:w="998"/>
        <w:gridCol w:w="878"/>
        <w:gridCol w:w="884"/>
        <w:gridCol w:w="209"/>
        <w:gridCol w:w="209"/>
        <w:gridCol w:w="211"/>
        <w:gridCol w:w="132"/>
        <w:gridCol w:w="132"/>
        <w:gridCol w:w="132"/>
        <w:gridCol w:w="209"/>
        <w:gridCol w:w="209"/>
        <w:gridCol w:w="211"/>
        <w:gridCol w:w="132"/>
        <w:gridCol w:w="132"/>
        <w:gridCol w:w="132"/>
        <w:gridCol w:w="197"/>
        <w:gridCol w:w="197"/>
        <w:gridCol w:w="281"/>
      </w:tblGrid>
      <w:tr>
        <w:trPr/>
        <w:tc>
          <w:tcPr>
            <w:tcW w:w="998"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5"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federal income tax rate</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adjustment</w:t>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6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r>
    </w:tbl>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effective tax rate was 0.0% for the years ended December 31, 2021, 2020 and 2019. The amount of income tax expense (benefit) differs from the expected benefit due to the impact of the U.S. valuation allowance.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2021 and 2020, are as follows (in thousands):</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before="0" w:after="0"/>
        <w:rPr/>
      </w:pPr>
      <w:r>
        <w:rPr/>
      </w:r>
    </w:p>
    <w:tbl>
      <w:tblPr>
        <w:tblW w:w="5738" w:type="dxa"/>
        <w:jc w:val="left"/>
        <w:tblInd w:w="0" w:type="dxa"/>
        <w:tblCellMar>
          <w:top w:w="28" w:type="dxa"/>
          <w:left w:w="28" w:type="dxa"/>
          <w:bottom w:w="28" w:type="dxa"/>
          <w:right w:w="28" w:type="dxa"/>
        </w:tblCellMar>
      </w:tblPr>
      <w:tblGrid>
        <w:gridCol w:w="1111"/>
        <w:gridCol w:w="980"/>
        <w:gridCol w:w="983"/>
        <w:gridCol w:w="211"/>
        <w:gridCol w:w="826"/>
        <w:gridCol w:w="109"/>
        <w:gridCol w:w="109"/>
        <w:gridCol w:w="109"/>
        <w:gridCol w:w="109"/>
        <w:gridCol w:w="211"/>
        <w:gridCol w:w="826"/>
        <w:gridCol w:w="154"/>
      </w:tblGrid>
      <w:tr>
        <w:trPr/>
        <w:tc>
          <w:tcPr>
            <w:tcW w:w="1111"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 (liabilities):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carryforwards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vacation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 allowance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reserves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(360,573)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tax assets (liabilities)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does not provide deferred tax liabilities when it intends to reinvest earnings of its foreign subsidiaries indefinitely. As of December 31, 2021, and 2020, the Company has no undistributed earnings from its foreign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Judgment must be used in considering the relative impact of negative and positive evidence.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Based on the weight of the available evidence, which includes the Company’s historical operating losses, lack of taxable income, and the accumulated deficit, as of December 31, 2021 and 2020, the Company provided a full valuation allowance against its U.S. and state deferred tax assets. The valuation allowance for deferred tax assets was $672.9 million and $360.6 million, as of December 31, 2021 and 2020, respectively. The valuation allowance on our net deferred taxes increased by $312.3 million and increased by $185.8 million during the years ended December 31, 2021 and 2020, respectively.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federal, state, and foreign net operating loss carryforwards of approximately $2,003.0 million, $922.7 million, and $2.0 million, respectively, as of December 31, 2021, which will begin to expire at various dates beginning in 2022, if not utilized. The Company also had federal and state tax research and development tax credit carryforwards of approximately $80.5 million and $63.1 million, respectively. The federal research and development tax credit carryforwards will expire at various dates beginning in 2034, if not utilized. The state research and development tax credit carryforwards do not expire.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Internal Revenue Code of 1986, as amended, imposes restrictions on the utilization of net operating losses and certain credits in the event of an “ownership change” of a corporation. Accordingly, a company’s ability to use net operating losses and certain credits may be limited as prescribed under. </w:t>
      </w:r>
    </w:p>
    <w:p>
      <w:pPr>
        <w:pStyle w:val="TextBody"/>
        <w:spacing w:lineRule="auto" w:line="288" w:before="240" w:after="283"/>
        <w:rPr/>
      </w:pPr>
      <w:r>
        <w:rPr>
          <w:rFonts w:ascii="Times New Roman;sans-serif" w:hAnsi="Times New Roman;sans-serif"/>
          <w:b w:val="false"/>
          <w:color w:val="000000"/>
          <w:sz w:val="20"/>
        </w:rPr>
        <w:t>Internal Revenue Code Section 382, which provide for limitations on net operating losses carryforwards and certain built in losses following ownership changes, and Section 383, which provides for special limitations on certain excess credits, etc. (collectively, “IRC Section 382”). Utilization of the carryforwards may be subject to substantial annual limitation due to the ownership change limitations provided by the IRC Section 382 and similar state provisions, resulting in a reduction in the gross deferral tax assets before considering the valuation allowance. We have completed a formal Section 382 study of our equity transactions through December 31, 2020.</w:t>
      </w:r>
      <w:r>
        <w:rPr>
          <w:color w:val="000000"/>
        </w:rPr>
        <w:t xml:space="preserve"> </w:t>
      </w:r>
      <w:r>
        <w:rPr>
          <w:rFonts w:ascii="Times New Roman;sans-serif" w:hAnsi="Times New Roman;sans-serif"/>
          <w:b w:val="false"/>
          <w:color w:val="000000"/>
          <w:sz w:val="20"/>
        </w:rPr>
        <w:t>The study determined that we experienced an “ownership change” in 2016, and we will not be able to utilize approximately $12 million of our gross U.S. federal NOL and $15 million of gross U.S. federal research and development tax credit (or $3 million in net credit) carryforwards.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files U.S., state, and foreign income tax returns with varying statutes of limitations. The federal, state, and foreign returns statute of limitations remains open for tax years from 2008 and thereafter. There are currently no income tax audits underway by U.S., state, or foreign tax authorities.</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Uncertain Tax Positions</w:t>
      </w:r>
    </w:p>
    <w:p>
      <w:pPr>
        <w:pStyle w:val="TextBody"/>
        <w:spacing w:lineRule="auto" w:line="288" w:before="240" w:after="283"/>
        <w:rPr/>
      </w:pPr>
      <w:r>
        <w:rPr>
          <w:rFonts w:ascii="Times New Roman;sans-serif" w:hAnsi="Times New Roman;sans-serif"/>
          <w:b w:val="false"/>
          <w:color w:val="000000"/>
          <w:sz w:val="20"/>
        </w:rPr>
        <w:t xml:space="preserve">As of December 31, 2021, 2020, and 2019, the total amount of unrecognized tax benefits was approximately $72.3 million, $42.9 million, and $20.6 million, respectively, </w:t>
      </w:r>
      <w:r>
        <w:rPr>
          <w:rFonts w:ascii="Times New Roman;sans-serif" w:hAnsi="Times New Roman;sans-serif"/>
          <w:b w:val="false"/>
          <w:color w:val="231F20"/>
          <w:sz w:val="20"/>
        </w:rPr>
        <w:t xml:space="preserve">of which $0.5 million, $2.6 million and $2.6 million, if recognized for respective periods, would </w:t>
      </w:r>
      <w:r>
        <w:rPr>
          <w:rFonts w:ascii="Times New Roman;sans-serif" w:hAnsi="Times New Roman;sans-serif"/>
          <w:b w:val="false"/>
          <w:color w:val="000000"/>
          <w:sz w:val="20"/>
        </w:rPr>
        <w:t>favorably impact the Company's effective tax rate. The Company does not anticipate a significant change in the total amount of unrecognized tax benefits within the next 12 months.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unrecognized tax benefits for the years ended December 31, 2021, 2020 and 2019 (in thousands):</w:t>
      </w:r>
    </w:p>
    <w:tbl>
      <w:tblPr>
        <w:tblW w:w="7617" w:type="dxa"/>
        <w:jc w:val="left"/>
        <w:tblInd w:w="0" w:type="dxa"/>
        <w:tblCellMar>
          <w:top w:w="28" w:type="dxa"/>
          <w:left w:w="28" w:type="dxa"/>
          <w:bottom w:w="28" w:type="dxa"/>
          <w:right w:w="28" w:type="dxa"/>
        </w:tblCellMar>
      </w:tblPr>
      <w:tblGrid>
        <w:gridCol w:w="1375"/>
        <w:gridCol w:w="1207"/>
        <w:gridCol w:w="1213"/>
        <w:gridCol w:w="211"/>
        <w:gridCol w:w="721"/>
        <w:gridCol w:w="109"/>
        <w:gridCol w:w="109"/>
        <w:gridCol w:w="109"/>
        <w:gridCol w:w="109"/>
        <w:gridCol w:w="211"/>
        <w:gridCol w:w="721"/>
        <w:gridCol w:w="109"/>
        <w:gridCol w:w="109"/>
        <w:gridCol w:w="109"/>
        <w:gridCol w:w="109"/>
        <w:gridCol w:w="211"/>
        <w:gridCol w:w="721"/>
        <w:gridCol w:w="154"/>
      </w:tblGrid>
      <w:tr>
        <w:trPr/>
        <w:tc>
          <w:tcPr>
            <w:tcW w:w="1375"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benefit—beginning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increases—prior-period tax positions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decreases—prior-period tax positions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increases—current-period tax positions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decrease—current-period tax positions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Statute lapse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benefit—end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Related to the unrecognized tax benefits above, the Company recognized interest expense and penalty expense as part of income tax expenses in the consolidated statements of operations according to the following table (in thousands):</w:t>
      </w:r>
    </w:p>
    <w:tbl>
      <w:tblPr>
        <w:tblW w:w="4302" w:type="dxa"/>
        <w:jc w:val="left"/>
        <w:tblInd w:w="0" w:type="dxa"/>
        <w:tblCellMar>
          <w:top w:w="28" w:type="dxa"/>
          <w:left w:w="28" w:type="dxa"/>
          <w:bottom w:w="28" w:type="dxa"/>
          <w:right w:w="28" w:type="dxa"/>
        </w:tblCellMar>
      </w:tblPr>
      <w:tblGrid>
        <w:gridCol w:w="522"/>
        <w:gridCol w:w="457"/>
        <w:gridCol w:w="461"/>
        <w:gridCol w:w="211"/>
        <w:gridCol w:w="406"/>
        <w:gridCol w:w="109"/>
        <w:gridCol w:w="109"/>
        <w:gridCol w:w="109"/>
        <w:gridCol w:w="109"/>
        <w:gridCol w:w="211"/>
        <w:gridCol w:w="436"/>
        <w:gridCol w:w="109"/>
        <w:gridCol w:w="109"/>
        <w:gridCol w:w="109"/>
        <w:gridCol w:w="109"/>
        <w:gridCol w:w="211"/>
        <w:gridCol w:w="361"/>
        <w:gridCol w:w="154"/>
      </w:tblGrid>
      <w:tr>
        <w:trPr/>
        <w:tc>
          <w:tcPr>
            <w:tcW w:w="522"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Penalty expense</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has recognized a liability for interest expense and penalties of $60 thousand and $7 thousand, respectively, which is included within income tax liabilities in the consolidated balance sheet.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 February 9, 2022, the California governor signed into law the 2022 Budget Act, which restores net operating losses deduction and eliminates the $5.0 million annual cap on research credit, effective for tax years beginning 2022. The Company is continuing to assess the 2022 Budget Act, but currently does not expect any material impact to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17 - NET LOSS PER SHARE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weighted-average number of shares of common stock outstanding prior to the Merger have been retroactively adjusted by the Exchange Ratio to give effect to the reverse recapitalization treatment of the Merger. Shares of common stock issued as a result of the conversion of Legacy Lucid convertible preferred stock in connection with the Closing have been included in the basic net loss per share calculation on a prospective basis.</w:t>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 are calculated as follows (in thousands, except share and per share amounts):</w:t>
      </w:r>
    </w:p>
    <w:tbl>
      <w:tblPr>
        <w:tblW w:w="10205" w:type="dxa"/>
        <w:jc w:val="left"/>
        <w:tblInd w:w="0" w:type="dxa"/>
        <w:tblCellMar>
          <w:top w:w="28" w:type="dxa"/>
          <w:left w:w="28" w:type="dxa"/>
          <w:bottom w:w="28" w:type="dxa"/>
          <w:right w:w="28" w:type="dxa"/>
        </w:tblCellMar>
      </w:tblPr>
      <w:tblGrid>
        <w:gridCol w:w="2126"/>
        <w:gridCol w:w="1780"/>
        <w:gridCol w:w="1809"/>
        <w:gridCol w:w="211"/>
        <w:gridCol w:w="1039"/>
        <w:gridCol w:w="109"/>
        <w:gridCol w:w="109"/>
        <w:gridCol w:w="109"/>
        <w:gridCol w:w="109"/>
        <w:gridCol w:w="211"/>
        <w:gridCol w:w="894"/>
        <w:gridCol w:w="109"/>
        <w:gridCol w:w="109"/>
        <w:gridCol w:w="109"/>
        <w:gridCol w:w="109"/>
        <w:gridCol w:w="211"/>
        <w:gridCol w:w="894"/>
        <w:gridCol w:w="158"/>
      </w:tblGrid>
      <w:tr>
        <w:trPr/>
        <w:tc>
          <w:tcPr>
            <w:tcW w:w="2126" w:type="dxa"/>
            <w:tcBorders/>
            <w:shd w:fill="auto" w:val="clear"/>
            <w:vAlign w:val="center"/>
          </w:tcPr>
          <w:p>
            <w:pPr>
              <w:pStyle w:val="TableContents"/>
              <w:spacing w:before="0" w:after="283"/>
              <w:rPr>
                <w:sz w:val="4"/>
                <w:szCs w:val="4"/>
              </w:rPr>
            </w:pPr>
            <w:r>
              <w:rPr>
                <w:sz w:val="4"/>
                <w:szCs w:val="4"/>
              </w:rPr>
            </w:r>
          </w:p>
        </w:tc>
        <w:tc>
          <w:tcPr>
            <w:tcW w:w="1780"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0"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(277,357)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contribution related to repurchase of Series B convertible preferred stock</w:t>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contribution related to repurchase of Series C convertible preferred stock</w:t>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 related to the issuance of Series E convertible preferred stock</w:t>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(2,167,332)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(269,422)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outstanding—basic and diluted</w:t>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740,393,759 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24,825,944 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20,595,229 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w:t>
            </w:r>
          </w:p>
        </w:tc>
        <w:tc>
          <w:tcPr>
            <w:tcW w:w="13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because including them would have had an anti-dilutive effect:</w:t>
      </w:r>
    </w:p>
    <w:tbl>
      <w:tblPr>
        <w:tblW w:w="10205" w:type="dxa"/>
        <w:jc w:val="left"/>
        <w:tblInd w:w="0" w:type="dxa"/>
        <w:tblCellMar>
          <w:top w:w="28" w:type="dxa"/>
          <w:left w:w="28" w:type="dxa"/>
          <w:bottom w:w="28" w:type="dxa"/>
          <w:right w:w="28" w:type="dxa"/>
        </w:tblCellMar>
      </w:tblPr>
      <w:tblGrid>
        <w:gridCol w:w="1872"/>
        <w:gridCol w:w="1648"/>
        <w:gridCol w:w="1660"/>
        <w:gridCol w:w="592"/>
        <w:gridCol w:w="594"/>
        <w:gridCol w:w="156"/>
        <w:gridCol w:w="131"/>
        <w:gridCol w:w="131"/>
        <w:gridCol w:w="131"/>
        <w:gridCol w:w="668"/>
        <w:gridCol w:w="668"/>
        <w:gridCol w:w="156"/>
        <w:gridCol w:w="131"/>
        <w:gridCol w:w="131"/>
        <w:gridCol w:w="131"/>
        <w:gridCol w:w="593"/>
        <w:gridCol w:w="593"/>
        <w:gridCol w:w="219"/>
      </w:tblGrid>
      <w:tr>
        <w:trPr/>
        <w:tc>
          <w:tcPr>
            <w:tcW w:w="1872"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5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Excluded Securities</w:t>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(on an as-converted basis)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957,159,704 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502,582,535 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warrants (on an as-converted basis)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1,546,799 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1,546,799 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 to purchase common stock</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to purchase common stock</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64,119,902 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70,675,318 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69,305,845 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32,210,200 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convertible note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177,417,887 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1,029,381,821 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573,435,179 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16,024,411 shares of common stock equivalents subject to RSUs are excluded from the anti-dilutive table above as the underlying shares remain contingently issuable since the market conditions have not been satisfied as of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18 - EMPLOYEE BENEFIT PLAN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years ended December 31, 2021, 2020 and 2019.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19 - RELATED PARTY TRANSACTIONS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Professional Services Contract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an agreement with The Klein Group, LLC (“Klein”), the affiliate of Churchill Sponsor IV LLC who owns more than 5% of our common stock. Pursuant to the agreement, Klein will provide strategic advice and assistance in connection with capital markets and other strategic matters. We have made payments under the agreement of approximately $2.3 million in the aggregate in 2021.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20 - SUBSEQUENT EVENTS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of the consolidated financial statements for the year ended December 31, 2021, the Company evaluated subsequent events and concluded there were no subsequent events that required recognition in the consolidated financial statements.</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International Manufacturing Expansion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 February 27, 2022, the Company announced that it has selected King Abdullah Economic City (“KAEC”) in the Kingdom of Saudi Arabia as the location of its first international manufacturing plant and signed related agreements with the Ministry of Investment of Saudi Arabia, the Saudi Industrial Development Fund, and the Economic City at KAEC. Lucid estimates that the location of its first international manufacturing plant in the Kingdom of Saudi Arabia may result in up to $3.4 billion of value to Lucid over 15 years. Construction of the plant is expected to start in the first half of 2022 and at its peak, the Company expects the KAEC facility to manufacture up to 150,000 vehicles per year. The operations at the new plant would initially consist of re-assembly of Lucid Air vehicle “kits” pre-manufactured in the U.S. and, over time, production of complete vehicles. The new manufacturing plant will be fully owned by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68" w:before="240" w:after="283"/>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management evaluated, with the participation of our principal executive and principal financial officers, the effectiveness of the Company’s disclosure controls and procedures (as defined in Rules 13a-15(e) and 15d-15(e) under the Securities Exchange Act of 1934, as amended (the “Exchange Act”)) as of December 31, 2021. Based on such evaluation, our Chief Executive Officer and our Chief Financial Officer have concluded that, as of such date, our disclosure controls and procedures were effective at the reasonable assurance level.</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Limitations on the Effectiveness of Controls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Internal Control Over Financial Reporting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As discussed elsewhere in this Annual Report on Form 10-K, we completed a Merger on July 23, 2021 pursuant to which we acquired Legacy Lucid and its subsidiaries. Prior to the Transaction, we were a special purpose acquisition company formed for the purpose of effecting a merger, capital stock exchange, asset acquisition, stock purchase, recapitalization, reorganization or similar business combination with one or more businesses. As a result, previously existing internal controls are no longer applicable or comprehensive enough as of the assessment date, as our operations prior to the Transaction were insignificant compared to those of the consolidated entity post-Transaction. Management was unable, without incurring unreasonable effort or expense, to complete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December 31, 2021, management completed several changes to its internal control over financial reporting and remediated the previously reported material weaknesses. The following internal controls changes were made to the Company’s internal control over financial reporting: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Hired additional accounting and financial reporting personnel with appropriate technical accounting knowledge and public company experience in financial reporting, including our VP of Accounting and Principal Accounting Officer</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Designed and implemented effective processes and controls to prevent payment to unverified vendors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Designed and implemented security management and change management controls over IT systems, including adjusting user access levels and implementing external logging of activity and periodic review of such logs; and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Designed and implemented, including engaging an accounting advisory firm to assist with the documentation, evaluation, remediation and testing of Lucid’s internal control over financial reporting based on the criteria established in Internal Control - Integrated Framework issued by the Committee of Sponsoring Organizations of the Treadway Commission.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as described above, there were no other changes in the Company's internal control over financial reporting (as defined in Rule 13a-15(f) under the Securities Exchange Act of 1934) that occurred during the fiscal quarter ended December 31, 2021, that has materially </w:t>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affected, or is reasonably likely to materially affect, the Company's internal control over financial reporting. However, we are continually monitoring the COVID-19 pandemic and any potential impact to our internal controls.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Item 10.</w:t>
      </w:r>
      <w:r>
        <w:rPr>
          <w:color w:val="000000"/>
        </w:rPr>
        <w:t xml:space="preserve"> </w:t>
      </w:r>
      <w:r>
        <w:rPr>
          <w:rFonts w:ascii="Times New Roman;sans-serif" w:hAnsi="Times New Roman;sans-serif"/>
          <w:b/>
          <w:color w:val="000000"/>
          <w:sz w:val="20"/>
        </w:rPr>
        <w:t xml:space="preserve">Directors, Executive Officers and Corporate Governance. </w:t>
      </w:r>
    </w:p>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Company’s Proxy Statement to be filed with the SEC within 120 days after</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December 31, 2021 in connection with the solicitation of proxies for the Company’s 2022 annual meeting of stockholders,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Company’s Proxy Statement to be filed with the SEC within 120 days after December 31, 2021,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Item 12.</w:t>
      </w:r>
      <w:r>
        <w:rPr>
          <w:color w:val="000000"/>
        </w:rPr>
        <w:t xml:space="preserve"> </w:t>
      </w:r>
      <w:r>
        <w:rPr>
          <w:rFonts w:ascii="Times New Roman;sans-serif" w:hAnsi="Times New Roman;sans-serif"/>
          <w:b/>
          <w:color w:val="000000"/>
          <w:sz w:val="20"/>
        </w:rPr>
        <w:t xml:space="preserve">Security Ownership of Certain Beneficial Owners and Management and Related Stockholder Matters. </w:t>
      </w:r>
    </w:p>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Company’s Proxy Statement to be filed with the SEC within 120 days after December 31, 2021,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Item 13.</w:t>
      </w:r>
      <w:r>
        <w:rPr>
          <w:color w:val="000000"/>
        </w:rPr>
        <w:t xml:space="preserve"> </w:t>
      </w:r>
      <w:r>
        <w:rPr>
          <w:rFonts w:ascii="Times New Roman;sans-serif" w:hAnsi="Times New Roman;sans-serif"/>
          <w:b/>
          <w:color w:val="000000"/>
          <w:sz w:val="20"/>
        </w:rPr>
        <w:t xml:space="preserve">Certain Relationships and Related Transactions, and Director Independence. </w:t>
      </w:r>
    </w:p>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Company’s Proxy Statement to be filed with the SEC within 120 days after December 31, 2021,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Item 14.</w:t>
      </w:r>
      <w:r>
        <w:rPr>
          <w:color w:val="000000"/>
        </w:rPr>
        <w:t xml:space="preserve"> </w:t>
      </w:r>
      <w:r>
        <w:rPr>
          <w:rFonts w:ascii="Times New Roman;sans-serif" w:hAnsi="Times New Roman;sans-serif"/>
          <w:b/>
          <w:color w:val="000000"/>
          <w:sz w:val="20"/>
        </w:rPr>
        <w:t xml:space="preserve">Principal Accountant Fees and Services. </w:t>
      </w:r>
    </w:p>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Company’s Proxy Statement to be filed with the SEC within 120 days after December 31, 2021,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15.</w:t>
      </w:r>
      <w:r>
        <w:rPr>
          <w:color w:val="000000"/>
        </w:rPr>
        <w:t xml:space="preserve"> </w:t>
      </w:r>
      <w:r>
        <w:rPr>
          <w:rFonts w:ascii="Times New Roman;sans-serif" w:hAnsi="Times New Roman;sans-serif"/>
          <w:b/>
          <w:color w:val="000000"/>
          <w:sz w:val="20"/>
        </w:rPr>
        <w:t>Exhibits and Financial Statement Schedules.</w:t>
      </w:r>
    </w:p>
    <w:tbl>
      <w:tblPr>
        <w:tblW w:w="10205" w:type="dxa"/>
        <w:jc w:val="left"/>
        <w:tblInd w:w="0" w:type="dxa"/>
        <w:tblCellMar>
          <w:top w:w="28" w:type="dxa"/>
          <w:left w:w="28" w:type="dxa"/>
          <w:bottom w:w="28" w:type="dxa"/>
          <w:right w:w="28" w:type="dxa"/>
        </w:tblCellMar>
      </w:tblPr>
      <w:tblGrid>
        <w:gridCol w:w="147"/>
        <w:gridCol w:w="129"/>
        <w:gridCol w:w="129"/>
        <w:gridCol w:w="2951"/>
        <w:gridCol w:w="2826"/>
        <w:gridCol w:w="4023"/>
      </w:tblGrid>
      <w:tr>
        <w:trPr/>
        <w:tc>
          <w:tcPr>
            <w:tcW w:w="14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951" w:type="dxa"/>
            <w:tcBorders/>
            <w:shd w:fill="auto" w:val="clear"/>
            <w:vAlign w:val="center"/>
          </w:tcPr>
          <w:p>
            <w:pPr>
              <w:pStyle w:val="TableContents"/>
              <w:spacing w:before="0" w:after="283"/>
              <w:rPr>
                <w:sz w:val="4"/>
                <w:szCs w:val="4"/>
              </w:rPr>
            </w:pPr>
            <w:r>
              <w:rPr>
                <w:sz w:val="4"/>
                <w:szCs w:val="4"/>
              </w:rPr>
            </w:r>
          </w:p>
        </w:tc>
        <w:tc>
          <w:tcPr>
            <w:tcW w:w="2826" w:type="dxa"/>
            <w:tcBorders/>
            <w:shd w:fill="auto" w:val="clear"/>
            <w:vAlign w:val="center"/>
          </w:tcPr>
          <w:p>
            <w:pPr>
              <w:pStyle w:val="TableContents"/>
              <w:spacing w:before="0" w:after="283"/>
              <w:rPr>
                <w:sz w:val="4"/>
                <w:szCs w:val="4"/>
              </w:rPr>
            </w:pPr>
            <w:r>
              <w:rPr>
                <w:sz w:val="4"/>
                <w:szCs w:val="4"/>
              </w:rPr>
            </w:r>
          </w:p>
        </w:tc>
        <w:tc>
          <w:tcPr>
            <w:tcW w:w="4023" w:type="dxa"/>
            <w:tcBorders/>
            <w:shd w:fill="auto" w:val="clear"/>
            <w:vAlign w:val="center"/>
          </w:tcPr>
          <w:p>
            <w:pPr>
              <w:pStyle w:val="TableContents"/>
              <w:spacing w:before="0" w:after="283"/>
              <w:rPr>
                <w:sz w:val="4"/>
                <w:szCs w:val="4"/>
              </w:rPr>
            </w:pPr>
            <w:r>
              <w:rPr>
                <w:sz w:val="4"/>
                <w:szCs w:val="4"/>
              </w:rPr>
            </w:r>
          </w:p>
        </w:tc>
      </w:tr>
      <w:tr>
        <w:trPr/>
        <w:tc>
          <w:tcPr>
            <w:tcW w:w="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(a)(1)</w:t>
            </w:r>
          </w:p>
        </w:tc>
        <w:tc>
          <w:tcPr>
            <w:tcW w:w="9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filed as part of this Annual Report are listed in Item 8 of this Annual Report.</w:t>
            </w:r>
          </w:p>
        </w:tc>
      </w:tr>
      <w:tr>
        <w:trPr/>
        <w:tc>
          <w:tcPr>
            <w:tcW w:w="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(a)(2)</w:t>
            </w:r>
          </w:p>
        </w:tc>
        <w:tc>
          <w:tcPr>
            <w:tcW w:w="9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financial statement schedules are required to be filed as part of this Annual Report because all such schedules have been omitted. Such omission has been made on the basis that information is provided in the financial statements, or in the related notes thereto, in Item 8 of this Annual Report or is not required to be filed as the information is not applicable.</w:t>
            </w:r>
          </w:p>
        </w:tc>
      </w:tr>
      <w:tr>
        <w:trPr/>
        <w:tc>
          <w:tcPr>
            <w:tcW w:w="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(a)(3)</w:t>
            </w:r>
          </w:p>
        </w:tc>
        <w:tc>
          <w:tcPr>
            <w:tcW w:w="98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on the Exhibit Index to this Annual Report are incorporated herein by reference.</w:t>
            </w:r>
          </w:p>
        </w:tc>
      </w:tr>
    </w:tbl>
    <w:p>
      <w:pPr>
        <w:pStyle w:val="TextBody"/>
        <w:spacing w:before="240" w:after="283"/>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1968"/>
        <w:gridCol w:w="1709"/>
        <w:gridCol w:w="1715"/>
        <w:gridCol w:w="170"/>
        <w:gridCol w:w="170"/>
        <w:gridCol w:w="171"/>
        <w:gridCol w:w="250"/>
        <w:gridCol w:w="250"/>
        <w:gridCol w:w="251"/>
        <w:gridCol w:w="414"/>
        <w:gridCol w:w="337"/>
        <w:gridCol w:w="247"/>
        <w:gridCol w:w="230"/>
        <w:gridCol w:w="230"/>
        <w:gridCol w:w="231"/>
        <w:gridCol w:w="242"/>
        <w:gridCol w:w="242"/>
        <w:gridCol w:w="345"/>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8"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17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w:t>
              <w:br/>
              <w:t>Number</w:t>
            </w:r>
          </w:p>
        </w:tc>
        <w:tc>
          <w:tcPr>
            <w:tcW w:w="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Filing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18"/>
                  <w:u w:val="single"/>
                </w:rPr>
                <w:t xml:space="preserve">Agreement and Plan of Merger, dated as of February 22, 2021, by and among Churchill Capital Corp IV, Air Merger Sub, Inc., and Atieva, Inc. </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26,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E32E1"/>
                  <w:sz w:val="18"/>
                  <w:u w:val="single"/>
                </w:rPr>
                <w:t>Second Amended and Restated Certificate of Incorporation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26,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E32E1"/>
                  <w:sz w:val="18"/>
                  <w:u w:val="single"/>
                </w:rPr>
                <w:t>Amended and Restated Bylaws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26,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18"/>
                  <w:u w:val="single"/>
                </w:rPr>
                <w:t xml:space="preserve">Specimen Class A Common Stock Certificate of Lucid Group, Inc. </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26,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18"/>
                  <w:u w:val="single"/>
                </w:rPr>
                <w:t>Specimen Warrant Certificate</w:t>
              </w:r>
            </w:hyperlink>
            <w:r>
              <w:rPr>
                <w:color w:val="000000"/>
              </w:rPr>
              <w:t xml:space="preserve"> </w:t>
            </w:r>
            <w:r>
              <w:rPr>
                <w:rFonts w:ascii="Times New Roman;sans-serif" w:hAnsi="Times New Roman;sans-serif"/>
                <w:b w:val="false"/>
                <w:color w:val="000000"/>
                <w:sz w:val="18"/>
              </w:rPr>
              <w:t>(included as Exhibit A to Exhibit 4.3)</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333-239856</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27, 2020</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8">
              <w:r>
                <w:rPr>
                  <w:rStyle w:val="InternetLink"/>
                </w:rPr>
                <w:t xml:space="preserve">Warrant Agreement, dated July 29, 2020, between Continental Stock Transfer </w:t>
              </w:r>
            </w:hyperlink>
            <w:hyperlink r:id="rId9">
              <w:r>
                <w:rPr>
                  <w:rStyle w:val="InternetLink"/>
                </w:rPr>
                <w:t xml:space="preserve">&amp; </w:t>
              </w:r>
            </w:hyperlink>
            <w:hyperlink r:id="rId10">
              <w:r>
                <w:rPr>
                  <w:rStyle w:val="InternetLink"/>
                </w:rPr>
                <w:t>Trust Company and Churchill Capital Corp IV</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333-239856</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27, 2020</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11">
              <w:r>
                <w:rPr>
                  <w:rStyle w:val="InternetLink"/>
                </w:rPr>
                <w:t>Indenture, dated as of December 14, 2021, between Lucid Group, Inc. and U.S.</w:t>
              </w:r>
            </w:hyperlink>
            <w:hyperlink r:id="rId12">
              <w:r>
                <w:rPr>
                  <w:rStyle w:val="InternetLink"/>
                </w:rPr>
                <w:t xml:space="preserve"> </w:t>
              </w:r>
            </w:hyperlink>
            <w:hyperlink r:id="rId13">
              <w:r>
                <w:rPr>
                  <w:rStyle w:val="InternetLink"/>
                </w:rPr>
                <w:t>Bank National Association, as trustee</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9,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18"/>
                  <w:u w:val="single"/>
                </w:rPr>
                <w:t>Form of certificate representing the 1.25% Convertible Senior Notes due 2026</w:t>
              </w:r>
            </w:hyperlink>
          </w:p>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(included as Exhibit A to Exhibit 4.5)</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8-K </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9,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46descriptionofsecu.htm">
              <w:r>
                <w:rPr>
                  <w:rStyle w:val="InternetLink"/>
                  <w:rFonts w:ascii="Times New Roman;sans-serif" w:hAnsi="Times New Roman;sans-serif"/>
                  <w:b w:val="false"/>
                  <w:color w:val="0000FF"/>
                  <w:sz w:val="18"/>
                  <w:u w:val="single"/>
                </w:rPr>
                <w:t>Description of Registrant’s Securities</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18"/>
                  <w:u w:val="single"/>
                </w:rPr>
                <w:t>Form of Repurchase Agreement, dated as of October 8, 2021, between Lucid Group, Inc. and each signatory thereto</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15,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18"/>
                  <w:u w:val="single"/>
                </w:rPr>
                <w:t>Form of Indemnification Agreement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18"/>
                  <w:u w:val="single"/>
                </w:rPr>
                <w:t>Lucid Group, Inc. 2021. Performance Bonus Plan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26,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18"/>
                  <w:u w:val="single"/>
                </w:rPr>
                <w:t xml:space="preserve">Lucid Group, Inc. 2021 Executive Severance Benefit Plan and Summary Plan Description </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26,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18"/>
                  <w:u w:val="single"/>
                </w:rPr>
                <w:t xml:space="preserve">Form of Participation Agreement under the Lucid Group, Inc. 2021 Executive Severance Benefit Plan </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26,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10.27</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fldChar w:fldCharType="begin"/>
            </w:r>
            <w:r>
              <w:rPr>
                <w:rStyle w:val="InternetLink"/>
                <w:sz w:val="18"/>
                <w:u w:val="single"/>
                <w:b w:val="false"/>
                <w:rFonts w:ascii="Times New Roman;sans-serif" w:hAnsi="Times New Roman;sans-serif"/>
              </w:rPr>
              <w:instrText> HYPERLINK "https://www.sec.gov/Archives/edgar/data/1811210/000110465921039318/tm219359-1_s4.htm" \l "tANNH"</w:instrText>
            </w:r>
            <w:r>
              <w:rPr>
                <w:rStyle w:val="InternetLink"/>
                <w:sz w:val="18"/>
                <w:u w:val="single"/>
                <w:b w:val="false"/>
                <w:rFonts w:ascii="Times New Roman;sans-serif" w:hAnsi="Times New Roman;sans-serif"/>
              </w:rPr>
              <w:fldChar w:fldCharType="separate"/>
            </w:r>
            <w:r>
              <w:rPr>
                <w:rStyle w:val="InternetLink"/>
                <w:rFonts w:ascii="Times New Roman;sans-serif" w:hAnsi="Times New Roman;sans-serif"/>
                <w:b w:val="false"/>
                <w:color w:val="0000FF"/>
                <w:sz w:val="18"/>
                <w:u w:val="single"/>
              </w:rPr>
              <w:t xml:space="preserve">Lucid Group, Inc. 2021 Stock Incentive Plan (including the Lucid Group, Inc. 2021 Employee Stock Purchase Plan, attached thereto) </w:t>
            </w:r>
            <w:r>
              <w:rPr>
                <w:rStyle w:val="InternetLink"/>
                <w:sz w:val="18"/>
                <w:u w:val="single"/>
                <w:b w:val="false"/>
                <w:rFonts w:ascii="Times New Roman;sans-serif" w:hAnsi="Times New Roman;sans-serif"/>
              </w:rPr>
              <w:fldChar w:fldCharType="end"/>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Pr>
                <w:t>Investor Rights Agreement, dated as</w:t>
              </w:r>
            </w:hyperlink>
            <w:hyperlink r:id="rId21">
              <w:r>
                <w:rPr>
                  <w:rStyle w:val="InternetLink"/>
                </w:rPr>
                <w:t xml:space="preserve"> of </w:t>
              </w:r>
            </w:hyperlink>
            <w:hyperlink r:id="rId22">
              <w:r>
                <w:rPr>
                  <w:rStyle w:val="InternetLink"/>
                </w:rPr>
                <w:t>February 22, 2021, by and among Churchill Capital Corp IV, Ayar Third Investment Company, Churchill Sponsor IV LLC and the other parties named therein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8-K </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22,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18"/>
                  <w:u w:val="single"/>
                </w:rPr>
                <w:t>Form of Subscription Agreement</w:t>
              </w:r>
            </w:hyperlink>
            <w:r>
              <w:rPr>
                <w:color w:val="000000"/>
              </w:rPr>
              <w:t xml:space="preserve"> </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22,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10.9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18"/>
                  <w:u w:val="single"/>
                </w:rPr>
                <w:t>Amended and Restated Sponsor Agreement, dated as of February 22, 2021, by and among Churchill Capital Corp IV, Churchill Sponsor IV LLC, and Michael Klein, Lee Jay Taragin, Glenn R. August, William J. Bynum, Bonnie Jonas, Mark Klein, Malcom S. McDermid and Karen G. Mills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22,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18"/>
                  <w:u w:val="single"/>
                </w:rPr>
                <w:t>Promissory Note, dated as of February 22, 2021, by and between Churchill Capital Corp IV and Churchill Sponsor IV LLC</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22,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18"/>
                  <w:u w:val="single"/>
                </w:rPr>
                <w:t>Form of Option Agreement under the Lucid Group, Inc. 2021 Stock Incentive Plan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18"/>
                  <w:u w:val="single"/>
                </w:rPr>
                <w:t>Form of RSU Agreement under the Lucid Group, Inc. 2021 Stock Incentive Plan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18"/>
                  <w:u w:val="single"/>
                </w:rPr>
                <w:t>Atieva, Inc. 2009 Share Plan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35"/>
        <w:gridCol w:w="206"/>
        <w:gridCol w:w="208"/>
        <w:gridCol w:w="109"/>
        <w:gridCol w:w="109"/>
        <w:gridCol w:w="109"/>
        <w:gridCol w:w="2297"/>
        <w:gridCol w:w="2057"/>
        <w:gridCol w:w="2064"/>
        <w:gridCol w:w="125"/>
        <w:gridCol w:w="125"/>
        <w:gridCol w:w="125"/>
        <w:gridCol w:w="265"/>
        <w:gridCol w:w="265"/>
        <w:gridCol w:w="267"/>
        <w:gridCol w:w="249"/>
        <w:gridCol w:w="249"/>
        <w:gridCol w:w="251"/>
        <w:gridCol w:w="169"/>
        <w:gridCol w:w="169"/>
        <w:gridCol w:w="173"/>
        <w:gridCol w:w="109"/>
        <w:gridCol w:w="109"/>
        <w:gridCol w:w="161"/>
      </w:tblGrid>
      <w:tr>
        <w:trPr/>
        <w:tc>
          <w:tcPr>
            <w:tcW w:w="23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7"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c>
          <w:tcPr>
            <w:tcW w:w="206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18"/>
                  <w:u w:val="single"/>
                </w:rPr>
                <w:t>Form of Amended and Restated Notice of Share Option Grant under the Atieva, Inc. 2009 Share Plan</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18"/>
                  <w:u w:val="single"/>
                </w:rPr>
                <w:t>Atieva, Inc. 2014 Share Plan, as amended January 11, 2021</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FF"/>
                  <w:sz w:val="18"/>
                  <w:u w:val="single"/>
                </w:rPr>
                <w:t>Form of Amended and Restated Notice of Share Option Grant under the Atieva, Inc. 2014 Share Plan</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18"/>
                  <w:u w:val="single"/>
                </w:rPr>
                <w:t>Atieva, Inc. 2021 Stock Incentive Plan, as amended February 22, 2021</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Times New Roman;sans-serif" w:hAnsi="Times New Roman;sans-serif"/>
                  <w:b w:val="false"/>
                  <w:color w:val="0000FF"/>
                  <w:sz w:val="18"/>
                  <w:u w:val="single"/>
                </w:rPr>
                <w:t>Form of Stock Option Agreement under the Atieva, Inc. 2021 Stock Incentive Plan</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34">
              <w:r>
                <w:rPr>
                  <w:rStyle w:val="InternetLink"/>
                </w:rPr>
                <w:t>Form of RSU Agreement under the Atieva, Inc. 2021 Stock Incentive Plan</w:t>
              </w:r>
            </w:hyperlink>
            <w:hyperlink r:id="rId35">
              <w:r>
                <w:rPr>
                  <w:rStyle w:val="InternetLink"/>
                </w:rPr>
                <w:t xml:space="preserve"> </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36">
              <w:r>
                <w:rPr>
                  <w:rStyle w:val="InternetLink"/>
                  <w:rFonts w:ascii="Times New Roman;sans-serif" w:hAnsi="Times New Roman;sans-serif"/>
                  <w:b w:val="false"/>
                  <w:color w:val="0000FF"/>
                  <w:sz w:val="18"/>
                  <w:u w:val="single"/>
                </w:rPr>
                <w:t>Form of RSU Agreement under the Atieva, Inc. 2021 Stock Incentive Plan (for Rule 144 Affiliates)</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7">
              <w:r>
                <w:rPr>
                  <w:rStyle w:val="InternetLink"/>
                  <w:rFonts w:ascii="Times New Roman;sans-serif" w:hAnsi="Times New Roman;sans-serif"/>
                  <w:b w:val="false"/>
                  <w:color w:val="0000FF"/>
                  <w:sz w:val="18"/>
                  <w:u w:val="single"/>
                </w:rPr>
                <w:t>Atieva USA, Inc. Severance Benefit Plan</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8">
              <w:r>
                <w:rPr>
                  <w:rStyle w:val="InternetLink"/>
                  <w:rFonts w:ascii="Times New Roman;sans-serif" w:hAnsi="Times New Roman;sans-serif"/>
                  <w:b w:val="false"/>
                  <w:color w:val="0000FF"/>
                  <w:sz w:val="18"/>
                  <w:u w:val="single"/>
                </w:rPr>
                <w:t>Lease and Option to Purchase between Pinal County, as landlord, and Atieva USA, Inc., as tenant, dated December 20, 2018</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9">
              <w:r>
                <w:rPr>
                  <w:rStyle w:val="InternetLink"/>
                  <w:rFonts w:ascii="Times New Roman;sans-serif" w:hAnsi="Times New Roman;sans-serif"/>
                  <w:b w:val="false"/>
                  <w:color w:val="0000FF"/>
                  <w:sz w:val="18"/>
                  <w:u w:val="single"/>
                </w:rPr>
                <w:t>Lease by and between CADC Partners, LLC and Atieva USA, Inc., dated January 17, 2020</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0">
              <w:r>
                <w:rPr>
                  <w:rStyle w:val="InternetLink"/>
                  <w:rFonts w:ascii="Times New Roman;sans-serif" w:hAnsi="Times New Roman;sans-serif"/>
                  <w:b w:val="false"/>
                  <w:color w:val="0000FF"/>
                  <w:sz w:val="18"/>
                  <w:u w:val="single"/>
                </w:rPr>
                <w:t>Transaction Bonus Letter Agreement, dated March 29, 2021</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1">
              <w:r>
                <w:rPr>
                  <w:rStyle w:val="InternetLink"/>
                  <w:rFonts w:ascii="Times New Roman;sans-serif" w:hAnsi="Times New Roman;sans-serif"/>
                  <w:b w:val="false"/>
                  <w:color w:val="0000FF"/>
                  <w:sz w:val="18"/>
                  <w:u w:val="single"/>
                </w:rPr>
                <w:t>Notice of Restricted Stock Unit Grant, dated March 27, 2021</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2">
              <w:r>
                <w:rPr>
                  <w:rStyle w:val="InternetLink"/>
                  <w:rFonts w:ascii="Times New Roman;sans-serif" w:hAnsi="Times New Roman;sans-serif"/>
                  <w:b w:val="false"/>
                  <w:color w:val="0000FF"/>
                  <w:sz w:val="18"/>
                  <w:u w:val="single"/>
                </w:rPr>
                <w:t>Offer of Employment to Sherry House, dated April 1, 2021</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11, 2021</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y21-ex1027dhingra_gaganxo.htm">
              <w:r>
                <w:rPr>
                  <w:rStyle w:val="InternetLink"/>
                </w:rPr>
                <w:t xml:space="preserve">Offer of Employment to Gagan Dhingra, dated </w:t>
              </w:r>
            </w:hyperlink>
            <w:hyperlink w:anchor="fy21-ex1027dhingra_gaganxo.htm">
              <w:r>
                <w:rPr>
                  <w:rStyle w:val="InternetLink"/>
                </w:rPr>
                <w:t>October 29,</w:t>
              </w:r>
            </w:hyperlink>
            <w:hyperlink w:anchor="fy21-ex1027dhingra_gaganxo.htm">
              <w:r>
                <w:rPr>
                  <w:rStyle w:val="InternetLink"/>
                </w:rPr>
                <w:t xml:space="preserve"> 2021</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3">
              <w:r>
                <w:rPr>
                  <w:rStyle w:val="InternetLink"/>
                  <w:rFonts w:ascii="Times New Roman;sans-serif" w:hAnsi="Times New Roman;sans-serif"/>
                  <w:b w:val="false"/>
                  <w:color w:val="0000FF"/>
                  <w:sz w:val="18"/>
                  <w:u w:val="single"/>
                </w:rPr>
                <w:t>Code of Business Conduct and Ethics of Lucid Group, Inc.</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8-K </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26, 2021</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y21-ex211listofsubsidiari.htm">
              <w:r>
                <w:rPr>
                  <w:rStyle w:val="InternetLink"/>
                </w:rPr>
                <w:t xml:space="preserve">List of </w:t>
              </w:r>
            </w:hyperlink>
            <w:hyperlink w:anchor="fy21-ex211listofsubsidiari.htm">
              <w:r>
                <w:rPr>
                  <w:rStyle w:val="InternetLink"/>
                </w:rPr>
                <w:t xml:space="preserve">Significant </w:t>
              </w:r>
            </w:hyperlink>
            <w:hyperlink w:anchor="fy21-ex211listofsubsidiari.htm">
              <w:r>
                <w:rPr>
                  <w:rStyle w:val="InternetLink"/>
                </w:rPr>
                <w:t>Subsidiaries of Lucid Group, Inc.</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y2110k-231auditorconsent.htm">
              <w:r>
                <w:rPr>
                  <w:rStyle w:val="InternetLink"/>
                  <w:rFonts w:ascii="Times New Roman;sans-serif" w:hAnsi="Times New Roman;sans-serif"/>
                  <w:b w:val="false"/>
                  <w:color w:val="0000FF"/>
                  <w:sz w:val="18"/>
                  <w:u w:val="single"/>
                </w:rPr>
                <w:t>Consent of Independent Registered Public Accounting Firm</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y2110k-ex311.htm">
              <w:r>
                <w:rPr>
                  <w:rStyle w:val="InternetLink"/>
                  <w:rFonts w:ascii="Times New Roman;sans-serif" w:hAnsi="Times New Roman;sans-serif"/>
                  <w:b w:val="false"/>
                  <w:color w:val="0000FF"/>
                  <w:sz w:val="18"/>
                  <w:u w:val="single"/>
                </w:rPr>
                <w:t>Certification of Principal Executive Officer Required Under Rule 13a-14(a) and 15d-14(a) of the Securities Exchange Act of 1934, as amended</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y2110k-ex312.htm">
              <w:r>
                <w:rPr>
                  <w:rStyle w:val="InternetLink"/>
                  <w:rFonts w:ascii="Times New Roman;sans-serif" w:hAnsi="Times New Roman;sans-serif"/>
                  <w:b w:val="false"/>
                  <w:color w:val="0000FF"/>
                  <w:sz w:val="18"/>
                  <w:u w:val="single"/>
                </w:rPr>
                <w:t>Certification of Chief Financial Officer Required Under Rule 13a-14(a) and 15d-14(a) of the Securities Exchange Act of 1934, as amended</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y2110k-ex321.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y2110k-ex322.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Schema Linkbase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Calculation Linkbase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Definition Linkbase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Labels Linkbase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Presentation Linkbase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514" w:type="dxa"/>
        <w:jc w:val="left"/>
        <w:tblInd w:w="0" w:type="dxa"/>
        <w:tblCellMar>
          <w:top w:w="28" w:type="dxa"/>
          <w:left w:w="28" w:type="dxa"/>
          <w:bottom w:w="28" w:type="dxa"/>
          <w:right w:w="28" w:type="dxa"/>
        </w:tblCellMar>
      </w:tblPr>
      <w:tblGrid>
        <w:gridCol w:w="754"/>
        <w:gridCol w:w="664"/>
        <w:gridCol w:w="667"/>
        <w:gridCol w:w="308"/>
        <w:gridCol w:w="308"/>
        <w:gridCol w:w="308"/>
        <w:gridCol w:w="731"/>
        <w:gridCol w:w="731"/>
        <w:gridCol w:w="1043"/>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LUCID GROUP, INC.</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9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Sherry House</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Sherry House</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424" w:type="dxa"/>
        <w:jc w:val="left"/>
        <w:tblInd w:w="0" w:type="dxa"/>
        <w:tblCellMar>
          <w:top w:w="28" w:type="dxa"/>
          <w:left w:w="28" w:type="dxa"/>
          <w:bottom w:w="28" w:type="dxa"/>
          <w:right w:w="28" w:type="dxa"/>
        </w:tblCellMar>
      </w:tblPr>
      <w:tblGrid>
        <w:gridCol w:w="754"/>
        <w:gridCol w:w="664"/>
        <w:gridCol w:w="667"/>
        <w:gridCol w:w="134"/>
        <w:gridCol w:w="134"/>
        <w:gridCol w:w="136"/>
        <w:gridCol w:w="1445"/>
        <w:gridCol w:w="1445"/>
        <w:gridCol w:w="2045"/>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Rawlinson</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Peter Rawlinson</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 (Principal Executive Officer)</w:t>
            </w:r>
          </w:p>
        </w:tc>
      </w:tr>
    </w:tbl>
    <w:tbl>
      <w:tblPr>
        <w:tblW w:w="7394" w:type="dxa"/>
        <w:jc w:val="left"/>
        <w:tblInd w:w="0" w:type="dxa"/>
        <w:tblCellMar>
          <w:top w:w="28" w:type="dxa"/>
          <w:left w:w="28" w:type="dxa"/>
          <w:bottom w:w="28" w:type="dxa"/>
          <w:right w:w="28" w:type="dxa"/>
        </w:tblCellMar>
      </w:tblPr>
      <w:tblGrid>
        <w:gridCol w:w="770"/>
        <w:gridCol w:w="678"/>
        <w:gridCol w:w="682"/>
        <w:gridCol w:w="149"/>
        <w:gridCol w:w="149"/>
        <w:gridCol w:w="151"/>
        <w:gridCol w:w="1405"/>
        <w:gridCol w:w="1405"/>
        <w:gridCol w:w="2005"/>
      </w:tblGrid>
      <w:tr>
        <w:trPr/>
        <w:tc>
          <w:tcPr>
            <w:tcW w:w="770"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48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Sherry House </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Sherry House</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 (Principal Financial Officer)</w:t>
            </w:r>
          </w:p>
        </w:tc>
      </w:tr>
    </w:tbl>
    <w:tbl>
      <w:tblPr>
        <w:tblW w:w="5563" w:type="dxa"/>
        <w:jc w:val="left"/>
        <w:tblInd w:w="0" w:type="dxa"/>
        <w:tblCellMar>
          <w:top w:w="28" w:type="dxa"/>
          <w:left w:w="28" w:type="dxa"/>
          <w:bottom w:w="28" w:type="dxa"/>
          <w:right w:w="28" w:type="dxa"/>
        </w:tblCellMar>
      </w:tblPr>
      <w:tblGrid>
        <w:gridCol w:w="770"/>
        <w:gridCol w:w="678"/>
        <w:gridCol w:w="682"/>
        <w:gridCol w:w="149"/>
        <w:gridCol w:w="149"/>
        <w:gridCol w:w="151"/>
        <w:gridCol w:w="871"/>
        <w:gridCol w:w="871"/>
        <w:gridCol w:w="1242"/>
      </w:tblGrid>
      <w:tr>
        <w:trPr/>
        <w:tc>
          <w:tcPr>
            <w:tcW w:w="770"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Gagan Dhingra</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Principal Accounting Officer</w:t>
            </w:r>
          </w:p>
        </w:tc>
      </w:tr>
    </w:tbl>
    <w:tbl>
      <w:tblPr>
        <w:tblW w:w="4589" w:type="dxa"/>
        <w:jc w:val="left"/>
        <w:tblInd w:w="0" w:type="dxa"/>
        <w:tblCellMar>
          <w:top w:w="28" w:type="dxa"/>
          <w:left w:w="28" w:type="dxa"/>
          <w:bottom w:w="28" w:type="dxa"/>
          <w:right w:w="28" w:type="dxa"/>
        </w:tblCellMar>
      </w:tblPr>
      <w:tblGrid>
        <w:gridCol w:w="770"/>
        <w:gridCol w:w="678"/>
        <w:gridCol w:w="682"/>
        <w:gridCol w:w="149"/>
        <w:gridCol w:w="149"/>
        <w:gridCol w:w="151"/>
        <w:gridCol w:w="588"/>
        <w:gridCol w:w="588"/>
        <w:gridCol w:w="834"/>
      </w:tblGrid>
      <w:tr>
        <w:trPr/>
        <w:tc>
          <w:tcPr>
            <w:tcW w:w="770"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Andrew Liveris </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Andrew Liveris </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w:t>
            </w:r>
          </w:p>
        </w:tc>
      </w:tr>
    </w:tbl>
    <w:tbl>
      <w:tblPr>
        <w:tblW w:w="4708" w:type="dxa"/>
        <w:jc w:val="left"/>
        <w:tblInd w:w="0" w:type="dxa"/>
        <w:tblCellMar>
          <w:top w:w="28" w:type="dxa"/>
          <w:left w:w="28" w:type="dxa"/>
          <w:bottom w:w="28" w:type="dxa"/>
          <w:right w:w="28" w:type="dxa"/>
        </w:tblCellMar>
      </w:tblPr>
      <w:tblGrid>
        <w:gridCol w:w="770"/>
        <w:gridCol w:w="678"/>
        <w:gridCol w:w="682"/>
        <w:gridCol w:w="149"/>
        <w:gridCol w:w="149"/>
        <w:gridCol w:w="151"/>
        <w:gridCol w:w="623"/>
        <w:gridCol w:w="623"/>
        <w:gridCol w:w="883"/>
      </w:tblGrid>
      <w:tr>
        <w:trPr/>
        <w:tc>
          <w:tcPr>
            <w:tcW w:w="770"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Turqi Alnowaiser</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Turqi Alnowaiser</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w:t>
            </w:r>
          </w:p>
        </w:tc>
      </w:tr>
    </w:tbl>
    <w:tbl>
      <w:tblPr>
        <w:tblW w:w="4648" w:type="dxa"/>
        <w:jc w:val="left"/>
        <w:tblInd w:w="0" w:type="dxa"/>
        <w:tblCellMar>
          <w:top w:w="28" w:type="dxa"/>
          <w:left w:w="28" w:type="dxa"/>
          <w:bottom w:w="28" w:type="dxa"/>
          <w:right w:w="28" w:type="dxa"/>
        </w:tblCellMar>
      </w:tblPr>
      <w:tblGrid>
        <w:gridCol w:w="770"/>
        <w:gridCol w:w="678"/>
        <w:gridCol w:w="682"/>
        <w:gridCol w:w="149"/>
        <w:gridCol w:w="149"/>
        <w:gridCol w:w="151"/>
        <w:gridCol w:w="604"/>
        <w:gridCol w:w="604"/>
        <w:gridCol w:w="861"/>
      </w:tblGrid>
      <w:tr>
        <w:trPr/>
        <w:tc>
          <w:tcPr>
            <w:tcW w:w="770"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Glenn R. August</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Glenn R. August</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w:t>
            </w:r>
          </w:p>
        </w:tc>
      </w:tr>
    </w:tbl>
    <w:tbl>
      <w:tblPr>
        <w:tblW w:w="4318" w:type="dxa"/>
        <w:jc w:val="left"/>
        <w:tblInd w:w="0" w:type="dxa"/>
        <w:tblCellMar>
          <w:top w:w="28" w:type="dxa"/>
          <w:left w:w="28" w:type="dxa"/>
          <w:bottom w:w="28" w:type="dxa"/>
          <w:right w:w="28" w:type="dxa"/>
        </w:tblCellMar>
      </w:tblPr>
      <w:tblGrid>
        <w:gridCol w:w="770"/>
        <w:gridCol w:w="678"/>
        <w:gridCol w:w="682"/>
        <w:gridCol w:w="149"/>
        <w:gridCol w:w="149"/>
        <w:gridCol w:w="151"/>
        <w:gridCol w:w="509"/>
        <w:gridCol w:w="509"/>
        <w:gridCol w:w="721"/>
      </w:tblGrid>
      <w:tr>
        <w:trPr/>
        <w:tc>
          <w:tcPr>
            <w:tcW w:w="770"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Nancy Gioia</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Nancy Gioia</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w:t>
            </w:r>
          </w:p>
        </w:tc>
      </w:tr>
    </w:tbl>
    <w:tbl>
      <w:tblPr>
        <w:tblW w:w="4754" w:type="dxa"/>
        <w:jc w:val="left"/>
        <w:tblInd w:w="0" w:type="dxa"/>
        <w:tblCellMar>
          <w:top w:w="28" w:type="dxa"/>
          <w:left w:w="28" w:type="dxa"/>
          <w:bottom w:w="28" w:type="dxa"/>
          <w:right w:w="28" w:type="dxa"/>
        </w:tblCellMar>
      </w:tblPr>
      <w:tblGrid>
        <w:gridCol w:w="770"/>
        <w:gridCol w:w="678"/>
        <w:gridCol w:w="682"/>
        <w:gridCol w:w="149"/>
        <w:gridCol w:w="149"/>
        <w:gridCol w:w="151"/>
        <w:gridCol w:w="637"/>
        <w:gridCol w:w="637"/>
        <w:gridCol w:w="901"/>
      </w:tblGrid>
      <w:tr>
        <w:trPr/>
        <w:tc>
          <w:tcPr>
            <w:tcW w:w="770"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Frank Lindenberg</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Frank Lindenberg</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w:t>
            </w:r>
          </w:p>
        </w:tc>
      </w:tr>
    </w:tbl>
    <w:tbl>
      <w:tblPr>
        <w:tblW w:w="5354" w:type="dxa"/>
        <w:jc w:val="left"/>
        <w:tblInd w:w="0" w:type="dxa"/>
        <w:tblCellMar>
          <w:top w:w="28" w:type="dxa"/>
          <w:left w:w="28" w:type="dxa"/>
          <w:bottom w:w="28" w:type="dxa"/>
          <w:right w:w="28" w:type="dxa"/>
        </w:tblCellMar>
      </w:tblPr>
      <w:tblGrid>
        <w:gridCol w:w="770"/>
        <w:gridCol w:w="678"/>
        <w:gridCol w:w="682"/>
        <w:gridCol w:w="149"/>
        <w:gridCol w:w="149"/>
        <w:gridCol w:w="151"/>
        <w:gridCol w:w="813"/>
        <w:gridCol w:w="813"/>
        <w:gridCol w:w="1149"/>
      </w:tblGrid>
      <w:tr>
        <w:trPr/>
        <w:tc>
          <w:tcPr>
            <w:tcW w:w="770"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Nichelle Maynard-Elliott</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Nichelle Maynard-Elliott</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w:t>
            </w:r>
          </w:p>
        </w:tc>
      </w:tr>
    </w:tbl>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before="0" w:after="0"/>
        <w:rPr/>
      </w:pPr>
      <w:r>
        <w:rPr/>
      </w:r>
    </w:p>
    <w:tbl>
      <w:tblPr>
        <w:tblW w:w="4529" w:type="dxa"/>
        <w:jc w:val="left"/>
        <w:tblInd w:w="0" w:type="dxa"/>
        <w:tblCellMar>
          <w:top w:w="28" w:type="dxa"/>
          <w:left w:w="28" w:type="dxa"/>
          <w:bottom w:w="28" w:type="dxa"/>
          <w:right w:w="28" w:type="dxa"/>
        </w:tblCellMar>
      </w:tblPr>
      <w:tblGrid>
        <w:gridCol w:w="770"/>
        <w:gridCol w:w="678"/>
        <w:gridCol w:w="682"/>
        <w:gridCol w:w="149"/>
        <w:gridCol w:w="149"/>
        <w:gridCol w:w="151"/>
        <w:gridCol w:w="571"/>
        <w:gridCol w:w="571"/>
        <w:gridCol w:w="808"/>
      </w:tblGrid>
      <w:tr>
        <w:trPr/>
        <w:tc>
          <w:tcPr>
            <w:tcW w:w="770"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Tony Posawatz</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Tony Posawatz</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w:t>
            </w:r>
          </w:p>
        </w:tc>
      </w:tr>
    </w:tbl>
    <w:tbl>
      <w:tblPr>
        <w:tblW w:w="4453" w:type="dxa"/>
        <w:jc w:val="left"/>
        <w:tblInd w:w="0" w:type="dxa"/>
        <w:tblCellMar>
          <w:top w:w="28" w:type="dxa"/>
          <w:left w:w="28" w:type="dxa"/>
          <w:bottom w:w="28" w:type="dxa"/>
          <w:right w:w="28" w:type="dxa"/>
        </w:tblCellMar>
      </w:tblPr>
      <w:tblGrid>
        <w:gridCol w:w="770"/>
        <w:gridCol w:w="678"/>
        <w:gridCol w:w="682"/>
        <w:gridCol w:w="149"/>
        <w:gridCol w:w="149"/>
        <w:gridCol w:w="151"/>
        <w:gridCol w:w="548"/>
        <w:gridCol w:w="548"/>
        <w:gridCol w:w="778"/>
      </w:tblGrid>
      <w:tr>
        <w:trPr/>
        <w:tc>
          <w:tcPr>
            <w:tcW w:w="770"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Janet S. Wong</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Janet S. Wong</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lineRule="auto" w:line="240" w:before="0" w:after="0"/>
        <w:ind w:left="0" w:right="0" w:firstLine="400"/>
        <w:jc w:val="right"/>
        <w:rPr>
          <w:rFonts w:ascii="Times New Roman;sans-serif" w:hAnsi="Times New Roman;sans-serif"/>
          <w:b/>
          <w:color w:val="000000"/>
          <w:sz w:val="20"/>
        </w:rPr>
      </w:pPr>
      <w:r>
        <w:rPr>
          <w:rFonts w:ascii="Times New Roman;sans-serif" w:hAnsi="Times New Roman;sans-serif"/>
          <w:b/>
          <w:color w:val="000000"/>
          <w:sz w:val="20"/>
        </w:rPr>
        <w:t>Exhibit 4.6</w:t>
      </w:r>
    </w:p>
    <w:p>
      <w:pPr>
        <w:pStyle w:val="TextBody"/>
        <w:spacing w:before="0" w:after="0"/>
        <w:ind w:left="0" w:right="0" w:firstLine="400"/>
        <w:jc w:val="right"/>
        <w:rPr/>
      </w:pPr>
      <w:r>
        <w:rPr/>
      </w:r>
    </w:p>
    <w:p>
      <w:pPr>
        <w:pStyle w:val="TextBody"/>
        <w:spacing w:before="0" w:after="0"/>
        <w:ind w:left="0" w:right="0" w:firstLine="400"/>
        <w:jc w:val="right"/>
        <w:rPr/>
      </w:pPr>
      <w:r>
        <w:rPr/>
      </w:r>
    </w:p>
    <w:p>
      <w:pPr>
        <w:pStyle w:val="TextBody"/>
        <w:spacing w:lineRule="auto" w:line="240" w:before="0" w:after="0"/>
        <w:ind w:left="0" w:right="0" w:firstLine="400"/>
        <w:jc w:val="center"/>
        <w:rPr>
          <w:rFonts w:ascii="Times New Roman;sans-serif" w:hAnsi="Times New Roman;sans-serif"/>
          <w:b/>
          <w:color w:val="000000"/>
          <w:sz w:val="20"/>
        </w:rPr>
      </w:pPr>
      <w:r>
        <w:rPr>
          <w:rFonts w:ascii="Times New Roman;sans-serif" w:hAnsi="Times New Roman;sans-serif"/>
          <w:b/>
          <w:color w:val="000000"/>
          <w:sz w:val="20"/>
        </w:rPr>
        <w:t>DESCRIPTION OF SECURITIES REGISTERED PURSUANT TO SECTION 12 OF THE SECURITIES EXCHANGE ACT OF 1934</w:t>
      </w:r>
    </w:p>
    <w:p>
      <w:pPr>
        <w:pStyle w:val="TextBody"/>
        <w:spacing w:lineRule="auto" w:line="240" w:before="0" w:after="0"/>
        <w:ind w:left="0" w:right="0" w:firstLine="400"/>
        <w:jc w:val="center"/>
        <w:rPr>
          <w:color w:val="000000"/>
        </w:rPr>
      </w:pPr>
      <w:r>
        <w:rPr>
          <w:color w:val="000000"/>
        </w:rPr>
        <w:t> </w:t>
      </w:r>
    </w:p>
    <w:p>
      <w:pPr>
        <w:pStyle w:val="TextBody"/>
        <w:spacing w:lineRule="auto" w:line="240" w:before="0" w:after="0"/>
        <w:ind w:left="0" w:right="0" w:firstLine="400"/>
        <w:jc w:val="center"/>
        <w:rPr>
          <w:rFonts w:ascii="Times New Roman;sans-serif" w:hAnsi="Times New Roman;sans-serif"/>
          <w:b/>
          <w:color w:val="000000"/>
          <w:sz w:val="20"/>
        </w:rPr>
      </w:pPr>
      <w:r>
        <w:rPr>
          <w:rFonts w:ascii="Times New Roman;sans-serif" w:hAnsi="Times New Roman;sans-serif"/>
          <w:b/>
          <w:color w:val="000000"/>
          <w:sz w:val="20"/>
        </w:rPr>
        <w:t>AS OF DECEMBER 31, 2021</w:t>
      </w:r>
    </w:p>
    <w:p>
      <w:pPr>
        <w:pStyle w:val="TextBody"/>
        <w:spacing w:before="0" w:after="240"/>
        <w:jc w:val="center"/>
        <w:rPr/>
      </w:pPr>
      <w:r>
        <w:rPr/>
      </w:r>
    </w:p>
    <w:p>
      <w:pPr>
        <w:pStyle w:val="TextBody"/>
        <w:spacing w:lineRule="auto" w:line="240" w:before="0" w:after="24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As of December 31, 2021, our only class of securities registered under Section 12 of the Securities Exchange Act of 1934, as amended, was our common stock, par value of $0.0001 per share. The following is a summary of the material terms of our common stock, and provisions of our current certificate of incorporation and current bylaws. The following summary of the material terms of our common stock is not intended to be a complete summary of the rights and preferences of such securities and is qualified in its entirety by our current certificate of incorporation and our current bylaws. The full texts of our current certificate of incorporation and our current bylaws are filed as exhibits to this Annual Report. For a complete description of the rights and preferences of our securities, we urge you to read our current certificate of incorporation, our current bylaws and the applicable provisions of Delaware law.</w:t>
      </w:r>
    </w:p>
    <w:p>
      <w:pPr>
        <w:pStyle w:val="TextBody"/>
        <w:spacing w:lineRule="auto" w:line="240" w:before="0" w:after="240"/>
        <w:rPr>
          <w:rFonts w:ascii="Times New Roman;sans-serif" w:hAnsi="Times New Roman;sans-serif"/>
          <w:b/>
          <w:color w:val="000000"/>
          <w:sz w:val="20"/>
          <w:highlight w:val="white"/>
        </w:rPr>
      </w:pPr>
      <w:r>
        <w:rPr>
          <w:rFonts w:ascii="Times New Roman;sans-serif" w:hAnsi="Times New Roman;sans-serif"/>
          <w:b/>
          <w:color w:val="000000"/>
          <w:sz w:val="20"/>
          <w:highlight w:val="white"/>
        </w:rPr>
        <w:t>Authorized and Outstanding Stock</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current certificate of incorporation authorizes the issuance of shares of our capital stock, each with a par value of $0.0001, consisting of (a) 15,000,000,000 shares of common stock and (b) 10,000,000 shares of preferred stock. The outstanding shares of common stock are duly authorized, validly issued, fully paid and non-assessable.</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Our current certificate of incorporation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us or the removal of existing management. </w:t>
      </w:r>
    </w:p>
    <w:p>
      <w:pPr>
        <w:pStyle w:val="TextBody"/>
        <w:spacing w:lineRule="auto" w:line="240" w:before="0" w:after="240"/>
        <w:rPr>
          <w:rFonts w:ascii="Times New Roman;sans-serif" w:hAnsi="Times New Roman;sans-serif"/>
          <w:b/>
          <w:color w:val="000000"/>
          <w:sz w:val="20"/>
          <w:highlight w:val="white"/>
        </w:rPr>
      </w:pPr>
      <w:r>
        <w:rPr>
          <w:rFonts w:ascii="Times New Roman;sans-serif" w:hAnsi="Times New Roman;sans-serif"/>
          <w:b/>
          <w:color w:val="000000"/>
          <w:sz w:val="20"/>
          <w:highlight w:val="white"/>
        </w:rPr>
        <w:t>Voting Power</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w:t>
      </w:r>
    </w:p>
    <w:p>
      <w:pPr>
        <w:pStyle w:val="TextBody"/>
        <w:spacing w:lineRule="auto" w:line="240" w:before="0" w:after="240"/>
        <w:rPr>
          <w:rFonts w:ascii="Times New Roman;sans-serif" w:hAnsi="Times New Roman;sans-serif"/>
          <w:b/>
          <w:color w:val="000000"/>
          <w:sz w:val="20"/>
          <w:highlight w:val="white"/>
        </w:rPr>
      </w:pPr>
      <w:r>
        <w:rPr>
          <w:rFonts w:ascii="Times New Roman;sans-serif" w:hAnsi="Times New Roman;sans-serif"/>
          <w:b/>
          <w:color w:val="000000"/>
          <w:sz w:val="20"/>
          <w:highlight w:val="white"/>
        </w:rPr>
        <w:t>Dividends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Subject to limitations contained in the DGCL and our current certificate of incorporation, under our current bylaws, the Board may declare and pay dividends upon the shares of our common stock, which dividends may be paid either in cash, in property or in shares of our common stock.</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pStyle w:val="TextBody"/>
        <w:spacing w:lineRule="auto" w:line="240" w:before="0" w:after="240"/>
        <w:rPr>
          <w:rFonts w:ascii="Times New Roman;sans-serif" w:hAnsi="Times New Roman;sans-serif"/>
          <w:b/>
          <w:color w:val="000000"/>
          <w:sz w:val="20"/>
          <w:highlight w:val="white"/>
        </w:rPr>
      </w:pPr>
      <w:r>
        <w:rPr>
          <w:rFonts w:ascii="Times New Roman;sans-serif" w:hAnsi="Times New Roman;sans-serif"/>
          <w:b/>
          <w:color w:val="000000"/>
          <w:sz w:val="20"/>
          <w:highlight w:val="white"/>
        </w:rPr>
        <w:t>Liquidation, Dissolution and Winding Up</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the event of the voluntary or involuntary liquidation, dissolution, or winding-up of the Company, the holders of our common stock will be entitled to receive all the remaining assets of the Company available for distribution to stockholders, ratably in proportion to the number of shares of common stock held by them, after the rights of creditors of the Company and the holders of any outstanding shares of preferred stock have been satisfied.</w:t>
      </w:r>
    </w:p>
    <w:p>
      <w:pPr>
        <w:pStyle w:val="TextBody"/>
        <w:spacing w:lineRule="auto" w:line="240" w:before="0" w:after="240"/>
        <w:rPr>
          <w:rFonts w:ascii="Times New Roman;sans-serif" w:hAnsi="Times New Roman;sans-serif"/>
          <w:b/>
          <w:color w:val="000000"/>
          <w:sz w:val="20"/>
          <w:highlight w:val="white"/>
        </w:rPr>
      </w:pPr>
      <w:r>
        <w:rPr>
          <w:rFonts w:ascii="Times New Roman;sans-serif" w:hAnsi="Times New Roman;sans-serif"/>
          <w:b/>
          <w:color w:val="000000"/>
          <w:sz w:val="20"/>
          <w:highlight w:val="white"/>
        </w:rPr>
        <w:t>Preemptive or Other Rights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holders of our common stock do not have preemptive or other subscription rights and there is no sinking fund or redemption provisions applicable to our common stock.</w:t>
      </w:r>
      <w:r>
        <w:br w:type="page"/>
      </w:r>
    </w:p>
    <w:p>
      <w:pPr>
        <w:pStyle w:val="TextBody"/>
        <w:spacing w:before="0" w:after="0"/>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0"/>
          <w:highlight w:val="white"/>
        </w:rPr>
      </w:pPr>
      <w:r>
        <w:rPr>
          <w:rFonts w:ascii="Times New Roman;sans-serif" w:hAnsi="Times New Roman;sans-serif"/>
          <w:b/>
          <w:color w:val="000000"/>
          <w:sz w:val="20"/>
          <w:highlight w:val="white"/>
        </w:rPr>
        <w:t>Annual Stockholder Meetings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w:t>
      </w:r>
    </w:p>
    <w:p>
      <w:pPr>
        <w:pStyle w:val="TextBody"/>
        <w:spacing w:lineRule="auto" w:line="240" w:before="0" w:after="240"/>
        <w:rPr>
          <w:rFonts w:ascii="Times New Roman;sans-serif" w:hAnsi="Times New Roman;sans-serif"/>
          <w:b/>
          <w:color w:val="000000"/>
          <w:sz w:val="20"/>
          <w:highlight w:val="white"/>
        </w:rPr>
      </w:pPr>
      <w:r>
        <w:rPr>
          <w:rFonts w:ascii="Times New Roman;sans-serif" w:hAnsi="Times New Roman;sans-serif"/>
          <w:b/>
          <w:color w:val="000000"/>
          <w:sz w:val="20"/>
          <w:highlight w:val="white"/>
        </w:rPr>
        <w:t>Effects of Our Current Certificate of Incorporation, Our Current Bylaws and Certain Provisions of Delaware Law</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w:t>
      </w:r>
    </w:p>
    <w:p>
      <w:pPr>
        <w:pStyle w:val="TextBody"/>
        <w:spacing w:lineRule="auto" w:line="240" w:before="0" w:after="24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Authorized but Unissued Capital Stock</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used in the future may be used for a variety of corporate purposes, including future public offerings, to raise additional capital or to facilitate acquisitions.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pStyle w:val="TextBody"/>
        <w:spacing w:lineRule="auto" w:line="240" w:before="0" w:after="24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Business Combinations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tbl>
      <w:tblPr>
        <w:tblW w:w="9624" w:type="dxa"/>
        <w:jc w:val="left"/>
        <w:tblInd w:w="0" w:type="dxa"/>
        <w:tblCellMar>
          <w:top w:w="28" w:type="dxa"/>
          <w:left w:w="28" w:type="dxa"/>
          <w:bottom w:w="28" w:type="dxa"/>
          <w:right w:w="28" w:type="dxa"/>
        </w:tblCellMar>
      </w:tblPr>
      <w:tblGrid>
        <w:gridCol w:w="124"/>
        <w:gridCol w:w="109"/>
        <w:gridCol w:w="109"/>
        <w:gridCol w:w="109"/>
        <w:gridCol w:w="109"/>
        <w:gridCol w:w="109"/>
        <w:gridCol w:w="2620"/>
        <w:gridCol w:w="2620"/>
        <w:gridCol w:w="37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0" w:type="dxa"/>
            <w:tcBorders/>
            <w:shd w:fill="auto" w:val="clear"/>
            <w:vAlign w:val="center"/>
          </w:tcPr>
          <w:p>
            <w:pPr>
              <w:pStyle w:val="TableContents"/>
              <w:spacing w:before="0" w:after="283"/>
              <w:rPr>
                <w:sz w:val="4"/>
                <w:szCs w:val="4"/>
              </w:rPr>
            </w:pPr>
            <w:r>
              <w:rPr>
                <w:sz w:val="4"/>
                <w:szCs w:val="4"/>
              </w:rPr>
            </w:r>
          </w:p>
        </w:tc>
        <w:tc>
          <w:tcPr>
            <w:tcW w:w="2620" w:type="dxa"/>
            <w:tcBorders/>
            <w:shd w:fill="auto" w:val="clear"/>
            <w:vAlign w:val="center"/>
          </w:tcPr>
          <w:p>
            <w:pPr>
              <w:pStyle w:val="TableContents"/>
              <w:spacing w:before="0" w:after="283"/>
              <w:rPr>
                <w:sz w:val="4"/>
                <w:szCs w:val="4"/>
              </w:rPr>
            </w:pPr>
            <w:r>
              <w:rPr>
                <w:sz w:val="4"/>
                <w:szCs w:val="4"/>
              </w:rPr>
            </w:r>
          </w:p>
        </w:tc>
        <w:tc>
          <w:tcPr>
            <w:tcW w:w="37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9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such time, the Board approved either the business combination or the transaction that resulted in the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 becoming an interested stockholder;</w:t>
            </w:r>
          </w:p>
        </w:tc>
      </w:tr>
    </w:tbl>
    <w:tbl>
      <w:tblPr>
        <w:tblW w:w="9833" w:type="dxa"/>
        <w:jc w:val="left"/>
        <w:tblInd w:w="0" w:type="dxa"/>
        <w:tblCellMar>
          <w:top w:w="28" w:type="dxa"/>
          <w:left w:w="28" w:type="dxa"/>
          <w:bottom w:w="28" w:type="dxa"/>
          <w:right w:w="28" w:type="dxa"/>
        </w:tblCellMar>
      </w:tblPr>
      <w:tblGrid>
        <w:gridCol w:w="124"/>
        <w:gridCol w:w="109"/>
        <w:gridCol w:w="109"/>
        <w:gridCol w:w="109"/>
        <w:gridCol w:w="109"/>
        <w:gridCol w:w="109"/>
        <w:gridCol w:w="2679"/>
        <w:gridCol w:w="2679"/>
        <w:gridCol w:w="380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9" w:type="dxa"/>
            <w:tcBorders/>
            <w:shd w:fill="auto" w:val="clear"/>
            <w:vAlign w:val="center"/>
          </w:tcPr>
          <w:p>
            <w:pPr>
              <w:pStyle w:val="TableContents"/>
              <w:spacing w:before="0" w:after="283"/>
              <w:rPr>
                <w:sz w:val="4"/>
                <w:szCs w:val="4"/>
              </w:rPr>
            </w:pPr>
            <w:r>
              <w:rPr>
                <w:sz w:val="4"/>
                <w:szCs w:val="4"/>
              </w:rPr>
            </w:r>
          </w:p>
        </w:tc>
        <w:tc>
          <w:tcPr>
            <w:tcW w:w="2679" w:type="dxa"/>
            <w:tcBorders/>
            <w:shd w:fill="auto" w:val="clear"/>
            <w:vAlign w:val="center"/>
          </w:tcPr>
          <w:p>
            <w:pPr>
              <w:pStyle w:val="TableContents"/>
              <w:spacing w:before="0" w:after="283"/>
              <w:rPr>
                <w:sz w:val="4"/>
                <w:szCs w:val="4"/>
              </w:rPr>
            </w:pPr>
            <w:r>
              <w:rPr>
                <w:sz w:val="4"/>
                <w:szCs w:val="4"/>
              </w:rPr>
            </w:r>
          </w:p>
        </w:tc>
        <w:tc>
          <w:tcPr>
            <w:tcW w:w="380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the transaction that resulted in the stockholder becoming an interested stockholder, the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interested stockholder owned at least 85% of voting stock outstanding at the time the transaction commenced,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excluding certain shares; or</w:t>
            </w:r>
          </w:p>
        </w:tc>
      </w:tr>
    </w:tbl>
    <w:tbl>
      <w:tblPr>
        <w:tblW w:w="9248" w:type="dxa"/>
        <w:jc w:val="left"/>
        <w:tblInd w:w="0" w:type="dxa"/>
        <w:tblCellMar>
          <w:top w:w="28" w:type="dxa"/>
          <w:left w:w="28" w:type="dxa"/>
          <w:bottom w:w="28" w:type="dxa"/>
          <w:right w:w="28" w:type="dxa"/>
        </w:tblCellMar>
      </w:tblPr>
      <w:tblGrid>
        <w:gridCol w:w="124"/>
        <w:gridCol w:w="109"/>
        <w:gridCol w:w="109"/>
        <w:gridCol w:w="109"/>
        <w:gridCol w:w="109"/>
        <w:gridCol w:w="109"/>
        <w:gridCol w:w="2510"/>
        <w:gridCol w:w="2510"/>
        <w:gridCol w:w="35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0" w:type="dxa"/>
            <w:tcBorders/>
            <w:shd w:fill="auto" w:val="clear"/>
            <w:vAlign w:val="center"/>
          </w:tcPr>
          <w:p>
            <w:pPr>
              <w:pStyle w:val="TableContents"/>
              <w:spacing w:before="0" w:after="283"/>
              <w:rPr>
                <w:sz w:val="4"/>
                <w:szCs w:val="4"/>
              </w:rPr>
            </w:pPr>
            <w:r>
              <w:rPr>
                <w:sz w:val="4"/>
                <w:szCs w:val="4"/>
              </w:rPr>
            </w:r>
          </w:p>
        </w:tc>
        <w:tc>
          <w:tcPr>
            <w:tcW w:w="2510" w:type="dxa"/>
            <w:tcBorders/>
            <w:shd w:fill="auto" w:val="clear"/>
            <w:vAlign w:val="center"/>
          </w:tcPr>
          <w:p>
            <w:pPr>
              <w:pStyle w:val="TableContents"/>
              <w:spacing w:before="0" w:after="283"/>
              <w:rPr>
                <w:sz w:val="4"/>
                <w:szCs w:val="4"/>
              </w:rPr>
            </w:pPr>
            <w:r>
              <w:rPr>
                <w:sz w:val="4"/>
                <w:szCs w:val="4"/>
              </w:rPr>
            </w:r>
          </w:p>
        </w:tc>
        <w:tc>
          <w:tcPr>
            <w:tcW w:w="355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5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or subsequent to that time, the business combination is approved by our Board and by the affirmative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vote of holders of at least two-thirds of the votes of our outstanding voting stock that is not owned by</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interested stockholder.</w:t>
            </w:r>
          </w:p>
        </w:tc>
      </w:tr>
    </w:tbl>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r>
        <w:br w:type="page"/>
      </w:r>
    </w:p>
    <w:p>
      <w:pPr>
        <w:pStyle w:val="TextBody"/>
        <w:spacing w:before="0" w:after="0"/>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24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Removal of Directors; Vacancies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Under the DGCL, unless otherwise provided in our current certificate of incorporation, directors serving on a board may be removed by the stockholders only for cause. Our current certificate of incorporation provides that no director may be removed from office by the stockholders except for cause with the affirmative vote of the holders of not less than two-thirds (66 2/3 %) of the total voting power of all of our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pStyle w:val="TextBody"/>
        <w:spacing w:lineRule="auto" w:line="240" w:before="0" w:after="24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No Cumulative Voting</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pStyle w:val="TextBody"/>
        <w:spacing w:lineRule="auto" w:line="240" w:before="0" w:after="24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Special Stockholder Meetings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current certificate of incorporation provides that special meetings of the stockholders may be called only by the Board acting pursuant to a resolution adopted by a majority of the Board. Our amended and restated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pStyle w:val="TextBody"/>
        <w:spacing w:lineRule="auto" w:line="240" w:before="0" w:after="24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Requirements for Advance Notification of Director Nominations and Stockholder Proposals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pStyle w:val="TextBody"/>
        <w:spacing w:lineRule="auto" w:line="240" w:before="0" w:after="24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Stockholder Action by Written Consent</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r>
        <w:br w:type="page"/>
      </w:r>
    </w:p>
    <w:p>
      <w:pPr>
        <w:pStyle w:val="TextBody"/>
        <w:spacing w:before="0" w:after="0"/>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40" w:before="0" w:after="24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Dissenters’ Rights of Appraisal and Payment</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pStyle w:val="TextBody"/>
        <w:spacing w:lineRule="auto" w:line="240" w:before="0" w:after="24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Stockholders’ Derivative Actions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pStyle w:val="TextBody"/>
        <w:spacing w:lineRule="auto" w:line="240" w:before="0" w:after="24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Exclusive Forum</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w:t>
      </w:r>
    </w:p>
    <w:p>
      <w:pPr>
        <w:pStyle w:val="TextBody"/>
        <w:spacing w:lineRule="auto" w:line="240" w:before="0" w:after="24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Limitation on Liability and Indemnification of Directors and Officers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r>
        <w:br w:type="page"/>
      </w:r>
    </w:p>
    <w:p>
      <w:pPr>
        <w:pStyle w:val="TextBody"/>
        <w:spacing w:before="0" w:after="0"/>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Company’s current certificate of incorporation provides that we must indemnify and advance expenses to our directors and officers to the full extent authorized by the DGCL.</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maintains and expect to maintain standard policies of insurance that provide coverage (1) to its directors and officers against loss rising from claims made by reason of breach of duty or other wrongful act and (2) to the Company with respect to indemnification payments that the Company may make to such directors and officers.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believes that these provisions, the insurance and the indemnity agreements are necessary to attract and retain talented and experienced officers and directors.</w:t>
      </w:r>
    </w:p>
    <w:p>
      <w:pPr>
        <w:pStyle w:val="TextBody"/>
        <w:spacing w:lineRule="auto" w:line="240" w:before="0" w:after="240"/>
        <w:rPr>
          <w:rFonts w:ascii="Times New Roman;sans-serif" w:hAnsi="Times New Roman;sans-serif"/>
          <w:b/>
          <w:color w:val="000000"/>
          <w:sz w:val="20"/>
          <w:highlight w:val="white"/>
        </w:rPr>
      </w:pPr>
      <w:r>
        <w:rPr>
          <w:rFonts w:ascii="Times New Roman;sans-serif" w:hAnsi="Times New Roman;sans-serif"/>
          <w:b/>
          <w:color w:val="000000"/>
          <w:sz w:val="20"/>
          <w:highlight w:val="white"/>
        </w:rPr>
        <w:t>Our Transfer Agent and Warrant Agent</w:t>
      </w:r>
    </w:p>
    <w:p>
      <w:pPr>
        <w:pStyle w:val="TextBody"/>
        <w:spacing w:lineRule="auto" w:line="240" w:before="0" w:after="2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transfer agent for our common stock and warrant agent for our warrants is Equiniti Trust Company. We have agreed to indemnify Equiniti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240"/>
        <w:ind w:left="0" w:right="0" w:firstLine="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116" w:after="283"/>
        <w:jc w:val="both"/>
        <w:rPr/>
      </w:pPr>
      <w:r>
        <w:rPr>
          <w:color w:val="000000"/>
        </w:rPr>
        <w:t>    </w:t>
      </w:r>
      <w:r>
        <w:rPr>
          <w:rFonts w:ascii="Times New Roman;sans-serif" w:hAnsi="Times New Roman;sans-serif"/>
          <w:b/>
          <w:color w:val="000000"/>
          <w:sz w:val="22"/>
        </w:rPr>
        <w:t>Exhibit 10.27    </w:t>
      </w:r>
      <w:r>
        <w:rPr>
          <w:color w:val="000000"/>
        </w:rPr>
        <w:t>                </w:t>
      </w:r>
    </w:p>
    <w:p>
      <w:pPr>
        <w:pStyle w:val="TextBody"/>
        <w:spacing w:lineRule="auto" w:line="633" w:before="156"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October 29, 2021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Gagan Dhingra</w:t>
      </w:r>
    </w:p>
    <w:p>
      <w:pPr>
        <w:pStyle w:val="TextBody"/>
        <w:spacing w:before="7" w:after="283"/>
        <w:jc w:val="both"/>
        <w:rPr/>
      </w:pPr>
      <w:r>
        <w:rPr/>
      </w:r>
    </w:p>
    <w:p>
      <w:pPr>
        <w:pStyle w:val="TextBody"/>
        <w:spacing w:lineRule="auto" w:line="5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 Offer of Employment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Dear Gagan Dhingra,</w:t>
      </w:r>
    </w:p>
    <w:p>
      <w:pPr>
        <w:pStyle w:val="TextBody"/>
        <w:spacing w:before="0" w:after="0"/>
        <w:jc w:val="both"/>
        <w:rPr/>
      </w:pPr>
      <w:r>
        <w:rPr/>
      </w:r>
    </w:p>
    <w:p>
      <w:pPr>
        <w:pStyle w:val="TextBody"/>
        <w:spacing w:lineRule="auto" w:line="24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 gives me great pleasure to offer you the Exempt position with Lucid USA, Inc. (doing business as Lucid Motors) (the “Company”) as VP of Accounting and Internal Controls at our Newark, CA location reporting to Sherry House. You will be appointed as the Company's Principal Accounting Officer, which will also be a Section 16 Officer position under the SEC rules. Your start date is December 13, 2021 (“Hire Date”). The terms and conditions of your employment with the Company will be as set forth below.</w:t>
      </w:r>
    </w:p>
    <w:p>
      <w:pPr>
        <w:pStyle w:val="TextBody"/>
        <w:spacing w:before="1" w:after="283"/>
        <w:jc w:val="both"/>
        <w:rPr/>
      </w:pPr>
      <w:r>
        <w:rPr/>
      </w:r>
    </w:p>
    <w:p>
      <w:pPr>
        <w:pStyle w:val="TextBody"/>
        <w:spacing w:lineRule="auto" w:line="240"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Base Salary and Other Compensation</w:t>
      </w:r>
    </w:p>
    <w:p>
      <w:pPr>
        <w:pStyle w:val="TextBody"/>
        <w:spacing w:before="0" w:after="0"/>
        <w:jc w:val="both"/>
        <w:rPr/>
      </w:pPr>
      <w:r>
        <w:rPr/>
      </w:r>
    </w:p>
    <w:p>
      <w:pPr>
        <w:pStyle w:val="TextBody"/>
        <w:spacing w:lineRule="auto" w:line="24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You will be paid the following compensation during your employment:</w:t>
      </w:r>
    </w:p>
    <w:p>
      <w:pPr>
        <w:pStyle w:val="TextBody"/>
        <w:spacing w:before="10" w:after="283"/>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You will be paid a base salary of $330,000 annualized, less applicable tax and other withholdings.</w:t>
      </w:r>
    </w:p>
    <w:p>
      <w:pPr>
        <w:pStyle w:val="TextBody"/>
        <w:spacing w:before="3" w:after="283"/>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In addition to your base salary, you will be eligible to earn a target incentive bonus of up to 50% of your base salary, less applicable tax and other withholdings, as determined by the Company in its discretion based upon the Company's performance and your individual performance. The bonus will be paid in the first quarter of the following year on a date determined by the Company in its sole discretion. You must be employed on the date the bonus is paid to be eligible to receive the bonus. There will be no target incentive bonus for the 2021 fiscal year and your eligibility for this bonus will begin on January 1, 2022 for the performance year of 2022.</w:t>
      </w:r>
    </w:p>
    <w:p>
      <w:pPr>
        <w:pStyle w:val="TextBody"/>
        <w:spacing w:before="0" w:after="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The Company is pleased to offer you a one-time sign-on bonus of $100,000 less applicable tax and other withholdings. While the sign-on bonus will be advanced in the first 30 days after you join the Company, this sign-on bonus will only become earned in the event that you successfully complete one year of employment with Company in good standing. If you resign from your employment with Company or are terminated for misconduct, moral turpitude, failure to perform your duties, or serious or repeated breach of company policies before the first anniversary of your Hire Date, you will immediately repay the Company the full (gross) amount of this sign-on bonus.</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Severance</w:t>
      </w:r>
    </w:p>
    <w:p>
      <w:pPr>
        <w:pStyle w:val="TextBody"/>
        <w:spacing w:before="2" w:after="283"/>
        <w:jc w:val="both"/>
        <w:rPr/>
      </w:pPr>
      <w:r>
        <w:rPr/>
      </w:r>
    </w:p>
    <w:p>
      <w:pPr>
        <w:pStyle w:val="TextBody"/>
        <w:spacing w:lineRule="auto" w:line="24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You will be eligible to participate in the Lucid USA, Inc. Severance Benefit Plan. The summary of the plan’s benefits that you are eligible to receive pursuant to the Plan is described in the table below. Upon your acceptance and after your start with Lucid Motors, you will receive a full plan document for your review and signature.</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125"/>
        <w:gridCol w:w="988"/>
        <w:gridCol w:w="993"/>
        <w:gridCol w:w="705"/>
        <w:gridCol w:w="705"/>
        <w:gridCol w:w="707"/>
        <w:gridCol w:w="582"/>
        <w:gridCol w:w="582"/>
        <w:gridCol w:w="584"/>
        <w:gridCol w:w="944"/>
        <w:gridCol w:w="944"/>
        <w:gridCol w:w="1346"/>
      </w:tblGrid>
      <w:tr>
        <w:trPr/>
        <w:tc>
          <w:tcPr>
            <w:tcW w:w="1125"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r>
      <w:tr>
        <w:trPr/>
        <w:tc>
          <w:tcPr>
            <w:tcW w:w="3106" w:type="dxa"/>
            <w:gridSpan w:val="3"/>
            <w:tcBorders>
              <w:top w:val="single" w:sz="4" w:space="0" w:color="000000"/>
              <w:left w:val="single" w:sz="4" w:space="0" w:color="000000"/>
            </w:tcBorders>
            <w:shd w:fill="E7E6E6" w:val="clear"/>
            <w:tcMar>
              <w:bottom w:w="0" w:type="dxa"/>
              <w:right w:w="0" w:type="dxa"/>
            </w:tcMar>
            <w:vAlign w:val="center"/>
          </w:tcPr>
          <w:p>
            <w:pPr>
              <w:pStyle w:val="TableContents"/>
              <w:spacing w:before="0" w:after="283"/>
              <w:rPr>
                <w:sz w:val="4"/>
                <w:szCs w:val="4"/>
              </w:rPr>
            </w:pPr>
            <w:r>
              <w:rPr>
                <w:sz w:val="4"/>
                <w:szCs w:val="4"/>
              </w:rPr>
            </w:r>
          </w:p>
        </w:tc>
        <w:tc>
          <w:tcPr>
            <w:tcW w:w="2117" w:type="dxa"/>
            <w:gridSpan w:val="3"/>
            <w:tcBorders>
              <w:top w:val="single" w:sz="4" w:space="0" w:color="000000"/>
              <w:left w:val="single" w:sz="4" w:space="0" w:color="000000"/>
            </w:tcBorders>
            <w:shd w:fill="E7E6E6" w:val="clear"/>
            <w:tcMar>
              <w:top w:w="30" w:type="dxa"/>
              <w:bottom w:w="0" w:type="dxa"/>
              <w:right w:w="0" w:type="dxa"/>
            </w:tcMar>
            <w:vAlign w:val="center"/>
          </w:tcPr>
          <w:p>
            <w:pPr>
              <w:pStyle w:val="TableContents"/>
              <w:spacing w:lineRule="auto" w:line="273" w:before="0" w:after="0"/>
              <w:jc w:val="left"/>
              <w:rPr>
                <w:rFonts w:ascii="Times New Roman;sans-serif" w:hAnsi="Times New Roman;sans-serif"/>
                <w:b/>
                <w:color w:val="000000"/>
                <w:sz w:val="22"/>
              </w:rPr>
            </w:pPr>
            <w:r>
              <w:rPr>
                <w:rFonts w:ascii="Times New Roman;sans-serif" w:hAnsi="Times New Roman;sans-serif"/>
                <w:b/>
                <w:color w:val="000000"/>
                <w:sz w:val="22"/>
              </w:rPr>
              <w:t>Salary Continuation</w:t>
            </w:r>
          </w:p>
        </w:tc>
        <w:tc>
          <w:tcPr>
            <w:tcW w:w="1748" w:type="dxa"/>
            <w:gridSpan w:val="3"/>
            <w:tcBorders>
              <w:top w:val="single" w:sz="4" w:space="0" w:color="000000"/>
              <w:left w:val="single" w:sz="4" w:space="0" w:color="000000"/>
            </w:tcBorders>
            <w:shd w:fill="E7E6E6"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Maximum Duration of COBRA</w:t>
            </w:r>
          </w:p>
          <w:p>
            <w:pPr>
              <w:pStyle w:val="TableContents"/>
              <w:spacing w:lineRule="auto" w:line="254" w:before="0" w:after="0"/>
              <w:jc w:val="center"/>
              <w:rPr>
                <w:rFonts w:ascii="Times New Roman;sans-serif" w:hAnsi="Times New Roman;sans-serif"/>
                <w:b/>
                <w:color w:val="000000"/>
                <w:sz w:val="22"/>
              </w:rPr>
            </w:pPr>
            <w:r>
              <w:rPr>
                <w:rFonts w:ascii="Times New Roman;sans-serif" w:hAnsi="Times New Roman;sans-serif"/>
                <w:b/>
                <w:color w:val="000000"/>
                <w:sz w:val="22"/>
              </w:rPr>
              <w:t>Payment Period</w:t>
            </w:r>
          </w:p>
        </w:tc>
        <w:tc>
          <w:tcPr>
            <w:tcW w:w="3234" w:type="dxa"/>
            <w:gridSpan w:val="3"/>
            <w:tcBorders>
              <w:top w:val="single" w:sz="4" w:space="0" w:color="000000"/>
              <w:left w:val="single" w:sz="4" w:space="0" w:color="000000"/>
              <w:right w:val="single" w:sz="4" w:space="0" w:color="000000"/>
            </w:tcBorders>
            <w:shd w:fill="E7E6E6" w:val="clear"/>
            <w:tcMar>
              <w:top w:w="30" w:type="dxa"/>
              <w:bottom w:w="0" w:type="dxa"/>
            </w:tcMar>
            <w:vAlign w:val="center"/>
          </w:tcPr>
          <w:p>
            <w:pPr>
              <w:pStyle w:val="TableContents"/>
              <w:spacing w:lineRule="auto" w:line="276" w:before="0" w:after="0"/>
              <w:ind w:left="0" w:right="0" w:hanging="1"/>
              <w:jc w:val="center"/>
              <w:rPr>
                <w:rFonts w:ascii="Times New Roman;sans-serif" w:hAnsi="Times New Roman;sans-serif"/>
                <w:b/>
                <w:color w:val="000000"/>
                <w:sz w:val="22"/>
              </w:rPr>
            </w:pPr>
            <w:r>
              <w:rPr>
                <w:rFonts w:ascii="Times New Roman;sans-serif" w:hAnsi="Times New Roman;sans-serif"/>
                <w:b/>
                <w:color w:val="000000"/>
                <w:sz w:val="22"/>
              </w:rPr>
              <w:t>Percentage of Outstanding Unvested Equity Awards That Will Accelerate</w:t>
            </w:r>
          </w:p>
        </w:tc>
      </w:tr>
      <w:tr>
        <w:trPr/>
        <w:tc>
          <w:tcPr>
            <w:tcW w:w="3106" w:type="dxa"/>
            <w:gridSpan w:val="3"/>
            <w:tcBorders>
              <w:top w:val="single" w:sz="4" w:space="0" w:color="000000"/>
              <w:left w:val="single" w:sz="4" w:space="0" w:color="000000"/>
            </w:tcBorders>
            <w:shd w:fill="E7E6E6" w:val="clear"/>
            <w:tcMar>
              <w:top w:w="30" w:type="dxa"/>
              <w:bottom w:w="0" w:type="dxa"/>
              <w:right w:w="0" w:type="dxa"/>
            </w:tcMar>
            <w:vAlign w:val="center"/>
          </w:tcPr>
          <w:p>
            <w:pPr>
              <w:pStyle w:val="TableContents"/>
              <w:spacing w:lineRule="auto" w:line="276" w:before="0" w:after="0"/>
              <w:jc w:val="both"/>
              <w:rPr>
                <w:rFonts w:ascii="Times New Roman;sans-serif" w:hAnsi="Times New Roman;sans-serif"/>
                <w:b/>
                <w:color w:val="000000"/>
                <w:sz w:val="22"/>
              </w:rPr>
            </w:pPr>
            <w:r>
              <w:rPr>
                <w:rFonts w:ascii="Times New Roman;sans-serif" w:hAnsi="Times New Roman;sans-serif"/>
                <w:b/>
                <w:color w:val="000000"/>
                <w:sz w:val="22"/>
              </w:rPr>
              <w:t>Qualifying Termination that is NOT a Change of Control Termination</w:t>
            </w:r>
          </w:p>
        </w:tc>
        <w:tc>
          <w:tcPr>
            <w:tcW w:w="211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 months of your Monthly Base Salary</w:t>
            </w:r>
          </w:p>
        </w:tc>
        <w:tc>
          <w:tcPr>
            <w:tcW w:w="1748"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 months</w:t>
            </w:r>
          </w:p>
        </w:tc>
        <w:tc>
          <w:tcPr>
            <w:tcW w:w="3234" w:type="dxa"/>
            <w:gridSpan w:val="3"/>
            <w:tcBorders>
              <w:top w:val="single" w:sz="4" w:space="0" w:color="000000"/>
              <w:left w:val="single" w:sz="4" w:space="0" w:color="000000"/>
              <w:right w:val="single" w:sz="4" w:space="0" w:color="000000"/>
            </w:tcBorders>
            <w:shd w:fill="auto" w:val="clear"/>
            <w:tcMar>
              <w:top w:w="30" w:type="dxa"/>
              <w:left w:w="129" w:type="dxa"/>
              <w:bottom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0%</w:t>
            </w:r>
          </w:p>
        </w:tc>
      </w:tr>
      <w:tr>
        <w:trPr/>
        <w:tc>
          <w:tcPr>
            <w:tcW w:w="3106" w:type="dxa"/>
            <w:gridSpan w:val="3"/>
            <w:tcBorders>
              <w:top w:val="single" w:sz="4" w:space="0" w:color="000000"/>
              <w:left w:val="single" w:sz="4" w:space="0" w:color="000000"/>
              <w:bottom w:val="single" w:sz="4" w:space="0" w:color="000000"/>
            </w:tcBorders>
            <w:shd w:fill="E7E6E6" w:val="clear"/>
            <w:tcMar>
              <w:top w:w="30" w:type="dxa"/>
              <w:bottom w:w="30" w:type="dxa"/>
              <w:right w:w="0" w:type="dxa"/>
            </w:tcMar>
            <w:vAlign w:val="center"/>
          </w:tcPr>
          <w:p>
            <w:pPr>
              <w:pStyle w:val="TableContents"/>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Qualifying Termination that is a Change</w:t>
            </w:r>
          </w:p>
          <w:p>
            <w:pPr>
              <w:pStyle w:val="TableContents"/>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of Control Termination</w:t>
            </w:r>
          </w:p>
        </w:tc>
        <w:tc>
          <w:tcPr>
            <w:tcW w:w="2117"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 months of your Monthly Base Salary</w:t>
            </w:r>
          </w:p>
        </w:tc>
        <w:tc>
          <w:tcPr>
            <w:tcW w:w="1748"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7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 months</w:t>
            </w:r>
          </w:p>
        </w:tc>
        <w:tc>
          <w:tcPr>
            <w:tcW w:w="3234"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73"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subject to Modified Economic Cutback</w:t>
            </w:r>
          </w:p>
        </w:tc>
      </w:tr>
    </w:tbl>
    <w:p>
      <w:pPr>
        <w:pStyle w:val="TextBody"/>
        <w:spacing w:before="0" w:after="0"/>
        <w:jc w:val="both"/>
        <w:rPr/>
      </w:pPr>
      <w:r>
        <w:rPr/>
      </w:r>
    </w:p>
    <w:p>
      <w:pPr>
        <w:pStyle w:val="TextBody"/>
        <w:spacing w:before="9" w:after="283"/>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91" w:after="283"/>
        <w:jc w:val="both"/>
        <w:rPr>
          <w:rFonts w:ascii="Times New Roman;sans-serif" w:hAnsi="Times New Roman;sans-serif"/>
          <w:b/>
          <w:color w:val="000000"/>
          <w:sz w:val="22"/>
          <w:u w:val="single"/>
        </w:rPr>
      </w:pPr>
      <w:r>
        <w:rPr>
          <w:rFonts w:ascii="Times New Roman;sans-serif" w:hAnsi="Times New Roman;sans-serif"/>
          <w:b/>
          <w:color w:val="000000"/>
          <w:sz w:val="22"/>
          <w:u w:val="single"/>
        </w:rPr>
        <w:t>Employee Benefits</w:t>
      </w:r>
    </w:p>
    <w:p>
      <w:pPr>
        <w:pStyle w:val="TextBody"/>
        <w:spacing w:before="0" w:after="0"/>
        <w:jc w:val="both"/>
        <w:rPr/>
      </w:pPr>
      <w:r>
        <w:rPr/>
      </w:r>
    </w:p>
    <w:p>
      <w:pPr>
        <w:pStyle w:val="TextBody"/>
        <w:spacing w:lineRule="auto" w:line="24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You will be eligible to participate in the Company employee benefit plans that the Company makes available to similarly-situated employees. The Company provides a competitive benefit package that currently includes major medical, vision, and dental insurance plans, paid time off, flexible spending account and a 401(k) program. The eligibility dates of the benefits are as follows:</w:t>
      </w:r>
    </w:p>
    <w:p>
      <w:pPr>
        <w:pStyle w:val="TextBody"/>
        <w:spacing w:before="11" w:after="283"/>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Group health insurance benefits: commence on hire date</w:t>
      </w:r>
    </w:p>
    <w:p>
      <w:pPr>
        <w:pStyle w:val="TextBody"/>
        <w:spacing w:lineRule="auto" w:line="240" w:before="1" w:after="283"/>
        <w:ind w:left="0" w:right="0" w:hanging="360"/>
        <w:jc w:val="both"/>
        <w:rPr/>
      </w:pPr>
      <w:r>
        <w:rPr>
          <w:color w:val="000000"/>
        </w:rPr>
        <w:t>•</w:t>
      </w:r>
      <w:r>
        <w:rPr>
          <w:rFonts w:ascii="Times New Roman;sans-serif" w:hAnsi="Times New Roman;sans-serif"/>
          <w:b w:val="false"/>
          <w:color w:val="000000"/>
          <w:sz w:val="22"/>
        </w:rPr>
        <w:t>Vacation days and sick days: accrual starts on hire date</w:t>
      </w:r>
    </w:p>
    <w:p>
      <w:pPr>
        <w:pStyle w:val="TextBody"/>
        <w:spacing w:lineRule="auto" w:line="276" w:before="3" w:after="283"/>
        <w:ind w:left="0" w:right="0" w:hanging="360"/>
        <w:jc w:val="both"/>
        <w:rPr/>
      </w:pPr>
      <w:r>
        <w:rPr>
          <w:color w:val="000000"/>
        </w:rPr>
        <w:t>•</w:t>
      </w:r>
      <w:r>
        <w:rPr>
          <w:rFonts w:ascii="Times New Roman;sans-serif" w:hAnsi="Times New Roman;sans-serif"/>
          <w:b w:val="false"/>
          <w:color w:val="000000"/>
          <w:sz w:val="22"/>
        </w:rPr>
        <w:t>Flexible spending account: eligibility starts on hire date but can take up to 3 pay periods before any payroll deductions are actually deposited into account</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401(k) program: eligibility starts on hire date but can take up to 3 pay periods before any payroll deductions are actually deposited into account</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Stock Award</w:t>
      </w:r>
    </w:p>
    <w:p>
      <w:pPr>
        <w:pStyle w:val="TextBody"/>
        <w:spacing w:lineRule="auto" w:line="240" w:before="3" w:after="283"/>
        <w:jc w:val="both"/>
        <w:rPr/>
      </w:pPr>
      <w:r>
        <w:rPr>
          <w:rFonts w:ascii="Times New Roman;sans-serif" w:hAnsi="Times New Roman;sans-serif"/>
          <w:b w:val="false"/>
          <w:color w:val="000000"/>
          <w:sz w:val="22"/>
        </w:rPr>
        <w:t xml:space="preserve">The Company will recommend to the Compensation Committee of the Company’s Parent Company’s Board of Directors or other properly delegated committee or individual that you receive a Lucid Group, Inc. restricted stock unit (“RSUs”) award with a grant date value of approximately $2,200,000 at the next practicable date following your start date on which the Committee or delegate approves equity awards for new hires. The precise number of RSUs will be determined by dividing the approximate grant date value by the average closing price for the thirty-days prior to the date the award is approved. Your RSUs will generally be eligible to vest over four years as follows: 25% will be eligible to vest on the first Company Vesting Date to occur following the first anniversary of your Hire Date, and 1/16th of the total RSUs granted will vest quarterly thereafter on each subsequent “Company Vesting Date” (as defined in the RSU Agreement) subject to your continued employment through each vesting date (the “Vesting Schedule”). “Company Vesting Date” means March 5, June 5, September 5, and December 5 of each calendar year (provided, that to the extent any of the Company Vesting Dates fall on a weekend or Company holiday, that Company Vesting Date instead will be the immediately following business day thereafter). </w:t>
      </w:r>
      <w:r>
        <w:rPr>
          <w:rFonts w:ascii="Times New Roman;sans-serif" w:hAnsi="Times New Roman;sans-serif"/>
          <w:b/>
          <w:color w:val="000000"/>
          <w:sz w:val="22"/>
          <w:u w:val="single"/>
        </w:rPr>
        <w:t>Your RSU</w:t>
      </w:r>
      <w:r>
        <w:rPr>
          <w:color w:val="000000"/>
        </w:rPr>
        <w:t xml:space="preserve"> </w:t>
      </w:r>
      <w:r>
        <w:rPr>
          <w:rFonts w:ascii="Times New Roman;sans-serif" w:hAnsi="Times New Roman;sans-serif"/>
          <w:b/>
          <w:color w:val="000000"/>
          <w:sz w:val="22"/>
          <w:u w:val="single"/>
        </w:rPr>
        <w:t>award is subject in all respects to approval by the Committee or its delegate and the terms and</w:t>
      </w:r>
      <w:r>
        <w:rPr>
          <w:color w:val="000000"/>
        </w:rPr>
        <w:t xml:space="preserve"> </w:t>
      </w:r>
      <w:r>
        <w:rPr>
          <w:rFonts w:ascii="Times New Roman;sans-serif" w:hAnsi="Times New Roman;sans-serif"/>
          <w:b/>
          <w:color w:val="000000"/>
          <w:sz w:val="22"/>
          <w:u w:val="single"/>
        </w:rPr>
        <w:t>conditions of the Company’s then-applicable equity incentive plan and RSU Award Agreement, each</w:t>
      </w:r>
      <w:r>
        <w:rPr>
          <w:color w:val="000000"/>
        </w:rPr>
        <w:t xml:space="preserve"> </w:t>
      </w:r>
      <w:r>
        <w:rPr>
          <w:rFonts w:ascii="Times New Roman;sans-serif" w:hAnsi="Times New Roman;sans-serif"/>
          <w:b/>
          <w:color w:val="000000"/>
          <w:sz w:val="22"/>
          <w:u w:val="single"/>
        </w:rPr>
        <w:t>of which will be provided to you as soon as practical after the Committee approves your Award.</w:t>
      </w:r>
    </w:p>
    <w:p>
      <w:pPr>
        <w:pStyle w:val="TextBody"/>
        <w:spacing w:before="2" w:after="283"/>
        <w:jc w:val="both"/>
        <w:rPr/>
      </w:pPr>
      <w:r>
        <w:rPr/>
      </w:r>
    </w:p>
    <w:p>
      <w:pPr>
        <w:pStyle w:val="TextBody"/>
        <w:spacing w:lineRule="auto" w:line="240" w:before="90" w:after="283"/>
        <w:jc w:val="both"/>
        <w:rPr>
          <w:rFonts w:ascii="Times New Roman;sans-serif" w:hAnsi="Times New Roman;sans-serif"/>
          <w:b/>
          <w:color w:val="000000"/>
          <w:sz w:val="22"/>
          <w:u w:val="single"/>
        </w:rPr>
      </w:pPr>
      <w:r>
        <w:rPr>
          <w:rFonts w:ascii="Times New Roman;sans-serif" w:hAnsi="Times New Roman;sans-serif"/>
          <w:b/>
          <w:color w:val="000000"/>
          <w:sz w:val="22"/>
          <w:u w:val="single"/>
        </w:rPr>
        <w:t>Proof of Right to Work</w:t>
      </w:r>
    </w:p>
    <w:p>
      <w:pPr>
        <w:pStyle w:val="TextBody"/>
        <w:spacing w:before="1" w:after="283"/>
        <w:jc w:val="both"/>
        <w:rPr/>
      </w:pPr>
      <w:r>
        <w:rPr/>
      </w:r>
    </w:p>
    <w:p>
      <w:pPr>
        <w:pStyle w:val="TextBody"/>
        <w:spacing w:lineRule="auto" w:line="24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Your employment is contingent upon providing appropriate documentation for the completion of your new hire forms, including proof that you are presently eligible to work in the United States for I-9 form purposes. Failure to provide appropriate documentation within three days of your hire date will result in immediate termination of employment in accordance with the terms of the Immigration Reform and Control Act.</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color w:val="000000"/>
          <w:sz w:val="22"/>
          <w:u w:val="single"/>
        </w:rPr>
      </w:pPr>
      <w:r>
        <w:rPr>
          <w:rFonts w:ascii="Times New Roman;sans-serif" w:hAnsi="Times New Roman;sans-serif"/>
          <w:b/>
          <w:color w:val="000000"/>
          <w:sz w:val="22"/>
          <w:u w:val="single"/>
        </w:rPr>
        <w:t>Confidential Information and Invention Assignment Agreement</w:t>
      </w:r>
    </w:p>
    <w:p>
      <w:pPr>
        <w:pStyle w:val="TextBody"/>
        <w:spacing w:before="0" w:after="0"/>
        <w:jc w:val="both"/>
        <w:rPr/>
      </w:pPr>
      <w:r>
        <w:rPr/>
      </w:r>
    </w:p>
    <w:p>
      <w:pPr>
        <w:pStyle w:val="TextBody"/>
        <w:spacing w:lineRule="auto" w:line="240" w:before="91" w:after="283"/>
        <w:jc w:val="both"/>
        <w:rPr/>
      </w:pPr>
      <w:r>
        <w:rPr>
          <w:rFonts w:ascii="Times New Roman;sans-serif" w:hAnsi="Times New Roman;sans-serif"/>
          <w:b w:val="false"/>
          <w:color w:val="000000"/>
          <w:sz w:val="22"/>
        </w:rPr>
        <w:t>Your acceptance of this offer and commencement of employment with the Company is contingent upon the execution, and delivery to an officer of the Company, of the Company’s Confidential Information and Invention Assignment Agreement, a copy of which is enclosed for your review and execution (the “</w:t>
      </w:r>
      <w:r>
        <w:rPr>
          <w:rFonts w:ascii="Times New Roman;sans-serif" w:hAnsi="Times New Roman;sans-serif"/>
          <w:b w:val="false"/>
          <w:color w:val="000000"/>
          <w:sz w:val="22"/>
          <w:u w:val="single"/>
        </w:rPr>
        <w:t>Confidentiality Agreement</w:t>
      </w:r>
      <w:r>
        <w:rPr>
          <w:color w:val="000000"/>
        </w:rPr>
        <w:t>”</w:t>
      </w:r>
      <w:r>
        <w:rPr>
          <w:rFonts w:ascii="Times New Roman;sans-serif" w:hAnsi="Times New Roman;sans-serif"/>
          <w:b w:val="false"/>
          <w:color w:val="000000"/>
          <w:sz w:val="22"/>
        </w:rPr>
        <w:t>), prior to or on your Hire Date.</w:t>
      </w:r>
    </w:p>
    <w:p>
      <w:pPr>
        <w:pStyle w:val="TextBody"/>
        <w:spacing w:before="2" w:after="283"/>
        <w:jc w:val="both"/>
        <w:rPr/>
      </w:pPr>
      <w:r>
        <w:rPr/>
      </w:r>
    </w:p>
    <w:p>
      <w:pPr>
        <w:pStyle w:val="TextBody"/>
        <w:spacing w:lineRule="auto" w:line="240" w:before="91" w:after="283"/>
        <w:jc w:val="both"/>
        <w:rPr>
          <w:rFonts w:ascii="Times New Roman;sans-serif" w:hAnsi="Times New Roman;sans-serif"/>
          <w:b/>
          <w:color w:val="000000"/>
          <w:sz w:val="22"/>
          <w:u w:val="single"/>
        </w:rPr>
      </w:pPr>
      <w:r>
        <w:rPr>
          <w:rFonts w:ascii="Times New Roman;sans-serif" w:hAnsi="Times New Roman;sans-serif"/>
          <w:b/>
          <w:color w:val="000000"/>
          <w:sz w:val="22"/>
          <w:u w:val="single"/>
        </w:rPr>
        <w:t>Background Checks</w:t>
      </w:r>
    </w:p>
    <w:p>
      <w:pPr>
        <w:pStyle w:val="TextBody"/>
        <w:spacing w:before="0" w:after="0"/>
        <w:jc w:val="both"/>
        <w:rPr/>
      </w:pPr>
      <w:r>
        <w:rPr/>
      </w:r>
    </w:p>
    <w:p>
      <w:pPr>
        <w:pStyle w:val="TextBody"/>
        <w:spacing w:lineRule="auto" w:line="24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offer is contingent upon the successful completion (as determined by the Company) of any background or reference checks desired by the Company as well as a pre-employment drug screening (if required for your role). If a drug screen is required for your role, HireRight will contact you and provide you direction as to when and how to complete the drug screen.</w:t>
      </w:r>
    </w:p>
    <w:p>
      <w:pPr>
        <w:pStyle w:val="TextBody"/>
        <w:spacing w:before="0" w:after="0"/>
        <w:jc w:val="both"/>
        <w:rPr/>
      </w:pPr>
      <w:r>
        <w:rPr/>
      </w:r>
    </w:p>
    <w:p>
      <w:pPr>
        <w:pStyle w:val="TextBody"/>
        <w:spacing w:lineRule="auto" w:line="24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Additionally, due to the impact of Covid-19, some background checks cannot be completed. In the event that we cannot complete it, we would like to start your employment in accordance with this employment offer. Your continued employment will be contingent upon a satisfactory background check.</w:t>
      </w:r>
    </w:p>
    <w:p>
      <w:pPr>
        <w:pStyle w:val="TextBody"/>
        <w:spacing w:before="10" w:after="283"/>
        <w:jc w:val="both"/>
        <w:rPr/>
      </w:pPr>
      <w:r>
        <w:rPr/>
      </w:r>
    </w:p>
    <w:p>
      <w:pPr>
        <w:pStyle w:val="TextBody"/>
        <w:spacing w:lineRule="auto" w:line="240"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Driver’s License Information</w:t>
      </w:r>
    </w:p>
    <w:p>
      <w:pPr>
        <w:pStyle w:val="TextBody"/>
        <w:spacing w:before="5" w:after="283"/>
        <w:jc w:val="both"/>
        <w:rPr/>
      </w:pPr>
      <w:r>
        <w:rPr/>
      </w:r>
    </w:p>
    <w:p>
      <w:pPr>
        <w:pStyle w:val="TextBody"/>
        <w:spacing w:lineRule="auto" w:line="24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driving will be one of the essential functions of your job, as a further condition of your employment, you must: (a) authorize the Company to conduct a DMV (or similar) check of your driving record; (b) have maintained an excellent driving record (as determined by the Company in its discretion) for at least the past five (5) years; (c) currently have the appropriate license for the type of driving you will be doing on behalf of the Company; (d) maintain the appropriate license for the type of driving you will be doing on behalf of the Company at all times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during your employment; and (e) maintain an excellent driving record (as determined by the Company in its discretion) at all times during your employment with the Company.</w:t>
      </w:r>
    </w:p>
    <w:p>
      <w:pPr>
        <w:pStyle w:val="TextBody"/>
        <w:spacing w:before="8" w:after="283"/>
        <w:jc w:val="both"/>
        <w:rPr/>
      </w:pPr>
      <w:r>
        <w:rPr/>
      </w:r>
    </w:p>
    <w:p>
      <w:pPr>
        <w:pStyle w:val="TextBody"/>
        <w:spacing w:lineRule="auto" w:line="240" w:before="1" w:after="283"/>
        <w:jc w:val="both"/>
        <w:rPr>
          <w:rFonts w:ascii="Times New Roman;sans-serif" w:hAnsi="Times New Roman;sans-serif"/>
          <w:b/>
          <w:color w:val="000000"/>
          <w:sz w:val="22"/>
          <w:u w:val="single"/>
        </w:rPr>
      </w:pPr>
      <w:r>
        <w:rPr>
          <w:rFonts w:ascii="Times New Roman;sans-serif" w:hAnsi="Times New Roman;sans-serif"/>
          <w:b/>
          <w:color w:val="000000"/>
          <w:sz w:val="22"/>
          <w:u w:val="single"/>
        </w:rPr>
        <w:t>Return of Materials</w:t>
      </w:r>
    </w:p>
    <w:p>
      <w:pPr>
        <w:pStyle w:val="TextBody"/>
        <w:spacing w:before="5" w:after="283"/>
        <w:jc w:val="both"/>
        <w:rPr/>
      </w:pPr>
      <w:r>
        <w:rPr/>
      </w:r>
    </w:p>
    <w:p>
      <w:pPr>
        <w:pStyle w:val="TextBody"/>
        <w:spacing w:lineRule="auto" w:line="24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Prior to your employment with the Company, you shall return all materials to your former employer or client, including any electronic storage devices, and ensure that you have not retained any files or records of your former employer or client on any media, including cloud-based storage systems.</w:t>
      </w:r>
    </w:p>
    <w:p>
      <w:pPr>
        <w:pStyle w:val="TextBody"/>
        <w:spacing w:before="9" w:after="283"/>
        <w:jc w:val="both"/>
        <w:rPr/>
      </w:pPr>
      <w:r>
        <w:rPr/>
      </w:r>
    </w:p>
    <w:p>
      <w:pPr>
        <w:pStyle w:val="TextBody"/>
        <w:spacing w:lineRule="auto" w:line="240" w:before="1" w:after="283"/>
        <w:jc w:val="both"/>
        <w:rPr>
          <w:rFonts w:ascii="Times New Roman;sans-serif" w:hAnsi="Times New Roman;sans-serif"/>
          <w:b/>
          <w:color w:val="000000"/>
          <w:sz w:val="22"/>
          <w:u w:val="single"/>
        </w:rPr>
      </w:pPr>
      <w:r>
        <w:rPr>
          <w:rFonts w:ascii="Times New Roman;sans-serif" w:hAnsi="Times New Roman;sans-serif"/>
          <w:b/>
          <w:color w:val="000000"/>
          <w:sz w:val="22"/>
          <w:u w:val="single"/>
        </w:rPr>
        <w:t>At-Will Employment</w:t>
      </w:r>
    </w:p>
    <w:p>
      <w:pPr>
        <w:pStyle w:val="TextBody"/>
        <w:spacing w:before="0" w:after="0"/>
        <w:jc w:val="both"/>
        <w:rPr/>
      </w:pPr>
      <w:r>
        <w:rPr/>
      </w:r>
    </w:p>
    <w:p>
      <w:pPr>
        <w:pStyle w:val="TextBody"/>
        <w:spacing w:lineRule="auto" w:line="24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Your employment with the Company is “at will,” and thus you or the Company may terminate our employment relationship at any time, with or without cause or advance notice. The Company reserves the right, in its sole discretion, to change your position, duties, compensation, and/or employee benefits at any time on a prospective basis. This Offer of Employment shall be governed by and construed under the laws of the state in which Lucid Motors employs you at hire, without regard to conflict of law principles.</w:t>
      </w:r>
    </w:p>
    <w:p>
      <w:pPr>
        <w:pStyle w:val="TextBody"/>
        <w:spacing w:before="10" w:after="283"/>
        <w:jc w:val="both"/>
        <w:rPr/>
      </w:pPr>
      <w:r>
        <w:rPr/>
      </w:r>
    </w:p>
    <w:p>
      <w:pPr>
        <w:pStyle w:val="TextBody"/>
        <w:spacing w:lineRule="auto" w:line="240"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Integration and Modification</w:t>
      </w:r>
    </w:p>
    <w:p>
      <w:pPr>
        <w:pStyle w:val="TextBody"/>
        <w:spacing w:before="1" w:after="283"/>
        <w:jc w:val="both"/>
        <w:rPr/>
      </w:pPr>
      <w:r>
        <w:rPr/>
      </w:r>
    </w:p>
    <w:p>
      <w:pPr>
        <w:pStyle w:val="TextBody"/>
        <w:spacing w:lineRule="auto" w:line="240" w:before="9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Offer of Employment, together with any other documents described herein, sets forth the terms and conditions of our offer of employment with the Company, and supersedes any prior representations or agreements concerning your employment with the Company, whether written or oral. You acknowledge and agree that you are not relying on any statements or representations concerning the Company or your employment with the Company.</w:t>
      </w:r>
    </w:p>
    <w:p>
      <w:pPr>
        <w:pStyle w:val="TextBody"/>
        <w:spacing w:before="0" w:after="0"/>
        <w:jc w:val="both"/>
        <w:rPr/>
      </w:pPr>
      <w:r>
        <w:rPr/>
      </w:r>
    </w:p>
    <w:p>
      <w:pPr>
        <w:pStyle w:val="TextBody"/>
        <w:spacing w:lineRule="auto" w:line="240" w:before="9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welcome you to Lucid Motors and look forward to working with you. We trust that it will be a mutually rewarding experience. The offer of employment contained herein will expire at the close of business on November 5, 2021; please confirm your acceptance of this offer by signing and dating this offer on the spaces below and returning it to me prior to that time.</w:t>
      </w:r>
    </w:p>
    <w:p>
      <w:pPr>
        <w:pStyle w:val="TextBody"/>
        <w:spacing w:before="0" w:after="0"/>
        <w:jc w:val="both"/>
        <w:rPr/>
      </w:pPr>
      <w:r>
        <w:rPr/>
      </w:r>
    </w:p>
    <w:p>
      <w:pPr>
        <w:pStyle w:val="TextBody"/>
        <w:spacing w:lineRule="auto" w:line="240" w:before="139"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Sincerely,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 Michael Carter</w:t>
      </w:r>
    </w:p>
    <w:p>
      <w:pPr>
        <w:pStyle w:val="TextBody"/>
        <w:spacing w:lineRule="auto" w:line="240" w:before="0" w:after="0"/>
        <w:jc w:val="both"/>
        <w:rPr/>
      </w:pPr>
      <w:r>
        <w:rPr/>
        <w:drawing>
          <wp:inline distT="0" distB="63500" distL="0" distR="0">
            <wp:extent cx="1600200" cy="14605"/>
            <wp:effectExtent l="0" t="0" r="0" b="0"/>
            <wp:docPr id="1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 descr=""/>
                    <pic:cNvPicPr>
                      <a:picLocks noChangeAspect="1" noChangeArrowheads="1"/>
                    </pic:cNvPicPr>
                  </pic:nvPicPr>
                  <pic:blipFill>
                    <a:blip r:embed="rId44"/>
                    <a:stretch>
                      <a:fillRect/>
                    </a:stretch>
                  </pic:blipFill>
                  <pic:spPr bwMode="auto">
                    <a:xfrm>
                      <a:off x="0" y="0"/>
                      <a:ext cx="1600200" cy="14605"/>
                    </a:xfrm>
                    <a:prstGeom prst="rect">
                      <a:avLst/>
                    </a:prstGeom>
                  </pic:spPr>
                </pic:pic>
              </a:graphicData>
            </a:graphic>
          </wp:inline>
        </w:drawing>
      </w:r>
      <w:r>
        <w:rPr>
          <w:color w:val="000000"/>
        </w:rPr>
        <w:t xml:space="preserve"> </w:t>
      </w:r>
    </w:p>
    <w:p>
      <w:pPr>
        <w:pStyle w:val="TextBody"/>
        <w:spacing w:lineRule="auto" w:line="27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Michael Carter</w:t>
      </w:r>
    </w:p>
    <w:p>
      <w:pPr>
        <w:pStyle w:val="TextBody"/>
        <w:spacing w:lineRule="auto" w:line="240" w:before="2" w:after="283"/>
        <w:jc w:val="both"/>
        <w:rPr>
          <w:rFonts w:ascii="Times New Roman;sans-serif" w:hAnsi="Times New Roman;sans-serif"/>
          <w:b w:val="false"/>
          <w:color w:val="000000"/>
          <w:sz w:val="22"/>
        </w:rPr>
      </w:pPr>
      <w:r>
        <w:rPr>
          <w:rFonts w:ascii="Times New Roman;sans-serif" w:hAnsi="Times New Roman;sans-serif"/>
          <w:b w:val="false"/>
          <w:color w:val="000000"/>
          <w:sz w:val="22"/>
        </w:rPr>
        <w:t>Vice President, People</w:t>
      </w:r>
    </w:p>
    <w:p>
      <w:pPr>
        <w:pStyle w:val="TextBody"/>
        <w:spacing w:before="0" w:after="0"/>
        <w:jc w:val="both"/>
        <w:rPr/>
      </w:pPr>
      <w:r>
        <w:rPr/>
      </w:r>
    </w:p>
    <w:p>
      <w:pPr>
        <w:pStyle w:val="TextBody"/>
        <w:spacing w:before="9" w:after="283"/>
        <w:jc w:val="both"/>
        <w:rPr/>
      </w:pPr>
      <w:r>
        <w:rPr/>
        <w:drawing>
          <wp:inline distT="0" distB="63500" distL="0" distR="0">
            <wp:extent cx="5981700" cy="38100"/>
            <wp:effectExtent l="0" t="0" r="0" b="0"/>
            <wp:docPr id="13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3" descr=""/>
                    <pic:cNvPicPr>
                      <a:picLocks noChangeAspect="1" noChangeArrowheads="1"/>
                    </pic:cNvPicPr>
                  </pic:nvPicPr>
                  <pic:blipFill>
                    <a:blip r:embed="rId45"/>
                    <a:stretch>
                      <a:fillRect/>
                    </a:stretch>
                  </pic:blipFill>
                  <pic:spPr bwMode="auto">
                    <a:xfrm>
                      <a:off x="0" y="0"/>
                      <a:ext cx="5981700" cy="38100"/>
                    </a:xfrm>
                    <a:prstGeom prst="rect">
                      <a:avLst/>
                    </a:prstGeom>
                  </pic:spPr>
                </pic:pic>
              </a:graphicData>
            </a:graphic>
          </wp:inline>
        </w:drawing>
      </w:r>
    </w:p>
    <w:p>
      <w:pPr>
        <w:pStyle w:val="TextBody"/>
        <w:spacing w:before="9" w:after="283"/>
        <w:jc w:val="both"/>
        <w:rPr/>
      </w:pPr>
      <w:r>
        <w:rPr/>
      </w:r>
    </w:p>
    <w:p>
      <w:pPr>
        <w:pStyle w:val="TextBody"/>
        <w:spacing w:lineRule="auto" w:line="240" w:before="9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 have read and understand the terms and conditions set forth in this Offer of Employment. Furthermore, in choosing to accept this employment with Lucid USA, Inc. (dba Lucid Motors), I agree that I am not relying on any representations, whether verbal or written, except as specifically set forth in this Offer of Employment.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 Gagan Dhingra</w:t>
      </w:r>
    </w:p>
    <w:p>
      <w:pPr>
        <w:pStyle w:val="TextBody"/>
        <w:spacing w:lineRule="auto" w:line="240" w:before="8" w:after="283"/>
        <w:jc w:val="both"/>
        <w:rPr/>
      </w:pPr>
      <w:r>
        <w:rPr/>
        <w:drawing>
          <wp:inline distT="0" distB="63500" distL="0" distR="0">
            <wp:extent cx="1600200" cy="14605"/>
            <wp:effectExtent l="0" t="0" r="0" b="0"/>
            <wp:docPr id="13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 descr=""/>
                    <pic:cNvPicPr>
                      <a:picLocks noChangeAspect="1" noChangeArrowheads="1"/>
                    </pic:cNvPicPr>
                  </pic:nvPicPr>
                  <pic:blipFill>
                    <a:blip r:embed="rId46"/>
                    <a:stretch>
                      <a:fillRect/>
                    </a:stretch>
                  </pic:blipFill>
                  <pic:spPr bwMode="auto">
                    <a:xfrm>
                      <a:off x="0" y="0"/>
                      <a:ext cx="1600200" cy="14605"/>
                    </a:xfrm>
                    <a:prstGeom prst="rect">
                      <a:avLst/>
                    </a:prstGeom>
                  </pic:spPr>
                </pic:pic>
              </a:graphicData>
            </a:graphic>
          </wp:inline>
        </w:drawing>
      </w:r>
      <w:r>
        <w:rPr>
          <w:color w:val="000000"/>
        </w:rPr>
        <w:t xml:space="preserve"> </w:t>
      </w:r>
    </w:p>
    <w:p>
      <w:pPr>
        <w:pStyle w:val="TextBody"/>
        <w:spacing w:lineRule="auto" w:line="240" w:before="2" w:after="283"/>
        <w:jc w:val="both"/>
        <w:rPr>
          <w:rFonts w:ascii="Times New Roman;sans-serif" w:hAnsi="Times New Roman;sans-serif"/>
          <w:b w:val="false"/>
          <w:color w:val="000000"/>
          <w:sz w:val="22"/>
        </w:rPr>
      </w:pPr>
      <w:r>
        <w:rPr>
          <w:rFonts w:ascii="Times New Roman;sans-serif" w:hAnsi="Times New Roman;sans-serif"/>
          <w:b w:val="false"/>
          <w:color w:val="000000"/>
          <w:sz w:val="22"/>
        </w:rPr>
        <w:t>Gagan Dhingra</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3" name="Frame1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6" w:after="283"/>
        <w:jc w:val="both"/>
        <w:rPr/>
      </w:pPr>
      <w:r>
        <w:rPr/>
      </w:r>
    </w:p>
    <w:p>
      <w:pPr>
        <w:pStyle w:val="TextBody"/>
        <w:spacing w:lineRule="auto" w:line="240" w:before="91" w:after="283"/>
        <w:jc w:val="both"/>
        <w:rPr>
          <w:rFonts w:ascii="Times New Roman;sans-serif" w:hAnsi="Times New Roman;sans-serif"/>
          <w:b/>
          <w:color w:val="000000"/>
          <w:sz w:val="22"/>
        </w:rPr>
      </w:pPr>
      <w:r>
        <w:rPr>
          <w:rFonts w:ascii="Times New Roman;sans-serif" w:hAnsi="Times New Roman;sans-serif"/>
          <w:b/>
          <w:color w:val="000000"/>
          <w:sz w:val="22"/>
        </w:rPr>
        <w:t>ATTACHMENT A</w:t>
      </w:r>
    </w:p>
    <w:p>
      <w:pPr>
        <w:pStyle w:val="TextBody"/>
        <w:spacing w:before="0" w:after="0"/>
        <w:jc w:val="both"/>
        <w:rPr/>
      </w:pPr>
      <w:r>
        <w:rPr/>
      </w:r>
    </w:p>
    <w:p>
      <w:pPr>
        <w:pStyle w:val="TextBody"/>
        <w:spacing w:lineRule="auto" w:line="240" w:before="91" w:after="283"/>
        <w:jc w:val="both"/>
        <w:rPr>
          <w:rFonts w:ascii="Times New Roman;sans-serif" w:hAnsi="Times New Roman;sans-serif"/>
          <w:b/>
          <w:color w:val="000000"/>
          <w:sz w:val="22"/>
          <w:u w:val="single"/>
        </w:rPr>
      </w:pPr>
      <w:r>
        <w:rPr>
          <w:rFonts w:ascii="Times New Roman;sans-serif" w:hAnsi="Times New Roman;sans-serif"/>
          <w:b/>
          <w:color w:val="000000"/>
          <w:sz w:val="22"/>
          <w:u w:val="single"/>
        </w:rPr>
        <w:t>Sign-On Bonus Repayment Agreement</w:t>
      </w:r>
    </w:p>
    <w:p>
      <w:pPr>
        <w:pStyle w:val="TextBody"/>
        <w:spacing w:before="0" w:after="0"/>
        <w:jc w:val="both"/>
        <w:rPr/>
      </w:pPr>
      <w:r>
        <w:rPr/>
      </w:r>
    </w:p>
    <w:p>
      <w:pPr>
        <w:pStyle w:val="TextBody"/>
        <w:spacing w:lineRule="auto" w:line="28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made by and between Lucid USA, Inc. (dba Lucid Motors USA, Inc.) (hereinafter the “Company”) and Gagan Dhingra (hereinafter “Employee”).</w:t>
      </w:r>
    </w:p>
    <w:p>
      <w:pPr>
        <w:pStyle w:val="TextBody"/>
        <w:spacing w:before="7" w:after="283"/>
        <w:jc w:val="both"/>
        <w:rPr/>
      </w:pPr>
      <w:r>
        <w:rPr/>
      </w:r>
    </w:p>
    <w:p>
      <w:pPr>
        <w:pStyle w:val="TextBody"/>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pleased to advance Employee a one-time sign-on bonus of $100,000 less applicable tax and other withholdings. While the bonus will be advanced in the first 30 days after Employee joins the Company, this sign-on bonus will only become earned in the event that Employee successfully completes one year of employment with Company in good standing. If Employee resigns from their employment with Company or is terminated for misconduct, moral turpitude, failure to perform Employee’s duties, or serious or repeated breach of company policies before the first anniversary of their Hire Date, Employee will not earn the sign-on bonus and will immediately repay Company the full (gross) amount of this sign- on bonus.</w:t>
      </w:r>
    </w:p>
    <w:p>
      <w:pPr>
        <w:pStyle w:val="TextBody"/>
        <w:spacing w:before="6" w:after="283"/>
        <w:jc w:val="both"/>
        <w:rPr/>
      </w:pPr>
      <w:r>
        <w:rPr/>
      </w:r>
    </w:p>
    <w:p>
      <w:pPr>
        <w:pStyle w:val="TextBody"/>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signing below, I acknowledge and understand the above agreement. I further agree to repay the Company the full (gross) amount of $100,000 sign-on bonus on my last date of employment, should my employment end before the first anniversary my employment. By signing below, I further authorize Company to withhold $100,000 from any severance and other final pay owed to me, as permitted by law.</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 Gagan Dhingra</w:t>
      </w:r>
    </w:p>
    <w:p>
      <w:pPr>
        <w:pStyle w:val="TextBody"/>
        <w:spacing w:lineRule="auto" w:line="240" w:before="0" w:after="0"/>
        <w:jc w:val="both"/>
        <w:rPr/>
      </w:pPr>
      <w:r>
        <w:rPr/>
        <w:drawing>
          <wp:inline distT="0" distB="63500" distL="0" distR="0">
            <wp:extent cx="1600200" cy="14605"/>
            <wp:effectExtent l="0" t="0" r="0" b="0"/>
            <wp:docPr id="13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 descr=""/>
                    <pic:cNvPicPr>
                      <a:picLocks noChangeAspect="1" noChangeArrowheads="1"/>
                    </pic:cNvPicPr>
                  </pic:nvPicPr>
                  <pic:blipFill>
                    <a:blip r:embed="rId47"/>
                    <a:stretch>
                      <a:fillRect/>
                    </a:stretch>
                  </pic:blipFill>
                  <pic:spPr bwMode="auto">
                    <a:xfrm>
                      <a:off x="0" y="0"/>
                      <a:ext cx="1600200" cy="14605"/>
                    </a:xfrm>
                    <a:prstGeom prst="rect">
                      <a:avLst/>
                    </a:prstGeom>
                  </pic:spPr>
                </pic:pic>
              </a:graphicData>
            </a:graphic>
          </wp:inline>
        </w:drawing>
      </w:r>
      <w:r>
        <w:rPr>
          <w:color w:val="000000"/>
        </w:rPr>
        <w:t xml:space="preserve">     </w:t>
      </w:r>
    </w:p>
    <w:p>
      <w:pPr>
        <w:pStyle w:val="TextBody"/>
        <w:spacing w:lineRule="auto" w:line="240" w:before="2" w:after="283"/>
        <w:jc w:val="both"/>
        <w:rPr>
          <w:rFonts w:ascii="Times New Roman;sans-serif" w:hAnsi="Times New Roman;sans-serif"/>
          <w:b w:val="false"/>
          <w:color w:val="000000"/>
          <w:sz w:val="22"/>
        </w:rPr>
      </w:pPr>
      <w:r>
        <w:rPr>
          <w:rFonts w:ascii="Times New Roman;sans-serif" w:hAnsi="Times New Roman;sans-serif"/>
          <w:b w:val="false"/>
          <w:color w:val="000000"/>
          <w:sz w:val="22"/>
        </w:rPr>
        <w:t>Gagan Dhingra</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spacing w:before="0" w:after="0"/>
        <w:jc w:val="right"/>
        <w:rPr/>
      </w:pPr>
      <w:r>
        <w:rPr/>
      </w:r>
    </w:p>
    <w:p>
      <w:pPr>
        <w:pStyle w:val="TextBody"/>
        <w:spacing w:before="0" w:after="0"/>
        <w:jc w:val="right"/>
        <w:rPr/>
      </w:pPr>
      <w:r>
        <w:rPr/>
      </w:r>
    </w:p>
    <w:p>
      <w:pPr>
        <w:pStyle w:val="TextBody"/>
        <w:spacing w:before="0" w:after="0"/>
        <w:jc w:val="right"/>
        <w:rPr/>
      </w:pPr>
      <w:r>
        <w:rPr/>
      </w:r>
    </w:p>
    <w:tbl>
      <w:tblPr>
        <w:tblW w:w="3902" w:type="dxa"/>
        <w:jc w:val="left"/>
        <w:tblInd w:w="0" w:type="dxa"/>
        <w:tblCellMar>
          <w:top w:w="28" w:type="dxa"/>
          <w:left w:w="28" w:type="dxa"/>
          <w:bottom w:w="28" w:type="dxa"/>
          <w:right w:w="28" w:type="dxa"/>
        </w:tblCellMar>
      </w:tblPr>
      <w:tblGrid>
        <w:gridCol w:w="528"/>
        <w:gridCol w:w="463"/>
        <w:gridCol w:w="463"/>
        <w:gridCol w:w="379"/>
        <w:gridCol w:w="379"/>
        <w:gridCol w:w="379"/>
        <w:gridCol w:w="379"/>
        <w:gridCol w:w="379"/>
        <w:gridCol w:w="553"/>
      </w:tblGrid>
      <w:tr>
        <w:trPr/>
        <w:tc>
          <w:tcPr>
            <w:tcW w:w="528"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r>
      <w:tr>
        <w:trPr/>
        <w:tc>
          <w:tcPr>
            <w:tcW w:w="3902"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LIST OF SIGNIFICANT SUBSIDIARIES</w:t>
            </w:r>
          </w:p>
        </w:tc>
      </w:tr>
      <w:tr>
        <w:trPr/>
        <w:tc>
          <w:tcPr>
            <w:tcW w:w="3902" w:type="dxa"/>
            <w:gridSpan w:val="9"/>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2021</w:t>
            </w:r>
          </w:p>
        </w:tc>
      </w:tr>
      <w:tr>
        <w:trPr/>
        <w:tc>
          <w:tcPr>
            <w:tcW w:w="145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color w:val="000000"/>
              </w:rPr>
            </w:pPr>
            <w:r>
              <w:rPr>
                <w:color w:val="000000"/>
              </w:rPr>
              <w:t> </w:t>
            </w:r>
          </w:p>
        </w:tc>
        <w:tc>
          <w:tcPr>
            <w:tcW w:w="113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color w:val="000000"/>
              </w:rPr>
            </w:pPr>
            <w:r>
              <w:rPr>
                <w:color w:val="000000"/>
              </w:rPr>
              <w:t> </w:t>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113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color w:val="000000"/>
              </w:rPr>
            </w:pPr>
            <w:r>
              <w:rPr>
                <w:color w:val="000000"/>
              </w:rPr>
              <w:t> </w:t>
            </w:r>
          </w:p>
        </w:tc>
        <w:tc>
          <w:tcPr>
            <w:tcW w:w="1311"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w:t>
            </w:r>
          </w:p>
        </w:tc>
      </w:tr>
      <w:tr>
        <w:trPr/>
        <w:tc>
          <w:tcPr>
            <w:tcW w:w="145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Atieva, Inc.</w:t>
            </w:r>
          </w:p>
        </w:tc>
        <w:tc>
          <w:tcPr>
            <w:tcW w:w="113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1311"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45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Lucid USA, Inc. </w:t>
            </w:r>
          </w:p>
        </w:tc>
        <w:tc>
          <w:tcPr>
            <w:tcW w:w="113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1311"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spacing w:before="0" w:after="0"/>
        <w:jc w:val="right"/>
        <w:rPr/>
      </w:pPr>
      <w:r>
        <w:rPr/>
      </w:r>
    </w:p>
    <w:p>
      <w:pPr>
        <w:pStyle w:val="TextBody"/>
        <w:jc w:val="right"/>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40"/>
                        <w:jc w:val="center"/>
                        <w:rPr/>
                      </w:pPr>
                      <w:r>
                        <w:rPr/>
                      </w:r>
                    </w:p>
                  </w:txbxContent>
                </v:textbox>
              </v:rect>
            </w:pict>
          </mc:Fallback>
        </mc:AlternateContent>
      </w: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spacing w:before="0" w:after="0"/>
        <w:jc w:val="center"/>
        <w:rPr/>
      </w:pPr>
      <w:r>
        <w:rPr/>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0" w:after="0"/>
        <w:rPr/>
      </w:pPr>
      <w:r>
        <w:rPr/>
      </w:r>
    </w:p>
    <w:p>
      <w:pPr>
        <w:pStyle w:val="TextBody"/>
        <w:spacing w:lineRule="auto" w:line="319"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issued our report dated February 28, 2022, with respect to the consolidated financial statements included in the Annual Report of Lucid Group, Inc. on Form 10-K for the year ended December 31, 2021. We consent to the incorporation by reference of said report in the Registration Statement of Lucid Group, Inc. on Form S-8 (File No. 333-259794).</w:t>
      </w:r>
    </w:p>
    <w:p>
      <w:pPr>
        <w:pStyle w:val="TextBody"/>
        <w:spacing w:before="0" w:after="0"/>
        <w:rPr/>
      </w:pPr>
      <w:r>
        <w:rPr/>
      </w:r>
    </w:p>
    <w:p>
      <w:pPr>
        <w:pStyle w:val="TextBody"/>
        <w:spacing w:lineRule="auto" w:line="319"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 GRANT THORNTON LLP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spacing w:lineRule="auto" w:line="26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February 28, 2022</w:t>
      </w:r>
    </w:p>
    <w:p>
      <w:pPr>
        <w:pStyle w:val="TextBody"/>
        <w:spacing w:before="0" w:after="0"/>
        <w:jc w:val="right"/>
        <w:rPr/>
      </w:pPr>
      <w:r>
        <w:rPr/>
      </w:r>
    </w:p>
    <w:p>
      <w:pPr>
        <w:pStyle w:val="TextBody"/>
        <w:spacing w:before="0" w:after="0"/>
        <w:jc w:val="right"/>
        <w:rPr/>
      </w:pPr>
      <w:r>
        <w:rPr/>
      </w:r>
    </w:p>
    <w:p>
      <w:pPr>
        <w:pStyle w:val="TextBody"/>
        <w:jc w:val="right"/>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40"/>
                        <w:jc w:val="center"/>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before="240" w:after="283"/>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Peter Rawlinson, certify that:</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Lucid Group, Inc.;</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86" w:type="dxa"/>
        <w:jc w:val="left"/>
        <w:tblInd w:w="0" w:type="dxa"/>
        <w:tblCellMar>
          <w:top w:w="28" w:type="dxa"/>
          <w:left w:w="28" w:type="dxa"/>
          <w:bottom w:w="28" w:type="dxa"/>
          <w:right w:w="28" w:type="dxa"/>
        </w:tblCellMar>
      </w:tblPr>
      <w:tblGrid>
        <w:gridCol w:w="754"/>
        <w:gridCol w:w="664"/>
        <w:gridCol w:w="667"/>
        <w:gridCol w:w="109"/>
        <w:gridCol w:w="109"/>
        <w:gridCol w:w="109"/>
        <w:gridCol w:w="722"/>
        <w:gridCol w:w="722"/>
        <w:gridCol w:w="1030"/>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    Peter Rawlinson</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Rawlinson</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40"/>
                        <w:jc w:val="center"/>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before="240" w:after="283"/>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Sherry House, certify that:</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Lucid Group, Inc.;</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26" w:type="dxa"/>
        <w:jc w:val="left"/>
        <w:tblInd w:w="0" w:type="dxa"/>
        <w:tblCellMar>
          <w:top w:w="28" w:type="dxa"/>
          <w:left w:w="28" w:type="dxa"/>
          <w:bottom w:w="28" w:type="dxa"/>
          <w:right w:w="28" w:type="dxa"/>
        </w:tblCellMar>
      </w:tblPr>
      <w:tblGrid>
        <w:gridCol w:w="754"/>
        <w:gridCol w:w="664"/>
        <w:gridCol w:w="667"/>
        <w:gridCol w:w="109"/>
        <w:gridCol w:w="109"/>
        <w:gridCol w:w="109"/>
        <w:gridCol w:w="705"/>
        <w:gridCol w:w="705"/>
        <w:gridCol w:w="1004"/>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Sherry House</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Sherry House</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40"/>
                        <w:jc w:val="center"/>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 (FURNISHED HEREWITH)</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Peter Rawlinson, Chief Executive Officer of Lucid Group, Inc. (the “Company”), certify, as of the date hereof and solely for purposes of and pursuant to 18 U.S.C. Section 1350 as adopted pursuant to Section 906 of the Sarbanes-Oxley Act of 2002, that, to my knowledge:</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Annual Report on Form 10-K of the Company for the year ended December 31, 2021 (the “Report”) fully complies with the requirements of Section 13(a) or 15(d), as applicable, of the Securities Exchange Act of 1934; and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has not been, and shall not be deemed, “filed” with the Securities and Exchange Commission.</w:t>
      </w:r>
    </w:p>
    <w:tbl>
      <w:tblPr>
        <w:tblW w:w="4887" w:type="dxa"/>
        <w:jc w:val="left"/>
        <w:tblInd w:w="0" w:type="dxa"/>
        <w:tblCellMar>
          <w:top w:w="28" w:type="dxa"/>
          <w:left w:w="28" w:type="dxa"/>
          <w:bottom w:w="28" w:type="dxa"/>
          <w:right w:w="28" w:type="dxa"/>
        </w:tblCellMar>
      </w:tblPr>
      <w:tblGrid>
        <w:gridCol w:w="754"/>
        <w:gridCol w:w="664"/>
        <w:gridCol w:w="667"/>
        <w:gridCol w:w="109"/>
        <w:gridCol w:w="109"/>
        <w:gridCol w:w="109"/>
        <w:gridCol w:w="724"/>
        <w:gridCol w:w="724"/>
        <w:gridCol w:w="1027"/>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Rawlinson</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Rawlinson</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4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 (FURNISHED HEREWITH)</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Sherry House, Chief Financial Officer of Lucid Group, Inc. (the “Company”), certify, as of the date hereof and solely for purposes of and pursuant to 18 U.S.C. Section 1350 as adopted pursuant to Section 906 of the Sarbanes-Oxley Act of 2002, that, to my knowledge:</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Annual Report on Form 10-K of the Company for the year ended December 31, 2021 (the “Report”) fully complies with the requirements of Section 13(a) or 15(d), as applicable, of the Securities Exchange Act of 1934; and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has not been, and shall not be deemed, “filed” with the Securities and Exchange Commission.</w:t>
      </w:r>
    </w:p>
    <w:tbl>
      <w:tblPr>
        <w:tblW w:w="4826" w:type="dxa"/>
        <w:jc w:val="left"/>
        <w:tblInd w:w="0" w:type="dxa"/>
        <w:tblCellMar>
          <w:top w:w="28" w:type="dxa"/>
          <w:left w:w="28" w:type="dxa"/>
          <w:bottom w:w="28" w:type="dxa"/>
          <w:right w:w="28" w:type="dxa"/>
        </w:tblCellMar>
      </w:tblPr>
      <w:tblGrid>
        <w:gridCol w:w="754"/>
        <w:gridCol w:w="664"/>
        <w:gridCol w:w="667"/>
        <w:gridCol w:w="109"/>
        <w:gridCol w:w="109"/>
        <w:gridCol w:w="109"/>
        <w:gridCol w:w="705"/>
        <w:gridCol w:w="705"/>
        <w:gridCol w:w="1004"/>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Sherry House</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Sherry House</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11210/000110465921026357/tm217491d2_ex2-1.htm" TargetMode="External"/><Relationship Id="rId4" Type="http://schemas.openxmlformats.org/officeDocument/2006/relationships/hyperlink" Target="https://www.sec.gov/Archives/edgar/data/0001811210/000110465921095842/tm2120294d5_ex3-1.htm" TargetMode="External"/><Relationship Id="rId5" Type="http://schemas.openxmlformats.org/officeDocument/2006/relationships/hyperlink" Target="https://www.sec.gov/Archives/edgar/data/0001811210/000110465921095842/tm2120294d5_ex3-2.htm" TargetMode="External"/><Relationship Id="rId6" Type="http://schemas.openxmlformats.org/officeDocument/2006/relationships/hyperlink" Target="https://www.sec.gov/Archives/edgar/data/0001811210/000110465921095842/tm2120294d5_ex4-1.htm" TargetMode="External"/><Relationship Id="rId7" Type="http://schemas.openxmlformats.org/officeDocument/2006/relationships/hyperlink" Target="https://www.sec.gov/Archives/edgar/data/1811210/000110465920090379/tm2026266d1_ex4-1.htm" TargetMode="External"/><Relationship Id="rId8" Type="http://schemas.openxmlformats.org/officeDocument/2006/relationships/hyperlink" Target="https://www.sec.gov/Archives/edgar/data/1811210/000110465920090379/tm2026266d1_ex4-1.htm" TargetMode="External"/><Relationship Id="rId9" Type="http://schemas.openxmlformats.org/officeDocument/2006/relationships/hyperlink" Target="https://www.sec.gov/Archives/edgar/data/1811210/000110465920090379/tm2026266d1_ex4-1.htm" TargetMode="External"/><Relationship Id="rId10" Type="http://schemas.openxmlformats.org/officeDocument/2006/relationships/hyperlink" Target="https://www.sec.gov/Archives/edgar/data/1811210/000110465920090379/tm2026266d1_ex4-1.htm" TargetMode="External"/><Relationship Id="rId11" Type="http://schemas.openxmlformats.org/officeDocument/2006/relationships/hyperlink" Target="https://www.sec.gov/Archives/edgar/data/0001811210/000110465921149586/tm2134520d8_ex4-1.htm" TargetMode="External"/><Relationship Id="rId12" Type="http://schemas.openxmlformats.org/officeDocument/2006/relationships/hyperlink" Target="https://www.sec.gov/Archives/edgar/data/0001811210/000110465921149586/tm2134520d8_ex4-1.htm" TargetMode="External"/><Relationship Id="rId13" Type="http://schemas.openxmlformats.org/officeDocument/2006/relationships/hyperlink" Target="https://www.sec.gov/Archives/edgar/data/0001811210/000110465921149586/tm2134520d8_ex4-1.htm" TargetMode="External"/><Relationship Id="rId14" Type="http://schemas.openxmlformats.org/officeDocument/2006/relationships/hyperlink" Target="https://www.sec.gov/Archives/edgar/data/0001811210/000110465921149586/tm2134520d8_ex4-1.htm" TargetMode="External"/><Relationship Id="rId15" Type="http://schemas.openxmlformats.org/officeDocument/2006/relationships/hyperlink" Target="https://www.sec.gov/Archives/edgar/data/1811210/000162828021023384/exhibit101lucid-repurchase.htm" TargetMode="External"/><Relationship Id="rId16" Type="http://schemas.openxmlformats.org/officeDocument/2006/relationships/hyperlink" Target="https://www.sec.gov/Archives/edgar/data/0001811210/000110465921067006/tm219359d5_ex10-22.htm" TargetMode="External"/><Relationship Id="rId17" Type="http://schemas.openxmlformats.org/officeDocument/2006/relationships/hyperlink" Target="https://www.sec.gov/Archives/edgar/data/0001811210/000110465921095842/tm2120294d5_ex10-25.htm" TargetMode="External"/><Relationship Id="rId18" Type="http://schemas.openxmlformats.org/officeDocument/2006/relationships/hyperlink" Target="https://www.sec.gov/Archives/edgar/data/0001811210/000110465921095842/tm2120294d5_ex10-26.htm" TargetMode="External"/><Relationship Id="rId19" Type="http://schemas.openxmlformats.org/officeDocument/2006/relationships/hyperlink" Target="https://www.sec.gov/Archives/edgar/data/0001811210/000110465921095842/tm2120294d5_ex10-27.htm" TargetMode="External"/><Relationship Id="rId20" Type="http://schemas.openxmlformats.org/officeDocument/2006/relationships/hyperlink" Target="https://www.sec.gov/Archives/edgar/data/1811210/000110465921026357/tm217491d2_ex10-1.htm" TargetMode="External"/><Relationship Id="rId21" Type="http://schemas.openxmlformats.org/officeDocument/2006/relationships/hyperlink" Target="https://www.sec.gov/Archives/edgar/data/1811210/000110465921026357/tm217491d2_ex10-1.htm" TargetMode="External"/><Relationship Id="rId22" Type="http://schemas.openxmlformats.org/officeDocument/2006/relationships/hyperlink" Target="https://www.sec.gov/Archives/edgar/data/1811210/000110465921026357/tm217491d2_ex10-1.htm" TargetMode="External"/><Relationship Id="rId23" Type="http://schemas.openxmlformats.org/officeDocument/2006/relationships/hyperlink" Target="https://www.sec.gov/Archives/edgar/data/0001811210/000110465921026357/tm217491d2_ex10-2.htm" TargetMode="External"/><Relationship Id="rId24" Type="http://schemas.openxmlformats.org/officeDocument/2006/relationships/hyperlink" Target="https://www.sec.gov/Archives/edgar/data/0001811210/000110465921026357/tm217491d2_ex10-3.htm" TargetMode="External"/><Relationship Id="rId25" Type="http://schemas.openxmlformats.org/officeDocument/2006/relationships/hyperlink" Target="https://www.sec.gov/Archives/edgar/data/0001811210/000110465921026357/tm217491d2_ex10-4.htm" TargetMode="External"/><Relationship Id="rId26" Type="http://schemas.openxmlformats.org/officeDocument/2006/relationships/hyperlink" Target="https://www.sec.gov/Archives/edgar/data/1811210/000110465921039318/tm219359d2_ex10-6.htm" TargetMode="External"/><Relationship Id="rId27" Type="http://schemas.openxmlformats.org/officeDocument/2006/relationships/hyperlink" Target="https://www.sec.gov/Archives/edgar/data/1811210/000110465921039318/tm219359d2_ex10-7.htm" TargetMode="External"/><Relationship Id="rId28" Type="http://schemas.openxmlformats.org/officeDocument/2006/relationships/hyperlink" Target="https://www.sec.gov/Archives/edgar/data/1811210/000110465921039318/tm219359d2_ex10-8.htm" TargetMode="External"/><Relationship Id="rId29" Type="http://schemas.openxmlformats.org/officeDocument/2006/relationships/hyperlink" Target="https://www.sec.gov/Archives/edgar/data/1811210/000110465921039318/tm219359d2_ex10-9.htm" TargetMode="External"/><Relationship Id="rId30" Type="http://schemas.openxmlformats.org/officeDocument/2006/relationships/hyperlink" Target="https://www.sec.gov/Archives/edgar/data/1811210/000110465921039318/tm219359d2_ex10-10.htm" TargetMode="External"/><Relationship Id="rId31" Type="http://schemas.openxmlformats.org/officeDocument/2006/relationships/hyperlink" Target="https://www.sec.gov/Archives/edgar/data/1811210/000110465921039318/tm219359d2_ex10-11.htm" TargetMode="External"/><Relationship Id="rId32" Type="http://schemas.openxmlformats.org/officeDocument/2006/relationships/hyperlink" Target="https://www.sec.gov/Archives/edgar/data/1811210/000110465921039318/tm219359d2_ex10-12.htm" TargetMode="External"/><Relationship Id="rId33" Type="http://schemas.openxmlformats.org/officeDocument/2006/relationships/hyperlink" Target="https://www.sec.gov/Archives/edgar/data/1811210/000110465921039318/tm219359d2_ex10-13.htm" TargetMode="External"/><Relationship Id="rId34" Type="http://schemas.openxmlformats.org/officeDocument/2006/relationships/hyperlink" Target="https://www.sec.gov/Archives/edgar/data/1811210/000110465921039318/tm219359d2_ex10-14.htm" TargetMode="External"/><Relationship Id="rId35" Type="http://schemas.openxmlformats.org/officeDocument/2006/relationships/hyperlink" Target="https://www.sec.gov/Archives/edgar/data/1811210/000110465921039318/tm219359d2_ex10-14.htm" TargetMode="External"/><Relationship Id="rId36" Type="http://schemas.openxmlformats.org/officeDocument/2006/relationships/hyperlink" Target="https://www.sec.gov/Archives/edgar/data/1811210/000110465921039318/tm219359d2_ex10-15.htm" TargetMode="External"/><Relationship Id="rId37" Type="http://schemas.openxmlformats.org/officeDocument/2006/relationships/hyperlink" Target="https://www.sec.gov/Archives/edgar/data/1811210/000110465921039318/tm219359d2_ex10-16.htm" TargetMode="External"/><Relationship Id="rId38" Type="http://schemas.openxmlformats.org/officeDocument/2006/relationships/hyperlink" Target="https://www.sec.gov/Archives/edgar/data/1811210/000110465921039318/tm219359d2_ex10-18.htm" TargetMode="External"/><Relationship Id="rId39" Type="http://schemas.openxmlformats.org/officeDocument/2006/relationships/hyperlink" Target="https://www.sec.gov/Archives/edgar/data/1811210/000110465921039318/tm219359d2_ex10-19.htm" TargetMode="External"/><Relationship Id="rId40" Type="http://schemas.openxmlformats.org/officeDocument/2006/relationships/hyperlink" Target="https://www.sec.gov/Archives/edgar/data/1811210/000110465921067006/tm219359d5_ex10-23.htm" TargetMode="External"/><Relationship Id="rId41" Type="http://schemas.openxmlformats.org/officeDocument/2006/relationships/hyperlink" Target="https://www.sec.gov/Archives/edgar/data/1811210/000110465921067006/tm219359d5_ex10-24.htm" TargetMode="External"/><Relationship Id="rId42" Type="http://schemas.openxmlformats.org/officeDocument/2006/relationships/hyperlink" Target="https://www.sec.gov/Archives/edgar/data/1811210/000110465921067006/tm219359d5_ex10-25.htm" TargetMode="External"/><Relationship Id="rId43" Type="http://schemas.openxmlformats.org/officeDocument/2006/relationships/hyperlink" Target="https://www.sec.gov/Archives/edgar/data/0001811210/000110465921095842/tm2120294d5_ex14-1.htm" TargetMode="External"/><Relationship Id="rId44" Type="http://schemas.openxmlformats.org/officeDocument/2006/relationships/image" Target="media/image2.png"/><Relationship Id="rId45" Type="http://schemas.openxmlformats.org/officeDocument/2006/relationships/image" Target="media/image3.png"/><Relationship Id="rId46" Type="http://schemas.openxmlformats.org/officeDocument/2006/relationships/image" Target="media/image4.png"/><Relationship Id="rId47" Type="http://schemas.openxmlformats.org/officeDocument/2006/relationships/image" Target="media/image5.pn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Pages>
  <Words>92898</Words>
  <CharactersWithSpaces>611081</CharactersWithSpaces>
  <Paragraphs>4356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