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Bach Eric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LCID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Product &amp; Chief Engineer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1,001,168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2,964,632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72,022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2,892,610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("RSU") vest over four years, with 1/8th vesting on the grant date and the remainder of the RSUs to vest 1/16th quarterly on each March 5, June 5, September 5, and December 5 annually thereafter, subject to the reporting person's continued service through each applicable vesting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have been withheld by the Issuer to satisfy tax withholding and remittance obligations in connection with the vesting of the RSUs reported on this Form 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Horwood, as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09/17/2024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Eric Bach</w:t>
            </w: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2817" TargetMode="External"/><Relationship Id="rId14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2024-09-17T16:52:27Z</dcterms:created>
  <dcterms:modified xsi:type="dcterms:W3CDTF">2024-09-17T16:52:27Z</dcterms:modified>
</cp:coreProperties>
</file>