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757-1_424b7.htm"/>
        <w:bookmarkStart w:id="1" w:name="kstm26227571_424b7"/>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424(b)(7)</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333-282677</w:t>
      </w:r>
      <w:r>
        <w:rPr>
          <w:rFonts w:ascii="Times New Roman;Times;serif" w:hAnsi="Times New Roman;Times;serif"/>
          <w:b/>
          <w:i w:val="false"/>
          <w:caps w:val="false"/>
          <w:smallCaps w:val="false"/>
          <w:color w:val="000000"/>
          <w:sz w:val="20"/>
        </w:rPr>
        <w:t>​</w:t>
      </w:r>
    </w:p>
    <w:p>
      <w:pPr>
        <w:pStyle w:val="TextBody"/>
        <w:bidi w:val="0"/>
        <w:spacing w:lineRule="atLeast" w:line="23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October 16, 2024)</w:t>
      </w:r>
      <w:r>
        <w:rPr>
          <w:rFonts w:ascii="Times New Roman;Times;serif" w:hAnsi="Times New Roman;Times;serif"/>
          <w:b/>
          <w:i w:val="false"/>
          <w:caps w:val="false"/>
          <w:smallCaps w:val="false"/>
          <w:color w:val="000000"/>
          <w:spacing w:val="4"/>
          <w:sz w:val="20"/>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39338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2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LUCID GROUP,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55,000 Shares of Series C Convertible 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51,651,489 Shares of Common Stock Underlying such Series 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Convertible 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24,038,462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the possible offer and resale, from time to time, by the selling stockholders identified in this prospectus supplement (the “Selling Stockholders”) of up to (i) 55,000 shares of our Series C Convertible Preferred Stock, par value $0.0001 per share (the “Series C Convertible Preferred Stock”), issued to Ayar Third Investment Company (“Ayar”) pursuant to a subscription agreement, dated April 14, 2026, by and between Ayar and us (the “Ayar Subscription Agreement”), (ii) 51,651,489 shares of our Class A Common Stock, par value $0.0001 per share (“Common Stock”), which may be issued upon conversion of the Series C Convertible Preferred Stock as of June 30, 2026, and (iii) 24,038,462 shares of our Common Stock (such shares of Series C Convertible Preferred Stock and such shares of Common Stock, collectively, the “Securities”) issued to SMB Holding Corporation (“SMB”), a subsidiary of Uber Technologies, Inc. (“Uber”), by us in a private placement pursuant to a subscription agreement, dated April 14, 2026, by and between SMB and us (the “Uber Subscription Agreement”). See “Summary — Ayar Private Placement” and “Summary — Uber Private Placement.”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are being registered to fulfill our contractual obligations under an investor rights agreement entered into between us and Ayar (as amended, the “Investor Rights Agreement”) and the Uber Subscription Agreement. No new shares of Common Stock will be issued or sold by us in connection with the filing of this prospectus supplement. We will not receive any of the proceeds from the sale of the Securities by the Selling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identified in this prospectus supplement may offer the Securities from time to time through public or private transactions at prevailing market prices or at privately negotiated prices, through a combination of these methods or any other method as the Selling Stockholders determine from time to time. See “Plan of Distribution.” Our registration of the Securities covered by this prospectus supplement does not mean that the Selling Stockholders will offer or sell any of the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pay all expenses in connection with the registration of the Securities. The Selling Stockholders will pay all selling commissions and stock transfer taxes, if any, in connection with the sale of the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(“Nasdaq”) under the symbol “LCID.” On August 11, 2026, the last sale price of our Common Stock as reported on Nasdaq was $6.70. </w:t>
      </w:r>
    </w:p>
    <w:p>
      <w:pPr>
        <w:pStyle w:val="TextBody"/>
        <w:bidi w:val="0"/>
        <w:spacing w:lineRule="atLeast" w:line="230" w:before="160" w:after="283"/>
        <w:ind w:left="1393"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risks. You should read carefully this prospectus supplement, the accompanying prospectus and the documents incorporated or deemed incorporated by reference into this prospectus supplement and the accompanying prospectus before you invest.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for information on certain risks related to the purchase of our Securities.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dated August 12,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31"/>
        <w:gridCol w:w="109"/>
        <w:gridCol w:w="109"/>
        <w:gridCol w:w="109"/>
        <w:gridCol w:w="109"/>
        <w:gridCol w:w="581"/>
        <w:gridCol w:w="109"/>
        <w:gridCol w:w="155"/>
      </w:tblGrid>
      <w:tr>
        <w:trPr/>
        <w:tc>
          <w:tcPr>
            <w:tcW w:w="75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283"/>
              <w:jc w:val="left"/>
              <w:rPr/>
            </w:pPr>
            <w:r>
              <w:rPr>
                <w:spacing w:val="-4"/>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CNRF">
              <w:r>
                <w:rPr>
                  <w:rStyle w:val="InternetLink"/>
                  <w:spacing w:val="4"/>
                </w:rPr>
                <w:t>S-2</w:t>
              </w:r>
            </w:hyperlink>
            <w:hyperlink w:anchor="s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SUM">
              <w:r>
                <w:rPr>
                  <w:rStyle w:val="InternetLink"/>
                  <w:spacing w:val="4"/>
                </w:rPr>
                <w:t>S-4</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DOSB">
              <w:r>
                <w:rPr>
                  <w:rStyle w:val="InternetLink"/>
                  <w:spacing w:val="4"/>
                </w:rPr>
                <w:t xml:space="preserve">DESCRIPTION OF SECURITIES BEING REGISTERED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DOSB">
              <w:r>
                <w:rPr>
                  <w:rStyle w:val="InternetLink"/>
                  <w:spacing w:val="4"/>
                </w:rPr>
                <w:t>S-11</w:t>
              </w:r>
            </w:hyperlink>
            <w:hyperlink w:anchor="sDOS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SEST">
              <w:r>
                <w:rPr>
                  <w:rStyle w:val="InternetLink"/>
                  <w:spacing w:val="4"/>
                </w:rPr>
                <w:t xml:space="preserve">SELLING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SEST">
              <w:r>
                <w:rPr>
                  <w:rStyle w:val="InternetLink"/>
                  <w:spacing w:val="4"/>
                </w:rPr>
                <w:t>S-20</w:t>
              </w:r>
            </w:hyperlink>
            <w:hyperlink w:anchor="sSE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POD">
              <w:r>
                <w:rPr>
                  <w:rStyle w:val="InternetLink"/>
                  <w:spacing w:val="4"/>
                </w:rPr>
                <w:t>S-22</w:t>
              </w:r>
            </w:hyperlink>
            <w:hyperlink w:anchor="s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VOTS">
              <w:r>
                <w:rPr>
                  <w:rStyle w:val="InternetLink"/>
                  <w:spacing w:val="4"/>
                </w:rPr>
                <w:t xml:space="preserve">VALIDITY OF THE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VOTS">
              <w:r>
                <w:rPr>
                  <w:rStyle w:val="InternetLink"/>
                  <w:spacing w:val="4"/>
                </w:rPr>
                <w:t>S-24</w:t>
              </w:r>
            </w:hyperlink>
            <w:hyperlink w:anchor="sVO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S-24</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WYCF">
              <w:r>
                <w:rPr>
                  <w:rStyle w:val="InternetLink"/>
                  <w:spacing w:val="4"/>
                </w:rPr>
                <w:t>S-25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283"/>
              <w:jc w:val="left"/>
              <w:rPr/>
            </w:pPr>
            <w:r>
              <w:rPr>
                <w:spacing w:val="-4"/>
              </w:rPr>
              <w:t>Prospectus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WYCF2">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WYCF2">
              <w:r>
                <w:rPr>
                  <w:rStyle w:val="InternetLink"/>
                  <w:spacing w:val="4"/>
                </w:rPr>
                <w:t>1</w:t>
              </w:r>
            </w:hyperlink>
            <w:hyperlink w:anchor="tWYCF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FUT">
              <w:r>
                <w:rPr>
                  <w:rStyle w:val="InternetLink"/>
                  <w:spacing w:val="4"/>
                </w:rPr>
                <w:t>3</w:t>
              </w:r>
            </w:hyperlink>
            <w:hyperlink w:anchor="tFU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5</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THCO">
              <w:r>
                <w:rPr>
                  <w:rStyle w:val="InternetLink"/>
                  <w:spacing w:val="4"/>
                </w:rPr>
                <w:t>7</w:t>
              </w:r>
            </w:hyperlink>
            <w:hyperlink w:anchor="tTH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RIFA2">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RIFA2">
              <w:r>
                <w:rPr>
                  <w:rStyle w:val="InternetLink"/>
                  <w:spacing w:val="4"/>
                </w:rPr>
                <w:t>8</w:t>
              </w:r>
            </w:hyperlink>
            <w:hyperlink w:anchor="tRIFA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2">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2">
              <w:r>
                <w:rPr>
                  <w:rStyle w:val="InternetLink"/>
                  <w:spacing w:val="4"/>
                </w:rPr>
                <w:t>9</w:t>
              </w:r>
            </w:hyperlink>
            <w:hyperlink w:anchor="tUOP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S">
              <w:r>
                <w:rPr>
                  <w:rStyle w:val="InternetLink"/>
                  <w:spacing w:val="4"/>
                </w:rPr>
                <w:t>10</w:t>
              </w:r>
            </w:hyperlink>
            <w:hyperlink w:anchor="tD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CS">
              <w:r>
                <w:rPr>
                  <w:rStyle w:val="InternetLink"/>
                  <w:spacing w:val="4"/>
                </w:rPr>
                <w:t>11</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DS">
              <w:r>
                <w:rPr>
                  <w:rStyle w:val="InternetLink"/>
                  <w:spacing w:val="4"/>
                </w:rPr>
                <w:t>22</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DS1">
              <w:r>
                <w:rPr>
                  <w:rStyle w:val="InternetLink"/>
                  <w:spacing w:val="4"/>
                </w:rPr>
                <w:t>24</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W">
              <w:r>
                <w:rPr>
                  <w:rStyle w:val="InternetLink"/>
                  <w:spacing w:val="4"/>
                </w:rPr>
                <w:t>27</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SR">
              <w:r>
                <w:rPr>
                  <w:rStyle w:val="InternetLink"/>
                  <w:spacing w:val="4"/>
                </w:rPr>
                <w:t>28</w:t>
              </w:r>
            </w:hyperlink>
            <w:hyperlink w:anchor="tDO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PC">
              <w:r>
                <w:rPr>
                  <w:rStyle w:val="InternetLink"/>
                  <w:spacing w:val="4"/>
                </w:rPr>
                <w:t xml:space="preserve">DESCRIPTION OF PURCHASE CONTRACTS AND PURCHASE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PC">
              <w:r>
                <w:rPr>
                  <w:rStyle w:val="InternetLink"/>
                  <w:spacing w:val="4"/>
                </w:rPr>
                <w:t>29</w:t>
              </w:r>
            </w:hyperlink>
            <w:hyperlink w:anchor="t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SESE">
              <w:r>
                <w:rPr>
                  <w:rStyle w:val="InternetLink"/>
                  <w:spacing w:val="4"/>
                </w:rPr>
                <w:t>30</w:t>
              </w:r>
            </w:hyperlink>
            <w:hyperlink w:anchor="t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LEMA2">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LEMA2">
              <w:r>
                <w:rPr>
                  <w:rStyle w:val="InternetLink"/>
                  <w:spacing w:val="4"/>
                </w:rPr>
                <w:t>32</w:t>
              </w:r>
            </w:hyperlink>
            <w:hyperlink w:anchor="tLEMA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XP2">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XP2">
              <w:r>
                <w:rPr>
                  <w:rStyle w:val="InternetLink"/>
                  <w:spacing w:val="4"/>
                </w:rPr>
                <w:t>33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supplement, the accompanying prospectus or any applicable free writing prospectus filed by us with the Securities and Exchange Commission (the “SEC”). We and the Selling Stockholders have not authorized anyone to provide you with different information. This prospectus supplement, the accompanying prospectus and any applicable free writing prospectus do not constitute an offer to sell or the solicitation of an offer to buy any securities other than the registered securities to which they relate or an offer to sell or the solicitation of an offer to buy such securities in any circumstances in which such offer or solicitation is unlawful. You should not assume that the information contained in this prospectus supplement, the accompanying prospectus, the documents incorporated herein and therein by reference and any applicable free writing prospectus is accurate as of any date other than the date of the document containing the information. Our business, financial condition, results of operations and prospects may have changed materially since those 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part of a registration statement on Form S-3 that we filed with the SEC utilizing an automatic shelf registration process. Under this process, the Selling Stockholders named in this prospectus supplement may sell securities from time to time and in one or more offerings.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Securities offered by this prospectus supplement, you should review the full text of these documents. The registration statement and the exhibits and other documents can be obtained from the SEC as indicated under the section entitled “Where You Can Find More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offer the Securities directly or through one or more broker-dealers or agents. See “Plan of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are being offered by the Selling Stockholders only for sale in jurisdictions where it is lawful to make such offers. The distribution of this prospectus supplement and the accompanying prospectus and the offering of the Securities in other jurisdictions may also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to “we,” “us,” “our,” the “Company” and “Lucid” are references to Lucid Group, Inc. and its consolidated subsidiaries, unless it is clear from the context that we mean only Lucid Group,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“aiming,” “targeting,” “objective,” “focus,” “strategic”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cash flow improvement plan, expected savings,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changes to future or existing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and the promise of Lucid’s technology. Such forward-looking statements are based on currently available market material and our current expectations, beliefs and forecasts concerning future developments. Factors that may impact such forward-looking statements include: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economic, market, financial, political, regulatory and legal conditions, including changes in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conflict in Iran; </w:t>
      </w:r>
      <w:r>
        <mc:AlternateContent>
          <mc:Choice Requires="wps">
            <w:drawing>
              <wp:anchor behindDoc="0" distT="7747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changes in overall demand for our products and services and cancellation of orders for our vehicles;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uncertainty of our projected financial and operational information;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timing of expected business milestones and commercial product launches;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construction and expansion of our manufacturing facilities and the increase of our production capacity;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expenses and control costs, including the execution of the cash flow improvement plan;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our offerings;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quality, reliability, and performance of our vehicles and services;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pace and depth of electric vehicle (“EV”) adoption generally on our business;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policies, and governmental incentives;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fuel and energy prices;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rapidly innovate;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or maintain partnerships with original equipment manufacturers, vendors and technology providers, including our ability to realize the anticipated benefits of our existing strategic partnerships, including those with Aston Martin, Uber, Nuro, Inc. and NVIDIA Corporation;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recruit, integrate, motivate, and retain key employees, including recent changes to our executive team;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vehicle recalls;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expand our brand, and capture additional market share, and the risks associated with negative press or reputational harm;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our outstanding Convertible Preferred Stock (as defined below) and Convertible Senior Notes (as defined below);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reduction or elimination of, and our ability to obtain and effectively utilize, zero emission vehicle credits, tax incentives, and other governmental and regulatory programs and incentives;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equity, equity-linked, or debt financing in the future;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interest and principal on our indebtedness;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to vehicle specifications which may impact performance, features, pricing, and other expectations;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investigations and inquiries; and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this prospectus supplement or our other filings with the SEC.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SUM"/>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Lucid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our upcoming Midsize platform.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sell vehicles directly to consumers through our retail sales network and online channels, including Lucid Financial Services, in North America and the Middle East. We believe that owning and operating our sales network provides the best opportunity to closely manage the customer experience, gather direct feedback, and ensure that every interaction is tailored to customer needs. We are also actively exploring, and have adopted in certain international markets, alternative importer and agency models to enhance flexibility, preserve capital,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 Group, Inc. is a Delaware corporation. Our principal executive office is located at 7373 Gateway Boulevard, Newark, CA 94560 and our telephone number is (510) 648-3553. We maintain a website at https://www.lucidmotors.com. The information on, or accessible through, our website is not incorporated by reference in this prospectus supplement or the accompanying prospectus, and you should not consider it a part of this prospectus supplement or the accompanying prospectus. We have included our website address only as an inactive textual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Controlled Company Exemption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the Public Investment Fund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of Directors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Ayar Private Placement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14, 2026, we entered into the Ayar Subscription Agreement with Ayar, pursuant to which we issued and sold to Ayar 55,000 shares of our Series C Convertible Preferred Stock in a private placement. In connection with the private placement, we entered into an amendment to the Investor Rights Agreement with Ayar pursuant to which we are filing this prospectus supplement, but Ayar cannot sell any shares of Series C Convertible Preferred Stock or any shares of Common Stock issued pursuant to the terms thereof until April 2027. See “Selling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Uber Private Placement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April 14, 2026, we entered into the Uber Subscription Agreement with SMB, under which we agreed to issue and SMB agreed to purchase, in a private placement, 24,038,462 shares of our Common Stock for an aggregate purchase price of $200 million. Under the Uber Subscription Agreement, we provided certain registration rights to SMB for shares of Common Stock issued to them thereunder, pursuant to which we are filing this prospectus supplement for such shares, but SMB cannot sell such shares until October 2027. See “Selling Stockholders.”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An investment in our Securities involves a high degree of risk. Before you invest in our Securities you should carefully consider the risks and uncertainties described below, as well as those risk factors described under, but not limited to, the heading “Risk Factors” in our most recent </w:t>
      </w:r>
      <w:hyperlink r:id="rId4">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as supplemented and updated by subsequent quarterly reports on Form 10-Q, which is incorporated by reference herein, as well as the other information contained or incorporated by reference into this prospectus supplement or the accompanying prospectus. If any of these risks were actually to occur, our business, financial condition or results of operations could be materially adversely affected. In that case, the value of our Securities could decline, and you could lose part or all of your investment. Additional risks not presently known to us or that we currently believe are immaterial may also significantly impair our business operations and financial condition. Please read “Cautionary Note Regarding Forward-Looking Statements.”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Series C Convertible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the Series C Convertible Preferred Stock, and we do not expect a market to develop. In addition, we do not intend to apply to list the Series C Convertible Preferred Stock on any securities exchange or nationally recognized trading system, including Nasdaq. The difference between bid and ask prices in any secondary market for the Series C Convertible Preferred Stock could be substantial. Accordingly, no assurance can be given as to the liquidity of, or trading markets for, the Series C Convertible Preferred Stock, and holders of the Series C Convertible Preferred Stock (which does not have a maturity date) may be required to bear the financial risks of an investment in the Series C Convertible Preferred Stock for an indefinite period of time.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Series C Convertible Preferred Stock ranks junior to all of our indebtedness and other liabilities and is structurally subordinated to any indebtedness, preferred stock or other liabilities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bankruptcy, liquidation, reorganization or other winding-up, our assets will be available to pay the liquidation preference of the Series C Convertible Preferred Stock only after all of our indebtedness and other liabilities have been paid. In addition, the Series C Convertible Preferred Stock will be structurally junior to all existing and future indebtedness and other liabilities (including trade payables) of our subsidiaries and any capital stock of our subsidiaries not held by us. The holders of the Series C Convertible Preferred Stock have no right to participate in the distribution of assets of our subsidiaries (except to the extent that we have satisfied all of our liabilities and have recognized claims or interests in the assets of such subsidiaries). Consequently, if we are forced to liquidate our assets to pay our creditors, we may not have sufficient assets remaining to pay the liquidation preference of any or all of the Series C Convertible Preferred Stock then outstanding. We and our subsidiaries may incur substantial amounts of additional debt and other obligations.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and our subsidiaries had approximately $3.3 billion principal amount of indebtedness outstanding, ranking senior to our Series C Convertible Preferred Stock, and we and our subsidiaries had availability of approximately $2.3 billion under the existing loan agreements and credit facilities subject to certain covenants. For information on our currently outstanding long-term indebtedness, or any junior stock, parity stock or senior stock or additional shares of Series C Convertible Preferred Stock issued by us after the date of this prospectus supplement, see our most recent Annual Report on Form 10-K and any subsequently filed Quarterly Reports on Form 10-Q and Current Reports on Form 8-K.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authorizes our Board to issue one or more series of preferred stock and set the terms of the preferred stock without seeking any further approval from our stockholders. If we issue preferred stock, it may adversely affect the market price of our Common Stock. Our Board also has the power, without stockholder approval, subject to applicable law, to set the terms of any such series of preferred stock that may be issued, including voting rights, dividend rights and preferences over our Common Stock with respect to dividends or upon our dissolution, winding-up and liquidation and other terms. If we issue preferred stock in the future that has a preference over our Common Stock with respect to the payment of dividends or upon our liquidation, dissolution, or winding up, or if we issue preferred stock with voting rights that dilute the voting power of our Common Stock, the rights of holders of shares of the Series C Convertible Preferred Stock and our Common Stock or the market price of the Series C Convertible Preferred Stock and our Common Stock could be adversely 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issuances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Series A Convertible Preferred Stock, par value $0.0001 per share (“Series A Convertible Preferred Stock”), Series B Convertible Preferred Stock, par value $0.0001 per share (“Series B Convertible Preferred Stock”), and Series C Convertible Preferred Stock (together with the Series A Convertible Preferred Stock and Series B Convertible Preferred Stock, the “Convertible Preferred Stock”). The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Convertible Preferred Stock may continue to increase, further diluting the ownership interests of existing common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certain circumstances, including in connection with a mandatory conversion, optional redemption, or a fundamental change (as defined in the respective Certificate of Designations of the Convertible Preferred Stock), holders of the Convertible Preferred Stock may be entitled to receive Minimum Consideration (as defined in the respective Certificate of Designations of the Convertible Preferred Stock). If the value of the Minimum Consideration exceeds the Accrued Value (as defined in the respective Certificate of Designations of the Convertible Preferred Stock) of the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of our outstanding warrants and options, the vesting and settlement of our restricted stock units and the conversion of our 1.25% Convertible Senior Notes due 2026 (“2026 Notes”), 5.00% Convertible Senior Notes due 2030 (“2030 Notes”) and 7.00% Convertible Senior Notes due 2031 (“2031 Notes,” and together with the 2026 Notes and 2030 Notes, the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shares of our Common 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pursuant to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Convertible Preferred Stock held by Ayar) and Ayar’s shares of the Convertible Preferred Stock. We also provided certain registration rights to SMB with respect to the shares of Common Stock issued to SMB pursuant to the Uber Subscription Agreement and the Subscription Agreement, dated as of July 16, 2025, by and between SMB and the Company. If either pursuant to any registration statement or through another avenue, one or more of these stockholders were to sell a substantial portion of the securities they hold, including any Common Stock issued upon conversion, redemption or repurchase of our Convertible Preferred Stock, it could cause the trading price of our Common Stock to decline. Furthermore, given Ayar’s substantial concentration in ownership of our Common Stock and the Convertible Preferred Stock, if Ayar were to elect to sell in the open market or in private placement transactions, it could have the effect of increasing the volatility in our stock price or putting significant downward pressure on the price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Securities or industry analysts may or may not publish research or reports about us, our business, our market, or change their recommendations regarding our Common Stock adversely, which could cause the price and trading volume of our Common Stock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Common Stock has been, and may continue to be, volatile, and this volatility may negatively impact the trading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our Common Stock has fluctuated substantially. We have experienced temporary trading halts in our Common Stock pursuant to Nasdaq rules. During the trading halts, investors were unable to buy or sell shares of our Common Stock, which may have prevented investors from executing trades at desired prices and times. Any future trading halts may also contribute to uncertainty in the market for our Common Stock and increase price volatility upon the resumption of trading.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affecting the trading price and volatility of our Common Stock may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broader stock market in general, or in our industry in particular;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quarterly financial or operating results or the quarterly financial or operating results of companies perceived to be similar to ours;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market’s expectations about our operating results;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public’s reaction to our press releases, other public announcements and filings with the SEC;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public’s reaction to financial projections and any other guidance or metrics that we may publicly disclose, including any decision to adjust, suspend, or withdraw such financial projections, guidance or metrics;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speculation or inaccurate reporting in the press or investment community;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developments in our business, competitors’ businesses or the competitive landscape generally;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lower-than-anticipated industry-wide EV adoption rates or perception that EV demand is slowing;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results failing to meet the expectation of securities analysts or investors in a particular period;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the achievement of objectives under our business plan and the timing and amount of costs we incur in connection therewith, including any delay in the launch of our Midsize platform;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financial estimates and recommendations by securities analysts concerning us or the market in general;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stock price performance of other companies that investors deem comparable to ours;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reaction to any of our strategic partners;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affecting our business;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commencement of, or involvement in, litigation or investigations involving us; </w:t>
      </w:r>
      <w:r>
        <mc:AlternateContent>
          <mc:Choice Requires="wps">
            <w:drawing>
              <wp:anchor behindDoc="0" distT="0" distB="0" distL="254000" distR="0" simplePos="0" locked="0" layoutInCell="1" allowOverlap="1" relativeHeight="42">
                <wp:simplePos x="0" y="0"/>
                <wp:positionH relativeFrom="column">
                  <wp:align>left</wp:align>
                </wp:positionH>
                <wp:positionV relativeFrom="line">
                  <wp:posOffset>635</wp:posOffset>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capital structure, such as future issuances of securities or the incurrence of additional debt;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volume of our Common Stock available for public sale, including as a result of conversion of our Convertible Senior Notes or our Convertible Preferred Stock;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major change in our Board or management, including the recent announcement of leadership changes;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substantial amounts of our Common Stock by our directors, officers or significant stockholders or the perception that such sales could occur;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 global or regional conflicts or other geopolitical events, including the military operations in the Gulf region and the Middle East, and the potential escalation and broadening of the conflict in Iran; and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listed in this section “Risk Factors.”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have in the past and may in the future be unpredictable. A loss of investor confidence or speculation in the market regarding our Common Stock or the stocks of other companies which investors perceive to be similar to ours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past, following periods of volatility in the overall market and the market prices of particular companies’ securities, securities class action litigations have often been instituted against these companies. Litigation of this type and related shareholder derivative actions, have caused, and may continue to cause, substantial costs and a diversion of our management’s attention and resources. Any adverse determination in any such litigation or any amounts paid to settle any such actual or threatened litigation could require that we make significant payments.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Ayar holds the Convertible Preferred Stock and as result of the consent and voting rights of the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Ayar entered into with the respective forward counterparties in connection with our offerings of the 2030 Notes and the 2031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the resale of the Securities offered pursuant to this prospectus supplement from time to time by the Selling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will pay any selling commissions and stock transfer taxes applicable to the Securities that they incur in disposing of the Securities offered by this prospectus supplement. We will bear all other costs, fees and expenses incurred in effecting the registration of the Securities covered by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DOSB"/>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BEING REGISTERED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supplement is a part. See “Where You Can Find More Information.” As used in this “Description of Securities Being Registered,” the terms “Lucid,” the “Company”, “we,” “our” and “us” refer to Lucid Group, Inc., a Delaware corporation, and do not, unless otherwise specified, include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Power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Dissolution and 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or 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do not have preemptive or other subscription rights and there is no sinking fund or redemption provisions applicable to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Series C Convertible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Ranking and Dividend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C Convertible Preferred Stock ranks senior to our Common Stock with respect to dividends and distributions of assets upon the Company’s liquidation, dissolution or winding up. Each share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C Convertible Preferred Stock has an initial value of $10,000 (the “Initial Value”). Dividends on the Series C Convertible Preferred Stock are payable in the form of compounded dividends upon each share of Series C Convertible Preferred Stock (such payment in kind, “Compounded Returns”). Dividends accrue on the Initial Value (as increased for any compounded dividends previously compounded thereon) of Series C Convertible Preferred Stock at a rate of 9% per annum and are compounded on the basis of quarterly dividend payment dates on each March 31, June 30, September 30 and December 31 of each year, which commenced on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Preference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liquidation, dissolution or winding up of the Company, each holder of shares of Series C Convertible Preferred Stock (“Holder”) is entitled to receive, with respect to each share of then-outstanding Series C Convertible Preferred Stock, out of the assets of the Company available for distribution to its stockholders (pari passu with the holders of any liquidation parity securities) an amount in cash equal to the greater of (a) an amount per share of Series C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of Series C Convertible Preferred Stock) multiplied by (ii) the relevant percentage (as defined in the Certificate of Designations of Series C Convertible Preferred Stock) (the product of (i) and (ii), the “Minimum Consideration”); and (b) the amount that such Holder would have received with respect to such share of Series C Convertible Preferred Stock based on its Accrued Value if all shares of Series C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Series C Convertible Preferred Stock is convertible, at the option of the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$16.30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conversion price (as defined in the Certificate of Designations of Series C Convertible Preferred Stock) in effect as of such conversion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Certificate of Designations of Series C Convertible Preferred Stock or by applicable law 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Series C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Certificate of Designations of Series C Convertible Preferred Stock or otherwise required by law, to vote together as a single class with the holders of Common Stock and any other class or series of stock entitled to vote thereon. The voting power of Holders is subject to a voting cap equal to 301.4993 votes per share of Series C Convertible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at least 10% of the aggregate number of shares of Series C Convertible Preferred Stock issued on the Initial Issue Date remain outstanding, and subject to certain other conditions, Holders of Series C Convertible Preferred Stock are entitled to a separate class vote with respect to, among other things, amendments to the Company’s organizational documents that have an adverse effect on Series C Convertible Preferred Stock, authorizations or issuances by the Company of capital stock of the Company that ranks senior or equal to Series C Convertible Preferred Stock with respect to dividends or distributions on liquidation or the terms of which provide for cash dividends (other than our Common Stock), winding-up and dissolution, and decreases in the number of authorized shares of Series C Convertible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Junior and Parity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unless all accumulated and unpaid dividends on the Series C Convertible Preferred Stock for all preceding quarterly dividend payment periods have been declared upon all outstanding shares of Series C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amounts of dividends declared on the Series C Convertible Preferred Stock and each such other class or series of dividend parity stock bear the same ratio to each other as all accumulated and unpaid dividends per share of Series C Convertible Preferred Stock and such class or series of parity stock (subject to their having been declared by the Board out of legally available funds) bear to each other, in proportion to their respective liquidation preferences at the time of declaration.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third anniversary of the Initial Issue Date, if at any time (i) the daily VWAP (as defined in the Certificate of Designations of Series C Convertible Preferred Stock) of our Common Stock has been at least 200% of the conversion price (as defined in the Certificate of Designations of Series C Convertible Preferred Stock) for at least twenty (20) trading days (whether or not consecutive) during any thirty (30) consecutive trading days (including the last day of such period) and (ii) certain Common Stock liquidity conditions (as defined in the Certificate of Designations of Series C Convertible Preferred Stock) are satisfied, the Company has the right, exercisable at its election within fifteen (15) business days following completion of the applicable thirty (30) trading day period, to cause all or any portion of the Series C Convertible Preferred Stock to convert into Common Stock. The Company is required to pay an additional amount per share of Series C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Fundamental Change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“fundamental change” ​(as defined in the Certificate of Designations of Series C Convertible Preferred Stock), the Holders are entitled, on the fundamental change repurchase date specified by the Company, to receive an amount equal to the greater of (a) the Minimum Consideration and (b) an amount equal to the value that such Holder would have received if it had converted its shares of Series C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of Series C Convertible Preferred Stock) are not satisfied.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Optional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fifth anniversary of the Initial Issue Date, the Company may redeem all or any portion of the Series C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Certificate of Designations of Series C Convertible Preferred Stock) are not satisfied.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deliverable upon conversion, redemption or repurchase of the Series C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closing of the private placement of Series C Convertible Preferred Stock. The Series C Convertible Preferred Stock is initially convertible into approximately 50.85 million shares of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Remedies for Nonpayment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described above will be increased to a rate not exceeding 15% per annum upon certain events of noncompliance relating to a failure by the Company to deliver consideration due in connection with a fundamental change or optional redemption.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foregoing description of the Certificate of Designations of Series C Convertible Preferred Stock does not purport to be complete and is qualified in its entirety by reference to the Certificate of Designations of Series C Convertible Preferred Stock, which is filed as </w:t>
      </w:r>
      <w:hyperlink r:id="rId5">
        <w:r>
          <w:rPr>
            <w:rStyle w:val="InternetLink"/>
          </w:rPr>
          <w:t>Exhibit 3.1</w:t>
        </w:r>
      </w:hyperlink>
      <w:r>
        <w:rPr>
          <w:rFonts w:ascii="Times New Roman;Times;serif" w:hAnsi="Times New Roman;Times;serif"/>
          <w:b w:val="false"/>
          <w:i w:val="false"/>
          <w:caps w:val="false"/>
          <w:smallCaps w:val="false"/>
          <w:color w:val="000000"/>
          <w:spacing w:val="4"/>
          <w:sz w:val="20"/>
        </w:rPr>
        <w:t xml:space="preserve"> to the Current Report on Form 8-K dated April 29, 2026, and incorporated herein by reference.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Our Current Certificate of Incorporation, Our Current Bylaws and Certain Provisions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used in the future may be used for a variety of corporate purposes, including future public offerings, to raise additional capital or to facilitate acquisitions.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voting stock outstanding at the time the transaction commenced, excluding certain shares; or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that time, the business combination is approved by our Board and by the affirmative vote of holders of at least two-thirds of the votes of our outstanding voting stock that is not owned by the interested stockholder.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Director Nominations and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Dissenters’ Rights of Appraisal and 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will have appraisal rights in connection with a merger or consolidation. Pursuant to the DGCL, stockholders who properly request and perfect appraisal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Derivative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Liability and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certificate of incorporation provides that we must indemnify and advance expenses to our directors and officers to the full extent authorized by the DGCL.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and expects to maintain standard policies of insurance that provide coverage (1) to its directors and officers against loss arising from claims made by reason of breach of duty or other wrongful act and (2) to the Company with respect to indemnification payments that the Company may make to such directors and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these provisions, the insurance and the indemnity agreements are necessary to attract and retain talented and experienced officers and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under the symbol “LCID.”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SES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the possible offer and resale, from time to time, by the Selling Stockholders of up to (i) 55,000 shares of our Series C Convertible Preferred Stock, (ii) 51,651,489 shares of our Common Stock, which may be issued upon conversion of the Series C Convertible Preferred Stock as of June 30, 2026, and (iii) 24,038,462 shares of our Common Stock issued to SMB by us in a private placement pursuant to the Uber Subscription Agreement. See “Summary — Ayar Private Placement” and “Summary — Uber Private Placement.” The Securities are being registered to fulfill our contractual obligations under certain agreements between us and the Selling Stockholders. We will not receive any of the proceeds from the sale of the Securities by the Selling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identifies the Selling Stockholders and provides other information regarding the beneficial ownership (as determined under Section 13(d) of the Exchange Act and the rules and regulations thereunder) of shares of Common Stock by the Selling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presented regarding the Selling Stockholders is based, in part, on information the Selling Stockholders provided to us specifically for use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have sold, transferred or otherwise disposed of some or all of the Securities listed below in exempt or registered transactions since the date on which the information below was provided to us and may in the future sell, transfer or otherwise dispose of some or all of the Securities in private placement transactions exempt from, or not subject to the registration requirements of, the Securities Act. We have assumed for purposes of the table below that the Selling Stockholders will sell all of the Securities being offered hereby pursuant to this prospectus supplement. We have based percentage beneficial ownership on 394,070,176 shares of Common Stock outstanding as of June 30, 2026 and beneficial ownership information available as of that date. </w:t>
      </w:r>
    </w:p>
    <w:tbl>
      <w:tblPr>
        <w:tblW w:w="14151" w:type="dxa"/>
        <w:jc w:val="left"/>
        <w:tblInd w:w="543" w:type="dxa"/>
        <w:tblLayout w:type="fixed"/>
        <w:tblCellMar>
          <w:top w:w="0" w:type="dxa"/>
          <w:left w:w="0" w:type="dxa"/>
          <w:bottom w:w="43" w:type="dxa"/>
          <w:right w:w="0" w:type="dxa"/>
        </w:tblCellMar>
      </w:tblPr>
      <w:tblGrid>
        <w:gridCol w:w="1346"/>
        <w:gridCol w:w="109"/>
        <w:gridCol w:w="109"/>
        <w:gridCol w:w="109"/>
        <w:gridCol w:w="109"/>
        <w:gridCol w:w="1306"/>
        <w:gridCol w:w="109"/>
        <w:gridCol w:w="109"/>
        <w:gridCol w:w="109"/>
        <w:gridCol w:w="109"/>
        <w:gridCol w:w="109"/>
        <w:gridCol w:w="1186"/>
        <w:gridCol w:w="109"/>
        <w:gridCol w:w="109"/>
        <w:gridCol w:w="109"/>
        <w:gridCol w:w="109"/>
        <w:gridCol w:w="109"/>
        <w:gridCol w:w="1306"/>
        <w:gridCol w:w="109"/>
        <w:gridCol w:w="109"/>
        <w:gridCol w:w="109"/>
        <w:gridCol w:w="135"/>
        <w:gridCol w:w="135"/>
        <w:gridCol w:w="805"/>
        <w:gridCol w:w="138"/>
        <w:gridCol w:w="109"/>
        <w:gridCol w:w="109"/>
        <w:gridCol w:w="109"/>
        <w:gridCol w:w="109"/>
        <w:gridCol w:w="931"/>
        <w:gridCol w:w="109"/>
        <w:gridCol w:w="109"/>
        <w:gridCol w:w="109"/>
        <w:gridCol w:w="109"/>
        <w:gridCol w:w="109"/>
        <w:gridCol w:w="859"/>
        <w:gridCol w:w="109"/>
        <w:gridCol w:w="109"/>
        <w:gridCol w:w="109"/>
        <w:gridCol w:w="109"/>
        <w:gridCol w:w="109"/>
        <w:gridCol w:w="931"/>
        <w:gridCol w:w="109"/>
        <w:gridCol w:w="109"/>
        <w:gridCol w:w="109"/>
        <w:gridCol w:w="109"/>
        <w:gridCol w:w="109"/>
        <w:gridCol w:w="886"/>
        <w:gridCol w:w="109"/>
        <w:gridCol w:w="154"/>
      </w:tblGrid>
      <w:tr>
        <w:trPr/>
        <w:tc>
          <w:tcPr>
            <w:tcW w:w="1346"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Stockholders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Beneficially</w:t>
            </w:r>
            <w:r>
              <w:rPr/>
              <w:t xml:space="preserve"> </w:t>
              <w:br/>
            </w:r>
            <w:r>
              <w:rPr>
                <w:spacing w:val="-3"/>
              </w:rPr>
              <w:t xml:space="preserve">Owned </w:t>
            </w:r>
            <w:r>
              <w:rPr/>
              <w:br/>
            </w:r>
            <w:r>
              <w:rPr>
                <w:spacing w:val="-3"/>
              </w:rPr>
              <w:t>Prior to</w:t>
            </w:r>
            <w:r>
              <w:rPr/>
              <w:t xml:space="preserve"> </w:t>
              <w:br/>
            </w:r>
            <w:r>
              <w:rPr>
                <w:spacing w:val="-3"/>
              </w:rPr>
              <w:t>Offering</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Maximum</w:t>
            </w:r>
            <w:r>
              <w:rPr/>
              <w:t xml:space="preserve"> </w:t>
              <w:br/>
            </w: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to be Sold</w:t>
            </w:r>
            <w:r>
              <w:rPr/>
              <w:t xml:space="preserve"> </w:t>
              <w:br/>
            </w:r>
            <w:r>
              <w:rPr>
                <w:spacing w:val="-3"/>
              </w:rPr>
              <w:t>Pursuant</w:t>
            </w:r>
            <w:r>
              <w:rPr/>
              <w:t xml:space="preserve"> </w:t>
              <w:br/>
            </w:r>
            <w:r>
              <w:rPr>
                <w:spacing w:val="-3"/>
              </w:rPr>
              <w:t>to this</w:t>
            </w:r>
            <w:r>
              <w:rPr/>
              <w:t xml:space="preserve"> </w:t>
              <w:br/>
            </w:r>
            <w:r>
              <w:rPr>
                <w:spacing w:val="-3"/>
              </w:rPr>
              <w:t>Prospectus</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Shares of</w:t>
            </w:r>
            <w:r>
              <w:rPr/>
              <w:t xml:space="preserve"> </w:t>
              <w:br/>
            </w:r>
            <w:r>
              <w:rPr>
                <w:spacing w:val="-3"/>
              </w:rPr>
              <w:t xml:space="preserve">Common </w:t>
            </w:r>
            <w:r>
              <w:rPr/>
              <w:br/>
            </w:r>
            <w:r>
              <w:rPr>
                <w:spacing w:val="-3"/>
              </w:rPr>
              <w:t>Stock</w:t>
            </w:r>
            <w:r>
              <w:rPr/>
              <w:t xml:space="preserve"> </w:t>
              <w:br/>
            </w:r>
            <w:r>
              <w:rPr>
                <w:spacing w:val="-3"/>
              </w:rPr>
              <w:t>Beneficially</w:t>
            </w:r>
            <w:r>
              <w:rPr/>
              <w:t xml:space="preserve"> </w:t>
              <w:br/>
            </w:r>
            <w:r>
              <w:rPr>
                <w:spacing w:val="-3"/>
              </w:rPr>
              <w:t>Owned After</w:t>
            </w:r>
            <w:r>
              <w:rPr/>
              <w:t xml:space="preserve"> </w:t>
              <w:br/>
            </w:r>
            <w:r>
              <w:rPr>
                <w:spacing w:val="-3"/>
              </w:rPr>
              <w:t>Offering</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Percentage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Beneficially</w:t>
            </w:r>
            <w:r>
              <w:rPr/>
              <w:t xml:space="preserve"> </w:t>
              <w:br/>
            </w:r>
            <w:r>
              <w:rPr>
                <w:spacing w:val="-3"/>
              </w:rPr>
              <w:t>Owned</w:t>
            </w:r>
            <w:r>
              <w:rPr/>
              <w:t xml:space="preserve"> </w:t>
              <w:br/>
            </w:r>
            <w:r>
              <w:rPr>
                <w:spacing w:val="-3"/>
              </w:rPr>
              <w:t>After</w:t>
            </w:r>
            <w:r>
              <w:rPr/>
              <w:t xml:space="preserve"> </w:t>
              <w:br/>
            </w:r>
            <w:r>
              <w:rPr>
                <w:spacing w:val="-3"/>
              </w:rPr>
              <w:t>Offering</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Convertible</w:t>
            </w:r>
            <w:r>
              <w:rPr/>
              <w:t xml:space="preserve"> </w:t>
              <w:br/>
            </w:r>
            <w:r>
              <w:rPr>
                <w:spacing w:val="-3"/>
              </w:rPr>
              <w:t>Preferred</w:t>
            </w:r>
            <w:r>
              <w:rPr/>
              <w:t xml:space="preserve"> </w:t>
              <w:br/>
            </w:r>
            <w:r>
              <w:rPr>
                <w:spacing w:val="-3"/>
              </w:rPr>
              <w:t>Stock</w:t>
            </w:r>
            <w:r>
              <w:rPr/>
              <w:t xml:space="preserve"> </w:t>
              <w:br/>
            </w:r>
            <w:r>
              <w:rPr>
                <w:spacing w:val="-3"/>
              </w:rPr>
              <w:t xml:space="preserve">Beneficially </w:t>
            </w:r>
            <w:r>
              <w:rPr/>
              <w:br/>
            </w:r>
            <w:r>
              <w:rPr>
                <w:spacing w:val="-3"/>
              </w:rPr>
              <w:t>Owned</w:t>
            </w:r>
            <w:r>
              <w:rPr/>
              <w:t xml:space="preserve"> </w:t>
              <w:br/>
            </w:r>
            <w:r>
              <w:rPr>
                <w:spacing w:val="-3"/>
              </w:rPr>
              <w:t>Prior to</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before="0" w:after="0"/>
              <w:jc w:val="center"/>
              <w:rPr/>
            </w:pPr>
            <w:r>
              <w:rPr>
                <w:spacing w:val="-3"/>
              </w:rPr>
              <w:t>Maximum</w:t>
            </w:r>
            <w:r>
              <w:rPr/>
              <w:t xml:space="preserve"> </w:t>
              <w:br/>
            </w:r>
            <w:r>
              <w:rPr>
                <w:spacing w:val="-3"/>
              </w:rPr>
              <w:t>Number of</w:t>
            </w:r>
            <w:r>
              <w:rPr/>
              <w:t xml:space="preserve"> </w:t>
              <w:br/>
            </w:r>
            <w:r>
              <w:rPr>
                <w:spacing w:val="-3"/>
              </w:rPr>
              <w:t>Shares of</w:t>
            </w:r>
            <w:r>
              <w:rPr/>
              <w:t xml:space="preserve"> </w:t>
              <w:br/>
            </w:r>
            <w:r>
              <w:rPr>
                <w:spacing w:val="-3"/>
              </w:rPr>
              <w:t>Convertible</w:t>
            </w:r>
            <w:r>
              <w:rPr/>
              <w:t xml:space="preserve"> </w:t>
              <w:br/>
            </w:r>
            <w:r>
              <w:rPr>
                <w:spacing w:val="-3"/>
              </w:rPr>
              <w:t>Preferred</w:t>
            </w:r>
            <w:r>
              <w:rPr/>
              <w:t xml:space="preserve"> </w:t>
              <w:br/>
            </w:r>
            <w:r>
              <w:rPr>
                <w:spacing w:val="-3"/>
              </w:rPr>
              <w:t>Stock to</w:t>
            </w:r>
            <w:r>
              <w:rPr/>
              <w:t xml:space="preserve"> </w:t>
              <w:br/>
            </w:r>
            <w:r>
              <w:rPr>
                <w:spacing w:val="-3"/>
              </w:rPr>
              <w:t>be Sold</w:t>
            </w:r>
            <w:r>
              <w:rPr/>
              <w:t xml:space="preserve"> </w:t>
              <w:br/>
            </w:r>
            <w:r>
              <w:rPr>
                <w:spacing w:val="-3"/>
              </w:rPr>
              <w:t>Pursuant</w:t>
            </w:r>
            <w:r>
              <w:rPr/>
              <w:t xml:space="preserve"> </w:t>
              <w:br/>
            </w:r>
            <w:r>
              <w:rPr>
                <w:spacing w:val="-3"/>
              </w:rPr>
              <w:t>to this</w:t>
            </w:r>
            <w:r>
              <w:rPr/>
              <w:t xml:space="preserve"> </w:t>
              <w:br/>
            </w:r>
            <w:r>
              <w:rPr>
                <w:spacing w:val="-3"/>
              </w:rPr>
              <w:t xml:space="preserve">Prospectus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Convertible</w:t>
            </w:r>
            <w:r>
              <w:rPr/>
              <w:t xml:space="preserve"> </w:t>
              <w:br/>
            </w:r>
            <w:r>
              <w:rPr>
                <w:spacing w:val="-3"/>
              </w:rPr>
              <w:t>Preferred</w:t>
            </w:r>
            <w:r>
              <w:rPr/>
              <w:t xml:space="preserve"> </w:t>
              <w:br/>
            </w:r>
            <w:r>
              <w:rPr>
                <w:spacing w:val="-3"/>
              </w:rPr>
              <w:t>Stock</w:t>
            </w:r>
            <w:r>
              <w:rPr/>
              <w:t xml:space="preserve"> </w:t>
              <w:br/>
            </w:r>
            <w:r>
              <w:rPr>
                <w:spacing w:val="-3"/>
              </w:rPr>
              <w:t>Beneficially</w:t>
            </w:r>
            <w:r>
              <w:rPr/>
              <w:t xml:space="preserve"> </w:t>
              <w:br/>
            </w:r>
            <w:r>
              <w:rPr>
                <w:spacing w:val="-3"/>
              </w:rPr>
              <w:t>Owned</w:t>
            </w:r>
            <w:r>
              <w:rPr/>
              <w:t xml:space="preserve"> </w:t>
              <w:br/>
            </w:r>
            <w:r>
              <w:rPr>
                <w:spacing w:val="-3"/>
              </w:rPr>
              <w:t>After</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 Shares of</w:t>
            </w:r>
            <w:r>
              <w:rPr/>
              <w:t xml:space="preserve"> </w:t>
              <w:br/>
            </w:r>
            <w:r>
              <w:rPr>
                <w:spacing w:val="-3"/>
              </w:rPr>
              <w:t>Convertible</w:t>
            </w:r>
            <w:r>
              <w:rPr/>
              <w:t xml:space="preserve"> </w:t>
              <w:br/>
            </w:r>
            <w:r>
              <w:rPr>
                <w:spacing w:val="-3"/>
              </w:rPr>
              <w:t>Preferred</w:t>
            </w:r>
            <w:r>
              <w:rPr/>
              <w:t xml:space="preserve"> </w:t>
              <w:br/>
            </w:r>
            <w:r>
              <w:rPr>
                <w:spacing w:val="-3"/>
              </w:rPr>
              <w:t>Stock</w:t>
            </w:r>
            <w:r>
              <w:rPr/>
              <w:t xml:space="preserve"> </w:t>
              <w:br/>
            </w:r>
            <w:r>
              <w:rPr>
                <w:spacing w:val="-3"/>
              </w:rPr>
              <w:t xml:space="preserve">Beneficially </w:t>
            </w:r>
            <w:r>
              <w:rPr/>
              <w:br/>
            </w:r>
            <w:r>
              <w:rPr>
                <w:spacing w:val="-3"/>
              </w:rPr>
              <w:t>Owned</w:t>
            </w:r>
            <w:r>
              <w:rPr/>
              <w:t xml:space="preserve"> </w:t>
              <w:br/>
            </w:r>
            <w:r>
              <w:rPr>
                <w:spacing w:val="-3"/>
              </w:rPr>
              <w:t>After</w:t>
            </w:r>
            <w:r>
              <w:rPr/>
              <w:t xml:space="preserve"> </w:t>
              <w:br/>
            </w:r>
            <w:r>
              <w:rPr>
                <w:spacing w:val="-3"/>
              </w:rPr>
              <w:t xml:space="preserve">Offering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pPr>
            <w:r>
              <w:rPr>
                <w:spacing w:val="4"/>
              </w:rPr>
              <w:t>The Public Investment Fund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282,986,912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51,651,489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231,335,423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05" w:type="dxa"/>
            <w:tcBorders/>
            <w:shd w:fill="CCEEFF" w:val="clear"/>
            <w:tcMar>
              <w:bottom w:w="0" w:type="dxa"/>
            </w:tcMar>
            <w:vAlign w:val="center"/>
          </w:tcPr>
          <w:p>
            <w:pPr>
              <w:pStyle w:val="TableContents"/>
              <w:bidi w:val="0"/>
              <w:spacing w:before="0" w:after="283"/>
              <w:jc w:val="right"/>
              <w:rPr/>
            </w:pPr>
            <w:r>
              <w:rPr/>
              <w:t>46.27%</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230,000</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9" w:type="dxa"/>
            <w:tcBorders/>
            <w:shd w:fill="CCEEFF" w:val="clear"/>
            <w:tcMar>
              <w:bottom w:w="0" w:type="dxa"/>
            </w:tcMar>
            <w:vAlign w:val="center"/>
          </w:tcPr>
          <w:p>
            <w:pPr>
              <w:pStyle w:val="TableContents"/>
              <w:bidi w:val="0"/>
              <w:spacing w:before="0" w:after="283"/>
              <w:jc w:val="right"/>
              <w:rPr/>
            </w:pPr>
            <w:r>
              <w:rPr/>
              <w:t>55,000</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175,000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76.09%</w:t>
            </w:r>
            <w:r>
              <w:rPr>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pPr>
            <w:r>
              <w:rPr>
                <w:spacing w:val="4"/>
              </w:rPr>
              <w:t>SMB Holding Corporation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37,753,583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24,038,462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13,715,121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05" w:type="dxa"/>
            <w:tcBorders/>
            <w:tcMar>
              <w:bottom w:w="0" w:type="dxa"/>
            </w:tcMar>
            <w:vAlign w:val="center"/>
          </w:tcPr>
          <w:p>
            <w:pPr>
              <w:pStyle w:val="TableContents"/>
              <w:bidi w:val="0"/>
              <w:spacing w:before="0" w:after="283"/>
              <w:jc w:val="right"/>
              <w:rPr/>
            </w:pPr>
            <w:r>
              <w:rPr/>
              <w:t>3.48%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shown includes shares of Common Stock beneficially owned by the Selling Stockholders herein as of June 30, 2026, including, in the case of PIF, the shares of Common Stock issuable upon conversion of the outstanding Convertible Preferred Stock as of June 30, 2026. Does not include any dividends that are not yet payable as of any date after June 30, 2026.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29337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maximum number of shares of Common Stock registered under this prospectus supplement, which, in the case of PIF, represents the number of shares of Common Stock that are issuable upon conversion of the Series C Convertible Preferred Stock as of June 30, 2026. The number of shares of Common Stock issuable upon conversion of the Series C Convertible Preferred is limited as required by applicable Nasdaq listing rules unless we obtain any required stockholder approval. The Company and Ayar have agreed to cooperate reasonably to obtain such stockholder approval. The Selling Stockholders may sell all, some or none of their shares in this offering. </w:t>
      </w:r>
      <w:r>
        <mc:AlternateContent>
          <mc:Choice Requires="wps">
            <w:drawing>
              <wp:anchor behindDoc="0" distT="50800" distB="0" distL="0" distR="0" simplePos="0" locked="0" layoutInCell="1" allowOverlap="1" relativeHeight="53">
                <wp:simplePos x="0" y="0"/>
                <wp:positionH relativeFrom="column">
                  <wp:align>left</wp:align>
                </wp:positionH>
                <wp:positionV relativeFrom="line">
                  <wp:align>top</wp:align>
                </wp:positionV>
                <wp:extent cx="254000" cy="30480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shares of Common Stock beneficially owned other than shares of Common Stock covered by this prospectus supplement, including the shares of Common Stock issuable upon conversion of the outstanding Series A Convertible Preferred Stock and Series B Convertible Preferred Stock as of June 30, 2026. </w:t>
      </w:r>
      <w:r>
        <mc:AlternateContent>
          <mc:Choice Requires="wps">
            <w:drawing>
              <wp:anchor behindDoc="0" distT="50800" distB="0" distL="0" distR="0" simplePos="0" locked="0" layoutInCell="1" allowOverlap="1" relativeHeight="54">
                <wp:simplePos x="0" y="0"/>
                <wp:positionH relativeFrom="column">
                  <wp:align>left</wp:align>
                </wp:positionH>
                <wp:positionV relativeFrom="line">
                  <wp:align>top</wp:align>
                </wp:positionV>
                <wp:extent cx="254000" cy="30480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percentage beneficial ownership of our Common Stock by the Selling Stockholders after completion of this offering, assuming that the Selling Stockholders sell all of the shares covered by this prospectus supplement, to the extent such percentage will exceed 1% of the total number of shares of Common Stock outstanding.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number of shares of Convertible Preferred Stock beneficially owned by PIF. </w:t>
      </w:r>
      <w:r>
        <mc:AlternateContent>
          <mc:Choice Requires="wps">
            <w:drawing>
              <wp:anchor behindDoc="0" distT="508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maximum number of shares of Series C Convertible Preferred Stock being offered pursuant to this prospectus supplement by PIF. </w:t>
      </w:r>
      <w:r>
        <mc:AlternateContent>
          <mc:Choice Requires="wps">
            <w:drawing>
              <wp:anchor behindDoc="0" distT="508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shares of Convertible Preferred Stock to be beneficially owned by PIF after completion of this offering, assuming that PIF sells all of the shares of Series C Convertible Preferred Stock covered by this prospectus supplement. </w:t>
      </w:r>
      <w:r>
        <mc:AlternateContent>
          <mc:Choice Requires="wps">
            <w:drawing>
              <wp:anchor behindDoc="0" distT="508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PIF’s percentage ownership of our Convertible Preferred Stock after completion of this offering, assuming that PIF sells all of the shares of Series C Convertible Preferred Stock covered by this prospectus supplement and that the shares of Series C Convertible Preferred stock remain outstanding after such sale. </w:t>
      </w:r>
      <w:r>
        <mc:AlternateContent>
          <mc:Choice Requires="wps">
            <w:drawing>
              <wp:anchor behindDoc="0" distT="508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Ayar is a wholly owned subsidiary of PIF. The Board of Directors of PIF has dispositive power over the shares held by PIF and Ayar. The Board of Directors of PIF, and, as managers of Ayar, each of Turqi Alnowaiser and Yasir Alsalman, have shared voting power over the shares held by Ayar. Neither Mr. Alnowaiser nor Mr. Alsalman has any pecuniary interest in the shares held by Ayar and each of Mr. Alnowaiser and Mr. Alsalman disclaims beneficial ownership of the shares held by Ayar. Securities offered by PIF hereby were issued to Ayar in a private placement. See “Summary — Ayar Private Placement.” The number of shares of Common Stock beneficially owned by PIF includes 34,006,758 shares of Common Stock issuable upon conversion of our Series A Convertible Preferred Stock held by Ayar, 20,239,798 shares of Common Stock issuable upon conversion of our Series B Convertible Preferred Stock held by Ayar, and 51,651,489 shares of Common Stock issuable upon conversion of our Series C Convertible Preferred Stock held by Ayar as of June 30, 2026. The business address for PIF is The Public Investment Fund Tower, King Abdullah Financial District (KAFD), 1.16 Al Aqiq District, Riyadh, TO 13519, The Kingdom of Saudi Arabia. </w:t>
      </w:r>
      <w:r>
        <mc:AlternateContent>
          <mc:Choice Requires="wps">
            <w:drawing>
              <wp:anchor behindDoc="0" distT="508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SMB is a wholly owned subsidiary of Uber. Uber has sole voting and investment power with respect to the Company’s securities held by SMB. The business address for Uber is 1725 3rd Street, San Francisco, California 94158. </w:t>
      </w:r>
      <w:r>
        <mc:AlternateContent>
          <mc:Choice Requires="wps">
            <w:drawing>
              <wp:anchor behindDoc="0" distT="50800" distB="0" distL="0" distR="0" simplePos="0" locked="0" layoutInCell="1" allowOverlap="1" relativeHeight="61">
                <wp:simplePos x="0" y="0"/>
                <wp:positionH relativeFrom="column">
                  <wp:align>left</wp:align>
                </wp:positionH>
                <wp:positionV relativeFrom="line">
                  <wp:align>top</wp:align>
                </wp:positionV>
                <wp:extent cx="254000" cy="52578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sell, transfer or otherwise dispose of any or all of their Securities or interests in such Securities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distributed from time to time in one or more transactions: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brokers or dealers that may act solely as agents;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entered into after the effective date of the registration statement of which this prospectus supplement is a part, whether through an options exchange or otherwise;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Stockholders to sell a specified number of such shares at a stipulated price per share;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disposition; and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shares under Rule 144 under the Securities Act, if available, rather than under this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also be exchanged for satisfaction of any Selling Stockholders’ obligations or other liabilities to its creditors. Such transactions may or may not involve brokers or dealers.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supplement is a part by delivering a prospectus with a plan of distribution. Such members, partners or stockholders (unless our affiliate) would thereby receive freely tradeable Securities pursuant to the distribution. To the extent a distributee is an affiliate of ours (or to the extent otherwise required by law), we may file a supplement to this prospectus supplement in order to permit the distributees to use this prospectus supplement to resell the Securities acquired in the distribution.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being notified in writing by the Selling Stockholders that any material arrangement has been entered into with a broker-dealer for the sale of the shares through a block trade, special offering exchange distribution or secondary distribution or a purchase by a broker or dealer, we will file a supplement to this prospectus supplement, if required, pursuant to Rule 424(b) under the Securities Act, disclosing the method of distribution, the terms and conditions of the offering of such Securities, including the offering price of the Securities and the proceeds to the Selling Stockholders, if applicable, and any other required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transfer the shares in other circumstances, in which case the transferees, pledgees or other successors in interest will be the selling beneficial owners for purposes of this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the Securities being offered by this prospectus supplement may be solicited directly. Agents may also be designated to solicit offers to purchase the Securities from time to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being offered by this prospectus supplement, the Securities will be sold to the dealer, as principal. The dealer may then resell the Securities to the public at varying prices to be determined by the dealer at the time of resale.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The Selling Stockholders may enter into agreements to indemnify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shares of Common Stock being offered by this prospectus supplement will be listed on the Nasdaq.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engage in at the market offerings into an existing trading market in accordance with Rule 415(a)(4) under the Securities Act. In addition, the Selling Stockholders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 party may use securities pledged by the Selling Stockholders or borrowed from the Selling Stockholders or others to settle those sales or to close out any related open borrowings of stock, and may use securities received from the Selling Stockholders in settlement of those derivatives to close out any related open borrowings of stock. In addition, the Selling Stockholders may otherwise loan or pledge securities to a financial institution or other third party that in turn may sell the securities short using this prospectus supplement. Such financial institution or other third party may transfer its economic short position to investors in our securities or in connection with a concurrent offering of other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lock-up provisions in respect of any given offering will be described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dealers and agents may engage in transactions with the Selling Stockholders, or perform services for the Selling Stockholders, in the ordinary course of business for which they receive compensation.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the Selling Stockholders that they are required to comply with Regulation M promulgated under the Exchange Act during such time as they may be engaged in a distribution of the shares. The foregoing may affect the marketability of the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pay all fees and expenses in connection with the registration of the Securities. We have agreed to indemnify the Selling Stockholders against certain losses, claims, damages and liabilities, including liabilities under the Securities Act or otherwise, relating to the registration of the Securities offered by this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with the Selling Stockholders to keep the registration statement of which this prospectus supplement constitutes a part effective until such time as of which all Securities registered by such registration statement have been sold or cease to be Registrable Securities (as defined in the Investor Rights Agreement) or Registrable Shares (as defined in the Uber Subscription Agreement),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VOTS"/>
      <w:bookmarkEnd w:id="12"/>
      <w:r>
        <w:rPr>
          <w:rFonts w:ascii="calibri;arial;sans-serif" w:hAnsi="calibri;arial;sans-serif"/>
          <w:b w:val="false"/>
          <w:i w:val="false"/>
          <w:caps w:val="false"/>
          <w:smallCaps w:val="false"/>
          <w:color w:val="000000"/>
          <w:sz w:val="16"/>
        </w:rPr>
        <w:t>​</w:t>
      </w:r>
      <w:bookmarkStart w:id="13" w:name="s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described in this prospectus supplement will be passed upon for us by Skadden, Arps, Slate, Meagher &amp; Flom LLP. Additional legal matters may be passed on for us, or any underwriters, dealers or agents, by counsel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Lucid Group,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and should not be considered to be part of this prospectus supplement, except as described in the following paragraph.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Certain information that we subsequently file with the SEC will automatically update and supersede information in this prospectus supplement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supplement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 </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6">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filed with the SEC on February 24, 2026;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7">
        <w:r>
          <w:rPr>
            <w:rStyle w:val="InternetLink"/>
          </w:rPr>
          <w:t>Quarterly Report on Form 10-Q for the fiscal quarter ended March 31, 2026</w:t>
        </w:r>
      </w:hyperlink>
      <w:r>
        <w:rPr>
          <w:rFonts w:ascii="Times New Roman;Times;serif" w:hAnsi="Times New Roman;Times;serif"/>
          <w:b w:val="false"/>
          <w:i w:val="false"/>
          <w:caps w:val="false"/>
          <w:smallCaps w:val="false"/>
          <w:color w:val="000000"/>
          <w:spacing w:val="4"/>
          <w:sz w:val="20"/>
        </w:rPr>
        <w:t xml:space="preserve">, filed with the SEC on May 5, 2026 and our </w:t>
      </w:r>
      <w:hyperlink r:id="rId8">
        <w:r>
          <w:rPr>
            <w:rStyle w:val="InternetLink"/>
          </w:rPr>
          <w:t>Quarterly Report on Form 10-Q for the fiscal quarter ended June 30, 2026</w:t>
        </w:r>
      </w:hyperlink>
      <w:r>
        <w:rPr>
          <w:rFonts w:ascii="Times New Roman;Times;serif" w:hAnsi="Times New Roman;Times;serif"/>
          <w:b w:val="false"/>
          <w:i w:val="false"/>
          <w:caps w:val="false"/>
          <w:smallCaps w:val="false"/>
          <w:color w:val="000000"/>
          <w:spacing w:val="4"/>
          <w:sz w:val="20"/>
        </w:rPr>
        <w:t xml:space="preserve">, filed with the SEC on August 4, 2026;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January 23,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14,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14,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April 14,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June 1,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June 5,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June 22,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July 2, 2026</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July 6, 2026</w:t>
        </w:r>
      </w:hyperlink>
      <w:r>
        <w:rPr>
          <w:rFonts w:ascii="Times New Roman;Times;serif" w:hAnsi="Times New Roman;Times;serif"/>
          <w:b w:val="false"/>
          <w:i w:val="false"/>
          <w:caps w:val="false"/>
          <w:smallCaps w:val="false"/>
          <w:color w:val="000000"/>
          <w:spacing w:val="4"/>
          <w:sz w:val="20"/>
        </w:rPr>
        <w:t xml:space="preserve"> (except for any portions of such Current Reports on Form 8-K furnished pursuant to Item 2.02 and/or Item 7.01 thereof and any corresponding exhibits thereto not filed with the SEC);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information specifically incorporated by reference into our </w:t>
      </w:r>
      <w:hyperlink r:id="rId20">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from our </w:t>
      </w:r>
      <w:hyperlink r:id="rId21">
        <w:r>
          <w:rPr>
            <w:rStyle w:val="InternetLink"/>
          </w:rPr>
          <w:t>Definitive Proxy Statement on Schedule 14A filed with the SEC on April 23,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securities contained in our Registration Statement on </w:t>
      </w:r>
      <w:hyperlink r:id="rId22">
        <w:r>
          <w:rPr>
            <w:rStyle w:val="InternetLink"/>
          </w:rPr>
          <w:t>Form 8-A (File No. 001-39408), filed with the SEC on July 23, 2021</w:t>
        </w:r>
      </w:hyperlink>
      <w:r>
        <w:rPr>
          <w:rFonts w:ascii="Times New Roman;Times;serif" w:hAnsi="Times New Roman;Times;serif"/>
          <w:b w:val="false"/>
          <w:i w:val="false"/>
          <w:caps w:val="false"/>
          <w:smallCaps w:val="false"/>
          <w:color w:val="000000"/>
          <w:spacing w:val="4"/>
          <w:sz w:val="20"/>
        </w:rPr>
        <w:t xml:space="preserve"> and any amendments or reports filed for the purpose of updating such description, including </w:t>
      </w:r>
      <w:hyperlink r:id="rId23">
        <w:r>
          <w:rPr>
            <w:rStyle w:val="InternetLink"/>
          </w:rPr>
          <w:t>Exhibit 4.10 of our 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request a copy of these filings, at no cost to you, by contacting us by mail: 7373 Gateway Boulevard, Newark, CA 94560, Attention: Investor Relations, by email: investor@lucidmotors.com or by telephone: (510) 648-3553.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5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LUCID GROUP, INC.</w:t>
      </w:r>
      <w:r>
        <w:rPr>
          <w:rFonts w:ascii="Times New Roman;Times;serif" w:hAnsi="Times New Roman;Times;serif"/>
          <w:b/>
          <w:i w:val="false"/>
          <w:caps w:val="false"/>
          <w:smallCaps w:val="false"/>
          <w:color w:val="000000"/>
          <w:spacing w:val="6"/>
          <w:sz w:val="3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3933825" cy="25717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24"/>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Common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Preferred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Depositary Shares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Debt Securities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Warrants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Subscription Rights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Purchase Contracts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and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Purchase Units</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9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issue and sell, together or separately: </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preferred stock, which may be issued in one or more series;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receipts, representing fractional shares of our preferred stock, which are called depositary shares;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which may be issued in one or more series and which may be senior debt securities or subordinated debt securities;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to purchase shares of our common stock, shares of our preferred stock or our debt securities;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to purchase shares of our common stock, shares of our preferred stock or our debt securities;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to purchase shares of our common stock, shares of our preferred stock or our debt securities; and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1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selling securityholders may offer and sell, from time to time, these securities on terms described in a prospectus supplement. </w:t>
      </w:r>
    </w:p>
    <w:p>
      <w:pPr>
        <w:pStyle w:val="TextBody"/>
        <w:bidi w:val="0"/>
        <w:spacing w:lineRule="atLeast" w:line="220" w:before="12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 </w:t>
      </w:r>
    </w:p>
    <w:p>
      <w:pPr>
        <w:pStyle w:val="TextBody"/>
        <w:bidi w:val="0"/>
        <w:spacing w:lineRule="atLeast" w:line="220" w:before="12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offer and sell these securities to or through one or more underwriters, dealers and agents, or directly to purchasers, on a continuous or delayed basis.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94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sell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ind w:left="540"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a number of risks. See “Risk Factors” on page </w:t>
      </w:r>
      <w:hyperlink w:anchor="tRIFA2">
        <w:r>
          <w:rPr>
            <w:rStyle w:val="InternetLink"/>
          </w:rPr>
          <w:t>8</w:t>
        </w:r>
      </w:hyperlink>
      <w:r>
        <w:rPr>
          <w:rFonts w:ascii="Times New Roman;Times;serif" w:hAnsi="Times New Roman;Times;serif"/>
          <w:b/>
          <w:i w:val="false"/>
          <w:caps w:val="false"/>
          <w:smallCaps w:val="false"/>
          <w:color w:val="000000"/>
          <w:spacing w:val="-4"/>
          <w:sz w:val="20"/>
        </w:rPr>
        <w:t xml:space="preserve"> before you make your investment decision.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lineRule="atLeast" w:line="220" w:before="12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(“Nasdaq”) under the trading symbol “LCID.” Each prospectus supplement will indicate whether the securities offered thereby will be listed on any securities exchange. </w:t>
      </w:r>
    </w:p>
    <w:p>
      <w:pPr>
        <w:pStyle w:val="TextBody"/>
        <w:bidi w:val="0"/>
        <w:spacing w:lineRule="atLeast" w:line="220" w:before="120" w:after="283"/>
        <w:ind w:left="54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30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date of this prospectus is October 16, 2024.</w:t>
      </w:r>
      <w:r>
        <w:rPr>
          <w:rFonts w:ascii="Times New Roman;Times;serif" w:hAnsi="Times New Roman;Time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2">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2">
              <w:r>
                <w:rPr>
                  <w:rStyle w:val="InternetLink"/>
                  <w:spacing w:val="4"/>
                </w:rPr>
                <w:t>1</w:t>
              </w:r>
            </w:hyperlink>
            <w:hyperlink w:anchor="tWYC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FUT">
              <w:r>
                <w:rPr>
                  <w:rStyle w:val="InternetLink"/>
                  <w:spacing w:val="4"/>
                </w:rPr>
                <w:t>3</w:t>
              </w:r>
            </w:hyperlink>
            <w:hyperlink w:anchor="tFU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NRF">
              <w:r>
                <w:rPr>
                  <w:rStyle w:val="InternetLink"/>
                  <w:spacing w:val="4"/>
                </w:rPr>
                <w:t>5</w:t>
              </w:r>
            </w:hyperlink>
            <w:hyperlink w:anchor="t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7</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RIFA2">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RIFA2">
              <w:r>
                <w:rPr>
                  <w:rStyle w:val="InternetLink"/>
                  <w:spacing w:val="4"/>
                </w:rPr>
                <w:t>8</w:t>
              </w:r>
            </w:hyperlink>
            <w:hyperlink w:anchor="tRIFA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2">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2">
              <w:r>
                <w:rPr>
                  <w:rStyle w:val="InternetLink"/>
                  <w:spacing w:val="4"/>
                </w:rPr>
                <w:t>9</w:t>
              </w:r>
            </w:hyperlink>
            <w:hyperlink w:anchor="tUOP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S">
              <w:r>
                <w:rPr>
                  <w:rStyle w:val="InternetLink"/>
                  <w:spacing w:val="4"/>
                </w:rPr>
                <w:t>10</w:t>
              </w:r>
            </w:hyperlink>
            <w:hyperlink w:anchor="tD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11</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DS">
              <w:r>
                <w:rPr>
                  <w:rStyle w:val="InternetLink"/>
                  <w:spacing w:val="4"/>
                </w:rPr>
                <w:t>22</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24</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W">
              <w:r>
                <w:rPr>
                  <w:rStyle w:val="InternetLink"/>
                  <w:spacing w:val="4"/>
                </w:rPr>
                <w:t>27</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28</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AND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PC">
              <w:r>
                <w:rPr>
                  <w:rStyle w:val="InternetLink"/>
                  <w:spacing w:val="4"/>
                </w:rPr>
                <w:t>29</w:t>
              </w:r>
            </w:hyperlink>
            <w:hyperlink w:anchor="tDOP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30</w:t>
              </w:r>
            </w:hyperlink>
            <w:hyperlink w:anchor="tSE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2">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2">
              <w:r>
                <w:rPr>
                  <w:rStyle w:val="InternetLink"/>
                  <w:spacing w:val="4"/>
                </w:rPr>
                <w:t>32</w:t>
              </w:r>
            </w:hyperlink>
            <w:hyperlink w:anchor="tLEMA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2">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2">
              <w:r>
                <w:rPr>
                  <w:rStyle w:val="InternetLink"/>
                  <w:spacing w:val="4"/>
                </w:rPr>
                <w:t>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ATP"/>
      <w:bookmarkEnd w:id="16"/>
      <w:r>
        <w:rPr>
          <w:rFonts w:ascii="calibri;arial;sans-serif" w:hAnsi="calibri;arial;sans-serif"/>
          <w:b w:val="false"/>
          <w:i w:val="false"/>
          <w:caps w:val="false"/>
          <w:smallCaps w:val="false"/>
          <w:color w:val="000000"/>
          <w:sz w:val="16"/>
        </w:rPr>
        <w:t>​</w:t>
      </w:r>
      <w:bookmarkStart w:id="17" w:name="tWYCF2"/>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prospectus is accurate as of the date on the front cover. You should not assume that the information contained in this prospectus is accurate as of any other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“Lucid,” the “Company,” “we,” “our” and “us” refer to Lucid Group, Inc. and its consolidated subsidiaries, unless otherwise specified or the context otherwise requires.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 </w:t>
      </w:r>
    </w:p>
    <w:p>
      <w:pPr>
        <w:pStyle w:val="TextBody"/>
        <w:bidi w:val="0"/>
        <w:spacing w:lineRule="atLeast" w:line="240" w:before="114" w:after="0"/>
        <w:ind w:left="1993" w:right="0" w:hanging="0"/>
        <w:jc w:val="both"/>
        <w:rPr/>
      </w:pPr>
      <w:hyperlink r:id="rId25">
        <w:r>
          <w:rPr>
            <w:rStyle w:val="InternetLink"/>
          </w:rPr>
          <w:t>our Annual Report on Form 10-K for the year ended December 31, 2023, filed with the SEC on February 27, 2024 (the “Annual Report”);</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fiscal year ended December 31, 2023 from our </w:t>
      </w:r>
      <w:hyperlink r:id="rId26">
        <w:r>
          <w:rPr>
            <w:rStyle w:val="InternetLink"/>
          </w:rPr>
          <w:t>definitive proxy statement on Schedule 14A, filed with the SEC on April 25,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and June 30, 2024, filed with the SEC on </w:t>
      </w:r>
      <w:hyperlink r:id="rId27">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9">
        <w:r>
          <w:rPr>
            <w:rStyle w:val="InternetLink"/>
          </w:rPr>
          <w:t>January 26, 2024</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February 15, 2024</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March 25, 2024</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March 29, 2024</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(only with respect to Item 5.02 therein), </w:t>
      </w:r>
      <w:hyperlink r:id="rId34">
        <w:r>
          <w:rPr>
            <w:rStyle w:val="InternetLink"/>
          </w:rPr>
          <w:t>May 24, 2024</w:t>
        </w:r>
      </w:hyperlink>
      <w:r>
        <w:rPr>
          <w:rFonts w:ascii="Times New Roman;Times;serif" w:hAnsi="Times New Roman;Times;serif"/>
          <w:b w:val="false"/>
          <w:i w:val="false"/>
          <w:caps w:val="false"/>
          <w:smallCaps w:val="false"/>
          <w:color w:val="000000"/>
          <w:spacing w:val="4"/>
          <w:sz w:val="20"/>
        </w:rPr>
        <w:t xml:space="preserve"> (only with respect to Item 2.05 therein), </w:t>
      </w:r>
      <w:hyperlink r:id="rId35">
        <w:r>
          <w:rPr>
            <w:rStyle w:val="InternetLink"/>
          </w:rPr>
          <w:t>June 6, 2024</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August 5, 2024</w:t>
        </w:r>
      </w:hyperlink>
      <w:r>
        <w:rPr>
          <w:rFonts w:ascii="Times New Roman;Times;serif" w:hAnsi="Times New Roman;Times;serif"/>
          <w:b w:val="false"/>
          <w:i w:val="false"/>
          <w:caps w:val="false"/>
          <w:smallCaps w:val="false"/>
          <w:color w:val="000000"/>
          <w:spacing w:val="4"/>
          <w:sz w:val="20"/>
        </w:rPr>
        <w:t xml:space="preserve"> and </w:t>
      </w:r>
      <w:hyperlink r:id="rId37">
        <w:r>
          <w:rPr>
            <w:rStyle w:val="InternetLink"/>
          </w:rPr>
          <w:t>August 19,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capital stock contained in </w:t>
      </w:r>
      <w:hyperlink r:id="rId38">
        <w:r>
          <w:rPr>
            <w:rStyle w:val="InternetLink"/>
          </w:rPr>
          <w:t>Exhibit 4.6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2021, filed with the SEC on February 28, 2022, and any amendment or report filed for the purpose of updating such description.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FUT"/>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prospectus or the context otherwise requires, references to: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AMP-1” are to our Advanced Manufacturing Plant-1 in Casa Grande, Arizona;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AMP-2” are to our planned Advanced Manufacturing Plant-2 in Saudi Arabia, which consists of a semi knocked-down portion that has been completed and a completely-built-up portion that will be constructed;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Ayar” are to Ayar Third Investment Company, an affiliate of PIF and the controlling stockholder of the Company;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or “Board of Directors” are to the board of directors of Lucid Group Inc., a Delaware corporation;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Churchill” or “CCIV” are to Churchill Capital Corp IV, a Delaware corporation and our predecessor company prior to the consummation of the Transactions, which changed its name to Lucid Group, Inc. following the consummation of the Transactions, and its consolidated subsidiaries;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Churchill IPO” are to the initial public offering by Churchill which closed on August 3, 2020;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common stock” are to the Class A common stock of Lucid Group, Inc., par value $0.0001 per share;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bylaws” are to the Company’s Second Amended and Restated Bylaws in effect as of the date of this prospectus;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certificate of incorporation” are to the Company’s Third Amended and Restated Certificate of Incorporation in effect as of the date of this prospectus;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DGCL” are to the Delaware General Corporation Law, as amended;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 are to electric vehicle;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Investor Rights Agreement” are to the Investor Rights Agreement, dated as of February 22, 2021 and as may be amended from time to time, by and among the Company, the Sponsor, Ayar and certain other parties thereto;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Legacy Lucid” are to Atieva, Inc., d/b/a Lucid Motors, an exempted company incorporated with limited liability under the laws of the Cayman Islands, and its consolidated subsidiaries before the Closing Date;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are to the merger of a merger subsidiary of Churchill and Atieva, Inc., with Atieva, Inc. surviving such merger as a wholly owned subsidiary of Churchill;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are to The Nasdaq Stock Market LLC;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PIF” are to the Public Investment Fund, the sovereign wealth fund of Saudi Arabia;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Redeemable Convertible Preferred Stock” are to the Series A and Series B Convertible Preferred Stock of Lucid Group, Inc., par value $0.0001 per share;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are to Churchill Sponsor IV LLC, a Delaware limited liability company and an affiliate of M. Klein and Company, LLC in which certain of Churchill’s directors and officers hold membership interests;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are to the Merger, together with the other transactions consummated under the Merger Agreement and the related agreements; and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Placement Warrants” are to Churchill’s warrants issued to the Sponsor in a private placement simultaneously with the closing of the Churchill IPO;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Promissory Note” are to the unsecured promissory note issued by Churchill to the Sponsor in an aggregate principal amount of $1,500,000. The Sponsor has elected to exercise its option to convert the unpaid balance of the Note of $1,500,000 into Working Capital Warrants;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 Agreement” are to the Warrant Agreement, dated July 29, 2020, entered into in connection with the Churchill IPO by and between Continental Stock Transfer &amp; Trust Company and Churchill; and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Working Capital Warrants” are to the Company’s warrants to purchase common stock pursuant to the terms of the Promissory Note, on terms identical to the terms of the Private Placement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N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changes in overall demand for our products and services and cancellation of orders for our vehicles;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prices and availability of commodities, our supply chain, logistics, inventory management and quality control, and our ability to complete the tooling of our manufacturing facilities over time and scale production of the Lucid Air and other vehicles;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uncertainty of our projected financial information;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timing of expected business milestones and commercial product launches;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expansion of our manufacturing facility, the construction of new manufacturing facilities and the increase of our production capacity;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issuance and sale of shares of our Redeemable Convertible Preferred Stock;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expenses and control costs;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our offerings;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pace and depth of electric vehicle adoption generally on our business;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governmental incentives and fuel and energy prices;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rapidly innovate;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or maintain partnerships with original equipment manufacturers, vendors and technology providers, including our ability to realize the anticipated benefits of our transaction with Aston Martin;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growth and recruit and retain key employees, including our chief executive officer and executive team;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vehicle recalls;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expand our brand, and capture additional market share, and the risks associated with negative press or reputational harm; </w:t>
      </w:r>
      <w:r>
        <mc:AlternateContent>
          <mc:Choice Requires="wps">
            <w:drawing>
              <wp:anchor behindDoc="0" distT="0" distB="0" distL="254000" distR="0" simplePos="0" locked="0" layoutInCell="1" allowOverlap="1" relativeHeight="105">
                <wp:simplePos x="0" y="0"/>
                <wp:positionH relativeFrom="column">
                  <wp:align>left</wp:align>
                </wp:positionH>
                <wp:positionV relativeFrom="line">
                  <wp:posOffset>635</wp:posOffset>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utilize zero emission vehicle credits and obtain and utilize certain tax and other incentives;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equity, equity-linked, or debt financing in the future;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interest and principal on our indebtedness;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to vehicle specifications which may impact performance, pricing, and other expectations;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investigations and inquiries; and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this prospectus or our other filings with the SEC, including any accompanying prospectus supplement.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TH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Lucid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Controlled Company Exemption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2"/>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UOP2"/>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set forth in an accompanying prospectus supplement, we will not receive any proceeds in the event that securities are sold by a selling securityholder.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S"/>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C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Preferred Stock, we designated 100,000 shares as Series A Convertible Preferred Stock and 75,000 shares as Series B Convertible Preferred Stock (together, the “Redeemable Convertible Preferred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2024, there were (i) 2,337,518,542 shares of our common stock outstanding, (ii) 100,000 shares of Series A Convertible Preferred Stock outstanding, (iii) 75,000 shares of Series B Convertible Preferred Stock outstanding, and (iv) 44,350,000 shares of common stock issuable upon the exercise of Private Placement Warrants (including the Working Capital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Power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Dissolution and 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voluntary or involuntary liquidation, dissolution, or winding-up of the Company, the holders of our common stock will be entitled to receive all the remaining assets of the Company available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to stockholders, ratably in proportion to the number of shares of common stock held by them, after the rights of creditors of the Company and the holders of any outstanding shares of preferred stock have been satisfied.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or 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do not have preemptive or other subscription rights and there is no sinking fund or redemption provisions applicable to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Redeemable Convertible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 and Dividend.</w:t>
      </w:r>
      <w:r>
        <w:rPr>
          <w:rFonts w:ascii="Times New Roman;Times;serif" w:hAnsi="Times New Roman;Times;serif"/>
          <w:b w:val="false"/>
          <w:i w:val="false"/>
          <w:caps w:val="false"/>
          <w:smallCaps w:val="false"/>
          <w:color w:val="000000"/>
          <w:spacing w:val="4"/>
          <w:sz w:val="20"/>
        </w:rPr>
        <w:t xml:space="preserve">   The Redeemable Convertible Preferred Stock ranks senior to our common 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 liquidation, dissolution or winding up of the Company, each holder of shares of Redeemable Convertible Preferred Stock (“Holder”) is entitled to receive, with respect to each share of then-outstanding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 Stock as of the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Each share of Redeemable Convertible Preferred Stock is convertible, at the option of the 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w:t>
      </w:r>
      <w:r>
        <w:rPr>
          <w:rFonts w:ascii="Times New Roman;Times;serif" w:hAnsi="Times New Roman;Times;serif"/>
          <w:b w:val="false"/>
          <w:i w:val="false"/>
          <w:caps w:val="false"/>
          <w:smallCaps w:val="false"/>
          <w:color w:val="000000"/>
          <w:spacing w:val="4"/>
          <w:sz w:val="20"/>
        </w:rPr>
        <w:t xml:space="preserve">   Except as otherwise provided in the respective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Junior and Parity Securities.</w:t>
      </w:r>
      <w:r>
        <w:rPr>
          <w:rFonts w:ascii="Times New Roman;Times;serif" w:hAnsi="Times New Roman;Times;serif"/>
          <w:b w:val="false"/>
          <w:i w:val="false"/>
          <w:caps w:val="false"/>
          <w:smallCaps w:val="false"/>
          <w:color w:val="000000"/>
          <w:spacing w:val="4"/>
          <w:sz w:val="20"/>
        </w:rPr>
        <w:t xml:space="preserve">   Subject to certain exceptions, unless all accumulated and unpaid 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 to each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Mandatory Conversion.</w:t>
      </w:r>
      <w:r>
        <w:rPr>
          <w:rFonts w:ascii="Times New Roman;Times;serif" w:hAnsi="Times New Roman;Times;serif"/>
          <w:b w:val="false"/>
          <w:i w:val="false"/>
          <w:caps w:val="false"/>
          <w:smallCaps w:val="false"/>
          <w:color w:val="000000"/>
          <w:spacing w:val="4"/>
          <w:sz w:val="20"/>
        </w:rPr>
        <w:t xml:space="preserve">   On or after the third anniversary of the respective Initial Issue Date, if at any 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 (30) 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Fundamental Change.   </w:t>
      </w:r>
      <w:r>
        <w:rPr>
          <w:rFonts w:ascii="Times New Roman;Times;serif" w:hAnsi="Times New Roman;Times;serif"/>
          <w:b w:val="false"/>
          <w:i w:val="false"/>
          <w:caps w:val="false"/>
          <w:smallCaps w:val="false"/>
          <w:color w:val="000000"/>
          <w:spacing w:val="4"/>
          <w:sz w:val="20"/>
        </w:rPr>
        <w:t xml:space="preserve">Upon a “fundamental change” ​(as defined in the respective certificate of 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On or after the fifth anniversary of the respective Initial Issue Date, the 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Nasdaq Rules.   </w:t>
      </w:r>
      <w:r>
        <w:rPr>
          <w:rFonts w:ascii="Times New Roman;Times;serif" w:hAnsi="Times New Roman;Times;serif"/>
          <w:b w:val="false"/>
          <w:i w:val="false"/>
          <w:caps w:val="false"/>
          <w:smallCaps w:val="false"/>
          <w:color w:val="000000"/>
          <w:spacing w:val="4"/>
          <w:sz w:val="20"/>
        </w:rPr>
        <w:t xml:space="preserve">The number of shares of common stock deliverable upon conversion, redemption or 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Remedies for Nonpayment.</w:t>
      </w:r>
      <w:r>
        <w:rPr>
          <w:rFonts w:ascii="Times New Roman;Times;serif" w:hAnsi="Times New Roman;Times;serif"/>
          <w:b w:val="false"/>
          <w:i w:val="false"/>
          <w:caps w:val="false"/>
          <w:smallCaps w:val="false"/>
          <w:color w:val="000000"/>
          <w:spacing w:val="4"/>
          <w:sz w:val="20"/>
        </w:rPr>
        <w:t xml:space="preserve">   The dividend rate described above will be increased to a rate not exceeding 15% per annum upon certain events of noncompliance relating to a failure by the Company to deliver consideration due in connection with a fundamental change or optional redemption. </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Private Placement Warrants and Working Capital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Placement Warrants (including the common stock issuable upon exercise of the Private Placement Warrants) are, pursuant to the Investor Rights Agreement, not redeemable by us so long as they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 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Anti-Dilution Adjustments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Our Current Certificate of Incorporation, Our Current Bylaws and Certain Provisions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voting stock outstanding at the time the transaction commenced, excluding certain shares; or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that time, the business combination is approved by our Board and by the affirmative vote of holders of at least two-thirds of the votes of our outstanding voting stock that is not owned by the interested stockholder.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Director Nominations and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Dissenters’ Rights of Appraisal and 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Derivative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Liability and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certificate of incorporation provides that we must indemnify and advance expenses to our directors and officers to the full extent authorized by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these provisions, the insurance and the indemnity agreements are necessary to attract and retain talented and experienced officers and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under the symbol “LCID.”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Depositary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provided otherwise in an accompanying prospectus supplement, upon surrender of depositary receipts at the principal office of the Bank Depositary, subject to the terms of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1"/>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in one or more series, which may be senior debt securities or subordinated debt securities and which may be convertible into another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aggregate principal amount of the debt securities and any limit on the aggregate principal amount of such series;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subordination provisions for any subordinated debt securities;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date(s) or method for determining same;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rate(s) or the method for determining same;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or exchangeable into other securities and any related terms and conditions;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early repayment provisions;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 principal amount of debt securities payable upon acceleration;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place(s) where payment of principal and interest may be made, where debt securities may be presented and where notices or demands upon the company may be made;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or forms of the debt securities of the series including such legends as may be required by applicable law;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whole or in part in the form of one or more global securities and the date as of which the securities are dated if other than the date of original issuance;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secured and the terms of such security;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discount or premium, if any, with which the debt securities will be issued;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additions or changes in the defaults and events of default applicable to the particular debt securities being issued;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guarantors of each series, if any, and the extent of the guarantees (including provisions relating to seniority, subordination and release of the guarantees), if any;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purchase price for, the principal of and any premium and any interest on, the debt securities will be payable;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period within which, the manner in which and the terms and conditions upon which we or the holders of the debt securities can select the payment currency; </w:t>
      </w:r>
      <w:r>
        <mc:AlternateContent>
          <mc:Choice Requires="wps">
            <w:drawing>
              <wp:anchor behindDoc="0" distT="0" distB="0" distL="254000" distR="0" simplePos="0" locked="0" layoutInCell="1" allowOverlap="1" relativeHeight="133">
                <wp:simplePos x="0" y="0"/>
                <wp:positionH relativeFrom="column">
                  <wp:align>left</wp:align>
                </wp:positionH>
                <wp:positionV relativeFrom="line">
                  <wp:posOffset>635</wp:posOffset>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or right to redeem, purchase or repay debt securities under a sinking fund, amortization or analogous provision; </w:t>
      </w:r>
      <w:r>
        <mc:AlternateContent>
          <mc:Choice Requires="wps">
            <w:drawing>
              <wp:anchor behindDoc="0" distT="8001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conditions on the transferability of the debt securities; </w:t>
      </w:r>
      <w:r>
        <mc:AlternateContent>
          <mc:Choice Requires="wps">
            <w:drawing>
              <wp:anchor behindDoc="0" distT="8001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granting special rights to holders of the debt securities upon occurrence of specified events; </w:t>
      </w:r>
      <w:r>
        <mc:AlternateContent>
          <mc:Choice Requires="wps">
            <w:drawing>
              <wp:anchor behindDoc="0" distT="8001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changes relating to compensation or reimbursement of the trustee of the series of debt securities; </w:t>
      </w:r>
      <w:r>
        <mc:AlternateContent>
          <mc:Choice Requires="wps">
            <w:drawing>
              <wp:anchor behindDoc="0" distT="8001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the execution of supplemental indentures for such series; and </w:t>
      </w:r>
      <w:r>
        <mc:AlternateContent>
          <mc:Choice Requires="wps">
            <w:drawing>
              <wp:anchor behindDoc="0" distT="8001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terms shall not be inconsistent with the provisions of the TIA, but may modify, amend, supplement or delete any of the terms of the indenture with respect to such series of debt securities). </w:t>
      </w:r>
      <w:r>
        <mc:AlternateContent>
          <mc:Choice Requires="wps">
            <w:drawing>
              <wp:anchor behindDoc="0" distT="8128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and special considerations, if any, applicable to any such series will be described in an accompanying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shall be construed in accordance with and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W"/>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description of our outstanding warrants, see “Description of Capital Stock —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warrants will describe the terms of those warrants, including, when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composite currencies, in which the purchase price and/or exercise price of the warrants may be payable;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warrants offered;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amount of securities you will receive upon exercise;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 for exercise of the warrants and the circumstances, if any, that will cause the warrants to be automatically exercised;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if any, we have to redeem the warrants;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warrants will expire;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warrant agent; and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warrants.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warrants expire they will become void. The prospectus supplement may provide for the adjustment of the exercise price of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S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subscription rights we may offer will contain the specific terms of the subscription rights. These terms may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terms of each share of common stock or preferred stock or debt securities which may be purchased per each subscription right;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each share of common stock or preferred stock or debt securities upon the exercise of the subscription rights;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number or amount of securities receivable upon exercise of the subscription rights or the exercise price of the subscription rights;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shall commence, and the date on which the subscription rights shall expire;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and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PC"/>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AND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SESE"/>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selling securityholders, where applicable, will be set forth in a prospectus supplement, in a post-effective amendment or in filings we make with the SEC under the Exchange Act which are incorporated by reference into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OD"/>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securityholders may sell the securities being offered hereby in one or more of the following ways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underwriters for resale to purchasers;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dealers to purchasers; or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LEMA2"/>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EXP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4" w:name="tm2622757d1_ex-filingfees.htm"/>
      <w:bookmarkStart w:id="35" w:name="kstm2622757d1_exfilingfees"/>
      <w:bookmarkStart w:id="36" w:name="tm2622757d1_ex-filingfees.htm"/>
      <w:bookmarkStart w:id="37" w:name="kstm2622757d1_exfilingfees"/>
      <w:bookmarkEnd w:id="36"/>
      <w:bookmarkEnd w:id="37"/>
      <w:r>
        <w:br w:type="page"/>
      </w:r>
    </w:p>
    <w:tbl>
      <w:tblPr>
        <w:tblW w:w="3566" w:type="dxa"/>
        <w:jc w:val="left"/>
        <w:tblInd w:w="0" w:type="dxa"/>
        <w:tblLayout w:type="fixed"/>
        <w:tblCellMar>
          <w:top w:w="28" w:type="dxa"/>
          <w:left w:w="28" w:type="dxa"/>
          <w:bottom w:w="28" w:type="dxa"/>
          <w:right w:w="28" w:type="dxa"/>
        </w:tblCellMar>
      </w:tblPr>
      <w:tblGrid>
        <w:gridCol w:w="3412"/>
        <w:gridCol w:w="154"/>
      </w:tblGrid>
      <w:tr>
        <w:trPr/>
        <w:tc>
          <w:tcPr>
            <w:tcW w:w="356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283"/>
              <w:jc w:val="left"/>
              <w:rPr>
                <w:b/>
              </w:rPr>
            </w:pPr>
            <w:r>
              <w:rPr>
                <w:b/>
              </w:rPr>
              <w:t xml:space="preserve">Lucid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7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7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Series C Convertible 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55,000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$ 341,932,857.18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$ 47,220.93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51,651,489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24,038,462 </w:t>
            </w:r>
          </w:p>
        </w:tc>
        <w:tc>
          <w:tcPr>
            <w:tcW w:w="1156" w:type="dxa"/>
            <w:tcBorders/>
            <w:shd w:fill="E7E7E2" w:val="clear"/>
            <w:vAlign w:val="center"/>
          </w:tcPr>
          <w:p>
            <w:pPr>
              <w:pStyle w:val="TableContents"/>
              <w:bidi w:val="0"/>
              <w:spacing w:before="0" w:after="283"/>
              <w:jc w:val="right"/>
              <w:rPr/>
            </w:pPr>
            <w:r>
              <w:rPr/>
              <w:t xml:space="preserve">$ 6.62 </w:t>
            </w:r>
          </w:p>
        </w:tc>
        <w:tc>
          <w:tcPr>
            <w:tcW w:w="1786" w:type="dxa"/>
            <w:tcBorders/>
            <w:shd w:fill="E7E7E2" w:val="clear"/>
            <w:vAlign w:val="center"/>
          </w:tcPr>
          <w:p>
            <w:pPr>
              <w:pStyle w:val="TableContents"/>
              <w:bidi w:val="0"/>
              <w:spacing w:before="0" w:after="283"/>
              <w:jc w:val="right"/>
              <w:rPr/>
            </w:pPr>
            <w:r>
              <w:rPr/>
              <w:t xml:space="preserve">$ 159,134,618.44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$ 21,976.49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7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$ 501,067,475.62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$ 69,197.42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$ 69,197.42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355"/>
        <w:gridCol w:w="865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All securities offered hereby are for the account of the selling stockholders named in the prospectus supplement to the Registration Statement No. 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 1.b.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August 11, 2026. 1.c. The Maximum Aggregate Offering Price is calculated as the product of (i) 51,651,489 (the amount of common stock issuable upon conversion of the Series C Convertible Preferred Stock that is being registered on this Form S-3), multiplied by (ii) the Proposed Maximum Offering Price Per Share. </w:t>
            </w:r>
          </w:p>
        </w:tc>
      </w:tr>
      <w:tr>
        <w:trPr/>
        <w:tc>
          <w:tcPr>
            <w:tcW w:w="1555" w:type="dxa"/>
            <w:gridSpan w:val="2"/>
            <w:tcBorders/>
            <w:vAlign w:val="center"/>
          </w:tcPr>
          <w:p>
            <w:pPr>
              <w:pStyle w:val="HorizontalLine"/>
              <w:pBdr>
                <w:bottom w:val="double" w:sz="2" w:space="0" w:color="808080"/>
              </w:pBdr>
              <w:bidi w:val="0"/>
              <w:spacing w:before="0" w:after="283"/>
              <w:jc w:val="left"/>
              <w:rPr/>
            </w:pPr>
            <w:r>
              <w:rPr/>
            </w:r>
          </w:p>
        </w:tc>
        <w:tc>
          <w:tcPr>
            <w:tcW w:w="865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2.a. All securities offered hereby are for the account of the selling stockholders named in the prospectus supplement to the Registration Statement No. 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 2.b. Represents 51,651,489 shares of common stock issuable upon conversion of the Series C Convertible Preferred Stock being registered hereunder. The shares of our common stock issuable upon conversion of the Series C Convertible Preferred Stock will be issued for no additional consideration and therefore, no additional registration fee is required pursuant to Rule 457(i) under the Securities Act. </w:t>
            </w:r>
          </w:p>
        </w:tc>
      </w:tr>
      <w:tr>
        <w:trPr/>
        <w:tc>
          <w:tcPr>
            <w:tcW w:w="1555" w:type="dxa"/>
            <w:gridSpan w:val="2"/>
            <w:tcBorders/>
            <w:vAlign w:val="center"/>
          </w:tcPr>
          <w:p>
            <w:pPr>
              <w:pStyle w:val="HorizontalLine"/>
              <w:pBdr>
                <w:bottom w:val="double" w:sz="2" w:space="0" w:color="808080"/>
              </w:pBdr>
              <w:bidi w:val="0"/>
              <w:spacing w:before="0" w:after="283"/>
              <w:jc w:val="left"/>
              <w:rPr/>
            </w:pPr>
            <w:r>
              <w:rPr/>
            </w:r>
          </w:p>
        </w:tc>
        <w:tc>
          <w:tcPr>
            <w:tcW w:w="865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3.a. All securities offered hereby are for the account of the selling stockholders named in the prospectus supplement to the Registration Statement No. 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 3.b.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August 11, 2026. 3.c. The Maximum Aggregate Offering Price is calculated as the product of (i) 24,038,462 (the amount of common stock being registered hereunder, other than common stock issuable upon conversion of the Series C Convertible Preferred Stock being registered hereunder), multiplied by (ii) the Proposed Maximum Offering Price Per Share. </w:t>
            </w:r>
          </w:p>
        </w:tc>
      </w:tr>
      <w:tr>
        <w:trPr/>
        <w:tc>
          <w:tcPr>
            <w:tcW w:w="1555" w:type="dxa"/>
            <w:gridSpan w:val="2"/>
            <w:tcBorders/>
            <w:vAlign w:val="center"/>
          </w:tcPr>
          <w:p>
            <w:pPr>
              <w:pStyle w:val="HorizontalLine"/>
              <w:pBdr>
                <w:bottom w:val="double" w:sz="2" w:space="0" w:color="808080"/>
              </w:pBdr>
              <w:bidi w:val="0"/>
              <w:spacing w:before="0" w:after="283"/>
              <w:jc w:val="left"/>
              <w:rPr/>
            </w:pPr>
            <w:r>
              <w:rPr/>
            </w:r>
          </w:p>
        </w:tc>
        <w:tc>
          <w:tcPr>
            <w:tcW w:w="865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11210/000162828026011053/lcid-20251231.htm" TargetMode="External"/><Relationship Id="rId4" Type="http://schemas.openxmlformats.org/officeDocument/2006/relationships/hyperlink" Target="https://www.sec.gov/ix?doc=/Archives/edgar/data/1811210/000162828026011053/lcid-20251231.htm" TargetMode="External"/><Relationship Id="rId5" Type="http://schemas.openxmlformats.org/officeDocument/2006/relationships/hyperlink" Target="https://www.sec.gov/Archives/edgar/data/1811210/000110465926051606/tm2611666d6_ex3-1.htm" TargetMode="External"/><Relationship Id="rId6" Type="http://schemas.openxmlformats.org/officeDocument/2006/relationships/hyperlink" Target="https://www.sec.gov/ix?doc=/Archives/edgar/data/1811210/000162828026011053/lcid-20251231.htm" TargetMode="External"/><Relationship Id="rId7" Type="http://schemas.openxmlformats.org/officeDocument/2006/relationships/hyperlink" Target="https://www.sec.gov/ix?doc=/Archives/edgar/data/1811210/000162828026030517/lcid-20260331.htm" TargetMode="External"/><Relationship Id="rId8" Type="http://schemas.openxmlformats.org/officeDocument/2006/relationships/hyperlink" Target="https://www.sec.gov/ix?doc=/Archives/edgar/data/1811210/000162828026052606/lcid-20260630.htm" TargetMode="External"/><Relationship Id="rId9" Type="http://schemas.openxmlformats.org/officeDocument/2006/relationships/hyperlink" Target="https://www.sec.gov/ix?doc=/Archives/edgar/data/1811210/000162828026003278/lcid-20260120.htm" TargetMode="External"/><Relationship Id="rId10" Type="http://schemas.openxmlformats.org/officeDocument/2006/relationships/hyperlink" Target="https://www.sec.gov/ix?doc=/Archives/edgar/data/1811210/000162828026011118/lcid-20260220.htm" TargetMode="External"/><Relationship Id="rId11" Type="http://schemas.openxmlformats.org/officeDocument/2006/relationships/hyperlink" Target="https://www.sec.gov/ix?doc=/Archives/edgar/data/1811210/000110465926042846/tm2611666d1_8k.htm" TargetMode="External"/><Relationship Id="rId12" Type="http://schemas.openxmlformats.org/officeDocument/2006/relationships/hyperlink" Target="https://www.sec.gov/ix?doc=/Archives/edgar/data/1811210/000110465926042847/tm2611666d2_8k.htm" TargetMode="External"/><Relationship Id="rId13" Type="http://schemas.openxmlformats.org/officeDocument/2006/relationships/hyperlink" Target="https://www.sec.gov/ix?doc=/Archives/edgar/data/1811210/000110465926042873/tm2611666d3_8k.htm" TargetMode="External"/><Relationship Id="rId14" Type="http://schemas.openxmlformats.org/officeDocument/2006/relationships/hyperlink" Target="https://www.sec.gov/ix?doc=/Archives/edgar/data/1811210/000110465926051606/tm2611666d6_8k.htm" TargetMode="External"/><Relationship Id="rId15" Type="http://schemas.openxmlformats.org/officeDocument/2006/relationships/hyperlink" Target="https://www.sec.gov/ix?doc=/Archives/edgar/data/1811210/000162828026039266/lcid-20260530.htm" TargetMode="External"/><Relationship Id="rId16" Type="http://schemas.openxmlformats.org/officeDocument/2006/relationships/hyperlink" Target="https://www.sec.gov/ix?doc=/Archives/edgar/data/1811210/000162828026041205/lcid-20260604.htm" TargetMode="External"/><Relationship Id="rId17" Type="http://schemas.openxmlformats.org/officeDocument/2006/relationships/hyperlink" Target="https://www.sec.gov/ix?doc=/Archives/edgar/data/1811210/000162828026044501/lcid-20260622.htm" TargetMode="External"/><Relationship Id="rId18" Type="http://schemas.openxmlformats.org/officeDocument/2006/relationships/hyperlink" Target="https://www.sec.gov/ix?doc=/Archives/edgar/data/1811210/000162828026046718/lcid-20260701.htm" TargetMode="External"/><Relationship Id="rId19" Type="http://schemas.openxmlformats.org/officeDocument/2006/relationships/hyperlink" Target="https://www.sec.gov/ix?doc=/Archives/edgar/data/1811210/000162828026047248/lcid-20260706.htm" TargetMode="External"/><Relationship Id="rId20" Type="http://schemas.openxmlformats.org/officeDocument/2006/relationships/hyperlink" Target="https://www.sec.gov/ix?doc=/Archives/edgar/data/1811210/000162828026011053/lcid-20251231.htm" TargetMode="External"/><Relationship Id="rId21" Type="http://schemas.openxmlformats.org/officeDocument/2006/relationships/hyperlink" Target="https://www.sec.gov/ix?doc=/Archives/edgar/data/1811210/000162828026026842/lcid-20260423.htm" TargetMode="External"/><Relationship Id="rId22" Type="http://schemas.openxmlformats.org/officeDocument/2006/relationships/hyperlink" Target="https://www.sec.gov/Archives/edgar/data/1811210/000110465921095277/tm2120294d8_8a12b.htm" TargetMode="External"/><Relationship Id="rId23" Type="http://schemas.openxmlformats.org/officeDocument/2006/relationships/hyperlink" Target="https://www.sec.gov/Archives/edgar/data/1811210/000162828026011053/fy25form10-kxex410.htm" TargetMode="External"/><Relationship Id="rId24" Type="http://schemas.openxmlformats.org/officeDocument/2006/relationships/image" Target="media/image1.jpeg"/><Relationship Id="rId25" Type="http://schemas.openxmlformats.org/officeDocument/2006/relationships/hyperlink" Target="http://www.sec.gov/ix?doc=/Archives/edgar/data/1811210/000162828024007209/lcid-20231231.htm" TargetMode="External"/><Relationship Id="rId26" Type="http://schemas.openxmlformats.org/officeDocument/2006/relationships/hyperlink" Target="http://www.sec.gov/ix?doc=/Archives/edgar/data/1811210/000110465924051463/tm2333393d2_def14a.htm" TargetMode="External"/><Relationship Id="rId27" Type="http://schemas.openxmlformats.org/officeDocument/2006/relationships/hyperlink" Target="http://www.sec.gov/ix?doc=/Archives/edgar/data/1811210/000162828024020633/lcid-20240331.htm" TargetMode="External"/><Relationship Id="rId28" Type="http://schemas.openxmlformats.org/officeDocument/2006/relationships/hyperlink" Target="http://www.sec.gov/ix?doc=/Archives/edgar/data/1811210/000162828024034730/lcid-20240630.htm" TargetMode="External"/><Relationship Id="rId29" Type="http://schemas.openxmlformats.org/officeDocument/2006/relationships/hyperlink" Target="http://www.sec.gov/ix?doc=/Archives/edgar/data/1811210/000110465924007267/tm244182d1_8k.htm" TargetMode="External"/><Relationship Id="rId30" Type="http://schemas.openxmlformats.org/officeDocument/2006/relationships/hyperlink" Target="http://www.sec.gov/ix?doc=/Archives/edgar/data/1811210/000110465924024581/tm246312d1_8k.htm" TargetMode="External"/><Relationship Id="rId31" Type="http://schemas.openxmlformats.org/officeDocument/2006/relationships/hyperlink" Target="http://www.sec.gov/ix?doc=/Archives/edgar/data/1811210/000110465924038177/tm249613d1_8k.htm" TargetMode="External"/><Relationship Id="rId32" Type="http://schemas.openxmlformats.org/officeDocument/2006/relationships/hyperlink" Target="http://www.sec.gov/ix?doc=/Archives/edgar/data/1811210/000110465924041218/tm2410184d1_8k.htm" TargetMode="External"/><Relationship Id="rId33" Type="http://schemas.openxmlformats.org/officeDocument/2006/relationships/hyperlink" Target="http://www.sec.gov/ix?doc=/Archives/edgar/data/1811210/000162828024020614/lcid-20240501.htm" TargetMode="External"/><Relationship Id="rId34" Type="http://schemas.openxmlformats.org/officeDocument/2006/relationships/hyperlink" Target="http://www.sec.gov/ix?doc=/Archives/edgar/data/1811210/000110465924064914/tm2415482d1_8k.htm" TargetMode="External"/><Relationship Id="rId35" Type="http://schemas.openxmlformats.org/officeDocument/2006/relationships/hyperlink" Target="http://www.sec.gov/ix?doc=/Archives/edgar/data/1811210/000110465924069080/tm2416547d1_8k.htm" TargetMode="External"/><Relationship Id="rId36" Type="http://schemas.openxmlformats.org/officeDocument/2006/relationships/hyperlink" Target="https://www.sec.gov/ix?doc=/Archives/edgar/data/1811210/000162828024034724/lcid-20240804.htm" TargetMode="External"/><Relationship Id="rId37" Type="http://schemas.openxmlformats.org/officeDocument/2006/relationships/hyperlink" Target="https://www.sec.gov/ix?doc=/Archives/edgar/data/1811210/000162828024037638/lcid-20240816.htm" TargetMode="External"/><Relationship Id="rId38" Type="http://schemas.openxmlformats.org/officeDocument/2006/relationships/hyperlink" Target="http://www.sec.gov/Archives/edgar/data/1811210/000162828022004253/exhibit46descriptionofsecu.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32119</Words>
  <Characters>172173</Characters>
  <CharactersWithSpaces>205407</CharactersWithSpaces>
  <Paragraphs>1769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