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319471d1_sc13da.htm"/>
      <w:bookmarkStart w:id="1" w:name="kstm2319471d1_sc13d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13D/A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LUCID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par value $0.0001 per share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549498 103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Jonathan Butler, General Counsel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Lucid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7373 Gateway Boulevard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Newark, CA 94560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(510) 648-3553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and Telephone Number of Person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to Receive Notices and Communications)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22, 2023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Event Which Requires Filing of This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off §§ 240.13d-1(e), 240.13d-1(f) or 240.13d-1(g),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Schedules filed in paper format shall include a signed original and five copies of the schedule, including all exhibits. See §240.13d-7 for other parties to whom copies are to be sent.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both"/>
              <w:rPr/>
            </w:pPr>
            <w:r>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10" w:type="dxa"/>
        <w:tblLayout w:type="fixed"/>
        <w:tblCellMar>
          <w:top w:w="60" w:type="dxa"/>
          <w:left w:w="60" w:type="dxa"/>
          <w:bottom w:w="60" w:type="dxa"/>
          <w:right w:w="0" w:type="dxa"/>
        </w:tblCellMar>
      </w:tblPr>
      <w:tblGrid>
        <w:gridCol w:w="75"/>
        <w:gridCol w:w="125"/>
        <w:gridCol w:w="8960"/>
      </w:tblGrid>
      <w:tr>
        <w:trPr/>
        <w:tc>
          <w:tcPr>
            <w:tcW w:w="7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125"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8960"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Investment Fund</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SEC USE ONLY</w:t>
            </w:r>
          </w:p>
          <w:p>
            <w:pPr>
              <w:pStyle w:val="TableContents"/>
              <w:bidi w:val="0"/>
              <w:spacing w:before="0" w:after="283"/>
              <w:jc w:val="left"/>
              <w:rPr/>
            </w:pPr>
            <w:r>
              <w:rPr/>
              <w:t> </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 2(d) or 2(e)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Kingdom of Saudi Arabia</w:t>
            </w:r>
          </w:p>
        </w:tc>
      </w:tr>
    </w:tbl>
    <w:tbl>
      <w:tblPr>
        <w:tblW w:w="5160" w:type="dxa"/>
        <w:jc w:val="left"/>
        <w:tblInd w:w="-10" w:type="dxa"/>
        <w:tblLayout w:type="fixed"/>
        <w:tblCellMar>
          <w:top w:w="0" w:type="dxa"/>
          <w:left w:w="60" w:type="dxa"/>
          <w:bottom w:w="0" w:type="dxa"/>
          <w:right w:w="60" w:type="dxa"/>
        </w:tblCellMar>
      </w:tblPr>
      <w:tblGrid>
        <w:gridCol w:w="1415"/>
        <w:gridCol w:w="60"/>
        <w:gridCol w:w="230"/>
        <w:gridCol w:w="3455"/>
      </w:tblGrid>
      <w:tr>
        <w:trPr/>
        <w:tc>
          <w:tcPr>
            <w:tcW w:w="1415" w:type="dxa"/>
            <w:vMerge w:val="restart"/>
            <w:tcBorders>
              <w:left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WITH</w:t>
            </w:r>
          </w:p>
        </w:tc>
        <w:tc>
          <w:tcPr>
            <w:tcW w:w="60" w:type="dxa"/>
            <w:tcBorders>
              <w:bottom w:val="single" w:sz="8" w:space="0" w:color="000000"/>
            </w:tcBorders>
            <w:tcMar>
              <w:left w:w="0" w:type="dxa"/>
              <w:bottom w:w="60" w:type="dxa"/>
              <w:right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3455" w:type="dxa"/>
            <w:tcBorders>
              <w:bottom w:val="single" w:sz="8" w:space="0" w:color="000000"/>
              <w:right w:val="single" w:sz="8"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8,041,393</w:t>
            </w:r>
          </w:p>
        </w:tc>
      </w:tr>
      <w:tr>
        <w:trPr/>
        <w:tc>
          <w:tcPr>
            <w:tcW w:w="1415" w:type="dxa"/>
            <w:vMerge w:val="continue"/>
            <w:tcBorders>
              <w:left w:val="single" w:sz="8" w:space="0" w:color="000000"/>
              <w:right w:val="single" w:sz="8" w:space="0" w:color="000000"/>
            </w:tcBorders>
            <w:vAlign w:val="center"/>
          </w:tcPr>
          <w:p>
            <w:pPr>
              <w:pStyle w:val="Normal"/>
              <w:bidi w:val="0"/>
              <w:jc w:val="left"/>
              <w:rPr/>
            </w:pPr>
            <w:r>
              <w:rPr/>
            </w:r>
          </w:p>
        </w:tc>
        <w:tc>
          <w:tcPr>
            <w:tcW w:w="60" w:type="dxa"/>
            <w:tcBorders>
              <w:bottom w:val="single" w:sz="8" w:space="0" w:color="000000"/>
            </w:tcBorders>
            <w:tcMar>
              <w:left w:w="0" w:type="dxa"/>
              <w:bottom w:w="60" w:type="dxa"/>
              <w:right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3455" w:type="dxa"/>
            <w:tcBorders>
              <w:bottom w:val="single" w:sz="8" w:space="0" w:color="000000"/>
              <w:right w:val="single" w:sz="8"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1,366,658,905 (see Item 5 below)</w:t>
            </w:r>
          </w:p>
        </w:tc>
      </w:tr>
      <w:tr>
        <w:trPr/>
        <w:tc>
          <w:tcPr>
            <w:tcW w:w="1415" w:type="dxa"/>
            <w:vMerge w:val="continue"/>
            <w:tcBorders>
              <w:left w:val="single" w:sz="8" w:space="0" w:color="000000"/>
              <w:right w:val="single" w:sz="8" w:space="0" w:color="000000"/>
            </w:tcBorders>
            <w:vAlign w:val="center"/>
          </w:tcPr>
          <w:p>
            <w:pPr>
              <w:pStyle w:val="Normal"/>
              <w:bidi w:val="0"/>
              <w:jc w:val="left"/>
              <w:rPr/>
            </w:pPr>
            <w:r>
              <w:rPr/>
            </w:r>
          </w:p>
        </w:tc>
        <w:tc>
          <w:tcPr>
            <w:tcW w:w="60" w:type="dxa"/>
            <w:tcBorders>
              <w:bottom w:val="single" w:sz="8" w:space="0" w:color="000000"/>
            </w:tcBorders>
            <w:tcMar>
              <w:left w:w="0" w:type="dxa"/>
              <w:bottom w:w="60" w:type="dxa"/>
              <w:right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3455" w:type="dxa"/>
            <w:tcBorders>
              <w:bottom w:val="single" w:sz="8" w:space="0" w:color="000000"/>
              <w:right w:val="single" w:sz="8"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1,374,700,298 (see Item 5 below)</w:t>
            </w:r>
          </w:p>
        </w:tc>
      </w:tr>
      <w:tr>
        <w:trPr/>
        <w:tc>
          <w:tcPr>
            <w:tcW w:w="1415" w:type="dxa"/>
            <w:vMerge w:val="continue"/>
            <w:tcBorders>
              <w:left w:val="single" w:sz="8" w:space="0" w:color="000000"/>
              <w:right w:val="single" w:sz="8" w:space="0" w:color="000000"/>
            </w:tcBorders>
            <w:vAlign w:val="center"/>
          </w:tcPr>
          <w:p>
            <w:pPr>
              <w:pStyle w:val="Normal"/>
              <w:bidi w:val="0"/>
              <w:jc w:val="left"/>
              <w:rPr/>
            </w:pPr>
            <w:r>
              <w:rPr/>
            </w:r>
          </w:p>
        </w:tc>
        <w:tc>
          <w:tcPr>
            <w:tcW w:w="60" w:type="dxa"/>
            <w:tcBorders/>
            <w:tcMar>
              <w:left w:w="0" w:type="dxa"/>
              <w:right w:w="0" w:type="dxa"/>
            </w:tcMar>
            <w:vAlign w:val="center"/>
          </w:tcPr>
          <w:p>
            <w:pPr>
              <w:pStyle w:val="TableContents"/>
              <w:bidi w:val="0"/>
              <w:spacing w:before="0" w:after="283"/>
              <w:jc w:val="left"/>
              <w:rPr/>
            </w:pPr>
            <w:r>
              <w:rPr/>
              <w:t> </w:t>
            </w:r>
          </w:p>
        </w:tc>
        <w:tc>
          <w:tcPr>
            <w:tcW w:w="230" w:type="dxa"/>
            <w:tcBorders>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3455" w:type="dxa"/>
            <w:tcBorders>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8005" w:type="dxa"/>
        <w:jc w:val="left"/>
        <w:tblInd w:w="-10" w:type="dxa"/>
        <w:tblLayout w:type="fixed"/>
        <w:tblCellMar>
          <w:top w:w="60" w:type="dxa"/>
          <w:left w:w="60" w:type="dxa"/>
          <w:bottom w:w="60" w:type="dxa"/>
          <w:right w:w="0" w:type="dxa"/>
        </w:tblCellMar>
      </w:tblPr>
      <w:tblGrid>
        <w:gridCol w:w="75"/>
        <w:gridCol w:w="230"/>
        <w:gridCol w:w="7700"/>
      </w:tblGrid>
      <w:tr>
        <w:trPr/>
        <w:tc>
          <w:tcPr>
            <w:tcW w:w="7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230"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7700"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1,374,700,298 (see Item 5 below)</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770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770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60.49% (see Item 5 below)</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770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 Sovereign Wealth Fund of the Kingdom of Saudi Arabia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10" w:type="dxa"/>
        <w:tblLayout w:type="fixed"/>
        <w:tblCellMar>
          <w:top w:w="60" w:type="dxa"/>
          <w:left w:w="60" w:type="dxa"/>
          <w:bottom w:w="60" w:type="dxa"/>
          <w:right w:w="0" w:type="dxa"/>
        </w:tblCellMar>
      </w:tblPr>
      <w:tblGrid>
        <w:gridCol w:w="75"/>
        <w:gridCol w:w="125"/>
        <w:gridCol w:w="8960"/>
      </w:tblGrid>
      <w:tr>
        <w:trPr/>
        <w:tc>
          <w:tcPr>
            <w:tcW w:w="7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125"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8960"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Ayar Third Investment Company</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SEC USE ONLY</w:t>
            </w:r>
          </w:p>
          <w:p>
            <w:pPr>
              <w:pStyle w:val="TableContents"/>
              <w:bidi w:val="0"/>
              <w:spacing w:before="0" w:after="283"/>
              <w:jc w:val="left"/>
              <w:rPr/>
            </w:pPr>
            <w:r>
              <w:rPr/>
              <w:t> </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 2(d) or 2(e)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Kingdom of Saudi Arabia</w:t>
            </w:r>
          </w:p>
        </w:tc>
      </w:tr>
    </w:tbl>
    <w:tbl>
      <w:tblPr>
        <w:tblW w:w="5160" w:type="dxa"/>
        <w:jc w:val="left"/>
        <w:tblInd w:w="-10" w:type="dxa"/>
        <w:tblLayout w:type="fixed"/>
        <w:tblCellMar>
          <w:top w:w="0" w:type="dxa"/>
          <w:left w:w="60" w:type="dxa"/>
          <w:bottom w:w="0" w:type="dxa"/>
          <w:right w:w="60" w:type="dxa"/>
        </w:tblCellMar>
      </w:tblPr>
      <w:tblGrid>
        <w:gridCol w:w="1415"/>
        <w:gridCol w:w="60"/>
        <w:gridCol w:w="230"/>
        <w:gridCol w:w="3455"/>
      </w:tblGrid>
      <w:tr>
        <w:trPr/>
        <w:tc>
          <w:tcPr>
            <w:tcW w:w="1415" w:type="dxa"/>
            <w:vMerge w:val="restart"/>
            <w:tcBorders>
              <w:left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WITH</w:t>
            </w:r>
          </w:p>
        </w:tc>
        <w:tc>
          <w:tcPr>
            <w:tcW w:w="60" w:type="dxa"/>
            <w:tcBorders>
              <w:bottom w:val="single" w:sz="8" w:space="0" w:color="000000"/>
            </w:tcBorders>
            <w:tcMar>
              <w:left w:w="0" w:type="dxa"/>
              <w:bottom w:w="60" w:type="dxa"/>
              <w:right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3455" w:type="dxa"/>
            <w:tcBorders>
              <w:bottom w:val="single" w:sz="8" w:space="0" w:color="000000"/>
              <w:right w:val="single" w:sz="8"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vMerge w:val="continue"/>
            <w:tcBorders>
              <w:left w:val="single" w:sz="8" w:space="0" w:color="000000"/>
              <w:right w:val="single" w:sz="8" w:space="0" w:color="000000"/>
            </w:tcBorders>
            <w:vAlign w:val="center"/>
          </w:tcPr>
          <w:p>
            <w:pPr>
              <w:pStyle w:val="Normal"/>
              <w:bidi w:val="0"/>
              <w:jc w:val="left"/>
              <w:rPr/>
            </w:pPr>
            <w:r>
              <w:rPr/>
            </w:r>
          </w:p>
        </w:tc>
        <w:tc>
          <w:tcPr>
            <w:tcW w:w="60" w:type="dxa"/>
            <w:tcBorders>
              <w:bottom w:val="single" w:sz="8" w:space="0" w:color="000000"/>
            </w:tcBorders>
            <w:tcMar>
              <w:left w:w="0" w:type="dxa"/>
              <w:bottom w:w="60" w:type="dxa"/>
              <w:right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3455" w:type="dxa"/>
            <w:tcBorders>
              <w:bottom w:val="single" w:sz="8" w:space="0" w:color="000000"/>
              <w:right w:val="single" w:sz="8"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1,366,658,905 (see Item 5 below)</w:t>
            </w:r>
          </w:p>
        </w:tc>
      </w:tr>
      <w:tr>
        <w:trPr/>
        <w:tc>
          <w:tcPr>
            <w:tcW w:w="1415" w:type="dxa"/>
            <w:vMerge w:val="continue"/>
            <w:tcBorders>
              <w:left w:val="single" w:sz="8" w:space="0" w:color="000000"/>
              <w:right w:val="single" w:sz="8" w:space="0" w:color="000000"/>
            </w:tcBorders>
            <w:vAlign w:val="center"/>
          </w:tcPr>
          <w:p>
            <w:pPr>
              <w:pStyle w:val="Normal"/>
              <w:bidi w:val="0"/>
              <w:jc w:val="left"/>
              <w:rPr/>
            </w:pPr>
            <w:r>
              <w:rPr/>
            </w:r>
          </w:p>
        </w:tc>
        <w:tc>
          <w:tcPr>
            <w:tcW w:w="60" w:type="dxa"/>
            <w:tcBorders>
              <w:bottom w:val="single" w:sz="8" w:space="0" w:color="000000"/>
            </w:tcBorders>
            <w:tcMar>
              <w:left w:w="0" w:type="dxa"/>
              <w:bottom w:w="60" w:type="dxa"/>
              <w:right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3455" w:type="dxa"/>
            <w:tcBorders>
              <w:bottom w:val="single" w:sz="8" w:space="0" w:color="000000"/>
              <w:right w:val="single" w:sz="8"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vMerge w:val="continue"/>
            <w:tcBorders>
              <w:left w:val="single" w:sz="8" w:space="0" w:color="000000"/>
              <w:right w:val="single" w:sz="8" w:space="0" w:color="000000"/>
            </w:tcBorders>
            <w:vAlign w:val="center"/>
          </w:tcPr>
          <w:p>
            <w:pPr>
              <w:pStyle w:val="Normal"/>
              <w:bidi w:val="0"/>
              <w:jc w:val="left"/>
              <w:rPr/>
            </w:pPr>
            <w:r>
              <w:rPr/>
            </w:r>
          </w:p>
        </w:tc>
        <w:tc>
          <w:tcPr>
            <w:tcW w:w="60" w:type="dxa"/>
            <w:tcBorders/>
            <w:tcMar>
              <w:left w:w="0" w:type="dxa"/>
              <w:right w:w="0" w:type="dxa"/>
            </w:tcMar>
            <w:vAlign w:val="center"/>
          </w:tcPr>
          <w:p>
            <w:pPr>
              <w:pStyle w:val="TableContents"/>
              <w:bidi w:val="0"/>
              <w:spacing w:before="0" w:after="283"/>
              <w:jc w:val="left"/>
              <w:rPr/>
            </w:pPr>
            <w:r>
              <w:rPr/>
              <w:t> </w:t>
            </w:r>
          </w:p>
        </w:tc>
        <w:tc>
          <w:tcPr>
            <w:tcW w:w="230" w:type="dxa"/>
            <w:tcBorders>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3455" w:type="dxa"/>
            <w:tcBorders>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8005" w:type="dxa"/>
        <w:jc w:val="left"/>
        <w:tblInd w:w="-10" w:type="dxa"/>
        <w:tblLayout w:type="fixed"/>
        <w:tblCellMar>
          <w:top w:w="60" w:type="dxa"/>
          <w:left w:w="60" w:type="dxa"/>
          <w:bottom w:w="60" w:type="dxa"/>
          <w:right w:w="0" w:type="dxa"/>
        </w:tblCellMar>
      </w:tblPr>
      <w:tblGrid>
        <w:gridCol w:w="75"/>
        <w:gridCol w:w="230"/>
        <w:gridCol w:w="7700"/>
      </w:tblGrid>
      <w:tr>
        <w:trPr/>
        <w:tc>
          <w:tcPr>
            <w:tcW w:w="7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230"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7700"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1,366,658,905 (see Item 5 below)</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770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770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60.14% (see Item 5 below)</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770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10" w:type="dxa"/>
        <w:tblLayout w:type="fixed"/>
        <w:tblCellMar>
          <w:top w:w="60" w:type="dxa"/>
          <w:left w:w="60" w:type="dxa"/>
          <w:bottom w:w="60" w:type="dxa"/>
          <w:right w:w="0" w:type="dxa"/>
        </w:tblCellMar>
      </w:tblPr>
      <w:tblGrid>
        <w:gridCol w:w="75"/>
        <w:gridCol w:w="125"/>
        <w:gridCol w:w="8960"/>
      </w:tblGrid>
      <w:tr>
        <w:trPr/>
        <w:tc>
          <w:tcPr>
            <w:tcW w:w="7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125"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8960"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Yasir O. Al Rumayyan</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SEC USE ONLY</w:t>
            </w:r>
          </w:p>
          <w:p>
            <w:pPr>
              <w:pStyle w:val="TableContents"/>
              <w:bidi w:val="0"/>
              <w:spacing w:before="0" w:after="283"/>
              <w:jc w:val="left"/>
              <w:rPr/>
            </w:pPr>
            <w:r>
              <w:rPr/>
              <w:t> </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 2(d) or 2(e)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Kingdom of Saudi Arabia</w:t>
            </w:r>
          </w:p>
        </w:tc>
      </w:tr>
    </w:tbl>
    <w:tbl>
      <w:tblPr>
        <w:tblW w:w="5160" w:type="dxa"/>
        <w:jc w:val="left"/>
        <w:tblInd w:w="-10" w:type="dxa"/>
        <w:tblLayout w:type="fixed"/>
        <w:tblCellMar>
          <w:top w:w="0" w:type="dxa"/>
          <w:left w:w="60" w:type="dxa"/>
          <w:bottom w:w="0" w:type="dxa"/>
          <w:right w:w="60" w:type="dxa"/>
        </w:tblCellMar>
      </w:tblPr>
      <w:tblGrid>
        <w:gridCol w:w="1415"/>
        <w:gridCol w:w="60"/>
        <w:gridCol w:w="230"/>
        <w:gridCol w:w="3455"/>
      </w:tblGrid>
      <w:tr>
        <w:trPr/>
        <w:tc>
          <w:tcPr>
            <w:tcW w:w="1415" w:type="dxa"/>
            <w:vMerge w:val="restart"/>
            <w:tcBorders>
              <w:left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WITH</w:t>
            </w:r>
          </w:p>
        </w:tc>
        <w:tc>
          <w:tcPr>
            <w:tcW w:w="60" w:type="dxa"/>
            <w:tcBorders>
              <w:bottom w:val="single" w:sz="8" w:space="0" w:color="000000"/>
            </w:tcBorders>
            <w:tcMar>
              <w:left w:w="0" w:type="dxa"/>
              <w:bottom w:w="60" w:type="dxa"/>
              <w:right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3455" w:type="dxa"/>
            <w:tcBorders>
              <w:bottom w:val="single" w:sz="8" w:space="0" w:color="000000"/>
              <w:right w:val="single" w:sz="8"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4,604,595 (see Item 5 below)</w:t>
            </w:r>
          </w:p>
        </w:tc>
      </w:tr>
      <w:tr>
        <w:trPr/>
        <w:tc>
          <w:tcPr>
            <w:tcW w:w="1415" w:type="dxa"/>
            <w:vMerge w:val="continue"/>
            <w:tcBorders>
              <w:left w:val="single" w:sz="8" w:space="0" w:color="000000"/>
              <w:right w:val="single" w:sz="8" w:space="0" w:color="000000"/>
            </w:tcBorders>
            <w:vAlign w:val="center"/>
          </w:tcPr>
          <w:p>
            <w:pPr>
              <w:pStyle w:val="Normal"/>
              <w:bidi w:val="0"/>
              <w:jc w:val="left"/>
              <w:rPr/>
            </w:pPr>
            <w:r>
              <w:rPr/>
            </w:r>
          </w:p>
        </w:tc>
        <w:tc>
          <w:tcPr>
            <w:tcW w:w="60" w:type="dxa"/>
            <w:tcBorders>
              <w:bottom w:val="single" w:sz="8" w:space="0" w:color="000000"/>
            </w:tcBorders>
            <w:tcMar>
              <w:left w:w="0" w:type="dxa"/>
              <w:bottom w:w="60" w:type="dxa"/>
              <w:right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3455" w:type="dxa"/>
            <w:tcBorders>
              <w:bottom w:val="single" w:sz="8" w:space="0" w:color="000000"/>
              <w:right w:val="single" w:sz="8"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1,366,658,905 (see Item 5 below)</w:t>
            </w:r>
          </w:p>
        </w:tc>
      </w:tr>
      <w:tr>
        <w:trPr/>
        <w:tc>
          <w:tcPr>
            <w:tcW w:w="1415" w:type="dxa"/>
            <w:vMerge w:val="continue"/>
            <w:tcBorders>
              <w:left w:val="single" w:sz="8" w:space="0" w:color="000000"/>
              <w:right w:val="single" w:sz="8" w:space="0" w:color="000000"/>
            </w:tcBorders>
            <w:vAlign w:val="center"/>
          </w:tcPr>
          <w:p>
            <w:pPr>
              <w:pStyle w:val="Normal"/>
              <w:bidi w:val="0"/>
              <w:jc w:val="left"/>
              <w:rPr/>
            </w:pPr>
            <w:r>
              <w:rPr/>
            </w:r>
          </w:p>
        </w:tc>
        <w:tc>
          <w:tcPr>
            <w:tcW w:w="60" w:type="dxa"/>
            <w:tcBorders>
              <w:bottom w:val="single" w:sz="8" w:space="0" w:color="000000"/>
            </w:tcBorders>
            <w:tcMar>
              <w:left w:w="0" w:type="dxa"/>
              <w:bottom w:w="60" w:type="dxa"/>
              <w:right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3455" w:type="dxa"/>
            <w:tcBorders>
              <w:bottom w:val="single" w:sz="8" w:space="0" w:color="000000"/>
              <w:right w:val="single" w:sz="8"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4,604,595 (see Item 5 below)</w:t>
            </w:r>
          </w:p>
        </w:tc>
      </w:tr>
      <w:tr>
        <w:trPr/>
        <w:tc>
          <w:tcPr>
            <w:tcW w:w="1415" w:type="dxa"/>
            <w:vMerge w:val="continue"/>
            <w:tcBorders>
              <w:left w:val="single" w:sz="8" w:space="0" w:color="000000"/>
              <w:right w:val="single" w:sz="8" w:space="0" w:color="000000"/>
            </w:tcBorders>
            <w:vAlign w:val="center"/>
          </w:tcPr>
          <w:p>
            <w:pPr>
              <w:pStyle w:val="Normal"/>
              <w:bidi w:val="0"/>
              <w:jc w:val="left"/>
              <w:rPr/>
            </w:pPr>
            <w:r>
              <w:rPr/>
            </w:r>
          </w:p>
        </w:tc>
        <w:tc>
          <w:tcPr>
            <w:tcW w:w="60" w:type="dxa"/>
            <w:tcBorders/>
            <w:tcMar>
              <w:left w:w="0" w:type="dxa"/>
              <w:right w:w="0" w:type="dxa"/>
            </w:tcMar>
            <w:vAlign w:val="center"/>
          </w:tcPr>
          <w:p>
            <w:pPr>
              <w:pStyle w:val="TableContents"/>
              <w:bidi w:val="0"/>
              <w:spacing w:before="0" w:after="283"/>
              <w:jc w:val="left"/>
              <w:rPr/>
            </w:pPr>
            <w:r>
              <w:rPr/>
              <w:t> </w:t>
            </w:r>
          </w:p>
        </w:tc>
        <w:tc>
          <w:tcPr>
            <w:tcW w:w="230" w:type="dxa"/>
            <w:tcBorders>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3455" w:type="dxa"/>
            <w:tcBorders>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8005" w:type="dxa"/>
        <w:jc w:val="left"/>
        <w:tblInd w:w="-10" w:type="dxa"/>
        <w:tblLayout w:type="fixed"/>
        <w:tblCellMar>
          <w:top w:w="60" w:type="dxa"/>
          <w:left w:w="60" w:type="dxa"/>
          <w:bottom w:w="60" w:type="dxa"/>
          <w:right w:w="0" w:type="dxa"/>
        </w:tblCellMar>
      </w:tblPr>
      <w:tblGrid>
        <w:gridCol w:w="75"/>
        <w:gridCol w:w="230"/>
        <w:gridCol w:w="7700"/>
      </w:tblGrid>
      <w:tr>
        <w:trPr/>
        <w:tc>
          <w:tcPr>
            <w:tcW w:w="7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230"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7700"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1,371,263,500 (see Item 5 below)</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770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770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60.34% (see Item 5 below)</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770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10" w:type="dxa"/>
        <w:tblLayout w:type="fixed"/>
        <w:tblCellMar>
          <w:top w:w="60" w:type="dxa"/>
          <w:left w:w="60" w:type="dxa"/>
          <w:bottom w:w="60" w:type="dxa"/>
          <w:right w:w="0" w:type="dxa"/>
        </w:tblCellMar>
      </w:tblPr>
      <w:tblGrid>
        <w:gridCol w:w="75"/>
        <w:gridCol w:w="125"/>
        <w:gridCol w:w="8960"/>
      </w:tblGrid>
      <w:tr>
        <w:trPr/>
        <w:tc>
          <w:tcPr>
            <w:tcW w:w="7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125"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8960"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Turqi A. Alnowaiser</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SEC USE ONLY</w:t>
            </w:r>
          </w:p>
          <w:p>
            <w:pPr>
              <w:pStyle w:val="TableContents"/>
              <w:bidi w:val="0"/>
              <w:spacing w:before="0" w:after="283"/>
              <w:jc w:val="left"/>
              <w:rPr/>
            </w:pPr>
            <w:r>
              <w:rPr/>
              <w:t> </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 2(d) or 2(e)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2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896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Kingdom of Saudi Arabia</w:t>
            </w:r>
          </w:p>
        </w:tc>
      </w:tr>
    </w:tbl>
    <w:tbl>
      <w:tblPr>
        <w:tblW w:w="5160" w:type="dxa"/>
        <w:jc w:val="left"/>
        <w:tblInd w:w="-10" w:type="dxa"/>
        <w:tblLayout w:type="fixed"/>
        <w:tblCellMar>
          <w:top w:w="0" w:type="dxa"/>
          <w:left w:w="60" w:type="dxa"/>
          <w:bottom w:w="0" w:type="dxa"/>
          <w:right w:w="60" w:type="dxa"/>
        </w:tblCellMar>
      </w:tblPr>
      <w:tblGrid>
        <w:gridCol w:w="1415"/>
        <w:gridCol w:w="60"/>
        <w:gridCol w:w="230"/>
        <w:gridCol w:w="3455"/>
      </w:tblGrid>
      <w:tr>
        <w:trPr/>
        <w:tc>
          <w:tcPr>
            <w:tcW w:w="1415" w:type="dxa"/>
            <w:vMerge w:val="restart"/>
            <w:tcBorders>
              <w:left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WITH</w:t>
            </w:r>
          </w:p>
        </w:tc>
        <w:tc>
          <w:tcPr>
            <w:tcW w:w="60" w:type="dxa"/>
            <w:tcBorders>
              <w:bottom w:val="single" w:sz="8" w:space="0" w:color="000000"/>
            </w:tcBorders>
            <w:tcMar>
              <w:left w:w="0" w:type="dxa"/>
              <w:bottom w:w="60" w:type="dxa"/>
              <w:right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3455" w:type="dxa"/>
            <w:tcBorders>
              <w:bottom w:val="single" w:sz="8" w:space="0" w:color="000000"/>
              <w:right w:val="single" w:sz="8"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2,122,236 (see Item 5 below)</w:t>
            </w:r>
          </w:p>
        </w:tc>
      </w:tr>
      <w:tr>
        <w:trPr/>
        <w:tc>
          <w:tcPr>
            <w:tcW w:w="1415" w:type="dxa"/>
            <w:vMerge w:val="continue"/>
            <w:tcBorders>
              <w:left w:val="single" w:sz="8" w:space="0" w:color="000000"/>
              <w:right w:val="single" w:sz="8" w:space="0" w:color="000000"/>
            </w:tcBorders>
            <w:vAlign w:val="center"/>
          </w:tcPr>
          <w:p>
            <w:pPr>
              <w:pStyle w:val="Normal"/>
              <w:bidi w:val="0"/>
              <w:jc w:val="left"/>
              <w:rPr/>
            </w:pPr>
            <w:r>
              <w:rPr/>
            </w:r>
          </w:p>
        </w:tc>
        <w:tc>
          <w:tcPr>
            <w:tcW w:w="60" w:type="dxa"/>
            <w:tcBorders>
              <w:bottom w:val="single" w:sz="8" w:space="0" w:color="000000"/>
            </w:tcBorders>
            <w:tcMar>
              <w:left w:w="0" w:type="dxa"/>
              <w:bottom w:w="60" w:type="dxa"/>
              <w:right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3455" w:type="dxa"/>
            <w:tcBorders>
              <w:bottom w:val="single" w:sz="8" w:space="0" w:color="000000"/>
              <w:right w:val="single" w:sz="8"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1,366,658,905 (see Item 5 below)</w:t>
            </w:r>
          </w:p>
        </w:tc>
      </w:tr>
      <w:tr>
        <w:trPr/>
        <w:tc>
          <w:tcPr>
            <w:tcW w:w="1415" w:type="dxa"/>
            <w:vMerge w:val="continue"/>
            <w:tcBorders>
              <w:left w:val="single" w:sz="8" w:space="0" w:color="000000"/>
              <w:right w:val="single" w:sz="8" w:space="0" w:color="000000"/>
            </w:tcBorders>
            <w:vAlign w:val="center"/>
          </w:tcPr>
          <w:p>
            <w:pPr>
              <w:pStyle w:val="Normal"/>
              <w:bidi w:val="0"/>
              <w:jc w:val="left"/>
              <w:rPr/>
            </w:pPr>
            <w:r>
              <w:rPr/>
            </w:r>
          </w:p>
        </w:tc>
        <w:tc>
          <w:tcPr>
            <w:tcW w:w="60" w:type="dxa"/>
            <w:tcBorders>
              <w:bottom w:val="single" w:sz="8" w:space="0" w:color="000000"/>
            </w:tcBorders>
            <w:tcMar>
              <w:left w:w="0" w:type="dxa"/>
              <w:bottom w:w="60" w:type="dxa"/>
              <w:right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3455" w:type="dxa"/>
            <w:tcBorders>
              <w:bottom w:val="single" w:sz="8" w:space="0" w:color="000000"/>
              <w:right w:val="single" w:sz="8" w:space="0" w:color="000000"/>
            </w:tcBorders>
            <w:tcMar>
              <w:left w:w="0" w:type="dxa"/>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2,122,236 (see Item 5 below)</w:t>
            </w:r>
          </w:p>
        </w:tc>
      </w:tr>
      <w:tr>
        <w:trPr/>
        <w:tc>
          <w:tcPr>
            <w:tcW w:w="1415" w:type="dxa"/>
            <w:vMerge w:val="continue"/>
            <w:tcBorders>
              <w:left w:val="single" w:sz="8" w:space="0" w:color="000000"/>
              <w:right w:val="single" w:sz="8" w:space="0" w:color="000000"/>
            </w:tcBorders>
            <w:vAlign w:val="center"/>
          </w:tcPr>
          <w:p>
            <w:pPr>
              <w:pStyle w:val="Normal"/>
              <w:bidi w:val="0"/>
              <w:jc w:val="left"/>
              <w:rPr/>
            </w:pPr>
            <w:r>
              <w:rPr/>
            </w:r>
          </w:p>
        </w:tc>
        <w:tc>
          <w:tcPr>
            <w:tcW w:w="60" w:type="dxa"/>
            <w:tcBorders/>
            <w:tcMar>
              <w:left w:w="0" w:type="dxa"/>
              <w:right w:w="0" w:type="dxa"/>
            </w:tcMar>
            <w:vAlign w:val="center"/>
          </w:tcPr>
          <w:p>
            <w:pPr>
              <w:pStyle w:val="TableContents"/>
              <w:bidi w:val="0"/>
              <w:spacing w:before="0" w:after="283"/>
              <w:jc w:val="left"/>
              <w:rPr/>
            </w:pPr>
            <w:r>
              <w:rPr/>
              <w:t> </w:t>
            </w:r>
          </w:p>
        </w:tc>
        <w:tc>
          <w:tcPr>
            <w:tcW w:w="230" w:type="dxa"/>
            <w:tcBorders>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3455" w:type="dxa"/>
            <w:tcBorders>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8005" w:type="dxa"/>
        <w:jc w:val="left"/>
        <w:tblInd w:w="-10" w:type="dxa"/>
        <w:tblLayout w:type="fixed"/>
        <w:tblCellMar>
          <w:top w:w="60" w:type="dxa"/>
          <w:left w:w="60" w:type="dxa"/>
          <w:bottom w:w="60" w:type="dxa"/>
          <w:right w:w="0" w:type="dxa"/>
        </w:tblCellMar>
      </w:tblPr>
      <w:tblGrid>
        <w:gridCol w:w="75"/>
        <w:gridCol w:w="230"/>
        <w:gridCol w:w="7700"/>
      </w:tblGrid>
      <w:tr>
        <w:trPr/>
        <w:tc>
          <w:tcPr>
            <w:tcW w:w="7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230"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7700"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1,368,781,141 (see Item 5 below)</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770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770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60.23% (see Item 5 below)</w:t>
            </w:r>
          </w:p>
        </w:tc>
      </w:tr>
      <w:tr>
        <w:trPr/>
        <w:tc>
          <w:tcPr>
            <w:tcW w:w="75"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3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770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constitutes Amendment No. 3 (“Amendment No. 3”) to the initial statement on Schedule 13D, filed on July 27, 2021 (the “Initial Schedule 13D”) by the undersigned, and amendment No. 1 to the Initial Schedule 13D, filed on November 15, 2022 (“Amendment No. 1”) and amendment No. 2 to the Initial Schedule 13D, filed on December 22, 2022 (“Amendment No. 2” and collectively with the Initial Schedule 13D and Amendment No. 1, referred to as the “Prior Schedule 13D”). This Amendment No. 3 amends the Prior Schedule 13D as specifically set forth herein. Capitalized terms used in this Amendment No. 3 and not otherwise defined herein have the meanings given to them in the Prior Schedule 13D.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4. </w:t>
      </w:r>
      <w:r>
        <w:rPr>
          <w:rFonts w:ascii="Times New Roman;Times;Serif" w:hAnsi="Times New Roman;Times;Serif"/>
          <w:b/>
          <w:i w:val="false"/>
          <w:caps w:val="false"/>
          <w:smallCaps w:val="false"/>
          <w:sz w:val="20"/>
          <w:u w:val="single"/>
        </w:rPr>
        <w:t>Purpose of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Item 4 of the Prior Schedule 13D is hereby amended to add the following language: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2023, the Issuer announced it had priced an underwritten public offering of 173,544,948 shares of its Class A common stock, par value $0.0001 per share (“Class A Common Stock”) for aggregate gross proceeds to the Issuer of approximately $1.2 billion (the “Public Offering”). On June 22, 2023, Ayar Third Investment Company (“Ayar”) purchased from the Issuer 265,693,703 shares of Class A Common Stock for aggregate purchase price of approximately $1.8 billion in a private placement (the “Private Placement”) pursuant to a subscription agreement (the “Subscription Agreement”) entered into concurrently with the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Subscription Agreement, subject to certain exceptions, Ayar has agreed not to, among other things, offer, sell, pledge or otherwise transfer any shares of Class A Common Stock for six months after the date of the closing of the transaction contemplated by the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Subscription Agreement does not purport to be complete and is qualified in its entirety by reference to the full text of the Subscription Agreement included as Exhibit 5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 </w:t>
      </w:r>
      <w:r>
        <w:rPr>
          <w:rFonts w:ascii="Times New Roman;Times;Serif" w:hAnsi="Times New Roman;Times;Serif"/>
          <w:b/>
          <w:i w:val="false"/>
          <w:caps w:val="false"/>
          <w:smallCaps w:val="false"/>
          <w:sz w:val="20"/>
          <w:u w:val="single"/>
        </w:rPr>
        <w:t>Interest in Securities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Item 5(a), (b) and (c) of the Prior Schedule 13D are hereby amended and replaced in their entirety with the following language: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PIF directly owns 8,041,393 shares of Class A Common Stock and has sole voting and dispositive power of such shares. PIF may, pursuant to Rule 13d-3, be deemed to beneficially own the 1,366,658,905 shares of Class A Common Stock directly owned by Ayar and aggregating to a beneficial ownership of 1,374,700,298 shares. The Ayar securities and the Class A Common held directly by PIF represent approximately 60.49% of the Issuer’s issued and outstanding shares Class A Common Stock. PIF disclaims beneficial ownership of the Ayar securities except to the extent of its pecuniary interest therein.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Ayar directly owns 1,366,658,905 shares of Class A Common Stock and has shared voting power over such shares which represent approximately 60.14% of the Issuer’s issued and outstanding shares of Class A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H.E. Al Rumayyan as the sole manager of Ayar has shared voting power over 1,366,658,905 shares of Class A Common Stock held by Ayar. In addition, H.E. Al Rumayyan has sole voting and dispositive power over 4,604,595 shares of Class A Common Stock held in his name, which do not include options to purchase shares of Class A Common Stock that are not exercisable within 60 days from the date hereof. Accordingly, H.E. Al Rumayyan may be deemed to beneficially own an aggregate of 1,371,263,500 shares of Class A Common Stock, representing approximately 60.34% of the Issuer’s issued and outstanding shares of Class A Common Stock. H.E. Al Rumayyan disclaims beneficial ownership of any securities held by Ayar. Due to a scrivener’s error, in Amendment No. 2, the number of shares of Class A Common Stock over which H.E. Al Rumayyan was reported to have sole voting and dispositive power was reflected as 4,654,595 rather than the correct number of 4,604,595. This Amendment No. 3 corrects such scrivener’s error and such correction does not reflect or result from any disposition of any shares of Class A Common Stock by H.E. Al Rumayyan.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Mr. Alnowaiser, based on his authority delegated to him by H.E. Al Rumayyan, the sole manager of Ayar, has shared voting power over 1,366,658,905 shares of Class A Common Stock held by Ayar. In addition, Mr. Alnowaiser has sole voting and dispositive power over 2,122,236 shares of Class A Common Stock held in his name, which includes 32,258 shares issuable pursuant to Restricted Stock Units that will not vest for more than 60 days from the date hereof. Accordingly, Mr. Alnowaiser may be deemed the beneficial owner of an aggregate of 1,368,781,141 shares of Class A Common Stock, representing approximately 60.23% of the Issuer’s issued and outstanding shares of Class A Common Stock. Mr. Alnowaiser disclaims beneficial ownership of any securities held by Ayar.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conversations with the Issuer, the percentages set forth in this Item 5(a) are based on 2,272,623,825 shares of Class A Common Stock issued and outstanding as of March 31, 2023 after giving effect to the Public Offering and the Private Placement, as reported by the Issuer in a prospectus supplement relating to the Public Offering dated May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Reporting Persons may be deemed to be a member of a group with respect to the Issuer or securities of the Issuer for the purposes of Section 13(d) or 13(g) of the Act. Each of the Reporting Persons disclaims beneficial ownership of all of the shares of Class A Common Stock included in this report, except to the extent of any pecuniary interests therein, and the filing of this report shall not be construed as an admission that any such person or entity is the beneficial owner of any such securities for purposes of Section 13(d) or 13(g) of the Act, or for any other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Ayar Third Investment Company engaged in the Private Placement with the Issuer, purchasing 265,693,703 shares of Class A Common Stock for $6.83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6. </w:t>
      </w:r>
      <w:r>
        <w:rPr>
          <w:rFonts w:ascii="Times New Roman;Times;Serif" w:hAnsi="Times New Roman;Times;Serif"/>
          <w:b/>
          <w:i w:val="false"/>
          <w:caps w:val="false"/>
          <w:smallCaps w:val="false"/>
          <w:sz w:val="20"/>
          <w:u w:val="single"/>
        </w:rPr>
        <w:t>Contracts, Arrangements, Understandings or Relationships with Respect to Securities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Item 6 of the Prior Schedule 13D is hereby amended to add the following language: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response to Item 4 of this Schedule 13D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entering into the Subscription Agreement, the Company entered into an amendment to the Investor Rights Agreement (the “IRA Amendment”). Pursuant to the IRA Amendment, Ayar will be entitled to certain registration rights, including demand, piggy-back and shelf registration rights, with respect to the shares of Class A Common Stock Ayar purchased in the Private Placement. The description of the IRA Amendment does not purport to be complete and is qualified in its entirety by reference to the full text of the IRA Amendment included as Exhibit 6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w:t>
      </w:r>
      <w:r>
        <w:rPr>
          <w:rFonts w:ascii="Times New Roman;Times;Serif" w:hAnsi="Times New Roman;Times;Serif"/>
          <w:b/>
          <w:i w:val="false"/>
          <w:caps w:val="false"/>
          <w:smallCaps w:val="false"/>
          <w:sz w:val="20"/>
          <w:u w:val="single"/>
        </w:rPr>
        <w:t>Materials to Be Filed as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Item 7 of the Initial Schedule 13D is hereby amended to add the following language: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0"/>
        <w:gridCol w:w="9525"/>
      </w:tblGrid>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w:t>
              <w:br/>
              <w:t>Number</w:t>
            </w:r>
          </w:p>
        </w:tc>
        <w:tc>
          <w:tcPr>
            <w:tcW w:w="95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Description of Exhibit</w:t>
            </w:r>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Subscription Agreement, dated May 31, 2023 between Lucid Group, Inc. and Ayar Third Investment Company (filed as Exhibit 10.1 to Lucid Group, Inc.’s Current Report on Form 8-K filed with the SEC on June 5, 2023, and incorporated herein by reference).</w:t>
            </w:r>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 No. 2, dated May 31, 2023, to the Investor Rights Agreement between Lucid Group, Inc., Ayar Third Investment Company and the other parties thereto (filed as Exhibit 10.2 to Lucid Group, Inc.’s Current Report on Form 8-K filed with the SEC on June 5, 2023, and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26, 2023</w:t>
      </w:r>
    </w:p>
    <w:p>
      <w:pPr>
        <w:pStyle w:val="TextBody"/>
        <w:bidi w:val="0"/>
        <w:spacing w:before="0" w:after="0"/>
        <w:ind w:left="0" w:right="0" w:hanging="0"/>
        <w:jc w:val="left"/>
        <w:rPr>
          <w:caps w:val="false"/>
          <w:smallCaps w:val="false"/>
        </w:rPr>
      </w:pPr>
      <w:r>
        <w:rPr>
          <w:caps w:val="false"/>
          <w:smallCaps w:val="false"/>
        </w:rPr>
        <w:t> </w:t>
      </w:r>
    </w:p>
    <w:tbl>
      <w:tblPr>
        <w:tblW w:w="3049" w:type="dxa"/>
        <w:jc w:val="left"/>
        <w:tblInd w:w="0" w:type="dxa"/>
        <w:tblLayout w:type="fixed"/>
        <w:tblCellMar>
          <w:top w:w="0" w:type="dxa"/>
          <w:left w:w="0" w:type="dxa"/>
          <w:bottom w:w="0" w:type="dxa"/>
          <w:right w:w="0" w:type="dxa"/>
        </w:tblCellMar>
      </w:tblPr>
      <w:tblGrid>
        <w:gridCol w:w="75"/>
        <w:gridCol w:w="563"/>
        <w:gridCol w:w="2411"/>
      </w:tblGrid>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PUBLIC INVESTMENT FUND</w:t>
            </w:r>
          </w:p>
        </w:tc>
      </w:tr>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Public Investment Fund</w:t>
            </w:r>
          </w:p>
        </w:tc>
      </w:tr>
      <w:tr>
        <w:trPr/>
        <w:tc>
          <w:tcPr>
            <w:tcW w:w="7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241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Yasir O. AlRumayyan</w:t>
            </w:r>
          </w:p>
        </w:tc>
      </w:tr>
      <w:tr>
        <w:trPr/>
        <w:tc>
          <w:tcPr>
            <w:tcW w:w="7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Yasir O. AlRumayyan</w:t>
            </w:r>
          </w:p>
        </w:tc>
      </w:tr>
      <w:tr>
        <w:trPr/>
        <w:tc>
          <w:tcPr>
            <w:tcW w:w="7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2173</Words>
  <Characters>10750</Characters>
  <CharactersWithSpaces>12886</CharactersWithSpaces>
  <Paragraphs>474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