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160" w:after="283"/>
        <w:jc w:val="center"/>
        <w:rPr>
          <w:rFonts w:ascii="Times New Roman;serif" w:hAnsi="Times New Roman;serif"/>
          <w:b/>
          <w:color w:val="231F20"/>
          <w:sz w:val="24"/>
        </w:rPr>
      </w:pPr>
      <w:r>
        <w:rPr>
          <w:rFonts w:ascii="Times New Roman;serif" w:hAnsi="Times New Roman;serif"/>
          <w:b/>
          <w:color w:val="231F20"/>
          <w:sz w:val="24"/>
        </w:rPr>
        <w:t>CURRENT REPORT</w:t>
      </w:r>
    </w:p>
    <w:p>
      <w:pPr>
        <w:pStyle w:val="TextBody"/>
        <w:bidi w:val="0"/>
        <w:spacing w:lineRule="auto" w:line="288" w:before="20" w:after="283"/>
        <w:jc w:val="center"/>
        <w:rPr>
          <w:rFonts w:ascii="Times New Roman;serif" w:hAnsi="Times New Roman;serif"/>
          <w:b/>
          <w:color w:val="231F20"/>
          <w:sz w:val="24"/>
        </w:rPr>
      </w:pPr>
      <w:r>
        <w:rPr>
          <w:rFonts w:ascii="Times New Roman;serif" w:hAnsi="Times New Roman;serif"/>
          <w:b/>
          <w:color w:val="231F20"/>
          <w:sz w:val="24"/>
        </w:rPr>
        <w:t>Pursuant to Section 13 OR 15(d) of The Securities Exchange Act of 1934</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July 14, 2026</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Lucid Group,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7977" w:type="dxa"/>
        <w:jc w:val="left"/>
        <w:tblInd w:w="0" w:type="dxa"/>
        <w:tblLayout w:type="fixed"/>
        <w:tblCellMar>
          <w:top w:w="28" w:type="dxa"/>
          <w:left w:w="28" w:type="dxa"/>
          <w:bottom w:w="28" w:type="dxa"/>
          <w:right w:w="28" w:type="dxa"/>
        </w:tblCellMar>
      </w:tblPr>
      <w:tblGrid>
        <w:gridCol w:w="1215"/>
        <w:gridCol w:w="1066"/>
        <w:gridCol w:w="1078"/>
        <w:gridCol w:w="528"/>
        <w:gridCol w:w="528"/>
        <w:gridCol w:w="533"/>
        <w:gridCol w:w="884"/>
        <w:gridCol w:w="884"/>
        <w:gridCol w:w="1261"/>
      </w:tblGrid>
      <w:tr>
        <w:trPr/>
        <w:tc>
          <w:tcPr>
            <w:tcW w:w="121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001-39408</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85-0891392</w:t>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 or organization)</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w:t>
              <w:br/>
              <w:t>Number)</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7373 Gateway Boulevard</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Newark, CA</w:t>
            </w:r>
          </w:p>
        </w:tc>
        <w:tc>
          <w:tcPr>
            <w:tcW w:w="1589"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94560</w:t>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60" w:after="283"/>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(510) 648-3553</w:t>
      </w:r>
    </w:p>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(Former name or former address, if changed since last report.)</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528"/>
        <w:gridCol w:w="1329"/>
        <w:gridCol w:w="1344"/>
        <w:gridCol w:w="109"/>
        <w:gridCol w:w="109"/>
        <w:gridCol w:w="109"/>
        <w:gridCol w:w="550"/>
        <w:gridCol w:w="550"/>
        <w:gridCol w:w="552"/>
        <w:gridCol w:w="109"/>
        <w:gridCol w:w="109"/>
        <w:gridCol w:w="109"/>
        <w:gridCol w:w="1079"/>
        <w:gridCol w:w="1079"/>
        <w:gridCol w:w="1540"/>
      </w:tblGrid>
      <w:tr>
        <w:trPr/>
        <w:tc>
          <w:tcPr>
            <w:tcW w:w="152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Class A Common Stock, $0.0001 par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LCID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right"/>
        <w:rPr>
          <w:color w:val="000000"/>
        </w:rPr>
      </w:pP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color w:val="000000"/>
          <w:sz w:val="20"/>
        </w:rPr>
        <w:t xml:space="preserve">Item 7.01 </w:t>
      </w:r>
      <w:r>
        <w:rPr>
          <w:rFonts w:ascii="Times New Roman;serif" w:hAnsi="Times New Roman;serif"/>
          <w:b/>
          <w:color w:val="000000"/>
          <w:sz w:val="20"/>
          <w:shd w:fill="FFFFFF" w:val="clear"/>
        </w:rPr>
        <w:t>Regulation FD Disclosure.</w:t>
      </w:r>
    </w:p>
    <w:p>
      <w:pPr>
        <w:pStyle w:val="TextBody"/>
        <w:bidi w:val="0"/>
        <w:spacing w:lineRule="auto" w:line="288" w:before="240" w:after="283"/>
        <w:jc w:val="left"/>
        <w:rPr/>
      </w:pPr>
      <w:r>
        <w:rPr>
          <w:rFonts w:ascii="Times New Roman;serif" w:hAnsi="Times New Roman;serif"/>
          <w:b w:val="false"/>
          <w:color w:val="000000"/>
          <w:sz w:val="20"/>
        </w:rPr>
        <w:t>Lucid Group,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announced that the rumors are completely false. The Company has sufficient liquidity to carry its operations well into next year, as recently published in its last quarterly filings, and it has not formed any special Board committee to explore the scenarios reported today. The Company’s focus is on improving execution, strengthening operations, and positioning the Company to realize the full potential of its technology, products, and innovation. AlixPartners is assisting the Company in that and nothing else and has not recommended bankruptcy to management or the Board of Directors of the Company. The Company undertakes no duty to further update the comments on this matter.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Item 7.01 shall not be deemed “filed” for purposes of Section 18 of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Forward-Looking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This report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the Company’s liquidity position, financial condition, strategies, and operational executions.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the Company. These forward-looking statements are subject to a number of risks and uncertainties, including those factors discussed under the cautionary language and the Risk Factors in our Annual Report on Form 10-K for the year ended December 31, 2025, subsequent Quarterly Reports on Form 10-Q, Current Reports on Form 8-K, and other documents the Company has filed or will file with the Securities and Exchange Commission. If any of these risks materialize or the Company’s assumptions prove incorrect, actual results could differ materially from the results implied by these forward-looking statements. There may be additional risks that the Company currently does not know or that the Company currently believes are immaterial that could also cause actual results to differ from those contained in the forward-looking statements. In addition, forward-looking statements reflect the Company’s expectations, plans or forecasts of future events and views as of the date of this report. The Company anticipates that subsequent events and developments will cause the Company’s assessments to change. However, while the Company may elect to update these forward-looking statements at some point in the future, the Company specifically disclaims any obligation to do so. These forward-looking statements should not be relied upon as representing the Company’s assessments as of any date subsequent to the date of this report. Accordingly, undue reliance should not be placed upon the forward-looking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737"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28"/>
        <w:gridCol w:w="1928"/>
        <w:gridCol w:w="2743"/>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Current Report on Form 8-K to be signed on its behalf by the undersigned hereunto duly authorized.</w:t>
      </w:r>
    </w:p>
    <w:tbl>
      <w:tblPr>
        <w:tblW w:w="7052" w:type="dxa"/>
        <w:jc w:val="left"/>
        <w:tblInd w:w="0" w:type="dxa"/>
        <w:tblLayout w:type="fixed"/>
        <w:tblCellMar>
          <w:top w:w="28" w:type="dxa"/>
          <w:left w:w="28" w:type="dxa"/>
          <w:bottom w:w="28" w:type="dxa"/>
          <w:right w:w="28" w:type="dxa"/>
        </w:tblCellMar>
      </w:tblPr>
      <w:tblGrid>
        <w:gridCol w:w="656"/>
        <w:gridCol w:w="576"/>
        <w:gridCol w:w="582"/>
        <w:gridCol w:w="322"/>
        <w:gridCol w:w="322"/>
        <w:gridCol w:w="322"/>
        <w:gridCol w:w="1298"/>
        <w:gridCol w:w="1298"/>
        <w:gridCol w:w="1304"/>
        <w:gridCol w:w="109"/>
        <w:gridCol w:w="109"/>
        <w:gridCol w:w="154"/>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Dated: July 14, 2026</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6"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LUCID GROUP,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0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Brian K. Tomkiel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Name: Brian K. Tomkiel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Title: Chief Legal Officer and General Counsel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949</Words>
  <Characters>5368</Characters>
  <CharactersWithSpaces>6279</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