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142875</wp:posOffset>
            </wp:positionV>
            <wp:extent cx="379730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73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December 15,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w:t>
      </w:r>
    </w:p>
    <w:p>
      <w:pPr>
        <w:spacing w:after="0" w:line="2" w:lineRule="exact"/>
        <w:rPr>
          <w:sz w:val="24"/>
          <w:szCs w:val="24"/>
          <w:color w:val="auto"/>
        </w:rPr>
      </w:pPr>
    </w:p>
    <w:p>
      <w:pPr>
        <w:jc w:val="both"/>
        <w:ind w:firstLine="8"/>
        <w:spacing w:after="0" w:line="302"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55"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September 30, 2021 our majority stockholder, Ayar, owned approximately 61.8%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December 14, 2021, the closing price of our Class A common stock was $40.87 per share.</w:t>
      </w:r>
    </w:p>
    <w:p>
      <w:pPr>
        <w:spacing w:after="0" w:line="180"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196215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20" w:space="720"/>
            <w:col w:w="2900" w:space="720"/>
            <w:col w:w="2580"/>
          </w:cols>
          <w:pgMar w:left="320" w:top="1048"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1048" w:right="339" w:bottom="1440" w:gutter="0" w:footer="0" w:header="0"/>
          <w:type w:val="continuous"/>
        </w:sectPr>
      </w:pPr>
    </w:p>
    <w:p>
      <w:pPr>
        <w:spacing w:after="0" w:line="189"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0"/>
          <w:szCs w:val="20"/>
          <w:color w:val="auto"/>
        </w:rPr>
      </w:pPr>
    </w:p>
    <w:p>
      <w:pPr>
        <w:sectPr>
          <w:pgSz w:w="11900" w:h="16838" w:orient="portrait"/>
          <w:cols w:equalWidth="0" w:num="2">
            <w:col w:w="7320" w:space="720"/>
            <w:col w:w="3200"/>
          </w:cols>
          <w:pgMar w:left="320" w:top="1048"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 w:name="page3"/>
    <w:bookmarkEnd w:id="2"/>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auto"/>
        </w:rPr>
        <w:t>On December 15, 2021, Lucid Group, Inc. (“Lucid” or the “Company”) announced the appointment of Gagan Dhingra as Lucid’s Vice President of Accounting and Internal Controls, Principal Accounting Officer. Mr. Dhingra will report to Sherry House, the Company’s Chief Financial Officer, who acted as the Company’s Principal Accounting Officer prior to Mr. Dhingra’s appointment.</w:t>
      </w:r>
    </w:p>
    <w:p>
      <w:pPr>
        <w:spacing w:after="0" w:line="18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Prior to joining Lucid, Mr. Dhingra, 47, was employed by Anaplan, Inc., an enterprise software company, from April 2019 to December 2021, most recently as Principal Accounting Officer, and at Seagate Technology Holdings, a provider of data storage technology and solutions, from October 2016 through April 2019, as Assistant Corporate Controller. Prior to joining Seagate, Mr. Dhingra held senior finance roles at McKesson Corporation. Mr. Dhingra is a certified public accountant.</w:t>
      </w:r>
    </w:p>
    <w:p>
      <w:pPr>
        <w:spacing w:after="0" w:line="187"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In connection with his appointment, Mr. Dhingra will receive an annual base salary of $330,000 and target bonus opportunity of 50% of his base salary. Mr. Dhingra will also receive a signing bonus in the amount of $100,000 and an award of 48,097 restricted stock units granted pursuant to the Lucid Group, Inc. 2021 Stock Incentive Plan. Mr. Dhingra will be eligible to participate in the Lucid Group, Inc. Executive Severance Benefit Plan.</w:t>
      </w:r>
    </w:p>
    <w:p>
      <w:pPr>
        <w:spacing w:after="0" w:line="149" w:lineRule="exact"/>
        <w:rPr>
          <w:sz w:val="20"/>
          <w:szCs w:val="20"/>
          <w:color w:val="auto"/>
        </w:rPr>
      </w:pPr>
    </w:p>
    <w:p>
      <w:pPr>
        <w:ind w:right="400" w:firstLine="441"/>
        <w:spacing w:after="0" w:line="311" w:lineRule="auto"/>
        <w:rPr>
          <w:sz w:val="20"/>
          <w:szCs w:val="20"/>
          <w:color w:val="auto"/>
        </w:rPr>
      </w:pPr>
      <w:r>
        <w:rPr>
          <w:rFonts w:ascii="Arial" w:cs="Arial" w:eastAsia="Arial" w:hAnsi="Arial"/>
          <w:sz w:val="16"/>
          <w:szCs w:val="16"/>
          <w:color w:val="auto"/>
        </w:rPr>
        <w:t>There is no arrangement or understanding with any person pursuant to which Mr. Dhingra was appointed as Vice President of Accounting and Internal Controls, and there are no family relationships between Mr. Dhingra and any director or executive officer of Lucid. Additionally, there are no transactions between Mr. Dhingra and Lucid and/or its subsidiaries that would be required to be reported under Item 404(a) of Regulation S-K.</w:t>
      </w:r>
    </w:p>
    <w:p>
      <w:pPr>
        <w:spacing w:after="0" w:line="149"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foregoing summary is qualified in its entirety by reference to Mr. Dhingra’s offer letter, which will be filed as an exhibit to the Company’s Annual Report on Form 10-K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December 15,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40"/>
      </w:cols>
      <w:pgMar w:left="320" w:top="90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2021-12-15T15:11:42Z</dcterms:created>
  <dcterms:modified xsi:type="dcterms:W3CDTF">2021-12-15T15:11:42Z</dcterms:modified>
</cp:coreProperties>
</file>