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6456484.xml.htm"/>
      <w:bookmarkStart w:id="1" w:name="kswkform3_177645648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Napoli Silvio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LUCID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GATEWAY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04/15/2026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Lucid Group, Inc.</w:t>
              </w:r>
            </w:hyperlink>
            <w:r>
              <w:rPr/>
              <w:t xml:space="preserve"> [ </w:t>
            </w:r>
            <w:r>
              <w:rPr>
                <w:rFonts w:ascii="Times;serif" w:hAnsi="Times;serif"/>
                <w:color w:val="0000FF"/>
                <w:sz w:val="24"/>
                <w:shd w:fill="FFFFFF" w:val="clear"/>
              </w:rPr>
              <w:t>LCID</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Wang, as attorney-in-fact for Silvio Napoli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ucidgroupincpowerofatto.htm"/>
      <w:bookmarkStart w:id="3" w:name="kslucidgroupincpowerofatt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LUCID GROUP, INC. POWER OF ATTORNEY Know all by these present, that I, the undersigned director and/or officer of Lucid Group, Inc., a Delaware corporation (the “Company”), hereby constitute and appoint, Brian Tomkiel, Doug Stewart and Bruce Wang and each of them, my true and lawful attorneys-in-fact and agents, with full power to act, together or each without the other, with full power of substitution and resubstitution, for me and in my name, place and stead, in any and all capacities: (i) to execute and file for and on behalf of the undersigned any reports on Forms 3, 4, and 5 (including any amendments thereto and any successors to such Forms) with respect to ownership acquisition or disposition of securities of the Company in accordance with Section 16(a) of the Securities Exchange Act of 1934, as amended (the “Exchange Act”), and the rules promulgated thereunder; (ii) to request electronic filing codes from the U.S. Securities and Exchange Commission by filing the Form ID (including amendments thereto) and any other documents necessary or appropriate to obtain codes and passwords enabling the undersigned to file such reports electronically; (iii) to prepare, file, and submit any Notices of Proposed Sale of Securities Pursuant to Rule 144 (“Form 144”) to permit the undersigned to sell Company common stock without registration under the Securities Act of 1933, as amended (the “Securities Act”) in reliance on Rule 144 as amended from time to time; or (iv) take any other action of any type whatsoever requisite, necessary or advisable to be done in the exercise of any of the rights and powers herein granted, as fully to all intents and purposes as the undersigned might or could do if personally present, it being understood that the documents executed by such attorneys-in-fact on behalf of the undersigned pursuant to this Power of Attorney shall be in such form and shall contain such terms and conditions as such attorneys-in-fact may approve in such attorney-in-fact’s or attorneys-in-fact’s discretion. The undersigned acknowledges that the foregoing attorneys-in-fact,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 This Power of Attorney shall remain in full force and effect until the undersigned is no longer required to file Forms 3, 4, or 5 or Form 144 with respect to the undersigned’s holdings of and transactions in securities issued by the Company, unless earlier revoked by the undersigned in a signed writing delivered to the foregoing attorneys-in-fact. This Power of Attorney revokes and replaces any prior Power of Attorney executed by the undersigned with respect to the ownership, acquisition, or disposition of securities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this 16th Day of April 2026. /s/ Silvio Napoli Name: Silvio Napoli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3757" TargetMode="External"/><Relationship Id="rId3" Type="http://schemas.openxmlformats.org/officeDocument/2006/relationships/hyperlink" Target="http://www.sec.gov/cgi-bin/browse-edgar?action=getcompany&amp;CIK=000181121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912</Words>
  <Characters>4890</Characters>
  <CharactersWithSpaces>5766</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lucidgroupincpowerofatto</dc:title>
</cp:coreProperties>
</file>