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Vice President, Digital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137,352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1,439,309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1,414,471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("PSUs") as to which the performance criteria have been satisfied. Of the PSUs reported in this Form 4, 91,568 remain subject to service-based vesting requirements that will vest in 1/12th increments on each June 5, September 5, December 5 and March 5 following the date of this Form 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PSUs are settled in shares of common stock on a one-for-one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settlement of the PSUs reported above for which service-based vesting requirements have been satisfied.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Michael Bell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2185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2024-04-11T16:53:22Z</dcterms:created>
  <dcterms:modified xsi:type="dcterms:W3CDTF">2024-04-11T16:53:22Z</dcterms:modified>
</cp:coreProperties>
</file>