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2020</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tbl>
      <w:tblPr>
        <w:tblLayout w:type="fixed"/>
        <w:tblInd w:w="3940" w:type="dxa"/>
        <w:tblCellMar>
          <w:top w:w="0" w:type="dxa"/>
          <w:left w:w="0" w:type="dxa"/>
          <w:bottom w:w="0" w:type="dxa"/>
          <w:right w:w="0" w:type="dxa"/>
        </w:tblCellMar>
      </w:tblPr>
      <w:tr>
        <w:trPr>
          <w:trHeight w:val="234"/>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For the transition period from</w:t>
            </w:r>
          </w:p>
        </w:tc>
        <w:tc>
          <w:tcPr>
            <w:tcW w:w="300" w:type="dxa"/>
            <w:vAlign w:val="bottom"/>
          </w:tcPr>
          <w:p>
            <w:pPr>
              <w:ind w:left="140"/>
              <w:spacing w:after="0"/>
              <w:rPr>
                <w:sz w:val="20"/>
                <w:szCs w:val="20"/>
                <w:color w:val="auto"/>
              </w:rPr>
            </w:pPr>
            <w:r>
              <w:rPr>
                <w:rFonts w:ascii="Arial" w:cs="Arial" w:eastAsia="Arial" w:hAnsi="Arial"/>
                <w:sz w:val="18"/>
                <w:szCs w:val="18"/>
                <w:b w:val="1"/>
                <w:bCs w:val="1"/>
                <w:color w:val="auto"/>
                <w:w w:val="82"/>
              </w:rPr>
              <w:t>to</w:t>
            </w:r>
          </w:p>
        </w:tc>
      </w:tr>
      <w:tr>
        <w:trPr>
          <w:trHeight w:val="392"/>
        </w:trPr>
        <w:tc>
          <w:tcPr>
            <w:tcW w:w="3080" w:type="dxa"/>
            <w:vAlign w:val="bottom"/>
            <w:gridSpan w:val="2"/>
          </w:tcPr>
          <w:p>
            <w:pPr>
              <w:ind w:left="300"/>
              <w:spacing w:after="0"/>
              <w:rPr>
                <w:sz w:val="20"/>
                <w:szCs w:val="20"/>
                <w:color w:val="auto"/>
              </w:rPr>
            </w:pPr>
            <w:r>
              <w:rPr>
                <w:rFonts w:ascii="Arial" w:cs="Arial" w:eastAsia="Arial" w:hAnsi="Arial"/>
                <w:sz w:val="18"/>
                <w:szCs w:val="18"/>
                <w:b w:val="1"/>
                <w:bCs w:val="1"/>
                <w:color w:val="auto"/>
                <w:w w:val="89"/>
              </w:rPr>
              <w:t>Commission file number: 001-39408</w:t>
            </w:r>
          </w:p>
        </w:tc>
        <w:tc>
          <w:tcPr>
            <w:tcW w:w="300" w:type="dxa"/>
            <w:vAlign w:val="bottom"/>
          </w:tcPr>
          <w:p>
            <w:pPr>
              <w:spacing w:after="0"/>
              <w:rPr>
                <w:sz w:val="24"/>
                <w:szCs w:val="24"/>
                <w:color w:val="auto"/>
              </w:rPr>
            </w:pPr>
          </w:p>
        </w:tc>
      </w:tr>
      <w:tr>
        <w:trPr>
          <w:trHeight w:val="20"/>
        </w:trPr>
        <w:tc>
          <w:tcPr>
            <w:tcW w:w="2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CHURCHILL CAPITAL CORP IV</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Borders>
              <w:bottom w:val="single" w:sz="8" w:color="auto"/>
            </w:tcBorders>
            <w:gridSpan w:val="3"/>
          </w:tcPr>
          <w:p>
            <w:pPr>
              <w:jc w:val="center"/>
              <w:ind w:left="1370"/>
              <w:spacing w:after="0"/>
              <w:rPr>
                <w:sz w:val="20"/>
                <w:szCs w:val="20"/>
                <w:color w:val="auto"/>
              </w:rPr>
            </w:pPr>
            <w:r>
              <w:rPr>
                <w:rFonts w:ascii="Arial" w:cs="Arial" w:eastAsia="Arial" w:hAnsi="Arial"/>
                <w:sz w:val="18"/>
                <w:szCs w:val="18"/>
                <w:b w:val="1"/>
                <w:bCs w:val="1"/>
                <w:color w:val="auto"/>
                <w:w w:val="91"/>
              </w:rPr>
              <w:t>Delaware</w:t>
            </w:r>
          </w:p>
        </w:tc>
        <w:tc>
          <w:tcPr>
            <w:tcW w:w="1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jc w:val="center"/>
              <w:ind w:right="1830"/>
              <w:spacing w:after="0"/>
              <w:rPr>
                <w:sz w:val="20"/>
                <w:szCs w:val="20"/>
                <w:color w:val="auto"/>
              </w:rPr>
            </w:pPr>
            <w:r>
              <w:rPr>
                <w:rFonts w:ascii="Arial" w:cs="Arial" w:eastAsia="Arial" w:hAnsi="Arial"/>
                <w:sz w:val="18"/>
                <w:szCs w:val="18"/>
                <w:b w:val="1"/>
                <w:bCs w:val="1"/>
                <w:color w:val="auto"/>
                <w:w w:val="89"/>
              </w:rPr>
              <w:t>85-0891392</w:t>
            </w:r>
          </w:p>
        </w:tc>
      </w:tr>
      <w:tr>
        <w:trPr>
          <w:trHeight w:val="195"/>
        </w:trPr>
        <w:tc>
          <w:tcPr>
            <w:tcW w:w="4180" w:type="dxa"/>
            <w:vAlign w:val="bottom"/>
            <w:gridSpan w:val="3"/>
          </w:tcPr>
          <w:p>
            <w:pPr>
              <w:jc w:val="center"/>
              <w:ind w:left="1370"/>
              <w:spacing w:after="0" w:line="195" w:lineRule="exact"/>
              <w:rPr>
                <w:sz w:val="20"/>
                <w:szCs w:val="20"/>
                <w:color w:val="auto"/>
              </w:rPr>
            </w:pPr>
            <w:r>
              <w:rPr>
                <w:rFonts w:ascii="Arial" w:cs="Arial" w:eastAsia="Arial" w:hAnsi="Arial"/>
                <w:sz w:val="18"/>
                <w:szCs w:val="18"/>
                <w:color w:val="auto"/>
                <w:w w:val="92"/>
              </w:rPr>
              <w:t>(State or other jurisdiction of</w:t>
            </w: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60" w:type="dxa"/>
            <w:vAlign w:val="bottom"/>
          </w:tcPr>
          <w:p>
            <w:pPr>
              <w:jc w:val="center"/>
              <w:ind w:right="1830"/>
              <w:spacing w:after="0" w:line="195" w:lineRule="exact"/>
              <w:rPr>
                <w:sz w:val="20"/>
                <w:szCs w:val="20"/>
                <w:color w:val="auto"/>
              </w:rPr>
            </w:pPr>
            <w:r>
              <w:rPr>
                <w:rFonts w:ascii="Arial" w:cs="Arial" w:eastAsia="Arial" w:hAnsi="Arial"/>
                <w:sz w:val="18"/>
                <w:szCs w:val="18"/>
                <w:color w:val="auto"/>
                <w:w w:val="92"/>
              </w:rPr>
              <w:t>(I.R.S. Employer</w:t>
            </w:r>
          </w:p>
        </w:tc>
      </w:tr>
      <w:tr>
        <w:trPr>
          <w:trHeight w:val="230"/>
        </w:trPr>
        <w:tc>
          <w:tcPr>
            <w:tcW w:w="4180" w:type="dxa"/>
            <w:vAlign w:val="bottom"/>
            <w:gridSpan w:val="3"/>
          </w:tcPr>
          <w:p>
            <w:pPr>
              <w:jc w:val="center"/>
              <w:ind w:left="1370"/>
              <w:spacing w:after="0"/>
              <w:rPr>
                <w:sz w:val="20"/>
                <w:szCs w:val="20"/>
                <w:color w:val="auto"/>
              </w:rPr>
            </w:pPr>
            <w:r>
              <w:rPr>
                <w:rFonts w:ascii="Arial" w:cs="Arial" w:eastAsia="Arial" w:hAnsi="Arial"/>
                <w:sz w:val="18"/>
                <w:szCs w:val="18"/>
                <w:color w:val="auto"/>
                <w:w w:val="92"/>
              </w:rPr>
              <w:t>incorporation or organization)</w:t>
            </w: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60" w:type="dxa"/>
            <w:vAlign w:val="bottom"/>
          </w:tcPr>
          <w:p>
            <w:pPr>
              <w:jc w:val="center"/>
              <w:ind w:right="1830"/>
              <w:spacing w:after="0"/>
              <w:rPr>
                <w:sz w:val="20"/>
                <w:szCs w:val="20"/>
                <w:color w:val="auto"/>
              </w:rPr>
            </w:pPr>
            <w:r>
              <w:rPr>
                <w:rFonts w:ascii="Arial" w:cs="Arial" w:eastAsia="Arial" w:hAnsi="Arial"/>
                <w:sz w:val="18"/>
                <w:szCs w:val="18"/>
                <w:color w:val="auto"/>
                <w:w w:val="95"/>
              </w:rPr>
              <w:t>Identification No.)</w:t>
            </w:r>
          </w:p>
        </w:tc>
      </w:tr>
      <w:tr>
        <w:trPr>
          <w:trHeight w:val="454"/>
        </w:trPr>
        <w:tc>
          <w:tcPr>
            <w:tcW w:w="3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0" w:type="dxa"/>
            <w:vAlign w:val="bottom"/>
            <w:gridSpan w:val="4"/>
          </w:tcPr>
          <w:p>
            <w:pPr>
              <w:jc w:val="center"/>
              <w:ind w:right="760"/>
              <w:spacing w:after="0"/>
              <w:rPr>
                <w:sz w:val="20"/>
                <w:szCs w:val="20"/>
                <w:color w:val="auto"/>
              </w:rPr>
            </w:pPr>
            <w:r>
              <w:rPr>
                <w:rFonts w:ascii="Arial" w:cs="Arial" w:eastAsia="Arial" w:hAnsi="Arial"/>
                <w:sz w:val="18"/>
                <w:szCs w:val="18"/>
                <w:b w:val="1"/>
                <w:bCs w:val="1"/>
                <w:color w:val="auto"/>
                <w:w w:val="89"/>
              </w:rPr>
              <w:t>640 Fifth Avenue, 12</w:t>
            </w:r>
            <w:r>
              <w:rPr>
                <w:rFonts w:ascii="Arial" w:cs="Arial" w:eastAsia="Arial" w:hAnsi="Arial"/>
                <w:sz w:val="29"/>
                <w:szCs w:val="29"/>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3460" w:type="dxa"/>
            <w:vAlign w:val="bottom"/>
          </w:tcPr>
          <w:p>
            <w:pPr>
              <w:spacing w:after="0"/>
              <w:rPr>
                <w:sz w:val="24"/>
                <w:szCs w:val="24"/>
                <w:color w:val="auto"/>
              </w:rPr>
            </w:pPr>
          </w:p>
        </w:tc>
      </w:tr>
      <w:tr>
        <w:trPr>
          <w:trHeight w:val="220"/>
        </w:trPr>
        <w:tc>
          <w:tcPr>
            <w:tcW w:w="3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0" w:type="dxa"/>
            <w:vAlign w:val="bottom"/>
            <w:gridSpan w:val="4"/>
          </w:tcPr>
          <w:p>
            <w:pPr>
              <w:jc w:val="center"/>
              <w:ind w:right="760"/>
              <w:spacing w:after="0"/>
              <w:rPr>
                <w:sz w:val="20"/>
                <w:szCs w:val="20"/>
                <w:color w:val="auto"/>
              </w:rPr>
            </w:pPr>
            <w:r>
              <w:rPr>
                <w:rFonts w:ascii="Arial" w:cs="Arial" w:eastAsia="Arial" w:hAnsi="Arial"/>
                <w:sz w:val="18"/>
                <w:szCs w:val="18"/>
                <w:b w:val="1"/>
                <w:bCs w:val="1"/>
                <w:color w:val="auto"/>
                <w:w w:val="92"/>
              </w:rPr>
              <w:t>New York, NY 10019</w:t>
            </w:r>
          </w:p>
        </w:tc>
        <w:tc>
          <w:tcPr>
            <w:tcW w:w="3460" w:type="dxa"/>
            <w:vAlign w:val="bottom"/>
          </w:tcPr>
          <w:p>
            <w:pPr>
              <w:spacing w:after="0"/>
              <w:rPr>
                <w:sz w:val="19"/>
                <w:szCs w:val="19"/>
                <w:color w:val="auto"/>
              </w:rPr>
            </w:pPr>
          </w:p>
        </w:tc>
      </w:tr>
      <w:tr>
        <w:trPr>
          <w:trHeight w:val="230"/>
        </w:trPr>
        <w:tc>
          <w:tcPr>
            <w:tcW w:w="3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gridSpan w:val="4"/>
          </w:tcPr>
          <w:p>
            <w:pPr>
              <w:jc w:val="center"/>
              <w:ind w:right="700"/>
              <w:spacing w:after="0"/>
              <w:rPr>
                <w:sz w:val="20"/>
                <w:szCs w:val="20"/>
                <w:color w:val="auto"/>
              </w:rPr>
            </w:pPr>
            <w:r>
              <w:rPr>
                <w:rFonts w:ascii="Arial" w:cs="Arial" w:eastAsia="Arial" w:hAnsi="Arial"/>
                <w:sz w:val="18"/>
                <w:szCs w:val="18"/>
                <w:color w:val="auto"/>
                <w:w w:val="92"/>
              </w:rPr>
              <w:t>(Address of principal executive offices)</w:t>
            </w:r>
          </w:p>
        </w:tc>
        <w:tc>
          <w:tcPr>
            <w:tcW w:w="3460" w:type="dxa"/>
            <w:vAlign w:val="bottom"/>
          </w:tcPr>
          <w:p>
            <w:pPr>
              <w:spacing w:after="0"/>
              <w:rPr>
                <w:sz w:val="20"/>
                <w:szCs w:val="20"/>
                <w:color w:val="auto"/>
              </w:rPr>
            </w:pPr>
          </w:p>
        </w:tc>
      </w:tr>
      <w:tr>
        <w:trPr>
          <w:trHeight w:val="418"/>
        </w:trPr>
        <w:tc>
          <w:tcPr>
            <w:tcW w:w="3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6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0"/>
              </w:rPr>
              <w:t>(212) 380-7500</w:t>
            </w:r>
          </w:p>
        </w:tc>
        <w:tc>
          <w:tcPr>
            <w:tcW w:w="2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30"/>
        </w:trPr>
        <w:tc>
          <w:tcPr>
            <w:tcW w:w="3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gridSpan w:val="4"/>
          </w:tcPr>
          <w:p>
            <w:pPr>
              <w:jc w:val="center"/>
              <w:ind w:right="700"/>
              <w:spacing w:after="0"/>
              <w:rPr>
                <w:sz w:val="20"/>
                <w:szCs w:val="20"/>
                <w:color w:val="auto"/>
              </w:rPr>
            </w:pPr>
            <w:r>
              <w:rPr>
                <w:rFonts w:ascii="Arial" w:cs="Arial" w:eastAsia="Arial" w:hAnsi="Arial"/>
                <w:sz w:val="18"/>
                <w:szCs w:val="18"/>
                <w:color w:val="auto"/>
                <w:w w:val="90"/>
              </w:rPr>
              <w:t>(Issuer’s telephone number)</w:t>
            </w:r>
          </w:p>
        </w:tc>
        <w:tc>
          <w:tcPr>
            <w:tcW w:w="3460" w:type="dxa"/>
            <w:vAlign w:val="bottom"/>
          </w:tcPr>
          <w:p>
            <w:pPr>
              <w:spacing w:after="0"/>
              <w:rPr>
                <w:sz w:val="20"/>
                <w:szCs w:val="20"/>
                <w:color w:val="auto"/>
              </w:rPr>
            </w:pPr>
          </w:p>
        </w:tc>
      </w:tr>
      <w:tr>
        <w:trPr>
          <w:trHeight w:val="432"/>
        </w:trPr>
        <w:tc>
          <w:tcPr>
            <w:tcW w:w="4180" w:type="dxa"/>
            <w:vAlign w:val="bottom"/>
            <w:gridSpan w:val="3"/>
          </w:tcPr>
          <w:p>
            <w:pPr>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414"/>
        </w:trPr>
        <w:tc>
          <w:tcPr>
            <w:tcW w:w="3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41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7"/>
              </w:rPr>
              <w:t>Title of each class</w:t>
            </w:r>
          </w:p>
        </w:tc>
        <w:tc>
          <w:tcPr>
            <w:tcW w:w="360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1"/>
              </w:rPr>
              <w:t>Trading Symbol(s)</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195"/>
        </w:trPr>
        <w:tc>
          <w:tcPr>
            <w:tcW w:w="38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Units, each consisting of one share of Class A</w:t>
            </w: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360" w:type="dxa"/>
            <w:vAlign w:val="bottom"/>
            <w:tcBorders>
              <w:top w:val="single" w:sz="8" w:color="auto"/>
            </w:tcBorders>
            <w:gridSpan w:val="3"/>
          </w:tcPr>
          <w:p>
            <w:pPr>
              <w:jc w:val="center"/>
              <w:ind w:right="120"/>
              <w:spacing w:after="0" w:line="195" w:lineRule="exact"/>
              <w:rPr>
                <w:sz w:val="20"/>
                <w:szCs w:val="20"/>
                <w:color w:val="auto"/>
              </w:rPr>
            </w:pPr>
            <w:r>
              <w:rPr>
                <w:rFonts w:ascii="Arial" w:cs="Arial" w:eastAsia="Arial" w:hAnsi="Arial"/>
                <w:sz w:val="18"/>
                <w:szCs w:val="18"/>
                <w:color w:val="auto"/>
                <w:w w:val="98"/>
              </w:rPr>
              <w:t>CCIV.U</w:t>
            </w:r>
          </w:p>
        </w:tc>
        <w:tc>
          <w:tcPr>
            <w:tcW w:w="240" w:type="dxa"/>
            <w:vAlign w:val="bottom"/>
          </w:tcPr>
          <w:p>
            <w:pPr>
              <w:spacing w:after="0"/>
              <w:rPr>
                <w:sz w:val="16"/>
                <w:szCs w:val="16"/>
                <w:color w:val="auto"/>
              </w:rPr>
            </w:pPr>
          </w:p>
        </w:tc>
        <w:tc>
          <w:tcPr>
            <w:tcW w:w="34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New York Stock Exchange</w:t>
            </w:r>
          </w:p>
        </w:tc>
      </w:tr>
      <w:tr>
        <w:trPr>
          <w:trHeight w:val="216"/>
        </w:trPr>
        <w:tc>
          <w:tcPr>
            <w:tcW w:w="4180" w:type="dxa"/>
            <w:vAlign w:val="bottom"/>
            <w:gridSpan w:val="3"/>
          </w:tcPr>
          <w:p>
            <w:pPr>
              <w:jc w:val="center"/>
              <w:ind w:right="360"/>
              <w:spacing w:after="0"/>
              <w:rPr>
                <w:sz w:val="20"/>
                <w:szCs w:val="20"/>
                <w:color w:val="auto"/>
              </w:rPr>
            </w:pPr>
            <w:r>
              <w:rPr>
                <w:rFonts w:ascii="Arial" w:cs="Arial" w:eastAsia="Arial" w:hAnsi="Arial"/>
                <w:sz w:val="18"/>
                <w:szCs w:val="18"/>
                <w:color w:val="auto"/>
                <w:w w:val="91"/>
              </w:rPr>
              <w:t>common stock, $0.0001 par value, and one-fifth of</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216"/>
        </w:trPr>
        <w:tc>
          <w:tcPr>
            <w:tcW w:w="4180" w:type="dxa"/>
            <w:vAlign w:val="bottom"/>
            <w:gridSpan w:val="3"/>
          </w:tcPr>
          <w:p>
            <w:pPr>
              <w:jc w:val="center"/>
              <w:ind w:right="340"/>
              <w:spacing w:after="0"/>
              <w:rPr>
                <w:sz w:val="20"/>
                <w:szCs w:val="20"/>
                <w:color w:val="auto"/>
              </w:rPr>
            </w:pPr>
            <w:r>
              <w:rPr>
                <w:rFonts w:ascii="Arial" w:cs="Arial" w:eastAsia="Arial" w:hAnsi="Arial"/>
                <w:sz w:val="18"/>
                <w:szCs w:val="18"/>
                <w:color w:val="auto"/>
                <w:w w:val="88"/>
              </w:rPr>
              <w:t>one warrant</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216"/>
        </w:trPr>
        <w:tc>
          <w:tcPr>
            <w:tcW w:w="4180" w:type="dxa"/>
            <w:vAlign w:val="bottom"/>
            <w:gridSpan w:val="3"/>
          </w:tcPr>
          <w:p>
            <w:pPr>
              <w:jc w:val="center"/>
              <w:ind w:right="340"/>
              <w:spacing w:after="0"/>
              <w:rPr>
                <w:sz w:val="20"/>
                <w:szCs w:val="20"/>
                <w:color w:val="auto"/>
              </w:rPr>
            </w:pPr>
            <w:r>
              <w:rPr>
                <w:rFonts w:ascii="Arial" w:cs="Arial" w:eastAsia="Arial" w:hAnsi="Arial"/>
                <w:sz w:val="18"/>
                <w:szCs w:val="18"/>
                <w:color w:val="auto"/>
                <w:w w:val="89"/>
              </w:rPr>
              <w:t>Shares of Class A common stock</w:t>
            </w:r>
          </w:p>
        </w:tc>
        <w:tc>
          <w:tcPr>
            <w:tcW w:w="3600" w:type="dxa"/>
            <w:vAlign w:val="bottom"/>
            <w:gridSpan w:val="4"/>
          </w:tcPr>
          <w:p>
            <w:pPr>
              <w:jc w:val="center"/>
              <w:ind w:right="360"/>
              <w:spacing w:after="0"/>
              <w:rPr>
                <w:sz w:val="20"/>
                <w:szCs w:val="20"/>
                <w:color w:val="auto"/>
              </w:rPr>
            </w:pPr>
            <w:r>
              <w:rPr>
                <w:rFonts w:ascii="Arial" w:cs="Arial" w:eastAsia="Arial" w:hAnsi="Arial"/>
                <w:sz w:val="18"/>
                <w:szCs w:val="18"/>
                <w:color w:val="auto"/>
              </w:rPr>
              <w:t>CCIV</w:t>
            </w:r>
          </w:p>
        </w:tc>
        <w:tc>
          <w:tcPr>
            <w:tcW w:w="346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30"/>
        </w:trPr>
        <w:tc>
          <w:tcPr>
            <w:tcW w:w="4180" w:type="dxa"/>
            <w:vAlign w:val="bottom"/>
            <w:gridSpan w:val="3"/>
          </w:tcPr>
          <w:p>
            <w:pPr>
              <w:jc w:val="center"/>
              <w:ind w:right="340"/>
              <w:spacing w:after="0"/>
              <w:rPr>
                <w:sz w:val="20"/>
                <w:szCs w:val="20"/>
                <w:color w:val="auto"/>
              </w:rPr>
            </w:pPr>
            <w:r>
              <w:rPr>
                <w:rFonts w:ascii="Arial" w:cs="Arial" w:eastAsia="Arial" w:hAnsi="Arial"/>
                <w:sz w:val="18"/>
                <w:szCs w:val="18"/>
                <w:color w:val="auto"/>
                <w:w w:val="89"/>
              </w:rPr>
              <w:t>Warrants included as part of the units</w:t>
            </w:r>
          </w:p>
        </w:tc>
        <w:tc>
          <w:tcPr>
            <w:tcW w:w="3600" w:type="dxa"/>
            <w:vAlign w:val="bottom"/>
            <w:gridSpan w:val="4"/>
          </w:tcPr>
          <w:p>
            <w:pPr>
              <w:jc w:val="center"/>
              <w:ind w:right="360"/>
              <w:spacing w:after="0"/>
              <w:rPr>
                <w:sz w:val="20"/>
                <w:szCs w:val="20"/>
                <w:color w:val="auto"/>
              </w:rPr>
            </w:pPr>
            <w:r>
              <w:rPr>
                <w:rFonts w:ascii="Arial" w:cs="Arial" w:eastAsia="Arial" w:hAnsi="Arial"/>
                <w:sz w:val="18"/>
                <w:szCs w:val="18"/>
                <w:color w:val="auto"/>
                <w:w w:val="98"/>
              </w:rPr>
              <w:t>CCIV WS</w:t>
            </w:r>
          </w:p>
        </w:tc>
        <w:tc>
          <w:tcPr>
            <w:tcW w:w="346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jc w:val="both"/>
        <w:spacing w:after="0" w:line="234" w:lineRule="exact"/>
        <w:rPr>
          <w:sz w:val="20"/>
          <w:szCs w:val="20"/>
          <w:color w:val="auto"/>
        </w:rPr>
      </w:pPr>
      <w:r>
        <w:rPr>
          <w:rFonts w:ascii="Arial" w:cs="Arial" w:eastAsia="Arial" w:hAnsi="Arial"/>
          <w:sz w:val="16"/>
          <w:szCs w:val="16"/>
          <w:color w:val="auto"/>
        </w:rPr>
        <w:t xml:space="preserve">Check whether the issuer (1) filed all reports required to be filed by Section 13 or 15(d) of the Exchange Act during the past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52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760"/>
              <w:spacing w:after="0"/>
              <w:rPr>
                <w:sz w:val="20"/>
                <w:szCs w:val="20"/>
                <w:color w:val="auto"/>
              </w:rPr>
            </w:pPr>
            <w:r>
              <w:rPr>
                <w:rFonts w:ascii="Arial" w:cs="Arial" w:eastAsia="Arial" w:hAnsi="Arial"/>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Non-accelerated filer</w:t>
            </w:r>
          </w:p>
        </w:tc>
        <w:tc>
          <w:tcPr>
            <w:tcW w:w="252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760"/>
              <w:spacing w:after="0"/>
              <w:rPr>
                <w:sz w:val="20"/>
                <w:szCs w:val="20"/>
                <w:color w:val="auto"/>
              </w:rPr>
            </w:pPr>
            <w:r>
              <w:rPr>
                <w:rFonts w:ascii="Arial" w:cs="Arial" w:eastAsia="Arial" w:hAnsi="Arial"/>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2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280" w:type="dxa"/>
            <w:vAlign w:val="bottom"/>
          </w:tcPr>
          <w:p>
            <w:pPr>
              <w:ind w:left="760"/>
              <w:spacing w:after="0"/>
              <w:rPr>
                <w:sz w:val="20"/>
                <w:szCs w:val="20"/>
                <w:color w:val="auto"/>
              </w:rPr>
            </w:pPr>
            <w:r>
              <w:rPr>
                <w:rFonts w:ascii="Arial" w:cs="Arial" w:eastAsia="Arial" w:hAnsi="Arial"/>
                <w:sz w:val="18"/>
                <w:szCs w:val="18"/>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As of November 9, 2020, there were 207,000,000 shares of Class A common stock, par value $0.0001 per share, and 51,750,000 shares of Class B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120" w:type="dxa"/>
            <w:vAlign w:val="bottom"/>
          </w:tcPr>
          <w:p>
            <w:pPr>
              <w:jc w:val="center"/>
              <w:ind w:left="1030"/>
              <w:spacing w:after="0"/>
              <w:rPr>
                <w:sz w:val="20"/>
                <w:szCs w:val="20"/>
                <w:color w:val="auto"/>
              </w:rPr>
            </w:pPr>
            <w:r>
              <w:rPr>
                <w:rFonts w:ascii="Arial" w:cs="Arial" w:eastAsia="Arial" w:hAnsi="Arial"/>
                <w:sz w:val="18"/>
                <w:szCs w:val="18"/>
                <w:b w:val="1"/>
                <w:bCs w:val="1"/>
                <w:color w:val="auto"/>
              </w:rPr>
              <w:t>CHURCHILL CAPITAL CORP IV</w:t>
            </w:r>
          </w:p>
        </w:tc>
        <w:tc>
          <w:tcPr>
            <w:tcW w:w="1120" w:type="dxa"/>
            <w:vAlign w:val="bottom"/>
          </w:tcPr>
          <w:p>
            <w:pPr>
              <w:spacing w:after="0"/>
              <w:rPr>
                <w:sz w:val="20"/>
                <w:szCs w:val="20"/>
                <w:color w:val="auto"/>
              </w:rPr>
            </w:pPr>
          </w:p>
        </w:tc>
      </w:tr>
      <w:tr>
        <w:trPr>
          <w:trHeight w:val="414"/>
        </w:trPr>
        <w:tc>
          <w:tcPr>
            <w:tcW w:w="10120" w:type="dxa"/>
            <w:vAlign w:val="bottom"/>
          </w:tcPr>
          <w:p>
            <w:pPr>
              <w:jc w:val="center"/>
              <w:ind w:left="990"/>
              <w:spacing w:after="0"/>
              <w:rPr>
                <w:sz w:val="20"/>
                <w:szCs w:val="20"/>
                <w:color w:val="auto"/>
              </w:rPr>
            </w:pPr>
            <w:r>
              <w:rPr>
                <w:rFonts w:ascii="Arial" w:cs="Arial" w:eastAsia="Arial" w:hAnsi="Arial"/>
                <w:sz w:val="18"/>
                <w:szCs w:val="18"/>
                <w:b w:val="1"/>
                <w:bCs w:val="1"/>
                <w:color w:val="auto"/>
                <w:w w:val="98"/>
              </w:rPr>
              <w:t>FORM 10-Q FOR THE QUARTER ENDED SEPTEMBER 30, 2020</w:t>
            </w:r>
          </w:p>
        </w:tc>
        <w:tc>
          <w:tcPr>
            <w:tcW w:w="1120" w:type="dxa"/>
            <w:vAlign w:val="bottom"/>
          </w:tcPr>
          <w:p>
            <w:pPr>
              <w:spacing w:after="0"/>
              <w:rPr>
                <w:sz w:val="24"/>
                <w:szCs w:val="24"/>
                <w:color w:val="auto"/>
              </w:rPr>
            </w:pPr>
          </w:p>
        </w:tc>
      </w:tr>
      <w:tr>
        <w:trPr>
          <w:trHeight w:val="234"/>
        </w:trPr>
        <w:tc>
          <w:tcPr>
            <w:tcW w:w="10120" w:type="dxa"/>
            <w:vAlign w:val="bottom"/>
          </w:tcPr>
          <w:p>
            <w:pPr>
              <w:jc w:val="center"/>
              <w:ind w:left="1030"/>
              <w:spacing w:after="0"/>
              <w:rPr>
                <w:sz w:val="20"/>
                <w:szCs w:val="20"/>
                <w:color w:val="auto"/>
              </w:rPr>
            </w:pPr>
            <w:r>
              <w:rPr>
                <w:rFonts w:ascii="Arial" w:cs="Arial" w:eastAsia="Arial" w:hAnsi="Arial"/>
                <w:sz w:val="18"/>
                <w:szCs w:val="18"/>
                <w:b w:val="1"/>
                <w:bCs w:val="1"/>
                <w:color w:val="auto"/>
                <w:w w:val="98"/>
              </w:rPr>
              <w:t>TABLE OF CONTENTS</w:t>
            </w:r>
          </w:p>
        </w:tc>
        <w:tc>
          <w:tcPr>
            <w:tcW w:w="1120" w:type="dxa"/>
            <w:vAlign w:val="bottom"/>
          </w:tcPr>
          <w:p>
            <w:pPr>
              <w:spacing w:after="0"/>
              <w:rPr>
                <w:sz w:val="20"/>
                <w:szCs w:val="20"/>
                <w:color w:val="auto"/>
              </w:rPr>
            </w:pPr>
          </w:p>
        </w:tc>
      </w:tr>
      <w:tr>
        <w:trPr>
          <w:trHeight w:val="432"/>
        </w:trPr>
        <w:tc>
          <w:tcPr>
            <w:tcW w:w="101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Page</w:t>
            </w:r>
          </w:p>
        </w:tc>
      </w:tr>
      <w:tr>
        <w:trPr>
          <w:trHeight w:val="209"/>
        </w:trPr>
        <w:tc>
          <w:tcPr>
            <w:tcW w:w="10120" w:type="dxa"/>
            <w:vAlign w:val="bottom"/>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Financial Information</w:t>
              </w:r>
            </w:hyperlink>
          </w:p>
        </w:tc>
        <w:tc>
          <w:tcPr>
            <w:tcW w:w="1120" w:type="dxa"/>
            <w:vAlign w:val="bottom"/>
            <w:shd w:val="clear" w:color="auto" w:fill="CCEEFF"/>
          </w:tcPr>
          <w:p>
            <w:pPr>
              <w:spacing w:after="0"/>
              <w:rPr>
                <w:sz w:val="18"/>
                <w:szCs w:val="18"/>
                <w:color w:val="auto"/>
              </w:rPr>
            </w:pPr>
          </w:p>
        </w:tc>
      </w:tr>
      <w:tr>
        <w:trPr>
          <w:trHeight w:val="216"/>
        </w:trPr>
        <w:tc>
          <w:tcPr>
            <w:tcW w:w="10120" w:type="dxa"/>
            <w:vAlign w:val="bottom"/>
          </w:tcPr>
          <w:p>
            <w:pPr>
              <w:ind w:left="1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Financial Statements</w:t>
              </w:r>
            </w:hyperlink>
          </w:p>
        </w:tc>
        <w:tc>
          <w:tcPr>
            <w:tcW w:w="1120" w:type="dxa"/>
            <w:vAlign w:val="bottom"/>
          </w:tcPr>
          <w:p>
            <w:pPr>
              <w:spacing w:after="0"/>
              <w:rPr>
                <w:sz w:val="18"/>
                <w:szCs w:val="18"/>
                <w:color w:val="auto"/>
              </w:rPr>
            </w:pPr>
          </w:p>
        </w:tc>
      </w:tr>
      <w:tr>
        <w:trPr>
          <w:trHeight w:val="216"/>
        </w:trPr>
        <w:tc>
          <w:tcPr>
            <w:tcW w:w="10120" w:type="dxa"/>
            <w:vAlign w:val="bottom"/>
            <w:shd w:val="clear" w:color="auto" w:fill="CCEEFF"/>
          </w:tcPr>
          <w:p>
            <w:pPr>
              <w:ind w:left="3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Balance Sheet</w:t>
              </w:r>
            </w:hyperlink>
          </w:p>
        </w:tc>
        <w:tc>
          <w:tcPr>
            <w:tcW w:w="1120" w:type="dxa"/>
            <w:vAlign w:val="bottom"/>
            <w:shd w:val="clear" w:color="auto" w:fill="CCEEFF"/>
          </w:tcPr>
          <w:p>
            <w:pPr>
              <w:jc w:val="center"/>
              <w:spacing w:after="0"/>
              <w:rPr>
                <w:rFonts w:ascii="Arial" w:cs="Arial" w:eastAsia="Arial" w:hAnsi="Arial"/>
                <w:sz w:val="18"/>
                <w:szCs w:val="18"/>
                <w:u w:val="single" w:color="auto"/>
                <w:color w:val="0000EE"/>
                <w:w w:val="79"/>
              </w:rPr>
            </w:pPr>
            <w:hyperlink w:anchor="page3">
              <w:r>
                <w:rPr>
                  <w:rFonts w:ascii="Arial" w:cs="Arial" w:eastAsia="Arial" w:hAnsi="Arial"/>
                  <w:sz w:val="18"/>
                  <w:szCs w:val="18"/>
                  <w:u w:val="single" w:color="auto"/>
                  <w:color w:val="0000EE"/>
                  <w:w w:val="79"/>
                </w:rPr>
                <w:t>1</w:t>
              </w:r>
            </w:hyperlink>
          </w:p>
        </w:tc>
      </w:tr>
      <w:tr>
        <w:trPr>
          <w:trHeight w:val="216"/>
        </w:trPr>
        <w:tc>
          <w:tcPr>
            <w:tcW w:w="10120" w:type="dxa"/>
            <w:vAlign w:val="bottom"/>
          </w:tcPr>
          <w:p>
            <w:pPr>
              <w:ind w:left="3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Statement of Operations</w:t>
              </w:r>
            </w:hyperlink>
          </w:p>
        </w:tc>
        <w:tc>
          <w:tcPr>
            <w:tcW w:w="1120" w:type="dxa"/>
            <w:vAlign w:val="bottom"/>
          </w:tcPr>
          <w:p>
            <w:pPr>
              <w:jc w:val="center"/>
              <w:spacing w:after="0"/>
              <w:rPr>
                <w:rFonts w:ascii="Arial" w:cs="Arial" w:eastAsia="Arial" w:hAnsi="Arial"/>
                <w:sz w:val="18"/>
                <w:szCs w:val="18"/>
                <w:u w:val="single" w:color="auto"/>
                <w:color w:val="0000EE"/>
                <w:w w:val="79"/>
              </w:rPr>
            </w:pPr>
            <w:hyperlink w:anchor="page4">
              <w:r>
                <w:rPr>
                  <w:rFonts w:ascii="Arial" w:cs="Arial" w:eastAsia="Arial" w:hAnsi="Arial"/>
                  <w:sz w:val="18"/>
                  <w:szCs w:val="18"/>
                  <w:u w:val="single" w:color="auto"/>
                  <w:color w:val="0000EE"/>
                  <w:w w:val="79"/>
                </w:rPr>
                <w:t>2</w:t>
              </w:r>
            </w:hyperlink>
          </w:p>
        </w:tc>
      </w:tr>
      <w:tr>
        <w:trPr>
          <w:trHeight w:val="216"/>
        </w:trPr>
        <w:tc>
          <w:tcPr>
            <w:tcW w:w="10120" w:type="dxa"/>
            <w:vAlign w:val="bottom"/>
            <w:shd w:val="clear" w:color="auto" w:fill="CCEEFF"/>
          </w:tcPr>
          <w:p>
            <w:pPr>
              <w:ind w:left="3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Statement of Changes in Stockholders’ Equity</w:t>
              </w:r>
            </w:hyperlink>
          </w:p>
        </w:tc>
        <w:tc>
          <w:tcPr>
            <w:tcW w:w="1120" w:type="dxa"/>
            <w:vAlign w:val="bottom"/>
            <w:shd w:val="clear" w:color="auto" w:fill="CCEEFF"/>
          </w:tcPr>
          <w:p>
            <w:pPr>
              <w:jc w:val="center"/>
              <w:spacing w:after="0"/>
              <w:rPr>
                <w:rFonts w:ascii="Arial" w:cs="Arial" w:eastAsia="Arial" w:hAnsi="Arial"/>
                <w:sz w:val="18"/>
                <w:szCs w:val="18"/>
                <w:u w:val="single" w:color="auto"/>
                <w:color w:val="0000EE"/>
                <w:w w:val="79"/>
              </w:rPr>
            </w:pPr>
            <w:hyperlink w:anchor="page5">
              <w:r>
                <w:rPr>
                  <w:rFonts w:ascii="Arial" w:cs="Arial" w:eastAsia="Arial" w:hAnsi="Arial"/>
                  <w:sz w:val="18"/>
                  <w:szCs w:val="18"/>
                  <w:u w:val="single" w:color="auto"/>
                  <w:color w:val="0000EE"/>
                  <w:w w:val="79"/>
                </w:rPr>
                <w:t>3</w:t>
              </w:r>
            </w:hyperlink>
          </w:p>
        </w:tc>
      </w:tr>
      <w:tr>
        <w:trPr>
          <w:trHeight w:val="216"/>
        </w:trPr>
        <w:tc>
          <w:tcPr>
            <w:tcW w:w="10120" w:type="dxa"/>
            <w:vAlign w:val="bottom"/>
          </w:tcPr>
          <w:p>
            <w:pPr>
              <w:ind w:left="3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Statement of Cash Flows</w:t>
              </w:r>
            </w:hyperlink>
          </w:p>
        </w:tc>
        <w:tc>
          <w:tcPr>
            <w:tcW w:w="1120" w:type="dxa"/>
            <w:vAlign w:val="bottom"/>
          </w:tcPr>
          <w:p>
            <w:pPr>
              <w:jc w:val="center"/>
              <w:spacing w:after="0"/>
              <w:rPr>
                <w:rFonts w:ascii="Arial" w:cs="Arial" w:eastAsia="Arial" w:hAnsi="Arial"/>
                <w:sz w:val="18"/>
                <w:szCs w:val="18"/>
                <w:u w:val="single" w:color="auto"/>
                <w:color w:val="0000EE"/>
                <w:w w:val="79"/>
              </w:rPr>
            </w:pPr>
            <w:hyperlink w:anchor="page6">
              <w:r>
                <w:rPr>
                  <w:rFonts w:ascii="Arial" w:cs="Arial" w:eastAsia="Arial" w:hAnsi="Arial"/>
                  <w:sz w:val="18"/>
                  <w:szCs w:val="18"/>
                  <w:u w:val="single" w:color="auto"/>
                  <w:color w:val="0000EE"/>
                  <w:w w:val="79"/>
                </w:rPr>
                <w:t>4</w:t>
              </w:r>
            </w:hyperlink>
          </w:p>
        </w:tc>
      </w:tr>
      <w:tr>
        <w:trPr>
          <w:trHeight w:val="216"/>
        </w:trPr>
        <w:tc>
          <w:tcPr>
            <w:tcW w:w="10120" w:type="dxa"/>
            <w:vAlign w:val="bottom"/>
            <w:shd w:val="clear" w:color="auto" w:fill="CCEEFF"/>
          </w:tcPr>
          <w:p>
            <w:pPr>
              <w:ind w:left="3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Unaudited Condensed Financial Statements</w:t>
              </w:r>
            </w:hyperlink>
          </w:p>
        </w:tc>
        <w:tc>
          <w:tcPr>
            <w:tcW w:w="1120" w:type="dxa"/>
            <w:vAlign w:val="bottom"/>
            <w:shd w:val="clear" w:color="auto" w:fill="CCEEFF"/>
          </w:tcPr>
          <w:p>
            <w:pPr>
              <w:jc w:val="center"/>
              <w:spacing w:after="0"/>
              <w:rPr>
                <w:rFonts w:ascii="Arial" w:cs="Arial" w:eastAsia="Arial" w:hAnsi="Arial"/>
                <w:sz w:val="18"/>
                <w:szCs w:val="18"/>
                <w:u w:val="single" w:color="auto"/>
                <w:color w:val="0000EE"/>
                <w:w w:val="79"/>
              </w:rPr>
            </w:pPr>
            <w:hyperlink w:anchor="page7">
              <w:r>
                <w:rPr>
                  <w:rFonts w:ascii="Arial" w:cs="Arial" w:eastAsia="Arial" w:hAnsi="Arial"/>
                  <w:sz w:val="18"/>
                  <w:szCs w:val="18"/>
                  <w:u w:val="single" w:color="auto"/>
                  <w:color w:val="0000EE"/>
                  <w:w w:val="79"/>
                </w:rPr>
                <w:t>5</w:t>
              </w:r>
            </w:hyperlink>
          </w:p>
        </w:tc>
      </w:tr>
      <w:tr>
        <w:trPr>
          <w:trHeight w:val="216"/>
        </w:trPr>
        <w:tc>
          <w:tcPr>
            <w:tcW w:w="10120" w:type="dxa"/>
            <w:vAlign w:val="bottom"/>
          </w:tcPr>
          <w:p>
            <w:pPr>
              <w:ind w:left="18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Item 2. Management’s Discussion and Analysis of Financial Condition and Results of Operations</w:t>
              </w:r>
            </w:hyperlink>
          </w:p>
        </w:tc>
        <w:tc>
          <w:tcPr>
            <w:tcW w:w="1120" w:type="dxa"/>
            <w:vAlign w:val="bottom"/>
          </w:tcPr>
          <w:p>
            <w:pPr>
              <w:jc w:val="center"/>
              <w:spacing w:after="0"/>
              <w:rPr>
                <w:rFonts w:ascii="Arial" w:cs="Arial" w:eastAsia="Arial" w:hAnsi="Arial"/>
                <w:sz w:val="18"/>
                <w:szCs w:val="18"/>
                <w:u w:val="single" w:color="auto"/>
                <w:color w:val="0000EE"/>
                <w:w w:val="89"/>
              </w:rPr>
            </w:pPr>
            <w:hyperlink w:anchor="page17">
              <w:r>
                <w:rPr>
                  <w:rFonts w:ascii="Arial" w:cs="Arial" w:eastAsia="Arial" w:hAnsi="Arial"/>
                  <w:sz w:val="18"/>
                  <w:szCs w:val="18"/>
                  <w:u w:val="single" w:color="auto"/>
                  <w:color w:val="0000EE"/>
                  <w:w w:val="89"/>
                </w:rPr>
                <w:t>14</w:t>
              </w:r>
            </w:hyperlink>
          </w:p>
        </w:tc>
      </w:tr>
      <w:tr>
        <w:trPr>
          <w:trHeight w:val="216"/>
        </w:trPr>
        <w:tc>
          <w:tcPr>
            <w:tcW w:w="10120" w:type="dxa"/>
            <w:vAlign w:val="bottom"/>
            <w:shd w:val="clear" w:color="auto" w:fill="CCEEFF"/>
          </w:tcPr>
          <w:p>
            <w:pPr>
              <w:ind w:left="18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3. Quantitative and Qualitative Disclosures Regarding Market Risk</w:t>
              </w:r>
            </w:hyperlink>
          </w:p>
        </w:tc>
        <w:tc>
          <w:tcPr>
            <w:tcW w:w="112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20">
              <w:r>
                <w:rPr>
                  <w:rFonts w:ascii="Arial" w:cs="Arial" w:eastAsia="Arial" w:hAnsi="Arial"/>
                  <w:sz w:val="18"/>
                  <w:szCs w:val="18"/>
                  <w:u w:val="single" w:color="auto"/>
                  <w:color w:val="0000EE"/>
                  <w:w w:val="89"/>
                </w:rPr>
                <w:t>17</w:t>
              </w:r>
            </w:hyperlink>
          </w:p>
        </w:tc>
      </w:tr>
      <w:tr>
        <w:trPr>
          <w:trHeight w:val="216"/>
        </w:trPr>
        <w:tc>
          <w:tcPr>
            <w:tcW w:w="10120" w:type="dxa"/>
            <w:vAlign w:val="bottom"/>
          </w:tcPr>
          <w:p>
            <w:pPr>
              <w:ind w:left="18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4. Controls and Procedures</w:t>
              </w:r>
            </w:hyperlink>
          </w:p>
        </w:tc>
        <w:tc>
          <w:tcPr>
            <w:tcW w:w="1120" w:type="dxa"/>
            <w:vAlign w:val="bottom"/>
          </w:tcPr>
          <w:p>
            <w:pPr>
              <w:jc w:val="center"/>
              <w:spacing w:after="0"/>
              <w:rPr>
                <w:rFonts w:ascii="Arial" w:cs="Arial" w:eastAsia="Arial" w:hAnsi="Arial"/>
                <w:sz w:val="18"/>
                <w:szCs w:val="18"/>
                <w:u w:val="single" w:color="auto"/>
                <w:color w:val="0000EE"/>
                <w:w w:val="89"/>
              </w:rPr>
            </w:pPr>
            <w:hyperlink w:anchor="page20">
              <w:r>
                <w:rPr>
                  <w:rFonts w:ascii="Arial" w:cs="Arial" w:eastAsia="Arial" w:hAnsi="Arial"/>
                  <w:sz w:val="18"/>
                  <w:szCs w:val="18"/>
                  <w:u w:val="single" w:color="auto"/>
                  <w:color w:val="0000EE"/>
                  <w:w w:val="89"/>
                </w:rPr>
                <w:t>17</w:t>
              </w:r>
            </w:hyperlink>
          </w:p>
        </w:tc>
      </w:tr>
      <w:tr>
        <w:trPr>
          <w:trHeight w:val="216"/>
        </w:trPr>
        <w:tc>
          <w:tcPr>
            <w:tcW w:w="10120" w:type="dxa"/>
            <w:vAlign w:val="bottom"/>
            <w:shd w:val="clear" w:color="auto" w:fill="CCEEFF"/>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Part II. Other Information</w:t>
              </w:r>
            </w:hyperlink>
          </w:p>
        </w:tc>
        <w:tc>
          <w:tcPr>
            <w:tcW w:w="1120" w:type="dxa"/>
            <w:vAlign w:val="bottom"/>
            <w:shd w:val="clear" w:color="auto" w:fill="CCEEFF"/>
          </w:tcPr>
          <w:p>
            <w:pPr>
              <w:spacing w:after="0"/>
              <w:rPr>
                <w:sz w:val="18"/>
                <w:szCs w:val="18"/>
                <w:color w:val="auto"/>
              </w:rPr>
            </w:pPr>
          </w:p>
        </w:tc>
      </w:tr>
      <w:tr>
        <w:trPr>
          <w:trHeight w:val="216"/>
        </w:trPr>
        <w:tc>
          <w:tcPr>
            <w:tcW w:w="10120" w:type="dxa"/>
            <w:vAlign w:val="bottom"/>
          </w:tcPr>
          <w:p>
            <w:pPr>
              <w:ind w:left="18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1. Legal Proceedings</w:t>
              </w:r>
            </w:hyperlink>
          </w:p>
        </w:tc>
        <w:tc>
          <w:tcPr>
            <w:tcW w:w="1120" w:type="dxa"/>
            <w:vAlign w:val="bottom"/>
          </w:tcPr>
          <w:p>
            <w:pPr>
              <w:jc w:val="center"/>
              <w:spacing w:after="0"/>
              <w:rPr>
                <w:rFonts w:ascii="Arial" w:cs="Arial" w:eastAsia="Arial" w:hAnsi="Arial"/>
                <w:sz w:val="18"/>
                <w:szCs w:val="18"/>
                <w:u w:val="single" w:color="auto"/>
                <w:color w:val="0000EE"/>
                <w:w w:val="89"/>
              </w:rPr>
            </w:pPr>
            <w:hyperlink w:anchor="page20">
              <w:r>
                <w:rPr>
                  <w:rFonts w:ascii="Arial" w:cs="Arial" w:eastAsia="Arial" w:hAnsi="Arial"/>
                  <w:sz w:val="18"/>
                  <w:szCs w:val="18"/>
                  <w:u w:val="single" w:color="auto"/>
                  <w:color w:val="0000EE"/>
                  <w:w w:val="89"/>
                </w:rPr>
                <w:t>17</w:t>
              </w:r>
            </w:hyperlink>
          </w:p>
        </w:tc>
      </w:tr>
      <w:tr>
        <w:trPr>
          <w:trHeight w:val="216"/>
        </w:trPr>
        <w:tc>
          <w:tcPr>
            <w:tcW w:w="10120" w:type="dxa"/>
            <w:vAlign w:val="bottom"/>
            <w:shd w:val="clear" w:color="auto" w:fill="CCEEFF"/>
          </w:tcPr>
          <w:p>
            <w:pPr>
              <w:ind w:left="18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1A. Risk Factors</w:t>
              </w:r>
            </w:hyperlink>
          </w:p>
        </w:tc>
        <w:tc>
          <w:tcPr>
            <w:tcW w:w="112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20">
              <w:r>
                <w:rPr>
                  <w:rFonts w:ascii="Arial" w:cs="Arial" w:eastAsia="Arial" w:hAnsi="Arial"/>
                  <w:sz w:val="18"/>
                  <w:szCs w:val="18"/>
                  <w:u w:val="single" w:color="auto"/>
                  <w:color w:val="0000EE"/>
                  <w:w w:val="89"/>
                </w:rPr>
                <w:t>17</w:t>
              </w:r>
            </w:hyperlink>
          </w:p>
        </w:tc>
      </w:tr>
      <w:tr>
        <w:trPr>
          <w:trHeight w:val="216"/>
        </w:trPr>
        <w:tc>
          <w:tcPr>
            <w:tcW w:w="10120" w:type="dxa"/>
            <w:vAlign w:val="bottom"/>
          </w:tcPr>
          <w:p>
            <w:pPr>
              <w:ind w:left="18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Item 2. Unregistered Sales of Equity Securities and Use of Proceeds</w:t>
              </w:r>
            </w:hyperlink>
          </w:p>
        </w:tc>
        <w:tc>
          <w:tcPr>
            <w:tcW w:w="1120" w:type="dxa"/>
            <w:vAlign w:val="bottom"/>
          </w:tcPr>
          <w:p>
            <w:pPr>
              <w:jc w:val="center"/>
              <w:spacing w:after="0"/>
              <w:rPr>
                <w:rFonts w:ascii="Arial" w:cs="Arial" w:eastAsia="Arial" w:hAnsi="Arial"/>
                <w:sz w:val="18"/>
                <w:szCs w:val="18"/>
                <w:u w:val="single" w:color="auto"/>
                <w:color w:val="0000EE"/>
                <w:w w:val="89"/>
              </w:rPr>
            </w:pPr>
            <w:hyperlink w:anchor="page21">
              <w:r>
                <w:rPr>
                  <w:rFonts w:ascii="Arial" w:cs="Arial" w:eastAsia="Arial" w:hAnsi="Arial"/>
                  <w:sz w:val="18"/>
                  <w:szCs w:val="18"/>
                  <w:u w:val="single" w:color="auto"/>
                  <w:color w:val="0000EE"/>
                  <w:w w:val="89"/>
                </w:rPr>
                <w:t>18</w:t>
              </w:r>
            </w:hyperlink>
          </w:p>
        </w:tc>
      </w:tr>
      <w:tr>
        <w:trPr>
          <w:trHeight w:val="216"/>
        </w:trPr>
        <w:tc>
          <w:tcPr>
            <w:tcW w:w="10120" w:type="dxa"/>
            <w:vAlign w:val="bottom"/>
            <w:shd w:val="clear" w:color="auto" w:fill="CCEEFF"/>
          </w:tcPr>
          <w:p>
            <w:pPr>
              <w:ind w:left="18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Item 3. Defaults Upon Senior Securities</w:t>
              </w:r>
            </w:hyperlink>
          </w:p>
        </w:tc>
        <w:tc>
          <w:tcPr>
            <w:tcW w:w="112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21">
              <w:r>
                <w:rPr>
                  <w:rFonts w:ascii="Arial" w:cs="Arial" w:eastAsia="Arial" w:hAnsi="Arial"/>
                  <w:sz w:val="18"/>
                  <w:szCs w:val="18"/>
                  <w:u w:val="single" w:color="auto"/>
                  <w:color w:val="0000EE"/>
                  <w:w w:val="89"/>
                </w:rPr>
                <w:t>18</w:t>
              </w:r>
            </w:hyperlink>
          </w:p>
        </w:tc>
      </w:tr>
      <w:tr>
        <w:trPr>
          <w:trHeight w:val="216"/>
        </w:trPr>
        <w:tc>
          <w:tcPr>
            <w:tcW w:w="10120" w:type="dxa"/>
            <w:vAlign w:val="bottom"/>
          </w:tcPr>
          <w:p>
            <w:pPr>
              <w:ind w:left="18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Item 4. Mine Safety Disclosures</w:t>
              </w:r>
            </w:hyperlink>
          </w:p>
        </w:tc>
        <w:tc>
          <w:tcPr>
            <w:tcW w:w="1120" w:type="dxa"/>
            <w:vAlign w:val="bottom"/>
          </w:tcPr>
          <w:p>
            <w:pPr>
              <w:jc w:val="center"/>
              <w:spacing w:after="0"/>
              <w:rPr>
                <w:rFonts w:ascii="Arial" w:cs="Arial" w:eastAsia="Arial" w:hAnsi="Arial"/>
                <w:sz w:val="18"/>
                <w:szCs w:val="18"/>
                <w:u w:val="single" w:color="auto"/>
                <w:color w:val="0000EE"/>
                <w:w w:val="89"/>
              </w:rPr>
            </w:pPr>
            <w:hyperlink w:anchor="page21">
              <w:r>
                <w:rPr>
                  <w:rFonts w:ascii="Arial" w:cs="Arial" w:eastAsia="Arial" w:hAnsi="Arial"/>
                  <w:sz w:val="18"/>
                  <w:szCs w:val="18"/>
                  <w:u w:val="single" w:color="auto"/>
                  <w:color w:val="0000EE"/>
                  <w:w w:val="89"/>
                </w:rPr>
                <w:t>18</w:t>
              </w:r>
            </w:hyperlink>
          </w:p>
        </w:tc>
      </w:tr>
      <w:tr>
        <w:trPr>
          <w:trHeight w:val="216"/>
        </w:trPr>
        <w:tc>
          <w:tcPr>
            <w:tcW w:w="10120" w:type="dxa"/>
            <w:vAlign w:val="bottom"/>
            <w:shd w:val="clear" w:color="auto" w:fill="CCEEFF"/>
          </w:tcPr>
          <w:p>
            <w:pPr>
              <w:ind w:left="18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Item 5. Other Information</w:t>
              </w:r>
            </w:hyperlink>
          </w:p>
        </w:tc>
        <w:tc>
          <w:tcPr>
            <w:tcW w:w="112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21">
              <w:r>
                <w:rPr>
                  <w:rFonts w:ascii="Arial" w:cs="Arial" w:eastAsia="Arial" w:hAnsi="Arial"/>
                  <w:sz w:val="18"/>
                  <w:szCs w:val="18"/>
                  <w:u w:val="single" w:color="auto"/>
                  <w:color w:val="0000EE"/>
                  <w:w w:val="89"/>
                </w:rPr>
                <w:t>18</w:t>
              </w:r>
            </w:hyperlink>
          </w:p>
        </w:tc>
      </w:tr>
      <w:tr>
        <w:trPr>
          <w:trHeight w:val="216"/>
        </w:trPr>
        <w:tc>
          <w:tcPr>
            <w:tcW w:w="10120" w:type="dxa"/>
            <w:vAlign w:val="bottom"/>
          </w:tcPr>
          <w:p>
            <w:pPr>
              <w:ind w:left="18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Item 6. Exhibits</w:t>
              </w:r>
            </w:hyperlink>
          </w:p>
        </w:tc>
        <w:tc>
          <w:tcPr>
            <w:tcW w:w="1120" w:type="dxa"/>
            <w:vAlign w:val="bottom"/>
          </w:tcPr>
          <w:p>
            <w:pPr>
              <w:jc w:val="center"/>
              <w:spacing w:after="0"/>
              <w:rPr>
                <w:rFonts w:ascii="Arial" w:cs="Arial" w:eastAsia="Arial" w:hAnsi="Arial"/>
                <w:sz w:val="18"/>
                <w:szCs w:val="18"/>
                <w:u w:val="single" w:color="auto"/>
                <w:color w:val="0000EE"/>
                <w:w w:val="89"/>
              </w:rPr>
            </w:pPr>
            <w:hyperlink w:anchor="page22">
              <w:r>
                <w:rPr>
                  <w:rFonts w:ascii="Arial" w:cs="Arial" w:eastAsia="Arial" w:hAnsi="Arial"/>
                  <w:sz w:val="18"/>
                  <w:szCs w:val="18"/>
                  <w:u w:val="single" w:color="auto"/>
                  <w:color w:val="0000EE"/>
                  <w:w w:val="89"/>
                </w:rPr>
                <w:t>19</w:t>
              </w:r>
            </w:hyperlink>
          </w:p>
        </w:tc>
      </w:tr>
      <w:tr>
        <w:trPr>
          <w:trHeight w:val="216"/>
        </w:trPr>
        <w:tc>
          <w:tcPr>
            <w:tcW w:w="10120" w:type="dxa"/>
            <w:vAlign w:val="bottom"/>
            <w:shd w:val="clear" w:color="auto" w:fill="CCEEFF"/>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Part III. Signatures</w:t>
              </w:r>
            </w:hyperlink>
          </w:p>
        </w:tc>
        <w:tc>
          <w:tcPr>
            <w:tcW w:w="112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23">
              <w:r>
                <w:rPr>
                  <w:rFonts w:ascii="Arial" w:cs="Arial" w:eastAsia="Arial" w:hAnsi="Arial"/>
                  <w:sz w:val="18"/>
                  <w:szCs w:val="18"/>
                  <w:u w:val="single" w:color="auto"/>
                  <w:color w:val="0000EE"/>
                  <w:w w:val="89"/>
                </w:rPr>
                <w:t>20</w:t>
              </w:r>
            </w:hyperlink>
          </w:p>
        </w:tc>
      </w:tr>
      <w:tr>
        <w:trPr>
          <w:trHeight w:val="432"/>
        </w:trPr>
        <w:tc>
          <w:tcPr>
            <w:tcW w:w="10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right"/>
        <w:ind w:right="200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Interim Financial Statements.</w:t>
      </w:r>
    </w:p>
    <w:p>
      <w:pPr>
        <w:spacing w:after="0" w:line="225" w:lineRule="exact"/>
        <w:rPr>
          <w:sz w:val="20"/>
          <w:szCs w:val="20"/>
          <w:color w:val="auto"/>
        </w:rPr>
      </w:pPr>
    </w:p>
    <w:p>
      <w:pPr>
        <w:jc w:val="center"/>
        <w:ind w:left="2020"/>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ind w:left="2020"/>
        <w:spacing w:after="0"/>
        <w:rPr>
          <w:sz w:val="20"/>
          <w:szCs w:val="20"/>
          <w:color w:val="auto"/>
        </w:rPr>
      </w:pPr>
      <w:r>
        <w:rPr>
          <w:rFonts w:ascii="Arial" w:cs="Arial" w:eastAsia="Arial" w:hAnsi="Arial"/>
          <w:sz w:val="18"/>
          <w:szCs w:val="18"/>
          <w:b w:val="1"/>
          <w:bCs w:val="1"/>
          <w:color w:val="auto"/>
        </w:rPr>
        <w:t>CONDENSED BALANCE SHEET</w:t>
      </w:r>
    </w:p>
    <w:p>
      <w:pPr>
        <w:spacing w:after="0" w:line="9" w:lineRule="exact"/>
        <w:rPr>
          <w:sz w:val="20"/>
          <w:szCs w:val="20"/>
          <w:color w:val="auto"/>
        </w:rPr>
      </w:pPr>
    </w:p>
    <w:p>
      <w:pPr>
        <w:jc w:val="center"/>
        <w:ind w:left="2020"/>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ind w:left="206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Cash</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Prepaid expenses</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Marketable securities held in Trust Account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20" w:hanging="517"/>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4,218,387</w:t>
      </w:r>
    </w:p>
    <w:p>
      <w:pPr>
        <w:spacing w:after="0" w:line="46"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6"/>
          <w:szCs w:val="16"/>
          <w:color w:val="auto"/>
        </w:rPr>
        <w:t>1,091,634</w:t>
      </w:r>
    </w:p>
    <w:p>
      <w:pPr>
        <w:spacing w:after="0" w:line="45"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6"/>
          <w:szCs w:val="16"/>
          <w:color w:val="auto"/>
        </w:rPr>
        <w:t>5,310,021</w:t>
      </w:r>
    </w:p>
    <w:p>
      <w:pPr>
        <w:spacing w:after="0" w:line="247" w:lineRule="exact"/>
        <w:rPr>
          <w:sz w:val="20"/>
          <w:szCs w:val="20"/>
          <w:color w:val="auto"/>
        </w:rPr>
      </w:pPr>
    </w:p>
    <w:p>
      <w:pPr>
        <w:ind w:left="820"/>
        <w:spacing w:after="0"/>
        <w:rPr>
          <w:sz w:val="20"/>
          <w:szCs w:val="20"/>
          <w:color w:val="auto"/>
        </w:rPr>
      </w:pPr>
      <w:r>
        <w:rPr>
          <w:rFonts w:ascii="Arial" w:cs="Arial" w:eastAsia="Arial" w:hAnsi="Arial"/>
          <w:sz w:val="16"/>
          <w:szCs w:val="16"/>
          <w:color w:val="auto"/>
        </w:rPr>
        <w:t>9,030</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2,070,167,783</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$ 2,075,486,834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39370</wp:posOffset>
            </wp:positionV>
            <wp:extent cx="7797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80" w:space="720"/>
            <w:col w:w="1340"/>
          </w:cols>
          <w:pgMar w:left="320" w:top="904" w:right="339" w:bottom="1440" w:gutter="0" w:footer="0" w:header="0"/>
        </w:sectPr>
      </w:pP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Current liabilities – accrued expenses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33,333</w:t>
            </w:r>
          </w:p>
        </w:tc>
      </w:tr>
      <w:tr>
        <w:trPr>
          <w:trHeight w:val="230"/>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Deferred underwriting fee payable</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72,450,000</w:t>
            </w:r>
          </w:p>
        </w:tc>
      </w:tr>
      <w:tr>
        <w:trPr>
          <w:trHeight w:val="209"/>
        </w:trPr>
        <w:tc>
          <w:tcPr>
            <w:tcW w:w="9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72,483,333</w:t>
            </w:r>
          </w:p>
        </w:tc>
        <w:tc>
          <w:tcPr>
            <w:tcW w:w="100" w:type="dxa"/>
            <w:vAlign w:val="bottom"/>
            <w:tcBorders>
              <w:bottom w:val="single" w:sz="8" w:color="CCEEFF"/>
            </w:tcBorders>
          </w:tcPr>
          <w:p>
            <w:pPr>
              <w:spacing w:after="0"/>
              <w:rPr>
                <w:sz w:val="18"/>
                <w:szCs w:val="18"/>
                <w:color w:val="auto"/>
              </w:rPr>
            </w:pPr>
          </w:p>
        </w:tc>
      </w:tr>
      <w:tr>
        <w:trPr>
          <w:trHeight w:val="209"/>
        </w:trPr>
        <w:tc>
          <w:tcPr>
            <w:tcW w:w="9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Commitments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Class A common stock subject to possible redemption, 199,787,373 shares at redemption value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1,998,003,495</w:t>
            </w:r>
          </w:p>
        </w:tc>
      </w:tr>
      <w:tr>
        <w:trPr>
          <w:trHeight w:val="216"/>
        </w:trPr>
        <w:tc>
          <w:tcPr>
            <w:tcW w:w="9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$0.0001 par value; 1,000,000 shares authorized; none issued and outstanding</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9760" w:type="dxa"/>
            <w:vAlign w:val="bottom"/>
          </w:tcPr>
          <w:p>
            <w:pPr>
              <w:spacing w:after="0" w:line="201" w:lineRule="exact"/>
              <w:rPr>
                <w:sz w:val="20"/>
                <w:szCs w:val="20"/>
                <w:color w:val="auto"/>
              </w:rPr>
            </w:pPr>
            <w:r>
              <w:rPr>
                <w:rFonts w:ascii="Arial" w:cs="Arial" w:eastAsia="Arial" w:hAnsi="Arial"/>
                <w:sz w:val="18"/>
                <w:szCs w:val="18"/>
                <w:color w:val="auto"/>
                <w:w w:val="91"/>
              </w:rPr>
              <w:t>Class A common stock, $0.0001 par value; 400,000,000 shares authorized; 7,212,627 issued and outstanding (excluding 199,787,373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9760" w:type="dxa"/>
            <w:vAlign w:val="bottom"/>
          </w:tcPr>
          <w:p>
            <w:pPr>
              <w:ind w:left="180"/>
              <w:spacing w:after="0"/>
              <w:rPr>
                <w:sz w:val="20"/>
                <w:szCs w:val="20"/>
                <w:color w:val="auto"/>
              </w:rPr>
            </w:pPr>
            <w:r>
              <w:rPr>
                <w:rFonts w:ascii="Arial" w:cs="Arial" w:eastAsia="Arial" w:hAnsi="Arial"/>
                <w:sz w:val="18"/>
                <w:szCs w:val="18"/>
                <w:color w:val="auto"/>
              </w:rPr>
              <w:t>shares subject to possible redemption)</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721</w:t>
            </w: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Class B common stock, $0.0001 par value; 100,000,000 shares authorized; 51,750,000 shares issued and outstanding</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5,175</w:t>
            </w: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5,150,724</w:t>
            </w:r>
          </w:p>
        </w:tc>
      </w:tr>
      <w:tr>
        <w:trPr>
          <w:trHeight w:val="229"/>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(156,614)</w:t>
            </w:r>
          </w:p>
        </w:tc>
      </w:tr>
      <w:tr>
        <w:trPr>
          <w:trHeight w:val="210"/>
        </w:trPr>
        <w:tc>
          <w:tcPr>
            <w:tcW w:w="9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5,000,006</w:t>
            </w:r>
          </w:p>
        </w:tc>
        <w:tc>
          <w:tcPr>
            <w:tcW w:w="100" w:type="dxa"/>
            <w:vAlign w:val="bottom"/>
            <w:tcBorders>
              <w:bottom w:val="single" w:sz="8" w:color="CCEEFF"/>
            </w:tcBorders>
          </w:tcPr>
          <w:p>
            <w:pPr>
              <w:spacing w:after="0"/>
              <w:rPr>
                <w:sz w:val="18"/>
                <w:szCs w:val="18"/>
                <w:color w:val="auto"/>
              </w:rPr>
            </w:pPr>
          </w:p>
        </w:tc>
      </w:tr>
      <w:tr>
        <w:trPr>
          <w:trHeight w:val="223"/>
        </w:trPr>
        <w:tc>
          <w:tcPr>
            <w:tcW w:w="9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2,075,486,834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9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3" w:name="page4"/>
    <w:bookmarkEnd w:id="3"/>
    <w:p>
      <w:pPr>
        <w:jc w:val="center"/>
        <w:ind w:left="3480"/>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ind w:left="3480"/>
        <w:spacing w:after="0"/>
        <w:rPr>
          <w:sz w:val="20"/>
          <w:szCs w:val="20"/>
          <w:color w:val="auto"/>
        </w:rPr>
      </w:pPr>
      <w:r>
        <w:rPr>
          <w:rFonts w:ascii="Arial" w:cs="Arial" w:eastAsia="Arial" w:hAnsi="Arial"/>
          <w:sz w:val="17"/>
          <w:szCs w:val="17"/>
          <w:b w:val="1"/>
          <w:bCs w:val="1"/>
          <w:color w:val="auto"/>
        </w:rPr>
        <w:t>CONDENSED STATEMENT OF OPERATIONS</w:t>
      </w:r>
    </w:p>
    <w:p>
      <w:pPr>
        <w:spacing w:after="0" w:line="21" w:lineRule="exact"/>
        <w:rPr>
          <w:sz w:val="20"/>
          <w:szCs w:val="20"/>
          <w:color w:val="auto"/>
        </w:rPr>
      </w:pPr>
    </w:p>
    <w:p>
      <w:pPr>
        <w:jc w:val="center"/>
        <w:ind w:left="35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Formation and operating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earned on marketable securities held in Trust Account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Unrealized loss on marketable securities held in Trust Account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Loss before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Benefit from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4"/>
          </w:tcPr>
          <w:p>
            <w:pPr>
              <w:jc w:val="center"/>
              <w:ind w:right="21"/>
              <w:spacing w:after="0"/>
              <w:rPr>
                <w:sz w:val="20"/>
                <w:szCs w:val="20"/>
                <w:color w:val="auto"/>
              </w:rPr>
            </w:pPr>
            <w:r>
              <w:rPr>
                <w:rFonts w:ascii="Arial" w:cs="Arial" w:eastAsia="Arial" w:hAnsi="Arial"/>
                <w:sz w:val="18"/>
                <w:szCs w:val="18"/>
                <w:b w:val="1"/>
                <w:bCs w:val="1"/>
                <w:color w:val="auto"/>
                <w:w w:val="91"/>
              </w:rPr>
              <w:t>For the Period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4"/>
          </w:tcPr>
          <w:p>
            <w:pPr>
              <w:jc w:val="center"/>
              <w:ind w:right="41"/>
              <w:spacing w:after="0"/>
              <w:rPr>
                <w:sz w:val="20"/>
                <w:szCs w:val="20"/>
                <w:color w:val="auto"/>
              </w:rPr>
            </w:pPr>
            <w:r>
              <w:rPr>
                <w:rFonts w:ascii="Arial" w:cs="Arial" w:eastAsia="Arial" w:hAnsi="Arial"/>
                <w:sz w:val="18"/>
                <w:szCs w:val="18"/>
                <w:b w:val="1"/>
                <w:bCs w:val="1"/>
                <w:color w:val="auto"/>
                <w:w w:val="94"/>
              </w:rPr>
              <w:t>from April 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gridSpan w:val="3"/>
          </w:tcPr>
          <w:p>
            <w:pPr>
              <w:jc w:val="center"/>
              <w:ind w:right="61"/>
              <w:spacing w:after="0"/>
              <w:rPr>
                <w:sz w:val="20"/>
                <w:szCs w:val="20"/>
                <w:color w:val="auto"/>
              </w:rPr>
            </w:pPr>
            <w:r>
              <w:rPr>
                <w:rFonts w:ascii="Arial" w:cs="Arial" w:eastAsia="Arial" w:hAnsi="Arial"/>
                <w:sz w:val="18"/>
                <w:szCs w:val="18"/>
                <w:b w:val="1"/>
                <w:bCs w:val="1"/>
                <w:color w:val="auto"/>
                <w:w w:val="93"/>
              </w:rPr>
              <w:t>Three Months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center"/>
              <w:ind w:right="161"/>
              <w:spacing w:after="0"/>
              <w:rPr>
                <w:sz w:val="20"/>
                <w:szCs w:val="20"/>
                <w:color w:val="auto"/>
              </w:rPr>
            </w:pPr>
            <w:r>
              <w:rPr>
                <w:rFonts w:ascii="Arial" w:cs="Arial" w:eastAsia="Arial" w:hAnsi="Arial"/>
                <w:sz w:val="18"/>
                <w:szCs w:val="18"/>
                <w:b w:val="1"/>
                <w:bCs w:val="1"/>
                <w:color w:val="auto"/>
                <w:w w:val="91"/>
              </w:rPr>
              <w:t>(Inception)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center"/>
              <w:ind w:right="161"/>
              <w:spacing w:after="0"/>
              <w:rPr>
                <w:sz w:val="20"/>
                <w:szCs w:val="20"/>
                <w:color w:val="auto"/>
              </w:rPr>
            </w:pPr>
            <w:r>
              <w:rPr>
                <w:rFonts w:ascii="Arial" w:cs="Arial" w:eastAsia="Arial" w:hAnsi="Arial"/>
                <w:sz w:val="18"/>
                <w:szCs w:val="18"/>
                <w:b w:val="1"/>
                <w:bCs w:val="1"/>
                <w:color w:val="auto"/>
                <w:w w:val="93"/>
              </w:rPr>
              <w:t>Through</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360" w:type="dxa"/>
            <w:vAlign w:val="bottom"/>
            <w:gridSpan w:val="3"/>
          </w:tcPr>
          <w:p>
            <w:pPr>
              <w:jc w:val="center"/>
              <w:ind w:right="61"/>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9"/>
                <w:szCs w:val="19"/>
                <w:color w:val="auto"/>
              </w:rPr>
            </w:pPr>
          </w:p>
        </w:tc>
        <w:tc>
          <w:tcPr>
            <w:tcW w:w="1300" w:type="dxa"/>
            <w:vAlign w:val="bottom"/>
            <w:gridSpan w:val="4"/>
          </w:tcPr>
          <w:p>
            <w:pPr>
              <w:jc w:val="center"/>
              <w:ind w:right="41"/>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332,427</w:t>
            </w: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333,427</w:t>
            </w:r>
          </w:p>
        </w:tc>
        <w:tc>
          <w:tcPr>
            <w:tcW w:w="20" w:type="dxa"/>
            <w:vAlign w:val="bottom"/>
            <w:tcBorders>
              <w:bottom w:val="single" w:sz="8" w:color="auto"/>
            </w:tcBorders>
          </w:tcPr>
          <w:p>
            <w:pPr>
              <w:spacing w:after="0"/>
              <w:rPr>
                <w:sz w:val="18"/>
                <w:szCs w:val="18"/>
                <w:color w:val="auto"/>
              </w:rPr>
            </w:pP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(332,427</w:t>
            </w: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(333,427</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27"/>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210,782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210,782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1"/>
              <w:spacing w:after="0"/>
              <w:rPr>
                <w:sz w:val="20"/>
                <w:szCs w:val="20"/>
                <w:color w:val="auto"/>
              </w:rPr>
            </w:pPr>
            <w:r>
              <w:rPr>
                <w:rFonts w:ascii="Arial" w:cs="Arial" w:eastAsia="Arial" w:hAnsi="Arial"/>
                <w:sz w:val="18"/>
                <w:szCs w:val="18"/>
                <w:color w:val="auto"/>
              </w:rPr>
              <w:t>(42,999)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(42,999)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167,783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167,783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1"/>
              <w:spacing w:after="0"/>
              <w:rPr>
                <w:sz w:val="20"/>
                <w:szCs w:val="20"/>
                <w:color w:val="auto"/>
              </w:rPr>
            </w:pPr>
            <w:r>
              <w:rPr>
                <w:rFonts w:ascii="Arial" w:cs="Arial" w:eastAsia="Arial" w:hAnsi="Arial"/>
                <w:sz w:val="18"/>
                <w:szCs w:val="18"/>
                <w:color w:val="auto"/>
              </w:rPr>
              <w:t>(164,644)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(165,644)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9,030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9,030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720" w:space="720"/>
            <w:col w:w="2800"/>
          </w:cols>
          <w:pgMar w:left="320" w:top="904" w:right="339" w:bottom="1440" w:gutter="0" w:footer="0" w:header="0"/>
        </w:sectPr>
      </w:pPr>
    </w:p>
    <w:tbl>
      <w:tblPr>
        <w:tblLayout w:type="fixed"/>
        <w:tblInd w:w="0" w:type="dxa"/>
        <w:tblCellMar>
          <w:top w:w="0" w:type="dxa"/>
          <w:left w:w="0" w:type="dxa"/>
          <w:bottom w:w="0" w:type="dxa"/>
          <w:right w:w="0" w:type="dxa"/>
        </w:tblCellMar>
      </w:tblPr>
      <w:tr>
        <w:trPr>
          <w:trHeight w:val="225"/>
        </w:trPr>
        <w:tc>
          <w:tcPr>
            <w:tcW w:w="64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Loss</w:t>
            </w:r>
          </w:p>
        </w:tc>
        <w:tc>
          <w:tcPr>
            <w:tcW w:w="19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(155,614</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(156,614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64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4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83"/>
        </w:trPr>
        <w:tc>
          <w:tcPr>
            <w:tcW w:w="6460" w:type="dxa"/>
            <w:vAlign w:val="bottom"/>
            <w:shd w:val="clear" w:color="auto" w:fill="CCEEFF"/>
          </w:tcPr>
          <w:p>
            <w:pPr>
              <w:spacing w:after="0" w:line="284" w:lineRule="exact"/>
              <w:rPr>
                <w:sz w:val="20"/>
                <w:szCs w:val="20"/>
                <w:color w:val="auto"/>
              </w:rPr>
            </w:pPr>
            <w:r>
              <w:rPr>
                <w:rFonts w:ascii="Arial" w:cs="Arial" w:eastAsia="Arial" w:hAnsi="Arial"/>
                <w:sz w:val="18"/>
                <w:szCs w:val="18"/>
                <w:b w:val="1"/>
                <w:bCs w:val="1"/>
                <w:color w:val="auto"/>
              </w:rPr>
              <w:t xml:space="preserve">Weighted average shares outstanding, basic and diluted </w:t>
            </w:r>
            <w:r>
              <w:rPr>
                <w:rFonts w:ascii="Arial" w:cs="Arial" w:eastAsia="Arial" w:hAnsi="Arial"/>
                <w:sz w:val="29"/>
                <w:szCs w:val="29"/>
                <w:b w:val="1"/>
                <w:bCs w:val="1"/>
                <w:color w:val="auto"/>
                <w:vertAlign w:val="superscript"/>
              </w:rPr>
              <w:t>(1)</w:t>
            </w:r>
          </w:p>
        </w:tc>
        <w:tc>
          <w:tcPr>
            <w:tcW w:w="19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53,784,534</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51,122,554</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64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per common share</w:t>
            </w:r>
          </w:p>
        </w:tc>
        <w:tc>
          <w:tcPr>
            <w:tcW w:w="22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(0.00)</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(0.00)</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Excludes an aggregate of 199,787,373 shares subject to possible redemption at September 30,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CONDENSED STATEMENT OF CHANGES IN STOCKHOLDERS’ EQUITY</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THREE MONTHS ENDED SEPTEMBER 30, 2020 AND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PERIOD FROM APRIL 30, 2020 (INCEPTION) THROUGH SEPTMBER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Class A</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Class B</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Additional</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w:t>
            </w:r>
          </w:p>
        </w:tc>
      </w:tr>
      <w:tr>
        <w:trPr>
          <w:trHeight w:val="248"/>
        </w:trPr>
        <w:tc>
          <w:tcPr>
            <w:tcW w:w="2420" w:type="dxa"/>
            <w:vAlign w:val="bottom"/>
          </w:tcPr>
          <w:p>
            <w:pPr>
              <w:spacing w:after="0"/>
              <w:rPr>
                <w:sz w:val="21"/>
                <w:szCs w:val="21"/>
                <w:color w:val="auto"/>
              </w:rPr>
            </w:pPr>
          </w:p>
        </w:tc>
        <w:tc>
          <w:tcPr>
            <w:tcW w:w="244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Common Stock</w:t>
            </w:r>
          </w:p>
        </w:tc>
        <w:tc>
          <w:tcPr>
            <w:tcW w:w="228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Paid-in</w:t>
            </w:r>
          </w:p>
        </w:tc>
        <w:tc>
          <w:tcPr>
            <w:tcW w:w="1300" w:type="dxa"/>
            <w:vAlign w:val="bottom"/>
            <w:gridSpan w:val="4"/>
          </w:tcPr>
          <w:p>
            <w:pPr>
              <w:ind w:left="60"/>
              <w:spacing w:after="0"/>
              <w:rPr>
                <w:sz w:val="20"/>
                <w:szCs w:val="20"/>
                <w:color w:val="auto"/>
              </w:rPr>
            </w:pPr>
            <w:r>
              <w:rPr>
                <w:rFonts w:ascii="Arial" w:cs="Arial" w:eastAsia="Arial" w:hAnsi="Arial"/>
                <w:sz w:val="18"/>
                <w:szCs w:val="18"/>
                <w:b w:val="1"/>
                <w:bCs w:val="1"/>
                <w:color w:val="auto"/>
              </w:rPr>
              <w:t>Accumulated</w:t>
            </w:r>
          </w:p>
        </w:tc>
        <w:tc>
          <w:tcPr>
            <w:tcW w:w="13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Stockholders’</w:t>
            </w:r>
          </w:p>
        </w:tc>
      </w:tr>
      <w:tr>
        <w:trPr>
          <w:trHeight w:val="223"/>
        </w:trPr>
        <w:tc>
          <w:tcPr>
            <w:tcW w:w="2420" w:type="dxa"/>
            <w:vAlign w:val="bottom"/>
          </w:tcPr>
          <w:p>
            <w:pPr>
              <w:spacing w:after="0"/>
              <w:rPr>
                <w:sz w:val="19"/>
                <w:szCs w:val="19"/>
                <w:color w:val="auto"/>
              </w:rPr>
            </w:pPr>
          </w:p>
        </w:tc>
        <w:tc>
          <w:tcPr>
            <w:tcW w:w="128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rPr>
              <w:t>Shares</w:t>
            </w: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19"/>
                <w:szCs w:val="19"/>
                <w:color w:val="auto"/>
              </w:rPr>
            </w:pPr>
          </w:p>
        </w:tc>
        <w:tc>
          <w:tcPr>
            <w:tcW w:w="122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Shares</w:t>
            </w: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Deficit</w:t>
            </w:r>
          </w:p>
        </w:tc>
        <w:tc>
          <w:tcPr>
            <w:tcW w:w="10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Equity</w:t>
            </w:r>
          </w:p>
        </w:tc>
      </w:tr>
      <w:tr>
        <w:trPr>
          <w:trHeight w:val="178"/>
        </w:trPr>
        <w:tc>
          <w:tcPr>
            <w:tcW w:w="242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 – April 30, 2020</w:t>
            </w:r>
          </w:p>
        </w:tc>
        <w:tc>
          <w:tcPr>
            <w:tcW w:w="10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(Inception)</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Class B common</w:t>
            </w: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to Sponsor</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51,750,000</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19,825</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r>
      <w:tr>
        <w:trPr>
          <w:trHeight w:val="216"/>
        </w:trPr>
        <w:tc>
          <w:tcPr>
            <w:tcW w:w="2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09"/>
        </w:trPr>
        <w:tc>
          <w:tcPr>
            <w:tcW w:w="24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June 30, 2020</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51,750,000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5,175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19,825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24,000</w:t>
            </w:r>
          </w:p>
        </w:tc>
      </w:tr>
      <w:tr>
        <w:trPr>
          <w:trHeight w:val="216"/>
        </w:trPr>
        <w:tc>
          <w:tcPr>
            <w:tcW w:w="2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Sale of 207,000,000 Units, net</w:t>
            </w: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underwriting discounts</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207,000,000</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1,960,264,415</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1,960,285,115</w:t>
            </w:r>
          </w:p>
        </w:tc>
      </w:tr>
      <w:tr>
        <w:trPr>
          <w:trHeight w:val="216"/>
        </w:trPr>
        <w:tc>
          <w:tcPr>
            <w:tcW w:w="2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42,850,000 Private</w:t>
            </w: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Placement Warrants</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42,850,000</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42,850,000</w:t>
            </w:r>
          </w:p>
        </w:tc>
      </w:tr>
      <w:tr>
        <w:trPr>
          <w:trHeight w:val="216"/>
        </w:trPr>
        <w:tc>
          <w:tcPr>
            <w:tcW w:w="2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subject to</w:t>
            </w: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possible redemption</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(199,787,373)</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(19,979)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(1,997,983,516)</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(1,998,003,495)</w:t>
            </w:r>
          </w:p>
        </w:tc>
      </w:tr>
      <w:tr>
        <w:trPr>
          <w:trHeight w:val="216"/>
        </w:trPr>
        <w:tc>
          <w:tcPr>
            <w:tcW w:w="2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(155,614)</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(155,614)</w:t>
            </w:r>
          </w:p>
        </w:tc>
      </w:tr>
      <w:tr>
        <w:trPr>
          <w:trHeight w:val="209"/>
        </w:trPr>
        <w:tc>
          <w:tcPr>
            <w:tcW w:w="24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2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Balance – September 30, 2020</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7,212,627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721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51,750,000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5,175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5,150,724</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(156,614)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5,000,006</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STATEMENT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PERIOD FROM APRIL 30, 2020 (INCEPTION) THROUGH 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(156,614)</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tcPr>
          <w:p>
            <w:pPr>
              <w:ind w:left="180"/>
              <w:spacing w:after="0"/>
              <w:rPr>
                <w:sz w:val="20"/>
                <w:szCs w:val="20"/>
                <w:color w:val="auto"/>
              </w:rPr>
            </w:pPr>
            <w:r>
              <w:rPr>
                <w:rFonts w:ascii="Arial" w:cs="Arial" w:eastAsia="Arial" w:hAnsi="Arial"/>
                <w:sz w:val="18"/>
                <w:szCs w:val="18"/>
                <w:color w:val="auto"/>
              </w:rPr>
              <w:t>Interest earned on marketable securities held in trust account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(210,782)</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loss on marketable securities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tcPr>
          <w:p>
            <w:pPr>
              <w:ind w:left="180"/>
              <w:spacing w:after="0"/>
              <w:rPr>
                <w:sz w:val="20"/>
                <w:szCs w:val="20"/>
                <w:color w:val="auto"/>
              </w:rPr>
            </w:pPr>
            <w:r>
              <w:rPr>
                <w:rFonts w:ascii="Arial" w:cs="Arial" w:eastAsia="Arial" w:hAnsi="Arial"/>
                <w:sz w:val="18"/>
                <w:szCs w:val="18"/>
                <w:color w:val="auto"/>
              </w:rPr>
              <w:t>Deferred tax provision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(9,030)</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tcPr>
          <w:p>
            <w:pPr>
              <w:ind w:left="340"/>
              <w:spacing w:after="0"/>
              <w:rPr>
                <w:sz w:val="20"/>
                <w:szCs w:val="20"/>
                <w:color w:val="auto"/>
              </w:rPr>
            </w:pPr>
            <w:r>
              <w:rPr>
                <w:rFonts w:ascii="Arial" w:cs="Arial" w:eastAsia="Arial" w:hAnsi="Arial"/>
                <w:sz w:val="18"/>
                <w:szCs w:val="18"/>
                <w:color w:val="auto"/>
              </w:rPr>
              <w:t>Prepaid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(1,091,634)</w:t>
            </w:r>
          </w:p>
        </w:tc>
        <w:tc>
          <w:tcPr>
            <w:tcW w:w="0" w:type="dxa"/>
            <w:vAlign w:val="bottom"/>
          </w:tcPr>
          <w:p>
            <w:pPr>
              <w:spacing w:after="0"/>
              <w:rPr>
                <w:sz w:val="1"/>
                <w:szCs w:val="1"/>
                <w:color w:val="auto"/>
              </w:rPr>
            </w:pPr>
          </w:p>
        </w:tc>
      </w:tr>
      <w:tr>
        <w:trPr>
          <w:trHeight w:val="230"/>
        </w:trPr>
        <w:tc>
          <w:tcPr>
            <w:tcW w:w="9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33,333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900" w:type="dxa"/>
            <w:vAlign w:val="bottom"/>
            <w:tcBorders>
              <w:bottom w:val="single" w:sz="8" w:color="CCEEFF"/>
            </w:tcBorders>
          </w:tcPr>
          <w:p>
            <w:pPr>
              <w:ind w:left="500"/>
              <w:spacing w:after="0"/>
              <w:rPr>
                <w:sz w:val="20"/>
                <w:szCs w:val="20"/>
                <w:color w:val="auto"/>
              </w:rPr>
            </w:pPr>
            <w:r>
              <w:rPr>
                <w:rFonts w:ascii="Arial" w:cs="Arial" w:eastAsia="Arial" w:hAnsi="Arial"/>
                <w:sz w:val="18"/>
                <w:szCs w:val="18"/>
                <w:b w:val="1"/>
                <w:bCs w:val="1"/>
                <w:color w:val="auto"/>
              </w:rPr>
              <w:t>Net cash used in operating activities</w:t>
            </w: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(1,391,728</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9"/>
        </w:trPr>
        <w:tc>
          <w:tcPr>
            <w:tcW w:w="9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Investment of cash into Trust Account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1"/>
              </w:rPr>
              <w:t>(2,070,000,000)</w:t>
            </w:r>
          </w:p>
        </w:tc>
        <w:tc>
          <w:tcPr>
            <w:tcW w:w="0" w:type="dxa"/>
            <w:vAlign w:val="bottom"/>
          </w:tcPr>
          <w:p>
            <w:pPr>
              <w:spacing w:after="0"/>
              <w:rPr>
                <w:sz w:val="1"/>
                <w:szCs w:val="1"/>
                <w:color w:val="auto"/>
              </w:rPr>
            </w:pPr>
          </w:p>
        </w:tc>
      </w:tr>
      <w:tr>
        <w:trPr>
          <w:trHeight w:val="209"/>
        </w:trPr>
        <w:tc>
          <w:tcPr>
            <w:tcW w:w="9900" w:type="dxa"/>
            <w:vAlign w:val="bottom"/>
            <w:tcBorders>
              <w:bottom w:val="single" w:sz="8" w:color="CCEEFF"/>
            </w:tcBorders>
          </w:tcPr>
          <w:p>
            <w:pPr>
              <w:ind w:left="500"/>
              <w:spacing w:after="0"/>
              <w:rPr>
                <w:sz w:val="20"/>
                <w:szCs w:val="20"/>
                <w:color w:val="auto"/>
              </w:rPr>
            </w:pPr>
            <w:r>
              <w:rPr>
                <w:rFonts w:ascii="Arial" w:cs="Arial" w:eastAsia="Arial" w:hAnsi="Arial"/>
                <w:sz w:val="18"/>
                <w:szCs w:val="18"/>
                <w:b w:val="1"/>
                <w:bCs w:val="1"/>
                <w:color w:val="auto"/>
              </w:rPr>
              <w:t>Net cash used in investing activities</w:t>
            </w: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(2,070,000,000</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9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to Sponsor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Proceeds from sale of Units, net of underwriting discounts paid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95"/>
              </w:rPr>
              <w:t>2,033,596,400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Private Placement Warrants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42,850,000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Proceeds from promissory note—related party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550,000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Repayment of promissory note—related party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r>
        <w:trPr>
          <w:trHeight w:val="229"/>
        </w:trPr>
        <w:tc>
          <w:tcPr>
            <w:tcW w:w="9900" w:type="dxa"/>
            <w:vAlign w:val="bottom"/>
          </w:tcPr>
          <w:p>
            <w:pPr>
              <w:spacing w:after="0"/>
              <w:rPr>
                <w:sz w:val="20"/>
                <w:szCs w:val="20"/>
                <w:color w:val="auto"/>
              </w:rPr>
            </w:pPr>
            <w:r>
              <w:rPr>
                <w:rFonts w:ascii="Arial" w:cs="Arial" w:eastAsia="Arial" w:hAnsi="Arial"/>
                <w:sz w:val="18"/>
                <w:szCs w:val="18"/>
                <w:color w:val="auto"/>
              </w:rPr>
              <w:t>Payment of offering costs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(861,285)</w:t>
            </w:r>
          </w:p>
        </w:tc>
        <w:tc>
          <w:tcPr>
            <w:tcW w:w="0" w:type="dxa"/>
            <w:vAlign w:val="bottom"/>
          </w:tcPr>
          <w:p>
            <w:pPr>
              <w:spacing w:after="0"/>
              <w:rPr>
                <w:sz w:val="1"/>
                <w:szCs w:val="1"/>
                <w:color w:val="auto"/>
              </w:rPr>
            </w:pPr>
          </w:p>
        </w:tc>
      </w:tr>
      <w:tr>
        <w:trPr>
          <w:trHeight w:val="210"/>
        </w:trPr>
        <w:tc>
          <w:tcPr>
            <w:tcW w:w="990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Net cash provided by financing activities</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2,075,610,115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4,218,387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900" w:type="dxa"/>
            <w:vAlign w:val="bottom"/>
          </w:tcPr>
          <w:p>
            <w:pPr>
              <w:spacing w:after="0"/>
              <w:rPr>
                <w:sz w:val="20"/>
                <w:szCs w:val="20"/>
                <w:color w:val="auto"/>
              </w:rPr>
            </w:pPr>
            <w:r>
              <w:rPr>
                <w:rFonts w:ascii="Arial" w:cs="Arial" w:eastAsia="Arial" w:hAnsi="Arial"/>
                <w:sz w:val="18"/>
                <w:szCs w:val="18"/>
                <w:color w:val="auto"/>
              </w:rPr>
              <w:t>Cash — Beginning</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 Ending</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4,218,387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9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9900" w:type="dxa"/>
            <w:vAlign w:val="bottom"/>
          </w:tcPr>
          <w:p>
            <w:pPr>
              <w:spacing w:after="0"/>
              <w:rPr>
                <w:sz w:val="20"/>
                <w:szCs w:val="20"/>
                <w:color w:val="auto"/>
              </w:rPr>
            </w:pPr>
            <w:r>
              <w:rPr>
                <w:rFonts w:ascii="Arial" w:cs="Arial" w:eastAsia="Arial" w:hAnsi="Arial"/>
                <w:sz w:val="18"/>
                <w:szCs w:val="18"/>
                <w:color w:val="auto"/>
              </w:rPr>
              <w:t>Initial classification of common stock subject to possible redemption</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95"/>
              </w:rPr>
              <w:t>1,998,159,110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90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Change in value of common stock subject to possible redemption</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(155,615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9900" w:type="dxa"/>
            <w:vAlign w:val="bottom"/>
            <w:vMerge w:val="restart"/>
          </w:tcPr>
          <w:p>
            <w:pPr>
              <w:spacing w:after="0"/>
              <w:rPr>
                <w:sz w:val="20"/>
                <w:szCs w:val="20"/>
                <w:color w:val="auto"/>
              </w:rPr>
            </w:pPr>
            <w:r>
              <w:rPr>
                <w:rFonts w:ascii="Arial" w:cs="Arial" w:eastAsia="Arial" w:hAnsi="Arial"/>
                <w:sz w:val="18"/>
                <w:szCs w:val="18"/>
                <w:color w:val="auto"/>
              </w:rPr>
              <w:t>Deferred underwriting fee payable</w:t>
            </w:r>
          </w:p>
        </w:tc>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9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72,450,000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Churchill Capital Corp IV (formerly known as Annetta Acquisition Corp) (the “Company”) was incorporated in Delaware on April 30, 2020. The Company was formed for the purpose of effecting a merger, capital stock exchange, asset acquisition, stock purchase, reorganization or similar business combination with one or more businesses (the “Business Combination”).</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is an early stage and emerging growth company and, as such, the Company is subject to all of the risks associated with early stage and emerging growth companies.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September 30, 2020, the Company had not commenced any operations. All activity for the period from April 30, 2020 (inception) through September 30, 2020 relates to the Company’s formation and the initial public offering (“Initial Public Offering”), which is described below. The Company will not generate any operating revenues until after the completion of its initial Business Combination, at the earliest. The Company will generate non-operating income in the form of interest income from the proceeds derived from the Initial Public Offering.</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registration statements for the Company’s Initial Public Offering were declared effective on July 29, 2020. On August 3, 2020, the Company consummated the Initial Public Offering of 207,000,000 units (the “Units” and, with respect to the shares of Class A common stock included in the Units sold, the “Public Shares”), which includes the full exercise by the underwriters of the over-allotment option to purchase an additional 27,000,000 Units, at $10.00 per Unit, generating gross proceeds of $2,070,000,000, which is described in Note 3.</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42,850,000 warrants (the “Private Placement Warrants”) at a price of $1.00 per Private Placement Warrant in a private placement to Churchill Sponsor IV LLC, (the “Sponsor”), generating gross proceeds of $42,850,000 which is described in Note 4.</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Transaction costs amounted to $109,714,885, consisting of $36,403,600 of underwriting fees, $72,450,000 of deferred underwriting fees and $861,285 of other offering costs. In addition, at September 30, 2020, cash of $4,218,387 was held outside of the Trust Account (as defined below) and is available for working capital purposes.</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Following the closing of the Initial Public Offering on August 3, 2020, an amount of $2,070,000,000 ($10.00 per Unit) from the net proceeds of the sale of the Units in the Initial Public Offering and the sale of the Private Placement Warrants was placed in a trust account (the “Trust Account”) located in the United States and invested only in U.S. government securities, within the meaning set forth in Section 2(a)(16) of the Investment Company Act of 1940, as amended (the “Investment Company Act”), with a maturity of 185 days or less or in any open-ended investment company that holds itself out as a money market fund selected by the Company meeting the conditions of Rule 2a-7 of the Investment Company Act, as determined by the Company, until the earlier of: (i) the completion of a Business Combination or (ii) the distribution of the Trust Account, as described below, except that interest earned on the Trust Account can be released to the Company to fund working capital requirements, subject to an annual limit of $1,000,000 and/or to pay its tax obligations.</w:t>
      </w:r>
    </w:p>
    <w:p>
      <w:pPr>
        <w:spacing w:after="0" w:line="19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the sale of the Private Placement Warrants, although substantially all of the net proceeds are intended to be applied generally toward consummating a Business Combination. There is no assurance that the Company will be able to complete a Business Combination successfully. The Company’s initial Business Combination must be with one or more target businesses that together have a fair market value equal to at least 80% of the balance in the Trust Account (excluding taxes payable on interest income earned from the Trust Account and the deferred underwriting commissions) at the time of the agreement to enter into the initial Business Combination.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7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(initially $10.00 per Public Share, plus any pro rata interest, net of amounts withdrawn for working capital requirements, subject to an annual limit of $1,000,000 and/or to pay its taxes (“permitted withdrawals”)). The per-share amount to be distributed to public stockholders who redeem their Public Shares will not be reduced by the deferred underwriting commissions the Company will pay to the underwriters (as discussed in Note 6). There will be no redemption rights upon the completion of a Business Combination with respect to the Company’s warrants.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Company will proceed with a Business Combination if the Company has net tangible assets of at least $5,000,001 upon such consummation of a Business Combination and, if the Company seeks stockholder approval, a majority of the shares voted are voted in favor of the Business Combination. If a stockholder vote is not required by law or stock exchange requirements and the Company does not decide to hold a stockholder vote for business or other legal reasons, the Company will, pursuant to its Amended and Restated Certificate of Incorporation (the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If the Company seeks stockholder approval in connection with a Business Combination, the Company’s Sponsor and its permitted transferees will agree to vote their Founder Shares (as defined in Note 5) and any Public Shares purchased during or after the Initial Public Offering in favor of approving a Business Combination. Additionally, each public stockholder may elect to redeem their Public Shares irrespective of whether they vote for or against the proposed transaction.</w:t>
      </w:r>
    </w:p>
    <w:p>
      <w:pPr>
        <w:spacing w:after="0" w:line="17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Sponsor has agreed (a) to waive its redemption rights with respect to its Founder Shares and Public Shares held by it in connection with the completion of a Business Combination, (b) to waive its rights to liquidating distributions from the Trust Account with respect to its Founder Shares if the Company fails to consummate a Business Combination within the Combination Window (as defined below) and (c) not to propose an amendment to the Company’s Amended and Restated Certificate of Incorporation that would affect the substance or timing of the Company’s obligation to redeem 100% of its Public Shares if the Company does not complete a Business Combination, unless the Company provides the public stockholders with the opportunity to redeem their shares in conjunction with any such amendment.</w:t>
      </w:r>
    </w:p>
    <w:p>
      <w:pPr>
        <w:spacing w:after="0" w:line="192"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color w:val="auto"/>
        </w:rPr>
        <w:t>If the Company is unable to complete a Business Combination by August 3, 2022 (or November 3, 2022 if the Company has an executed letter of intent, agreement in principle or definitive agreement for a Business Combination by August 3, 2022) (the “Combination Window”), the Company will</w:t>
      </w:r>
    </w:p>
    <w:p>
      <w:pPr>
        <w:jc w:val="both"/>
        <w:ind w:firstLine="8"/>
        <w:spacing w:after="0" w:line="287" w:lineRule="auto"/>
        <w:tabs>
          <w:tab w:leader="none" w:pos="218" w:val="left"/>
        </w:tabs>
        <w:numPr>
          <w:ilvl w:val="0"/>
          <w:numId w:val="4"/>
        </w:numPr>
        <w:rPr>
          <w:rFonts w:ascii="Arial" w:cs="Arial" w:eastAsia="Arial" w:hAnsi="Arial"/>
          <w:sz w:val="16"/>
          <w:szCs w:val="16"/>
          <w:color w:val="auto"/>
        </w:rPr>
      </w:pPr>
      <w:r>
        <w:rPr>
          <w:rFonts w:ascii="Arial" w:cs="Arial" w:eastAsia="Arial" w:hAnsi="Arial"/>
          <w:sz w:val="16"/>
          <w:szCs w:val="16"/>
          <w:color w:val="auto"/>
        </w:rPr>
        <w:t>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(net of permitted withdrawals and up to $100,000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Window.</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Sponsor has agreed to waive its right to liquidating distributions from the Trust Account with respect to the Founder Shares if the Company fails to complete a Business Combination within the Combination Window. However, if the Sponsor acquires Public Shares in or after the Initial Public Offering, such Public Shares will be entitled to liquidating distributions from the Trust Account if the Company fails to complete a Business Combination within the Combination Window. The underwriters have agreed to waive their rights to their deferred underwriting commission (see Note 6) held in the Trust Account in the event the Company does not complete a Business Combination within the Combination Window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9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order to protect the amounts held in the Trust Account, the Sponsor has agreed to be liable to the Company if and to the extent any claims by a third party (other than the Company’s independent registered public accounting firm) for services rendered or products sold to the Company, or a prospective target business with which the Company has entered into a written letter of intent, confidentiality or similar agreement, reduce the amount of funds in the Trust Account to below (i) $10.00 per Public Share or (ii) the amount per Public Share held in the Trust Account as of the liquidation of the Trust Account, if less than $10.00 per Public Share due to reductions in the value of the trust assets, in each case net of permitted withdrawals. This liability will not apply with respect to any claims by a third party who executed a waiver of any and all rights to seek access to the Trust Account or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w:t>
      </w:r>
    </w:p>
    <w:p>
      <w:pPr>
        <w:spacing w:after="0" w:line="18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118"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Article 10 of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spacing w:after="0" w:line="17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accompanying unaudited condensed financial statements should be read in conjunction with the Company’s prospectus for its Initial Public Offering as filed with the SEC on July 31, 2020, as well as the Company’s Current Reports on Form 8-K, as filed with the SEC on August 7, 2020. The interim results for the three months ended September 30, 2020 and for the period from April 30, 2020 (inception) through September 30, 2020 are not necessarily indicative of the results to be expected for period ended December 31, 2020 or for any future periods.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6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preparation of the condensed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8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Cash equivalents consist of mutual funds. The Company did not have any cash equivalents as of September 30, 2020.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 Held in Trust Account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September 30, 2020, substantially all of the assets held in the Trust Account were held in U.S. Treasury Bills.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Subject to Possible Redemption</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accounts for its common stock subject to possible redemption in accordance with the guidance in Accounting Standards Codification (“ASC”) Topic 480 “Distinguishing Liabilities from Equity.” Common stock subject to mandatory redemption is classified as a liability instrument and is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are considered to be outside of the Company’s control and subject to occurrence of uncertain future events. Accordingly, common stock subject to possible redemption is presented at redemption value as temporary equity, outside of the stockholders’ equity section of the Company’s condensed balance sheet.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The effective tax rate differs from the statutory tax rate of 21% for the three months ended September 30, 2020 and for the period from April 30, 2020 (inception) through September 30, 2020, due to the valuation allowance recorded on the Company’s net operating losses.</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September 30,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9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March 27, 2020, President Trump signed the Coronavirus Aid, Relief, and Economic Security “CARES” Act into law. The CARES Act includes several significant business tax provisions that, among other things, would eliminate the taxable income limit for certain net operating losses (“NOL) and allow businesses to carry back NOLs arising in 2018, 2019 and 2020 to the five prior years, suspend the excess business loss rules, accelerate refunds of previously generated corporate alternative minimum tax credits, generally loosen the business interest limitation under IRC section 163(j) from 30 percent to 50 percent among other technical corrections included in the Tax Cuts and Jobs Act tax provisions. The Company does not believe that the CARES Act will have a significant impact on Company's financial position or statement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Net loss per common share is computed by dividing net loss by the weighted average number of common shares outstanding for the period. The Company applies the two-class method in calculating earnings per share. Shares of common stock subject to possible redemption at September 30, 2020, which are not currently redeemable and are not redeemable at fair value, have been excluded from the calculation of basic net loss per common share since such shares, if redeemed, only participate in their pro rata share of the Trust Account earnings. The Company has not considered the effect of warrants sold in the Initial Public Offering and the private placement to purchase 84,250,000 shares of common stock in the calculation of diluted loss per share, since the exercise of the warrants into shares of common stock is contingent upon the occurrence of future events. As a result, diluted net loss per common share is the same as basic net loss per common share for the period presented.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Net Loss per Common Share</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net loss is adjusted for the portion of income that is attributable to common stock subject to possible redemption, as these shares only participate in the earnings of the Trust Account and not the income or losses of the Company. Accordingly, basic and diluted loss per common share is calculated as follows: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81"/>
              <w:spacing w:after="0"/>
              <w:rPr>
                <w:sz w:val="20"/>
                <w:szCs w:val="20"/>
                <w:color w:val="auto"/>
              </w:rPr>
            </w:pPr>
            <w:r>
              <w:rPr>
                <w:rFonts w:ascii="Arial" w:cs="Arial" w:eastAsia="Arial" w:hAnsi="Arial"/>
                <w:sz w:val="18"/>
                <w:szCs w:val="18"/>
                <w:b w:val="1"/>
                <w:bCs w:val="1"/>
                <w:color w:val="auto"/>
                <w:w w:val="91"/>
              </w:rPr>
              <w:t>For the Period</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61"/>
              <w:spacing w:after="0"/>
              <w:rPr>
                <w:sz w:val="20"/>
                <w:szCs w:val="20"/>
                <w:color w:val="auto"/>
              </w:rPr>
            </w:pPr>
            <w:r>
              <w:rPr>
                <w:rFonts w:ascii="Arial" w:cs="Arial" w:eastAsia="Arial" w:hAnsi="Arial"/>
                <w:sz w:val="18"/>
                <w:szCs w:val="18"/>
                <w:b w:val="1"/>
                <w:bCs w:val="1"/>
                <w:color w:val="auto"/>
                <w:w w:val="94"/>
              </w:rPr>
              <w:t>from April 30,</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4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93"/>
              </w:rPr>
              <w:t>Three Months</w:t>
            </w:r>
          </w:p>
        </w:tc>
        <w:tc>
          <w:tcPr>
            <w:tcW w:w="1400" w:type="dxa"/>
            <w:vAlign w:val="bottom"/>
            <w:gridSpan w:val="3"/>
          </w:tcPr>
          <w:p>
            <w:pPr>
              <w:jc w:val="center"/>
              <w:ind w:right="21"/>
              <w:spacing w:after="0"/>
              <w:rPr>
                <w:sz w:val="20"/>
                <w:szCs w:val="20"/>
                <w:color w:val="auto"/>
              </w:rPr>
            </w:pPr>
            <w:r>
              <w:rPr>
                <w:rFonts w:ascii="Arial" w:cs="Arial" w:eastAsia="Arial" w:hAnsi="Arial"/>
                <w:sz w:val="18"/>
                <w:szCs w:val="18"/>
                <w:b w:val="1"/>
                <w:bCs w:val="1"/>
                <w:color w:val="auto"/>
                <w:w w:val="91"/>
              </w:rPr>
              <w:t>2020 (Inception)</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361"/>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30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3"/>
              </w:rPr>
              <w:t>Through</w:t>
            </w:r>
          </w:p>
        </w:tc>
        <w:tc>
          <w:tcPr>
            <w:tcW w:w="0" w:type="dxa"/>
            <w:vAlign w:val="bottom"/>
          </w:tcPr>
          <w:p>
            <w:pPr>
              <w:spacing w:after="0"/>
              <w:rPr>
                <w:sz w:val="1"/>
                <w:szCs w:val="1"/>
                <w:color w:val="auto"/>
              </w:rPr>
            </w:pPr>
          </w:p>
        </w:tc>
      </w:tr>
      <w:tr>
        <w:trPr>
          <w:trHeight w:val="229"/>
        </w:trPr>
        <w:tc>
          <w:tcPr>
            <w:tcW w:w="65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44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9"/>
                <w:szCs w:val="19"/>
                <w:color w:val="auto"/>
              </w:rPr>
            </w:pPr>
          </w:p>
        </w:tc>
        <w:tc>
          <w:tcPr>
            <w:tcW w:w="1300" w:type="dxa"/>
            <w:vAlign w:val="bottom"/>
            <w:gridSpan w:val="2"/>
          </w:tcPr>
          <w:p>
            <w:pPr>
              <w:jc w:val="right"/>
              <w:ind w:right="121"/>
              <w:spacing w:after="0"/>
              <w:rPr>
                <w:sz w:val="20"/>
                <w:szCs w:val="20"/>
                <w:color w:val="auto"/>
              </w:rPr>
            </w:pPr>
            <w:r>
              <w:rPr>
                <w:rFonts w:ascii="Arial" w:cs="Arial" w:eastAsia="Arial" w:hAnsi="Arial"/>
                <w:sz w:val="18"/>
                <w:szCs w:val="18"/>
                <w:b w:val="1"/>
                <w:bCs w:val="1"/>
                <w:color w:val="auto"/>
                <w:w w:val="87"/>
              </w:rPr>
              <w:t>September 30,</w:t>
            </w:r>
          </w:p>
        </w:tc>
        <w:tc>
          <w:tcPr>
            <w:tcW w:w="0" w:type="dxa"/>
            <w:vAlign w:val="bottom"/>
          </w:tcPr>
          <w:p>
            <w:pPr>
              <w:spacing w:after="0"/>
              <w:rPr>
                <w:sz w:val="1"/>
                <w:szCs w:val="1"/>
                <w:color w:val="auto"/>
              </w:rPr>
            </w:pPr>
          </w:p>
        </w:tc>
      </w:tr>
      <w:tr>
        <w:trPr>
          <w:trHeight w:val="234"/>
        </w:trPr>
        <w:tc>
          <w:tcPr>
            <w:tcW w:w="6580" w:type="dxa"/>
            <w:vAlign w:val="bottom"/>
            <w:tcBorders>
              <w:bottom w:val="single" w:sz="8" w:color="CCEEFF"/>
            </w:tcBorders>
          </w:tcPr>
          <w:p>
            <w:pPr>
              <w:spacing w:after="0"/>
              <w:rPr>
                <w:sz w:val="20"/>
                <w:szCs w:val="20"/>
                <w:color w:val="auto"/>
              </w:rPr>
            </w:pPr>
          </w:p>
        </w:tc>
        <w:tc>
          <w:tcPr>
            <w:tcW w:w="18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80" w:type="dxa"/>
            <w:vAlign w:val="bottom"/>
          </w:tcPr>
          <w:p>
            <w:pPr>
              <w:spacing w:after="0"/>
              <w:rPr>
                <w:sz w:val="20"/>
                <w:szCs w:val="20"/>
                <w:color w:val="auto"/>
              </w:rPr>
            </w:pPr>
            <w:r>
              <w:rPr>
                <w:rFonts w:ascii="Arial" w:cs="Arial" w:eastAsia="Arial" w:hAnsi="Arial"/>
                <w:sz w:val="18"/>
                <w:szCs w:val="18"/>
                <w:color w:val="auto"/>
              </w:rPr>
              <w:t>Less: Income attributable to shares subject to possible redemption</w:t>
            </w: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loss</w:t>
            </w:r>
          </w:p>
        </w:tc>
        <w:tc>
          <w:tcPr>
            <w:tcW w:w="18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(155,614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(156,614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1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53,784,534</w:t>
            </w:r>
          </w:p>
        </w:tc>
        <w:tc>
          <w:tcPr>
            <w:tcW w:w="1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51,122,554</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204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Concentration of Credit Risk</w:t>
            </w:r>
          </w:p>
        </w:tc>
        <w:tc>
          <w:tcPr>
            <w:tcW w:w="1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80" w:type="dxa"/>
            <w:vAlign w:val="bottom"/>
            <w:vMerge w:val="continue"/>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Topic 820, “Fair Value Measurement,” approximates the carrying amounts represented in the condensed balance sheet, primarily due to their short-term nature.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condensed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PUBLIC OFFERING</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Pursuant to the Initial Public Offering, the Company sold 207,000,000 Units, which includes the full exercise by the underwriters of their option to purchase an additional 27,000,000 Units, at $10.00 per Unit. Each Unit consists of one share of Class A common stock and one-fifth of one redeemable warrant (“Public Warrant”). Each whole Public Warrant entitles the holder to purchase one share of Class A common stock at a price of $11.50 per share, subject to adjustment (see Note 7). The Units sold in the Initial Public Offering comprise an aggregate of 207,000,000 shares of Class A common stock and 41,400,000 Public Warrants.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Simultaneously with the closing of the Initial Public Offering, the Sponsor purchased an aggregate of 42,850,000 Private Placement Warrants at a price of $1.00 per Private Placement Warrant, for an aggregate purchase price of $42,850,000. Each Private Placement Warrant is exercisable to purchase one share of Class A common stock at a price of $11.50 per share. The proceeds from the Private Placement Warrants were added to the proceeds from the Initial Public Offering held in the Trust Account. If the Company does not complete a Business Combination within the Combination Window, the proceeds of the sale of the Private Placement Warrants will be used to fund the redemption of the Public Shares (subject to the requirements of applicable law) and the Private Placement Warrants will expire worthless. There will be no redemption rights or liquidating distributions from the Trust Account with respect to the Private Placement Warrants.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May 22, 2020, the Sponsor purchased 21,562,500 shares of the Company’s Class B common stock for an aggregate price of $25,000 (the “Founder Shares”). On July 14, 2020, the Company effected a stock dividend of one-third of a share of Class B common stock for each outstanding share of Class B common stock, on July 27, 2020, the Company effected a stock dividend of 0.50 to 1 share of Class B common stock for each outstanding share of Class B common stock and on July 30, 2020, the Company effected a stock dividend of 0.20 to 1 share of Class B common stock for each outstanding share of Class B common stock, resulting in 51,750,000 shares of Class B common stock being issued and outstanding. All share and per-share amounts have been retroactively restated to reflect the stock dividends. The Founder Shares included an aggregate of up to 6,750,000 shares subject to forfeiture to the extent that the underwriters’ over-allotment option was not exercised in full or in part, so that the Sponsor would own, on an as-converted basis, 20% of the Company’s issued and outstanding shares after the Initial Public Offering (assuming the Sponsor did not purchase any Public Shares in the Initial Public Offering). As a result of the underwriters’ election to fully exercise their over-allotment option, 6,750,000 Founder Shares are no longer subject to forfeiture.</w:t>
      </w:r>
    </w:p>
    <w:p>
      <w:pPr>
        <w:sectPr>
          <w:pgSz w:w="11900" w:h="16935" w:orient="portrait"/>
          <w:cols w:equalWidth="0" w:num="1">
            <w:col w:w="11240"/>
          </w:cols>
          <w:pgMar w:left="320" w:top="908" w:right="339" w:bottom="0" w:gutter="0" w:footer="0" w:header="0"/>
        </w:sectPr>
      </w:pPr>
    </w:p>
    <w:bookmarkStart w:id="11" w:name="page12"/>
    <w:bookmarkEnd w:id="11"/>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Sponsor has agreed, subject to limited exceptions, not to transfer, assign or sell any of its Founder Shares until the earlier to occur of: (A) one year after the completion of a Business Combination or (B) the date on which the Company completes a liquidation, merger, stock exchange, reorganization or similar transaction after a Business Combination that results in all of the Company’s stockholders having the right to exchange their shares of common stock for cash, securities or other property. Notwithstanding the foregoing, if the closing price of the Class A common stock equals or exceeds $12.00 per share (as adjusted for stock splits, stock dividends, reorganizations, recapitalizations and the like) for any 20 trading days within any 30-trading day period commencing at least 150 days after a Business Combination, the Founder Shares will be released from the lock-up.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13, 2020, the Sponsor agreed to loan the Company an aggregate of up to $600,000 to cover expenses related to the Initial Public Offering pursuant to a promissory note (the “Promissory Note”). The Promissory Note was non-interest bearing and payable on the earlier of December 31, 2021 or the completion of the Initial Public Offering. The borrowings outstanding under the note in the amount of $550,000 were repaid upon the consummation of the Initial Public Offering on August 3,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entered into an agreement whereby, commencing on July 30, 2020 through the earlier of the Company’s consummation of a Business Combination and its liquidation, the Company will pay an affiliate of the Sponsor a total of $50,000 per month for office space, administrative and support services. For the three months ended September 30, 2020 and for the period from April 30, 2020 (inception) through September 30, 2020, the Company incurred and paid $100,000 in fees for these services.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Fee</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may engage M. Klein and Company, LLC, an affiliate of the Sponsor, or another affiliate of the Sponsor, as its lead financial advisor in connection with a Business Combination and may pay such affiliate a customary financial advisory fee in an amount that constitutes a market standard financial advisory fee for comparable transactions.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order to finance transaction costs in connection with a Business Combination, the Sponsor, an affiliate of the Sponsor, or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In the event that a Business Combination does not close, the Company may use a portion of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$1,500,000 of such Working Capital Loans may be convertible into warrants at a price of $1.00 per warrant. The warrants would be identical to the Private Placement Warrants.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Pursuant to a registration rights agreement entered into on July 29, 2020, the holders of the Founder Shares, Private Placement Warrants and warrants that may be issued upon conversion of Working Capital Loans (and any shares of Class A common stock issuable upon the exercise of the Private Placement Warrants or warrants that may be issued upon conversion of Working Capital Loans and upon conversion of the Founder Shares) will be entitled to registration rights requiring the Company to register such securities for resale (in the case of the Founder Shares, only after conversion to Class A common stock).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The Company will bear the expenses incurred in connection with the filing of any such registration statements.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underwriters are entitled to a deferred fee of $0.35 per Unit, or $72,450,000 in the aggregate. The deferred fee will be waived by the underwriters in the event that the Company does not complete a Business Combination, subject to the terms of the underwriting agreement. The underwriters waived the upfront underwriting discount on 19,982,000 Units, resulting in a reduction of the upfront underwriting discount of $3,996,400. In addition, the underwriters reimbursed the Company an aggregate of $1,000,000 for costs incurred in connection with the Initial Public Offering.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 par value of $0.0001 per share with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designations, voting and other rights and preferences as may be determined from time to time by the Company’s board of directors. At September 30, 2020, there were no shares of preferred stock issued or outstanding.</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Class A Common Stock </w:t>
      </w:r>
      <w:r>
        <w:rPr>
          <w:rFonts w:ascii="Arial" w:cs="Arial" w:eastAsia="Arial" w:hAnsi="Arial"/>
          <w:sz w:val="18"/>
          <w:szCs w:val="18"/>
          <w:color w:val="auto"/>
        </w:rPr>
        <w:t>— On July 30, 2020, the Company amended its Amended and Restated Certificate of Incorporation such that the Company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authorized to issue 400,000,000 shares of Class A common stock with a par value of $0.0001 per share. Holders of Class A common stock are entitled to one vote for each share. At September 30, 2020, there were 7,212,627 shares of Class A common stock issued or outstanding, excluding 199,787,373 shares of Class A common stock subject to possible redemption</w:t>
      </w:r>
    </w:p>
    <w:p>
      <w:pPr>
        <w:spacing w:after="0" w:line="18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b w:val="1"/>
          <w:bCs w:val="1"/>
          <w:i w:val="1"/>
          <w:iCs w:val="1"/>
          <w:color w:val="auto"/>
        </w:rPr>
        <w:t xml:space="preserve">Class B Common Stock </w:t>
      </w:r>
      <w:r>
        <w:rPr>
          <w:rFonts w:ascii="Arial" w:cs="Arial" w:eastAsia="Arial" w:hAnsi="Arial"/>
          <w:sz w:val="16"/>
          <w:szCs w:val="16"/>
          <w:color w:val="auto"/>
        </w:rPr>
        <w:t>— On July 30, 2020, the Company amended its Amended and Restated Certificate of Incorporation such that the Company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authorized to issue 100,000,000 shares of Class B common stock with a par value of $0.0001 per share. Holders of Class B common stock are entitled to one vote for each share. At September 30, 2020, there were 51,750,000 shares of Class B common stock issued and outstanding</w:t>
      </w:r>
    </w:p>
    <w:p>
      <w:pPr>
        <w:spacing w:after="0" w:line="1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Holders of Class B common stock will have the right to elect all of the Company’s directors prior to a Business Combination. Holders of Class A common stock and Class B common stock will vote together as a single class on all other matters submitted to a vote of stockholders except as required by law.</w:t>
      </w:r>
    </w:p>
    <w:p>
      <w:pPr>
        <w:spacing w:after="0" w:line="18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shares of Class B common stock will automatically convert into shares of Class A common stock at the time of a Business Combination on a one-for-one basis, subject to adjustment. In the case that additional shares of Class A common stock, or equity-linked securities, are issued or deemed issued in excess of the amounts offered in the Initial Public Offering and related to the closing of a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20% of the sum of the total number of all shares of common stock outstanding upon the completion of the Initial Public Offering plus all shares of Class A common stock and equity-linked securities issued or deemed issued in connection with a Business Combination (excluding any shares or equity-linked securities issued, or to be issued, to any seller in a Business Combination in consideration for such seller’s interest in the Business Combination target, any private placement-equivalent warrants issued, or to be issued, to any seller in a Business Combination.</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 Public Warrants may only be exercised for a whole number of shares. No fractional warrants will be issued upon separation of the Units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only whole warrants will trade. The Public Warrants will become exercisable on the later of (a) 30 days after the completion of a Business Combination or (b) 12 months from the closing of the Initial Public Offering. The Public Warrants will expire five years after the completion of a Business Combination or earlier upon redemption or liquidation.</w:t>
      </w:r>
    </w:p>
    <w:p>
      <w:pPr>
        <w:spacing w:after="0" w:line="1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will not be obligated to deliver any shares of Class A common stock pursuant to the exercise of a warrant and will have no obligation to settle such warrant exercise unless a registration statement under the Securities Act covering the issuance of the shares of Class A common issuable upon exercise of the warrants is then effective and a current prospectus relating to those shares of Class A common stock is available, subject to the Company satisfying its obligations with respect to registration. No warrant will be exercisable for cash or on a cashless basis, and the Company will not be obligated to issue any shares to holders seeking to exercise their warrants, unless the issuance of the shares upon such exercise is registered or qualified under the securities laws of the state of the exercising holder, or an exemption from registration is available.</w:t>
      </w:r>
    </w:p>
    <w:p>
      <w:pPr>
        <w:spacing w:after="0" w:line="17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of a Business Combination, the Company will use its best efforts to file with the SEC, and within 60 business days following a Business Combination to have declared effective, a registration statement covering the issuance of the shares of Class A common stock issuable upon exercise of the warrants and to maintain a current prospectus relating to those shares of Class A common stock until the warrants expire or are redeemed. Notwithstanding the above, if the Class A common stock is at the time of any exercise of a warrant not listed on a national securities exchange such that it satisfies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but will use its reasonable best efforts to qualify the shares under applicable blue sky laws to the extent an exemption is not available.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118"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Once the warrants become exercisable, the Company may redeem the Public Warrants:</w:t>
      </w:r>
    </w:p>
    <w:p>
      <w:pPr>
        <w:spacing w:after="0" w:line="225" w:lineRule="exact"/>
        <w:rPr>
          <w:sz w:val="20"/>
          <w:szCs w:val="20"/>
          <w:color w:val="auto"/>
        </w:rPr>
      </w:pPr>
    </w:p>
    <w:p>
      <w:pPr>
        <w:ind w:left="680" w:hanging="335"/>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3" w:lineRule="exact"/>
        <w:rPr>
          <w:rFonts w:ascii="Arial" w:cs="Arial" w:eastAsia="Arial" w:hAnsi="Arial"/>
          <w:sz w:val="18"/>
          <w:szCs w:val="18"/>
          <w:color w:val="auto"/>
        </w:rPr>
      </w:pPr>
    </w:p>
    <w:p>
      <w:pPr>
        <w:ind w:left="680" w:hanging="335"/>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or the 30-day redemption period, to each warrant holder; and</w:t>
      </w:r>
    </w:p>
    <w:p>
      <w:pPr>
        <w:spacing w:after="0" w:line="9" w:lineRule="exact"/>
        <w:rPr>
          <w:rFonts w:ascii="Arial" w:cs="Arial" w:eastAsia="Arial" w:hAnsi="Arial"/>
          <w:sz w:val="18"/>
          <w:szCs w:val="18"/>
          <w:color w:val="auto"/>
        </w:rPr>
      </w:pPr>
    </w:p>
    <w:p>
      <w:pPr>
        <w:ind w:left="680" w:right="20" w:hanging="335"/>
        <w:spacing w:after="0" w:line="290" w:lineRule="auto"/>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and only if, the closing price of the Company’s Class A common stock equals or exceeds $18.00 per share for any 20 trading days within a 30-trading day period ending on the third trading day prior to the date on which we send the notice of redemption to the warrant holders.</w:t>
      </w:r>
    </w:p>
    <w:p>
      <w:pPr>
        <w:spacing w:after="0" w:line="16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However, the warrants will not be adjusted for issuance of Class A common stock at a price below its exercise price. Additionally, in no event will the Company be required to net cash settle the warrants. If the Company is unable to complete a Business Combination within the Combination Window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9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Private Placement Warrants are identical to the Public Warrants underlying the Units sold in the Initial Public Offering, except that the Private Placement Warrants and the Class A common stock issuable upon the exercise of the Placement Warrants will not be transferable, assignable or salable until 30 days after the completion of a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MEASUREMENTS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92" w:lineRule="exact"/>
        <w:rPr>
          <w:sz w:val="20"/>
          <w:szCs w:val="20"/>
          <w:color w:val="auto"/>
        </w:rPr>
      </w:pPr>
    </w:p>
    <w:p>
      <w:pPr>
        <w:ind w:left="1260" w:hanging="904"/>
        <w:spacing w:after="0" w:line="308" w:lineRule="auto"/>
        <w:tabs>
          <w:tab w:leader="none" w:pos="12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46" w:lineRule="exact"/>
        <w:rPr>
          <w:sz w:val="20"/>
          <w:szCs w:val="20"/>
          <w:color w:val="auto"/>
        </w:rPr>
      </w:pPr>
    </w:p>
    <w:p>
      <w:pPr>
        <w:ind w:left="1260" w:right="20" w:hanging="904"/>
        <w:spacing w:after="0" w:line="277" w:lineRule="auto"/>
        <w:tabs>
          <w:tab w:leader="none" w:pos="12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170" w:lineRule="exact"/>
        <w:rPr>
          <w:sz w:val="20"/>
          <w:szCs w:val="20"/>
          <w:color w:val="auto"/>
        </w:rPr>
      </w:pPr>
    </w:p>
    <w:p>
      <w:pPr>
        <w:ind w:left="340"/>
        <w:spacing w:after="0"/>
        <w:tabs>
          <w:tab w:leader="none" w:pos="12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based on our assessment of the assumptions that market participants would use in pricing the asset or liability.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right="240" w:firstLine="324"/>
        <w:spacing w:after="0" w:line="277" w:lineRule="auto"/>
        <w:rPr>
          <w:sz w:val="20"/>
          <w:szCs w:val="20"/>
          <w:color w:val="auto"/>
        </w:rPr>
      </w:pPr>
      <w:r>
        <w:rPr>
          <w:rFonts w:ascii="Arial" w:cs="Arial" w:eastAsia="Arial" w:hAnsi="Arial"/>
          <w:sz w:val="18"/>
          <w:szCs w:val="18"/>
          <w:color w:val="auto"/>
        </w:rPr>
        <w:t>The following table presents information about the Company’s assets that are measured at fair value on a recurring basis at September 30, 2020, and indicates the fair value hierarchy of the valuation inputs the Company utilized to determine such fair value: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844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Level</w:t>
            </w:r>
          </w:p>
        </w:tc>
        <w:tc>
          <w:tcPr>
            <w:tcW w:w="134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8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440" w:type="dxa"/>
            <w:vAlign w:val="bottom"/>
            <w:gridSpan w:val="2"/>
          </w:tcPr>
          <w:p>
            <w:pPr>
              <w:spacing w:after="0"/>
              <w:rPr>
                <w:sz w:val="20"/>
                <w:szCs w:val="20"/>
                <w:color w:val="auto"/>
              </w:rPr>
            </w:pPr>
            <w:r>
              <w:rPr>
                <w:rFonts w:ascii="Arial" w:cs="Arial" w:eastAsia="Arial" w:hAnsi="Arial"/>
                <w:sz w:val="18"/>
                <w:szCs w:val="18"/>
                <w:color w:val="auto"/>
              </w:rPr>
              <w:t>Marketable securities held in Trust Account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$ 2,070,167,783</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SUBSEQUENT EVENTS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condensed financial statements were issued. Based upon this review, the Company did not identify any subsequent events that would have required adjustment or disclosure in the condensed financial statements.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References in this report (the “Quarterly Report”) to “we,” “us” or the “Company” refer to Churchill Capital Corp IV. References to our “management” or our “management team” refer to our officers and directors, and references to the “Sponsor” refer to Churchill Sponsor IV LLC. The following discussion and analysis of the Company’s financial condition and results of operations should be read in conjunction with the financial statements and the notes thereto contained elsewhere in this Quarterly Report. Certain information contained in the discussion and analysis set forth below includes forward-looking statements that involve risks and uncertainties.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This Quarterly Report includes “forward-looking statements” within the meaning of Section 27A of the Securities Act and Section 21E of the Exchange Act that are not historical facts and involve risks and uncertainties that could cause actual results to differ materially from those expected and projected. All statements, other than statements of historical fact included in this Quarterly Report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this Quarterly Report and the Risk Factors section of the Registration Statements on Form S-1 (Registration No. 333-239856 and 333-240179) filed with the SEC.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a blank check company formed under the laws of the State of Delaware for the purpose of effecting a merger, capital stock exchange, asset acquisition, stock purchase, reorganization or other similar business combination with one or more businesses. We intend to effectuate our Business Combination using cash from the proceeds of the Initial Public Offering and the sale of the Private Placement Warrants, our capital stock, debt or a combination of cash, stock and debt.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issuance of additional shares of our stock in a Business Combination:</w:t>
      </w:r>
    </w:p>
    <w:p>
      <w:pPr>
        <w:spacing w:after="0" w:line="225" w:lineRule="exact"/>
        <w:rPr>
          <w:sz w:val="20"/>
          <w:szCs w:val="20"/>
          <w:color w:val="auto"/>
        </w:rPr>
      </w:pPr>
    </w:p>
    <w:p>
      <w:pPr>
        <w:ind w:left="1020" w:hanging="337"/>
        <w:spacing w:after="0" w:line="291"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color w:val="auto"/>
        </w:rPr>
        <w:t>may significantly dilute the equity interest of investors, which dilution would increase if the anti-dilution provisions in the Class B common stock resulted in the issuance of Class A shares on a greater than one-to-one basis upon conversion of the Class B common stock;</w:t>
      </w:r>
    </w:p>
    <w:p>
      <w:pPr>
        <w:ind w:left="1020" w:hanging="337"/>
        <w:spacing w:after="0"/>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color w:val="auto"/>
        </w:rPr>
        <w:t>may subordinate the rights of holders of common stock if preferred stock is issued with rights senior to those afforded our common stock;</w:t>
      </w:r>
    </w:p>
    <w:p>
      <w:pPr>
        <w:spacing w:after="0" w:line="32" w:lineRule="exact"/>
        <w:rPr>
          <w:rFonts w:ascii="Arial" w:cs="Arial" w:eastAsia="Arial" w:hAnsi="Arial"/>
          <w:sz w:val="16"/>
          <w:szCs w:val="16"/>
          <w:color w:val="auto"/>
        </w:rPr>
      </w:pPr>
    </w:p>
    <w:p>
      <w:pPr>
        <w:ind w:left="1020" w:hanging="337"/>
        <w:spacing w:after="0" w:line="281"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could cause a change of control if a substantial number of shares of our common stock are issued, which may affect, among other things, our ability to use our net operating loss carry forwards, if any, and could result in the resignation or removal of our present officers and directors;</w:t>
      </w:r>
    </w:p>
    <w:p>
      <w:pPr>
        <w:spacing w:after="0" w:line="1" w:lineRule="exact"/>
        <w:rPr>
          <w:rFonts w:ascii="Arial" w:cs="Arial" w:eastAsia="Arial" w:hAnsi="Arial"/>
          <w:sz w:val="16"/>
          <w:szCs w:val="16"/>
          <w:color w:val="auto"/>
        </w:rPr>
      </w:pPr>
    </w:p>
    <w:p>
      <w:pPr>
        <w:ind w:left="1020" w:hanging="337"/>
        <w:spacing w:after="0" w:line="250"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stock ownership or voting rights of a person seeking to obtain control of us; and</w:t>
      </w:r>
    </w:p>
    <w:p>
      <w:pPr>
        <w:ind w:left="1020" w:hanging="337"/>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Class A common stock and/or warrants.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Similarly, if we issue debt securities or otherwise incur significant indebtedness, it could result in:</w:t>
      </w:r>
    </w:p>
    <w:p>
      <w:pPr>
        <w:spacing w:after="0" w:line="225" w:lineRule="exact"/>
        <w:rPr>
          <w:sz w:val="20"/>
          <w:szCs w:val="20"/>
          <w:color w:val="auto"/>
        </w:rPr>
      </w:pPr>
    </w:p>
    <w:p>
      <w:pPr>
        <w:ind w:left="1020" w:hanging="337"/>
        <w:spacing w:after="0" w:line="25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1" w:lineRule="exact"/>
        <w:rPr>
          <w:rFonts w:ascii="Arial" w:cs="Arial" w:eastAsia="Arial" w:hAnsi="Arial"/>
          <w:sz w:val="18"/>
          <w:szCs w:val="18"/>
          <w:color w:val="auto"/>
        </w:rPr>
      </w:pPr>
    </w:p>
    <w:p>
      <w:pPr>
        <w:ind w:left="1020" w:hanging="337"/>
        <w:spacing w:after="0" w:line="265"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ind w:left="1020" w:hanging="337"/>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9" w:lineRule="exact"/>
        <w:rPr>
          <w:rFonts w:ascii="Arial" w:cs="Arial" w:eastAsia="Arial" w:hAnsi="Arial"/>
          <w:sz w:val="18"/>
          <w:szCs w:val="18"/>
          <w:color w:val="auto"/>
        </w:rPr>
      </w:pPr>
    </w:p>
    <w:p>
      <w:pPr>
        <w:ind w:left="1020" w:right="20" w:hanging="337"/>
        <w:spacing w:after="0" w:line="250"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ind w:left="1020" w:hanging="337"/>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pay dividends on our common stock;</w:t>
      </w:r>
    </w:p>
    <w:p>
      <w:pPr>
        <w:spacing w:after="0" w:line="9" w:lineRule="exact"/>
        <w:rPr>
          <w:rFonts w:ascii="Arial" w:cs="Arial" w:eastAsia="Arial" w:hAnsi="Arial"/>
          <w:sz w:val="18"/>
          <w:szCs w:val="18"/>
          <w:color w:val="auto"/>
        </w:rPr>
      </w:pPr>
    </w:p>
    <w:p>
      <w:pPr>
        <w:ind w:left="1020" w:hanging="337"/>
        <w:spacing w:after="0" w:line="250"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using a substantial portion of our cash flow to pay principal and interest on our debt, which will reduce the funds available for dividends on our common stock if declared, expenses, capital expenditures, acquisitions and other general corporate purposes;</w:t>
      </w:r>
    </w:p>
    <w:p>
      <w:pPr>
        <w:ind w:left="1020" w:hanging="337"/>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left="1020" w:hanging="337"/>
        <w:spacing w:after="0" w:line="258"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1" w:lineRule="exact"/>
        <w:rPr>
          <w:rFonts w:ascii="Arial" w:cs="Arial" w:eastAsia="Arial" w:hAnsi="Arial"/>
          <w:sz w:val="18"/>
          <w:szCs w:val="18"/>
          <w:color w:val="auto"/>
        </w:rPr>
      </w:pPr>
    </w:p>
    <w:p>
      <w:pPr>
        <w:ind w:left="1020" w:right="20" w:hanging="337"/>
        <w:spacing w:after="0" w:line="290" w:lineRule="auto"/>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6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expect to continue to incur significant costs in the pursuit of our acquisition plans. We cannot assure you that our plans to raise capital or to complete our initial Business Combination will be successful.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have neither engaged in any operations nor generated any revenues to date. Our only activities through September 30, 2020 were organizational activities, those necessary to prepare for the Initial Public Offering, described below, and, after our Initial Public Offering, identifying a target company for a Business Combination. We do not expect to generate any operating revenues until after the completion of our Business Combination. We generate non-operating income in the form of interest income on marketable securities held in the Trust Account. We incur expenses as a result of being a public company (for legal, financial reporting, accounting and auditing compliance), as well as for due diligence expenses.</w:t>
      </w:r>
    </w:p>
    <w:p>
      <w:pPr>
        <w:spacing w:after="0" w:line="16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three months ended September 30, 2020, we had a net loss of $155,614, which consists of operating costs of $332,427 and an unrealized loss on marketable securities held in our Trust Account of $42,999, offset by interest income on marketable securities held in the Trust Account of $210,782 and a benefit from income taxes of $9,030.</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period from April 30, 2020 (inception) through September 30, 2020, we had a net loss of $156,614, which consists of operating costs of $333,427 and an unrealized loss on marketable securities held in our Trust Account of $42,999, offset by interest income on marketable securities held in the Trust Account of $210,782 and a benefit from income taxes of $9,030.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Until the consummation of the Initial Public Offering, our only source of liquidity was an initial purchase of common stock by the Sponsor and loans from our Sponsor.</w:t>
      </w:r>
    </w:p>
    <w:p>
      <w:pPr>
        <w:spacing w:after="0" w:line="17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On August 3, 2020, we consummated the Initial Public Offering of 207,000,000 Units, which includes the full exercise by the underwriters of the over-allotment option, at $10.00 per unit, generating gross proceeds of $2,070,000,000. Simultaneously with the closing of the Initial Public Offering, we consummated the sale of 42,850,000 Private Placement Warrants to the Sponsor at a price of $1.00 per warrant, generating gross proceeds of $42,850,000.</w:t>
      </w:r>
    </w:p>
    <w:p>
      <w:pPr>
        <w:spacing w:after="0" w:line="1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Following the Initial Public Offering, the exercise of the over-allotment option and the sale of the Private Placement Warrants, a total of $2,070,000,000 was placed in the Trust Account. We incurred $109,714,885 in transaction costs, including $36,403,600 of underwriting fees, $72,450,000 of deferred underwriting fees and $861,285 of other costs.</w:t>
      </w:r>
    </w:p>
    <w:p>
      <w:pPr>
        <w:spacing w:after="0" w:line="18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For the period from April 30, 2020 (inception) through September 30, 2020, cash used in operating activities was $1,391,728. Net loss of $156,614 was affected by interest earned on marketable securities held in the Trust Account of $210,782, unrealized loss of $42,999, a deferred tax provision change of $9,030, and changes in operating assets and liabilities, which used $1,058,301 of cash from operating activities.</w:t>
      </w:r>
    </w:p>
    <w:p>
      <w:pPr>
        <w:spacing w:after="0" w:line="16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of September 30, 2020, we had cash and marketable securities held in the trust account of $2,070,167,783. We intend to use substantially all of the funds held in the Trust Account, including any amounts representing interest earned on the Trust Account (less deferred underwriting commissions and income taxes payable), to complete our Business Combination. We may withdraw interest to pay franchise and income taxes. During the period ended September 30, 2020, we did not withdraw any interest earned on the Trust Account. To the extent that our capital stock or debt is used, in whole or in part, as consideration to complete our Business Combination, the remaining proceeds held in the Trust Account will be used as working capital to finance the operations of the target business or businesses, make other acquisitions and pursue our growth strategies.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September 30, 2020, we had cash of $4,218,387 outside of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8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order to fund working capital deficiencies or finance transaction costs in connection with a Business Combination, the initial stockholders or their affiliates may, but are not obligated to, loan us funds as may be required. If we complete a Business Combination, we would repay such loaned amounts.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warrants identical to the Private Placement Warrants, at a price of $1.00 per warrant at the option of the lender.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8" w:name="page19"/>
    <w:bookmarkEnd w:id="18"/>
    <w:p>
      <w:pPr>
        <w:jc w:val="both"/>
        <w:ind w:firstLine="324"/>
        <w:spacing w:after="0" w:line="270" w:lineRule="auto"/>
        <w:rPr>
          <w:sz w:val="20"/>
          <w:szCs w:val="20"/>
          <w:color w:val="auto"/>
        </w:rPr>
      </w:pPr>
      <w:r>
        <w:rPr>
          <w:rFonts w:ascii="Arial" w:cs="Arial" w:eastAsia="Arial" w:hAnsi="Arial"/>
          <w:sz w:val="17"/>
          <w:szCs w:val="17"/>
          <w:color w:val="auto"/>
        </w:rPr>
        <w:t>We do not believe we will need to raise additional funds in order to meet the expenditures required for operating our business. However, if our estimate of the costs of identifying a target business, undertaking in-depth due diligence and negotiating a Business Combination are less than the actual amount necessary to do so, we may have insufficient funds available to operate our business prior to our Business Combination. Moreover, we may need to obtain additional financing either to complete our Business Combination or because we become obligated to redeem a significant number of our public shares upon consummation of our Business Combination, in which case we may issue additional securities or incur debt in connection with such Business Combination. Subject to compliance with applicable securities laws, we would only complete such financing simultaneously with the completion of our Business Combination. If we are unable to complete our Business Combination because we do not have sufficient funds available to us, we will be forced to cease operations and liquidate the Trust Account. In addition, following our Business Combination, if cash on hand is insufficient, we may need to obtain additional financing in order to meet our obligations.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have any off-balance sheet arrangements as of September 30,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do not have any long-term debt, capital lease obligations, operating lease obligations or long-term liabilities, other than an agreement to pay an affiliate of the Sponsor a monthly fee of $50,000 for office space, administrative and support services to the Company. We began incurring these fees on July 30, 2020 and will continue to incur these fees monthly until the earlier of the completion of the Business Combination and our liquidation.</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underwriters are entitled to a deferred fee of $72,450,000 in the aggregate. The deferred fee will be waived by the underwriters in the event that we do not complete a Business Combination, subject to the terms of the underwriting agreement. The underwriters waived the upfront underwriting discount on 19,982,000 Units, resulting in a reduction of the upfront underwriting discount of $3,996,400. In addition, the underwriters reimbursed us an aggregate of $1,000,000 for costs incurred in connection with the Initial Public Offering.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preparation of condensed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A Common Stock Subject to Possible Redemption</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account for our shares of Class A common stock subject to possible redemption in accordance with the guidance in Accounting Standards Codification (“ASC”) Topic 480 “Distinguishing Liabilities from Equity.” Shares of Class A common stock subject to mandatory redemption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our control) is classified as temporary equity. At all other times, common stock is classified as stockholders’ equity. Our common stock features certain redemption rights that are considered to be outside of our control and subject to occurrence of uncertain future events. Accordingly, the Class A common stock subject to possible redemption is presented as temporary equity, outside of the stockholders’ equity section of our unaudited condensed balance sheet.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Common Share</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apply the two-class method in calculating earnings per share. Net income per common share, basic and diluted for Class A redeemable common stock is calculated by dividing the interest income earned on the Trust Account, net of applicable taxes, by the weighted average number of shares of Class A redeemable common stock outstanding for the periods. Net income per common share, basic and diluted for and Class B non-redeemable common stock is calculated by dividing net income less income attributable to Class A redeemable common stock, by the weighted average number of shares of Class B non-redeemable common stock outstanding for the periods presented.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standards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our condensed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September 30, 2020, we were not subject to any market or interest rate risk. Following the consummation of our Initial Public Offering, the net proceeds of our Initial Public Offering, including amounts in the Trust Account, have been invested in U.S. government treasury bills, notes or bonds with a maturity of 185 days or less or in certain money market funds that invest solely in U.S. treasuries. Due to the short-term nature of these investments, we believe there will be no associated material exposure to interest rate risk.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Under the supervision and with the participation of our management, including our principal executive officer and principal financial and accounting officer, we conducted an evaluation of the effectiveness of our disclosure controls and procedures as of the end of the fiscal quarter ended September 30, 2020, as such term is defined in Rules 13a-15(e) and 15d-15(e) under the Exchange Act. Based on this evaluation, our principal executive officer and principal financial and accounting officer have concluded that during the period covered by this report, our disclosure controls and procedures were effective at a reasonable assurance level and, accordingly, provided reasonable assurance that the information required to be disclosed by us in reports filed under the Exchange Act is recorded, processed, summarized and reported within the time periods specified in the SEC’s rules and forms.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There was no change in our internal control over financial reporting that occurred during the fiscal quarter of 2020 covered by this Quarterly Report on Form 10-Q that has materially affected, or is reasonably likely to materially affect, our internal control over financial reporting.</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Except as set forth below, as of the date of this Quarterly Report, there have been no material changes with respect to those risk factors previously disclosed in our Registration Statement filed with the SEC. Any of these factors could result in a significant or material adverse effect on our results of operations or financial condition. Additional risk factors not presently known to us or that we currently deem immaterial may also impair our business or results of operations.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securities in which we invest the funds held in the Trust Account could bear a negative rate of interest, which could reduce the value of the assets held in trust such that the per-share redemption amount received by public stockholders may be less than $10.00 per share.</w:t>
      </w:r>
    </w:p>
    <w:p>
      <w:pPr>
        <w:spacing w:after="0" w:line="14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proceeds held in the Trust Account are invested only in U.S. government treasury obligations with a maturity of 185 days or less or in money market funds meeting certain conditions under Rule 2a-7 under the Investment Company Act, which invest only in direct U.S. government treasury obligations. While short-term U.S. government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that we are unable to complete our initial business combination or make certain amendments to our Amended and Restated Certificate of Incorporation, our public stockholders are entitled to receive their pro-rata share of the proceeds held in the Trust Account, plus any interest income not released to us, net of taxes payable. Negative interest rates could impact the per-share redemption amount that may be received by public stockholders.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August 3, 2020, we consummated the Initial Public Offering of 207,000,000 Units, which includes the full exercise by the underwriters of their over-allotment option of 27,000,000 Units. The Units sold in the Initial Public Offering, including pursuant to the over-allotment option, were sold at an offering price of $10.00 per unit, generating total gross proceeds of $2,070,000,000. Citigroup Global Markets Inc., Goldman Sachs &amp; Co. LLC and J.P. Morgan acted as the joint book-runner and Academy Securities, Inc., Blaylock Van, LLC, Drexel Hamilton, LLC, Siebert Williams Shank &amp; Co., LLC and Tigress Financial Partners LLC as the co-manager of the Initial Public Offering. The securities in the offering were registered under the Securities Act on registration statements on Form S-1 (No. 333-239856 and 333-240179). The Securities and Exchange Commission declared the registration statements effective on July 29, 2020.</w:t>
      </w:r>
    </w:p>
    <w:p>
      <w:pPr>
        <w:spacing w:after="0" w:line="1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Simultaneous with the consummation of the Initial Public Offering, we consummated the private placement of an aggregate of 42,850,000 Private Placement Warrants to the Sponsor at a price of $1.00 per Private Placement Warrant, generating total proceeds of $42,850,000. The issuance was made pursuant to the exemption from registration contained in Section 4(a)(2) of the Securities Act.</w:t>
      </w:r>
    </w:p>
    <w:p>
      <w:pPr>
        <w:spacing w:after="0" w:line="18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Private Placement Warrants are identical to the warrants underlying the Units sold in the Initial Public Offering, except that the Private Placement Warrants are not transferable, assignable or salable until 30 days after the completion of a Business Combination, subject to certain limited exceptions.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Of the gross proceeds received from the Initial Public Offering and the Private Placement Warrants, $2,070,000,000 was placed in the Trust Account.</w:t>
      </w:r>
    </w:p>
    <w:p>
      <w:pPr>
        <w:spacing w:after="0" w:line="2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paid a total of $36,403,600 in underwriting discounts and commissions and $861,285 for other costs and expenses related to the Initial Public Offering. In addition, the underwriters agreed to defer up to $72,450,000 in underwriting discounts and commissions.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 description of the use of the proceeds generated in our Initial Public Offering, see Part I, Item 2 of this Form 10-Q.</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exhibits are filed as part of, or incorporated by reference into, this Quarterly Report on Form 10-Q.</w:t>
      </w:r>
    </w:p>
    <w:p>
      <w:pPr>
        <w:sectPr>
          <w:pgSz w:w="11900" w:h="16838" w:orient="portrait"/>
          <w:cols w:equalWidth="0" w:num="1">
            <w:col w:w="11240"/>
          </w:cols>
          <w:pgMar w:left="320" w:top="904" w:right="339" w:bottom="1440" w:gutter="0" w:footer="0" w:header="0"/>
        </w:sectPr>
      </w:pPr>
    </w:p>
    <w:p>
      <w:pPr>
        <w:spacing w:after="0" w:line="24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00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7" w:lineRule="exact"/>
        <w:rPr>
          <w:sz w:val="20"/>
          <w:szCs w:val="20"/>
          <w:color w:val="auto"/>
        </w:rPr>
      </w:pPr>
    </w:p>
    <w:p>
      <w:pPr>
        <w:ind w:left="460"/>
        <w:spacing w:after="0"/>
        <w:rPr>
          <w:rFonts w:ascii="Arial" w:cs="Arial" w:eastAsia="Arial" w:hAnsi="Arial"/>
          <w:sz w:val="18"/>
          <w:szCs w:val="18"/>
          <w:u w:val="single" w:color="auto"/>
          <w:color w:val="0000EE"/>
        </w:rPr>
      </w:pPr>
      <w:hyperlink r:id="rId43">
        <w:r>
          <w:rPr>
            <w:rFonts w:ascii="Arial" w:cs="Arial" w:eastAsia="Arial" w:hAnsi="Arial"/>
            <w:sz w:val="18"/>
            <w:szCs w:val="18"/>
            <w:u w:val="single" w:color="auto"/>
            <w:color w:val="0000EE"/>
          </w:rPr>
          <w:t>1.1</w:t>
        </w:r>
      </w:hyperlink>
    </w:p>
    <w:p>
      <w:pPr>
        <w:spacing w:after="0" w:line="265" w:lineRule="exact"/>
        <w:rPr>
          <w:sz w:val="20"/>
          <w:szCs w:val="20"/>
          <w:color w:val="auto"/>
        </w:rPr>
      </w:pPr>
    </w:p>
    <w:p>
      <w:pPr>
        <w:ind w:left="460"/>
        <w:spacing w:after="0"/>
        <w:rPr>
          <w:rFonts w:ascii="Arial" w:cs="Arial" w:eastAsia="Arial" w:hAnsi="Arial"/>
          <w:sz w:val="18"/>
          <w:szCs w:val="18"/>
          <w:u w:val="single" w:color="auto"/>
          <w:color w:val="0000EE"/>
        </w:rPr>
      </w:pPr>
      <w:hyperlink r:id="rId44">
        <w:r>
          <w:rPr>
            <w:rFonts w:ascii="Arial" w:cs="Arial" w:eastAsia="Arial" w:hAnsi="Arial"/>
            <w:sz w:val="18"/>
            <w:szCs w:val="18"/>
            <w:u w:val="single" w:color="auto"/>
            <w:color w:val="0000EE"/>
          </w:rPr>
          <w:t>4.1</w:t>
        </w:r>
      </w:hyperlink>
    </w:p>
    <w:p>
      <w:pPr>
        <w:spacing w:after="0" w:line="50" w:lineRule="exact"/>
        <w:rPr>
          <w:sz w:val="20"/>
          <w:szCs w:val="20"/>
          <w:color w:val="auto"/>
        </w:rPr>
      </w:pPr>
    </w:p>
    <w:p>
      <w:pPr>
        <w:ind w:left="420"/>
        <w:spacing w:after="0"/>
        <w:rPr>
          <w:rFonts w:ascii="Arial" w:cs="Arial" w:eastAsia="Arial" w:hAnsi="Arial"/>
          <w:sz w:val="18"/>
          <w:szCs w:val="18"/>
          <w:u w:val="single" w:color="auto"/>
          <w:color w:val="0000EE"/>
        </w:rPr>
      </w:pPr>
      <w:hyperlink r:id="rId45">
        <w:r>
          <w:rPr>
            <w:rFonts w:ascii="Arial" w:cs="Arial" w:eastAsia="Arial" w:hAnsi="Arial"/>
            <w:sz w:val="18"/>
            <w:szCs w:val="18"/>
            <w:u w:val="single" w:color="auto"/>
            <w:color w:val="0000EE"/>
          </w:rPr>
          <w:t>10.1</w:t>
        </w:r>
      </w:hyperlink>
    </w:p>
    <w:p>
      <w:pPr>
        <w:spacing w:after="0" w:line="50" w:lineRule="exact"/>
        <w:rPr>
          <w:sz w:val="20"/>
          <w:szCs w:val="20"/>
          <w:color w:val="auto"/>
        </w:rPr>
      </w:pPr>
    </w:p>
    <w:p>
      <w:pPr>
        <w:ind w:left="420"/>
        <w:spacing w:after="0"/>
        <w:rPr>
          <w:rFonts w:ascii="Arial" w:cs="Arial" w:eastAsia="Arial" w:hAnsi="Arial"/>
          <w:sz w:val="18"/>
          <w:szCs w:val="18"/>
          <w:u w:val="single" w:color="auto"/>
          <w:color w:val="0000EE"/>
        </w:rPr>
      </w:pPr>
      <w:hyperlink r:id="rId46">
        <w:r>
          <w:rPr>
            <w:rFonts w:ascii="Arial" w:cs="Arial" w:eastAsia="Arial" w:hAnsi="Arial"/>
            <w:sz w:val="18"/>
            <w:szCs w:val="18"/>
            <w:u w:val="single" w:color="auto"/>
            <w:color w:val="0000EE"/>
          </w:rPr>
          <w:t>10.2</w:t>
        </w:r>
      </w:hyperlink>
    </w:p>
    <w:p>
      <w:pPr>
        <w:spacing w:after="0" w:line="266" w:lineRule="exact"/>
        <w:rPr>
          <w:sz w:val="20"/>
          <w:szCs w:val="20"/>
          <w:color w:val="auto"/>
        </w:rPr>
      </w:pPr>
    </w:p>
    <w:p>
      <w:pPr>
        <w:ind w:left="420"/>
        <w:spacing w:after="0"/>
        <w:rPr>
          <w:rFonts w:ascii="Arial" w:cs="Arial" w:eastAsia="Arial" w:hAnsi="Arial"/>
          <w:sz w:val="18"/>
          <w:szCs w:val="18"/>
          <w:u w:val="single" w:color="auto"/>
          <w:color w:val="0000EE"/>
        </w:rPr>
      </w:pPr>
      <w:hyperlink r:id="rId47">
        <w:r>
          <w:rPr>
            <w:rFonts w:ascii="Arial" w:cs="Arial" w:eastAsia="Arial" w:hAnsi="Arial"/>
            <w:sz w:val="18"/>
            <w:szCs w:val="18"/>
            <w:u w:val="single" w:color="auto"/>
            <w:color w:val="0000EE"/>
          </w:rPr>
          <w:t>10.3</w:t>
        </w:r>
      </w:hyperlink>
    </w:p>
    <w:p>
      <w:pPr>
        <w:spacing w:after="0" w:line="50" w:lineRule="exact"/>
        <w:rPr>
          <w:sz w:val="20"/>
          <w:szCs w:val="20"/>
          <w:color w:val="auto"/>
        </w:rPr>
      </w:pPr>
    </w:p>
    <w:p>
      <w:pPr>
        <w:ind w:left="420"/>
        <w:spacing w:after="0"/>
        <w:rPr>
          <w:rFonts w:ascii="Arial" w:cs="Arial" w:eastAsia="Arial" w:hAnsi="Arial"/>
          <w:sz w:val="18"/>
          <w:szCs w:val="18"/>
          <w:u w:val="single" w:color="auto"/>
          <w:color w:val="0000EE"/>
        </w:rPr>
      </w:pPr>
      <w:hyperlink r:id="rId48">
        <w:r>
          <w:rPr>
            <w:rFonts w:ascii="Arial" w:cs="Arial" w:eastAsia="Arial" w:hAnsi="Arial"/>
            <w:sz w:val="18"/>
            <w:szCs w:val="18"/>
            <w:u w:val="single" w:color="auto"/>
            <w:color w:val="0000EE"/>
          </w:rPr>
          <w:t>10.4</w:t>
        </w:r>
      </w:hyperlink>
    </w:p>
    <w:p>
      <w:pPr>
        <w:spacing w:after="0" w:line="50" w:lineRule="exact"/>
        <w:rPr>
          <w:sz w:val="20"/>
          <w:szCs w:val="20"/>
          <w:color w:val="auto"/>
        </w:rPr>
      </w:pPr>
    </w:p>
    <w:p>
      <w:pPr>
        <w:ind w:left="420"/>
        <w:spacing w:after="0"/>
        <w:rPr>
          <w:rFonts w:ascii="Arial" w:cs="Arial" w:eastAsia="Arial" w:hAnsi="Arial"/>
          <w:sz w:val="18"/>
          <w:szCs w:val="18"/>
          <w:u w:val="single" w:color="auto"/>
          <w:color w:val="0000EE"/>
        </w:rPr>
      </w:pPr>
      <w:hyperlink r:id="rId49">
        <w:r>
          <w:rPr>
            <w:rFonts w:ascii="Arial" w:cs="Arial" w:eastAsia="Arial" w:hAnsi="Arial"/>
            <w:sz w:val="18"/>
            <w:szCs w:val="18"/>
            <w:u w:val="single" w:color="auto"/>
            <w:color w:val="0000EE"/>
          </w:rPr>
          <w:t>10.5</w:t>
        </w:r>
      </w:hyperlink>
    </w:p>
    <w:p>
      <w:pPr>
        <w:spacing w:after="0" w:line="50" w:lineRule="exact"/>
        <w:rPr>
          <w:sz w:val="20"/>
          <w:szCs w:val="20"/>
          <w:color w:val="auto"/>
        </w:rPr>
      </w:pPr>
    </w:p>
    <w:p>
      <w:pPr>
        <w:ind w:left="420"/>
        <w:spacing w:after="0"/>
        <w:rPr>
          <w:rFonts w:ascii="Arial" w:cs="Arial" w:eastAsia="Arial" w:hAnsi="Arial"/>
          <w:sz w:val="18"/>
          <w:szCs w:val="18"/>
          <w:u w:val="single" w:color="auto"/>
          <w:color w:val="0000EE"/>
        </w:rPr>
      </w:pPr>
      <w:hyperlink r:id="rId50">
        <w:r>
          <w:rPr>
            <w:rFonts w:ascii="Arial" w:cs="Arial" w:eastAsia="Arial" w:hAnsi="Arial"/>
            <w:sz w:val="18"/>
            <w:szCs w:val="18"/>
            <w:u w:val="single" w:color="auto"/>
            <w:color w:val="0000EE"/>
          </w:rPr>
          <w:t>10.6</w:t>
        </w:r>
      </w:hyperlink>
    </w:p>
    <w:p>
      <w:pPr>
        <w:spacing w:after="0" w:line="50" w:lineRule="exact"/>
        <w:rPr>
          <w:sz w:val="20"/>
          <w:szCs w:val="20"/>
          <w:color w:val="auto"/>
        </w:rPr>
      </w:pPr>
    </w:p>
    <w:p>
      <w:pPr>
        <w:ind w:left="420"/>
        <w:spacing w:after="0"/>
        <w:rPr>
          <w:rFonts w:ascii="Arial" w:cs="Arial" w:eastAsia="Arial" w:hAnsi="Arial"/>
          <w:sz w:val="18"/>
          <w:szCs w:val="18"/>
          <w:u w:val="single" w:color="auto"/>
          <w:color w:val="0000EE"/>
        </w:rPr>
      </w:pPr>
      <w:hyperlink r:id="rId51">
        <w:r>
          <w:rPr>
            <w:rFonts w:ascii="Arial" w:cs="Arial" w:eastAsia="Arial" w:hAnsi="Arial"/>
            <w:sz w:val="18"/>
            <w:szCs w:val="18"/>
            <w:u w:val="single" w:color="auto"/>
            <w:color w:val="0000EE"/>
          </w:rPr>
          <w:t>10.7</w:t>
        </w:r>
      </w:hyperlink>
    </w:p>
    <w:p>
      <w:pPr>
        <w:spacing w:after="0" w:line="50" w:lineRule="exact"/>
        <w:rPr>
          <w:sz w:val="20"/>
          <w:szCs w:val="20"/>
          <w:color w:val="auto"/>
        </w:rPr>
      </w:pPr>
    </w:p>
    <w:p>
      <w:pPr>
        <w:ind w:left="420"/>
        <w:spacing w:after="0"/>
        <w:rPr>
          <w:rFonts w:ascii="Arial" w:cs="Arial" w:eastAsia="Arial" w:hAnsi="Arial"/>
          <w:sz w:val="18"/>
          <w:szCs w:val="18"/>
          <w:u w:val="single" w:color="auto"/>
          <w:color w:val="0000EE"/>
        </w:rPr>
      </w:pPr>
      <w:hyperlink r:id="rId52">
        <w:r>
          <w:rPr>
            <w:rFonts w:ascii="Arial" w:cs="Arial" w:eastAsia="Arial" w:hAnsi="Arial"/>
            <w:sz w:val="18"/>
            <w:szCs w:val="18"/>
            <w:u w:val="single" w:color="auto"/>
            <w:color w:val="0000EE"/>
          </w:rPr>
          <w:t>10.8</w:t>
        </w:r>
      </w:hyperlink>
    </w:p>
    <w:p>
      <w:pPr>
        <w:spacing w:after="0" w:line="50" w:lineRule="exact"/>
        <w:rPr>
          <w:sz w:val="20"/>
          <w:szCs w:val="20"/>
          <w:color w:val="auto"/>
        </w:rPr>
      </w:pPr>
    </w:p>
    <w:p>
      <w:pPr>
        <w:ind w:left="420"/>
        <w:spacing w:after="0"/>
        <w:rPr>
          <w:rFonts w:ascii="Arial" w:cs="Arial" w:eastAsia="Arial" w:hAnsi="Arial"/>
          <w:sz w:val="18"/>
          <w:szCs w:val="18"/>
          <w:u w:val="single" w:color="auto"/>
          <w:color w:val="0000EE"/>
        </w:rPr>
      </w:pPr>
      <w:hyperlink r:id="rId53">
        <w:r>
          <w:rPr>
            <w:rFonts w:ascii="Arial" w:cs="Arial" w:eastAsia="Arial" w:hAnsi="Arial"/>
            <w:sz w:val="18"/>
            <w:szCs w:val="18"/>
            <w:u w:val="single" w:color="auto"/>
            <w:color w:val="0000EE"/>
          </w:rPr>
          <w:t>10.9</w:t>
        </w:r>
      </w:hyperlink>
    </w:p>
    <w:p>
      <w:pPr>
        <w:spacing w:after="0" w:line="50" w:lineRule="exact"/>
        <w:rPr>
          <w:sz w:val="20"/>
          <w:szCs w:val="20"/>
          <w:color w:val="auto"/>
        </w:rPr>
      </w:pPr>
    </w:p>
    <w:p>
      <w:pPr>
        <w:ind w:left="380"/>
        <w:spacing w:after="0"/>
        <w:rPr>
          <w:rFonts w:ascii="Arial" w:cs="Arial" w:eastAsia="Arial" w:hAnsi="Arial"/>
          <w:sz w:val="15"/>
          <w:szCs w:val="15"/>
          <w:u w:val="single" w:color="auto"/>
          <w:color w:val="0000EE"/>
        </w:rPr>
      </w:pPr>
      <w:hyperlink r:id="rId54">
        <w:r>
          <w:rPr>
            <w:rFonts w:ascii="Arial" w:cs="Arial" w:eastAsia="Arial" w:hAnsi="Arial"/>
            <w:sz w:val="15"/>
            <w:szCs w:val="15"/>
            <w:u w:val="single" w:color="auto"/>
            <w:color w:val="0000EE"/>
          </w:rPr>
          <w:t>10.10</w:t>
        </w:r>
      </w:hyperlink>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62750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5">
                      <a:extLst>
                        <a:ext uri="{28A0092B-C50C-407E-A947-70E740481C1C}"/>
                      </a:extLst>
                    </a:blip>
                    <a:srcRect/>
                    <a:stretch>
                      <a:fillRect/>
                    </a:stretch>
                  </pic:blipFill>
                  <pic:spPr bwMode="auto">
                    <a:xfrm>
                      <a:off x="0" y="0"/>
                      <a:ext cx="6275070" cy="8255"/>
                    </a:xfrm>
                    <a:prstGeom prst="rect">
                      <a:avLst/>
                    </a:prstGeom>
                    <a:noFill/>
                  </pic:spPr>
                </pic:pic>
              </a:graphicData>
            </a:graphic>
          </wp:anchor>
        </w:drawing>
      </w:r>
    </w:p>
    <w:p>
      <w:pPr>
        <w:spacing w:after="0" w:line="7" w:lineRule="exact"/>
        <w:rPr>
          <w:sz w:val="20"/>
          <w:szCs w:val="20"/>
          <w:color w:val="auto"/>
        </w:rPr>
      </w:pPr>
    </w:p>
    <w:p>
      <w:pPr>
        <w:spacing w:after="0" w:line="216" w:lineRule="auto"/>
        <w:rPr>
          <w:rFonts w:ascii="Arial" w:cs="Arial" w:eastAsia="Arial" w:hAnsi="Arial"/>
          <w:sz w:val="18"/>
          <w:szCs w:val="18"/>
          <w:u w:val="single" w:color="auto"/>
          <w:color w:val="0000EE"/>
        </w:rPr>
      </w:pPr>
      <w:hyperlink r:id="rId43">
        <w:r>
          <w:rPr>
            <w:rFonts w:ascii="Arial" w:cs="Arial" w:eastAsia="Arial" w:hAnsi="Arial"/>
            <w:sz w:val="18"/>
            <w:szCs w:val="18"/>
            <w:u w:val="single" w:color="auto"/>
            <w:color w:val="0000EE"/>
          </w:rPr>
          <w:t>Underwriting Agreement, dated July 29, 2020, among the Company and Citigroup Global Markets Inc., as representative of the</w:t>
        </w:r>
      </w:hyperlink>
      <w:r>
        <w:rPr>
          <w:rFonts w:ascii="Arial" w:cs="Arial" w:eastAsia="Arial" w:hAnsi="Arial"/>
          <w:sz w:val="18"/>
          <w:szCs w:val="18"/>
          <w:u w:val="single" w:color="auto"/>
          <w:color w:val="0000EE"/>
        </w:rPr>
        <w:t xml:space="preserve"> </w:t>
      </w:r>
      <w:hyperlink r:id="rId43">
        <w:r>
          <w:rPr>
            <w:rFonts w:ascii="Arial" w:cs="Arial" w:eastAsia="Arial" w:hAnsi="Arial"/>
            <w:sz w:val="18"/>
            <w:szCs w:val="18"/>
            <w:u w:val="single" w:color="auto"/>
            <w:color w:val="0000EE"/>
          </w:rPr>
          <w:t>underwriters.</w:t>
        </w:r>
        <w:r>
          <w:rPr>
            <w:rFonts w:ascii="Arial" w:cs="Arial" w:eastAsia="Arial" w:hAnsi="Arial"/>
            <w:sz w:val="29"/>
            <w:szCs w:val="29"/>
            <w:u w:val="single" w:color="auto"/>
            <w:color w:val="0000EE"/>
            <w:vertAlign w:val="superscript"/>
          </w:rPr>
          <w:t>(1)</w:t>
        </w:r>
      </w:hyperlink>
    </w:p>
    <w:p>
      <w:pPr>
        <w:spacing w:after="0"/>
        <w:rPr>
          <w:rFonts w:ascii="Arial" w:cs="Arial" w:eastAsia="Arial" w:hAnsi="Arial"/>
          <w:sz w:val="16"/>
          <w:szCs w:val="16"/>
          <w:u w:val="single" w:color="auto"/>
          <w:color w:val="0000EE"/>
        </w:rPr>
      </w:pPr>
      <w:hyperlink r:id="rId44">
        <w:r>
          <w:rPr>
            <w:rFonts w:ascii="Arial" w:cs="Arial" w:eastAsia="Arial" w:hAnsi="Arial"/>
            <w:sz w:val="16"/>
            <w:szCs w:val="16"/>
            <w:u w:val="single" w:color="auto"/>
            <w:color w:val="0000EE"/>
          </w:rPr>
          <w:t xml:space="preserve">Warrant Agreement, dated July 29, 2020, between the Company and Continental Stock Transfer &amp; Trust Company, as warrant agent. </w:t>
        </w:r>
        <w:r>
          <w:rPr>
            <w:rFonts w:ascii="Arial" w:cs="Arial" w:eastAsia="Arial" w:hAnsi="Arial"/>
            <w:sz w:val="26"/>
            <w:szCs w:val="26"/>
            <w:u w:val="single" w:color="auto"/>
            <w:color w:val="0000EE"/>
            <w:vertAlign w:val="superscript"/>
          </w:rPr>
          <w:t>(1)</w:t>
        </w:r>
      </w:hyperlink>
    </w:p>
    <w:p>
      <w:pPr>
        <w:spacing w:after="0" w:line="180" w:lineRule="auto"/>
        <w:rPr>
          <w:rFonts w:ascii="Arial" w:cs="Arial" w:eastAsia="Arial" w:hAnsi="Arial"/>
          <w:sz w:val="16"/>
          <w:szCs w:val="16"/>
          <w:u w:val="single" w:color="auto"/>
          <w:color w:val="0000EE"/>
        </w:rPr>
      </w:pPr>
      <w:hyperlink r:id="rId45">
        <w:r>
          <w:rPr>
            <w:rFonts w:ascii="Arial" w:cs="Arial" w:eastAsia="Arial" w:hAnsi="Arial"/>
            <w:sz w:val="16"/>
            <w:szCs w:val="16"/>
            <w:u w:val="single" w:color="auto"/>
            <w:color w:val="0000EE"/>
          </w:rPr>
          <w:t xml:space="preserve">Letter Agreement, dated July 29, 2020, among the Company, its officers and directors and the Sponsor. </w:t>
        </w:r>
        <w:r>
          <w:rPr>
            <w:rFonts w:ascii="Arial" w:cs="Arial" w:eastAsia="Arial" w:hAnsi="Arial"/>
            <w:sz w:val="25"/>
            <w:szCs w:val="25"/>
            <w:u w:val="single" w:color="auto"/>
            <w:color w:val="0000EE"/>
            <w:vertAlign w:val="superscript"/>
          </w:rPr>
          <w:t>(1)</w:t>
        </w:r>
      </w:hyperlink>
    </w:p>
    <w:p>
      <w:pPr>
        <w:ind w:right="20"/>
        <w:spacing w:after="0" w:line="209" w:lineRule="auto"/>
        <w:rPr>
          <w:rFonts w:ascii="Arial" w:cs="Arial" w:eastAsia="Arial" w:hAnsi="Arial"/>
          <w:sz w:val="18"/>
          <w:szCs w:val="18"/>
          <w:u w:val="single" w:color="auto"/>
          <w:color w:val="0000EE"/>
        </w:rPr>
      </w:pPr>
      <w:hyperlink r:id="rId46">
        <w:r>
          <w:rPr>
            <w:rFonts w:ascii="Arial" w:cs="Arial" w:eastAsia="Arial" w:hAnsi="Arial"/>
            <w:sz w:val="18"/>
            <w:szCs w:val="18"/>
            <w:u w:val="single" w:color="auto"/>
            <w:color w:val="0000EE"/>
          </w:rPr>
          <w:t>Investment Management Trust Agreement, dated July 29, 2020, between the Company and Continental Stock Transfer &amp; Trust</w:t>
        </w:r>
      </w:hyperlink>
      <w:r>
        <w:rPr>
          <w:rFonts w:ascii="Arial" w:cs="Arial" w:eastAsia="Arial" w:hAnsi="Arial"/>
          <w:sz w:val="18"/>
          <w:szCs w:val="18"/>
          <w:u w:val="single" w:color="auto"/>
          <w:color w:val="0000EE"/>
        </w:rPr>
        <w:t xml:space="preserve"> </w:t>
      </w:r>
      <w:hyperlink r:id="rId46">
        <w:r>
          <w:rPr>
            <w:rFonts w:ascii="Arial" w:cs="Arial" w:eastAsia="Arial" w:hAnsi="Arial"/>
            <w:sz w:val="18"/>
            <w:szCs w:val="18"/>
            <w:u w:val="single" w:color="auto"/>
            <w:color w:val="0000EE"/>
          </w:rPr>
          <w:t xml:space="preserve">Company, as trustee. </w:t>
        </w:r>
        <w:r>
          <w:rPr>
            <w:rFonts w:ascii="Arial" w:cs="Arial" w:eastAsia="Arial" w:hAnsi="Arial"/>
            <w:sz w:val="29"/>
            <w:szCs w:val="29"/>
            <w:u w:val="single" w:color="auto"/>
            <w:color w:val="0000EE"/>
            <w:vertAlign w:val="superscript"/>
          </w:rPr>
          <w:t>(1)</w:t>
        </w:r>
      </w:hyperlink>
    </w:p>
    <w:p>
      <w:pPr>
        <w:spacing w:after="0" w:line="222" w:lineRule="auto"/>
        <w:rPr>
          <w:rFonts w:ascii="Arial" w:cs="Arial" w:eastAsia="Arial" w:hAnsi="Arial"/>
          <w:sz w:val="17"/>
          <w:szCs w:val="17"/>
          <w:u w:val="single" w:color="auto"/>
          <w:color w:val="0000EE"/>
        </w:rPr>
      </w:pPr>
      <w:hyperlink r:id="rId47">
        <w:r>
          <w:rPr>
            <w:rFonts w:ascii="Arial" w:cs="Arial" w:eastAsia="Arial" w:hAnsi="Arial"/>
            <w:sz w:val="17"/>
            <w:szCs w:val="17"/>
            <w:u w:val="single" w:color="auto"/>
            <w:color w:val="0000EE"/>
          </w:rPr>
          <w:t xml:space="preserve">Registration Rights Agreement, dated July 29, 2020, among the Company and certain other security holders named therein. </w:t>
        </w:r>
        <w:r>
          <w:rPr>
            <w:rFonts w:ascii="Arial" w:cs="Arial" w:eastAsia="Arial" w:hAnsi="Arial"/>
            <w:sz w:val="28"/>
            <w:szCs w:val="28"/>
            <w:u w:val="single" w:color="auto"/>
            <w:color w:val="0000EE"/>
            <w:vertAlign w:val="superscript"/>
          </w:rPr>
          <w:t>(1)</w:t>
        </w:r>
      </w:hyperlink>
    </w:p>
    <w:p>
      <w:pPr>
        <w:spacing w:after="0" w:line="180" w:lineRule="auto"/>
        <w:rPr>
          <w:rFonts w:ascii="Arial" w:cs="Arial" w:eastAsia="Arial" w:hAnsi="Arial"/>
          <w:sz w:val="16"/>
          <w:szCs w:val="16"/>
          <w:u w:val="single" w:color="auto"/>
          <w:color w:val="0000EE"/>
        </w:rPr>
      </w:pPr>
      <w:hyperlink r:id="rId48">
        <w:r>
          <w:rPr>
            <w:rFonts w:ascii="Arial" w:cs="Arial" w:eastAsia="Arial" w:hAnsi="Arial"/>
            <w:sz w:val="16"/>
            <w:szCs w:val="16"/>
            <w:u w:val="single" w:color="auto"/>
            <w:color w:val="0000EE"/>
          </w:rPr>
          <w:t xml:space="preserve">Private Placement Warrant Purchase Agreement, July 29, 2020, between the Company and the Sponsor. </w:t>
        </w:r>
        <w:r>
          <w:rPr>
            <w:rFonts w:ascii="Arial" w:cs="Arial" w:eastAsia="Arial" w:hAnsi="Arial"/>
            <w:sz w:val="25"/>
            <w:szCs w:val="25"/>
            <w:u w:val="single" w:color="auto"/>
            <w:color w:val="0000EE"/>
            <w:vertAlign w:val="superscript"/>
          </w:rPr>
          <w:t>(1)</w:t>
        </w:r>
      </w:hyperlink>
    </w:p>
    <w:p>
      <w:pPr>
        <w:spacing w:after="0" w:line="214" w:lineRule="auto"/>
        <w:rPr>
          <w:rFonts w:ascii="Arial" w:cs="Arial" w:eastAsia="Arial" w:hAnsi="Arial"/>
          <w:sz w:val="18"/>
          <w:szCs w:val="18"/>
          <w:u w:val="single" w:color="auto"/>
          <w:color w:val="0000EE"/>
        </w:rPr>
      </w:pPr>
      <w:hyperlink r:id="rId49">
        <w:r>
          <w:rPr>
            <w:rFonts w:ascii="Arial" w:cs="Arial" w:eastAsia="Arial" w:hAnsi="Arial"/>
            <w:sz w:val="18"/>
            <w:szCs w:val="18"/>
            <w:u w:val="single" w:color="auto"/>
            <w:color w:val="0000EE"/>
          </w:rPr>
          <w:t xml:space="preserve">Indemnity Agreement, dated July 29, 2020, between the Company and Michael Klein. </w:t>
        </w:r>
        <w:r>
          <w:rPr>
            <w:rFonts w:ascii="Arial" w:cs="Arial" w:eastAsia="Arial" w:hAnsi="Arial"/>
            <w:sz w:val="29"/>
            <w:szCs w:val="29"/>
            <w:u w:val="single" w:color="auto"/>
            <w:color w:val="0000EE"/>
            <w:vertAlign w:val="superscript"/>
          </w:rPr>
          <w:t>(1)</w:t>
        </w:r>
      </w:hyperlink>
    </w:p>
    <w:p>
      <w:pPr>
        <w:spacing w:after="0" w:line="185" w:lineRule="auto"/>
        <w:rPr>
          <w:rFonts w:ascii="Arial" w:cs="Arial" w:eastAsia="Arial" w:hAnsi="Arial"/>
          <w:sz w:val="18"/>
          <w:szCs w:val="18"/>
          <w:u w:val="single" w:color="auto"/>
          <w:color w:val="0000EE"/>
        </w:rPr>
      </w:pPr>
      <w:hyperlink r:id="rId50">
        <w:r>
          <w:rPr>
            <w:rFonts w:ascii="Arial" w:cs="Arial" w:eastAsia="Arial" w:hAnsi="Arial"/>
            <w:sz w:val="18"/>
            <w:szCs w:val="18"/>
            <w:u w:val="single" w:color="auto"/>
            <w:color w:val="0000EE"/>
          </w:rPr>
          <w:t xml:space="preserve">Indemnity Agreement, July 29, 2020, between the Company and Jay Taragin. </w:t>
        </w:r>
        <w:r>
          <w:rPr>
            <w:rFonts w:ascii="Arial" w:cs="Arial" w:eastAsia="Arial" w:hAnsi="Arial"/>
            <w:sz w:val="29"/>
            <w:szCs w:val="29"/>
            <w:u w:val="single" w:color="auto"/>
            <w:color w:val="0000EE"/>
            <w:vertAlign w:val="superscript"/>
          </w:rPr>
          <w:t>(1)</w:t>
        </w:r>
      </w:hyperlink>
    </w:p>
    <w:p>
      <w:pPr>
        <w:spacing w:after="0" w:line="184" w:lineRule="auto"/>
        <w:rPr>
          <w:rFonts w:ascii="Arial" w:cs="Arial" w:eastAsia="Arial" w:hAnsi="Arial"/>
          <w:sz w:val="18"/>
          <w:szCs w:val="18"/>
          <w:u w:val="single" w:color="auto"/>
          <w:color w:val="0000EE"/>
        </w:rPr>
      </w:pPr>
      <w:hyperlink r:id="rId51">
        <w:r>
          <w:rPr>
            <w:rFonts w:ascii="Arial" w:cs="Arial" w:eastAsia="Arial" w:hAnsi="Arial"/>
            <w:sz w:val="18"/>
            <w:szCs w:val="18"/>
            <w:u w:val="single" w:color="auto"/>
            <w:color w:val="0000EE"/>
          </w:rPr>
          <w:t xml:space="preserve">Indemnity Agreement, dated July 29, 2020, between the Company and Glenn R. August. </w:t>
        </w:r>
        <w:r>
          <w:rPr>
            <w:rFonts w:ascii="Arial" w:cs="Arial" w:eastAsia="Arial" w:hAnsi="Arial"/>
            <w:sz w:val="29"/>
            <w:szCs w:val="29"/>
            <w:u w:val="single" w:color="auto"/>
            <w:color w:val="0000EE"/>
            <w:vertAlign w:val="superscript"/>
          </w:rPr>
          <w:t>(1)</w:t>
        </w:r>
      </w:hyperlink>
    </w:p>
    <w:p>
      <w:pPr>
        <w:spacing w:after="0" w:line="185" w:lineRule="auto"/>
        <w:rPr>
          <w:rFonts w:ascii="Arial" w:cs="Arial" w:eastAsia="Arial" w:hAnsi="Arial"/>
          <w:sz w:val="18"/>
          <w:szCs w:val="18"/>
          <w:u w:val="single" w:color="auto"/>
          <w:color w:val="0000EE"/>
        </w:rPr>
      </w:pPr>
      <w:hyperlink r:id="rId52">
        <w:r>
          <w:rPr>
            <w:rFonts w:ascii="Arial" w:cs="Arial" w:eastAsia="Arial" w:hAnsi="Arial"/>
            <w:sz w:val="18"/>
            <w:szCs w:val="18"/>
            <w:u w:val="single" w:color="auto"/>
            <w:color w:val="0000EE"/>
          </w:rPr>
          <w:t xml:space="preserve">Indemnity Agreement, dated July 29, between the Company and William J. Bynum. </w:t>
        </w:r>
        <w:r>
          <w:rPr>
            <w:rFonts w:ascii="Arial" w:cs="Arial" w:eastAsia="Arial" w:hAnsi="Arial"/>
            <w:sz w:val="29"/>
            <w:szCs w:val="29"/>
            <w:u w:val="single" w:color="auto"/>
            <w:color w:val="0000EE"/>
            <w:vertAlign w:val="superscript"/>
          </w:rPr>
          <w:t>(1)</w:t>
        </w:r>
      </w:hyperlink>
    </w:p>
    <w:p>
      <w:pPr>
        <w:spacing w:after="0" w:line="185" w:lineRule="auto"/>
        <w:rPr>
          <w:rFonts w:ascii="Arial" w:cs="Arial" w:eastAsia="Arial" w:hAnsi="Arial"/>
          <w:sz w:val="18"/>
          <w:szCs w:val="18"/>
          <w:u w:val="single" w:color="auto"/>
          <w:color w:val="0000EE"/>
        </w:rPr>
      </w:pPr>
      <w:hyperlink r:id="rId53">
        <w:r>
          <w:rPr>
            <w:rFonts w:ascii="Arial" w:cs="Arial" w:eastAsia="Arial" w:hAnsi="Arial"/>
            <w:sz w:val="18"/>
            <w:szCs w:val="18"/>
            <w:u w:val="single" w:color="auto"/>
            <w:color w:val="0000EE"/>
          </w:rPr>
          <w:t xml:space="preserve">Indemnity Agreement, dated July 29, 2020, between the Company and Bonnie Jonas. </w:t>
        </w:r>
        <w:r>
          <w:rPr>
            <w:rFonts w:ascii="Arial" w:cs="Arial" w:eastAsia="Arial" w:hAnsi="Arial"/>
            <w:sz w:val="29"/>
            <w:szCs w:val="29"/>
            <w:u w:val="single" w:color="auto"/>
            <w:color w:val="0000EE"/>
            <w:vertAlign w:val="superscript"/>
          </w:rPr>
          <w:t>(1)</w:t>
        </w:r>
      </w:hyperlink>
    </w:p>
    <w:p>
      <w:pPr>
        <w:spacing w:after="0" w:line="180" w:lineRule="auto"/>
        <w:rPr>
          <w:rFonts w:ascii="Arial" w:cs="Arial" w:eastAsia="Arial" w:hAnsi="Arial"/>
          <w:sz w:val="16"/>
          <w:szCs w:val="16"/>
          <w:u w:val="single" w:color="auto"/>
          <w:color w:val="0000EE"/>
        </w:rPr>
      </w:pPr>
      <w:hyperlink r:id="rId54">
        <w:r>
          <w:rPr>
            <w:rFonts w:ascii="Arial" w:cs="Arial" w:eastAsia="Arial" w:hAnsi="Arial"/>
            <w:sz w:val="16"/>
            <w:szCs w:val="16"/>
            <w:u w:val="single" w:color="auto"/>
            <w:color w:val="0000EE"/>
          </w:rPr>
          <w:t xml:space="preserve">Indemnity Agreement, dated July 29, 2020, between the Company and Mark Klein. </w:t>
        </w:r>
        <w:r>
          <w:rPr>
            <w:rFonts w:ascii="Arial" w:cs="Arial" w:eastAsia="Arial" w:hAnsi="Arial"/>
            <w:sz w:val="25"/>
            <w:szCs w:val="25"/>
            <w:u w:val="single" w:color="auto"/>
            <w:color w:val="0000EE"/>
            <w:vertAlign w:val="superscript"/>
          </w:rPr>
          <w:t>(1)</w:t>
        </w:r>
      </w:hyperlink>
    </w:p>
    <w:p>
      <w:pPr>
        <w:spacing w:after="0" w:line="1" w:lineRule="exact"/>
        <w:rPr>
          <w:sz w:val="20"/>
          <w:szCs w:val="20"/>
          <w:color w:val="auto"/>
        </w:rPr>
      </w:pPr>
    </w:p>
    <w:p>
      <w:pPr>
        <w:sectPr>
          <w:pgSz w:w="11900" w:h="16838" w:orient="portrait"/>
          <w:cols w:equalWidth="0" w:num="2">
            <w:col w:w="780" w:space="580"/>
            <w:col w:w="9880"/>
          </w:cols>
          <w:pgMar w:left="320" w:top="904" w:right="339" w:bottom="1440" w:gutter="0" w:footer="0" w:header="0"/>
          <w:type w:val="continuous"/>
        </w:sectPr>
      </w:pPr>
    </w:p>
    <w:tbl>
      <w:tblPr>
        <w:tblLayout w:type="fixed"/>
        <w:tblInd w:w="200" w:type="dxa"/>
        <w:tblCellMar>
          <w:top w:w="0" w:type="dxa"/>
          <w:left w:w="0" w:type="dxa"/>
          <w:bottom w:w="0" w:type="dxa"/>
          <w:right w:w="0" w:type="dxa"/>
        </w:tblCellMar>
      </w:tblPr>
      <w:tr>
        <w:trPr>
          <w:trHeight w:val="147"/>
        </w:trPr>
        <w:tc>
          <w:tcPr>
            <w:tcW w:w="1160" w:type="dxa"/>
            <w:vAlign w:val="bottom"/>
            <w:vMerge w:val="restart"/>
          </w:tcPr>
          <w:p>
            <w:pPr>
              <w:jc w:val="center"/>
              <w:ind w:right="310"/>
              <w:spacing w:after="0"/>
              <w:rPr>
                <w:rFonts w:ascii="Arial" w:cs="Arial" w:eastAsia="Arial" w:hAnsi="Arial"/>
                <w:sz w:val="18"/>
                <w:szCs w:val="18"/>
                <w:u w:val="single" w:color="auto"/>
                <w:color w:val="0000EE"/>
                <w:w w:val="88"/>
              </w:rPr>
            </w:pPr>
            <w:hyperlink r:id="rId56">
              <w:r>
                <w:rPr>
                  <w:rFonts w:ascii="Arial" w:cs="Arial" w:eastAsia="Arial" w:hAnsi="Arial"/>
                  <w:sz w:val="18"/>
                  <w:szCs w:val="18"/>
                  <w:u w:val="single" w:color="auto"/>
                  <w:color w:val="0000EE"/>
                  <w:w w:val="88"/>
                </w:rPr>
                <w:t>10.11</w:t>
              </w:r>
            </w:hyperlink>
          </w:p>
        </w:tc>
        <w:tc>
          <w:tcPr>
            <w:tcW w:w="6900" w:type="dxa"/>
            <w:vAlign w:val="bottom"/>
            <w:gridSpan w:val="5"/>
            <w:vMerge w:val="restart"/>
          </w:tcPr>
          <w:p>
            <w:pPr>
              <w:spacing w:after="0"/>
              <w:rPr>
                <w:rFonts w:ascii="Arial" w:cs="Arial" w:eastAsia="Arial" w:hAnsi="Arial"/>
                <w:sz w:val="18"/>
                <w:szCs w:val="18"/>
                <w:u w:val="single" w:color="auto"/>
                <w:color w:val="0000EE"/>
                <w:w w:val="91"/>
              </w:rPr>
            </w:pPr>
            <w:hyperlink r:id="rId56">
              <w:r>
                <w:rPr>
                  <w:rFonts w:ascii="Arial" w:cs="Arial" w:eastAsia="Arial" w:hAnsi="Arial"/>
                  <w:sz w:val="18"/>
                  <w:szCs w:val="18"/>
                  <w:u w:val="single" w:color="auto"/>
                  <w:color w:val="0000EE"/>
                  <w:w w:val="91"/>
                </w:rPr>
                <w:t>Indemnity Agreement, dated July 29, 2020, between the Company and Malcolm S. McDermid.</w:t>
              </w:r>
            </w:hyperlink>
          </w:p>
        </w:tc>
        <w:tc>
          <w:tcPr>
            <w:tcW w:w="160" w:type="dxa"/>
            <w:vAlign w:val="bottom"/>
            <w:tcBorders>
              <w:bottom w:val="single" w:sz="8" w:color="0000EE"/>
            </w:tcBorders>
          </w:tcPr>
          <w:p>
            <w:pPr>
              <w:jc w:val="right"/>
              <w:spacing w:after="0" w:line="128" w:lineRule="exact"/>
              <w:rPr>
                <w:rFonts w:ascii="Arial" w:cs="Arial" w:eastAsia="Arial" w:hAnsi="Arial"/>
                <w:sz w:val="14"/>
                <w:szCs w:val="14"/>
                <w:color w:val="0000EE"/>
                <w:w w:val="81"/>
              </w:rPr>
            </w:pPr>
            <w:hyperlink r:id="rId56">
              <w:r>
                <w:rPr>
                  <w:rFonts w:ascii="Arial" w:cs="Arial" w:eastAsia="Arial" w:hAnsi="Arial"/>
                  <w:sz w:val="14"/>
                  <w:szCs w:val="14"/>
                  <w:color w:val="0000EE"/>
                  <w:w w:val="81"/>
                </w:rPr>
                <w:t>(1)</w:t>
              </w:r>
            </w:hyperlink>
          </w:p>
        </w:tc>
        <w:tc>
          <w:tcPr>
            <w:tcW w:w="100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16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160" w:type="dxa"/>
            <w:vAlign w:val="bottom"/>
            <w:vMerge w:val="continue"/>
          </w:tcPr>
          <w:p>
            <w:pPr>
              <w:spacing w:after="0"/>
              <w:rPr>
                <w:sz w:val="6"/>
                <w:szCs w:val="6"/>
                <w:color w:val="auto"/>
              </w:rPr>
            </w:pPr>
          </w:p>
        </w:tc>
        <w:tc>
          <w:tcPr>
            <w:tcW w:w="6900" w:type="dxa"/>
            <w:vAlign w:val="bottom"/>
            <w:gridSpan w:val="5"/>
            <w:vMerge w:val="continue"/>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160" w:type="dxa"/>
            <w:vAlign w:val="bottom"/>
            <w:vMerge w:val="restart"/>
          </w:tcPr>
          <w:p>
            <w:pPr>
              <w:jc w:val="center"/>
              <w:ind w:right="310"/>
              <w:spacing w:after="0"/>
              <w:rPr>
                <w:rFonts w:ascii="Arial" w:cs="Arial" w:eastAsia="Arial" w:hAnsi="Arial"/>
                <w:sz w:val="18"/>
                <w:szCs w:val="18"/>
                <w:u w:val="single" w:color="auto"/>
                <w:color w:val="0000EE"/>
                <w:w w:val="88"/>
              </w:rPr>
            </w:pPr>
            <w:hyperlink r:id="rId57">
              <w:r>
                <w:rPr>
                  <w:rFonts w:ascii="Arial" w:cs="Arial" w:eastAsia="Arial" w:hAnsi="Arial"/>
                  <w:sz w:val="18"/>
                  <w:szCs w:val="18"/>
                  <w:u w:val="single" w:color="auto"/>
                  <w:color w:val="0000EE"/>
                  <w:w w:val="88"/>
                </w:rPr>
                <w:t>10.12</w:t>
              </w:r>
            </w:hyperlink>
          </w:p>
        </w:tc>
        <w:tc>
          <w:tcPr>
            <w:tcW w:w="6300" w:type="dxa"/>
            <w:vAlign w:val="bottom"/>
            <w:gridSpan w:val="3"/>
            <w:vMerge w:val="restart"/>
          </w:tcPr>
          <w:p>
            <w:pPr>
              <w:spacing w:after="0"/>
              <w:rPr>
                <w:rFonts w:ascii="Arial" w:cs="Arial" w:eastAsia="Arial" w:hAnsi="Arial"/>
                <w:sz w:val="18"/>
                <w:szCs w:val="18"/>
                <w:u w:val="single" w:color="auto"/>
                <w:color w:val="0000EE"/>
                <w:w w:val="91"/>
              </w:rPr>
            </w:pPr>
            <w:hyperlink r:id="rId57">
              <w:r>
                <w:rPr>
                  <w:rFonts w:ascii="Arial" w:cs="Arial" w:eastAsia="Arial" w:hAnsi="Arial"/>
                  <w:sz w:val="18"/>
                  <w:szCs w:val="18"/>
                  <w:u w:val="single" w:color="auto"/>
                  <w:color w:val="0000EE"/>
                  <w:w w:val="91"/>
                </w:rPr>
                <w:t>Indemnity Agreement, dated July 29, 2020, between the Company and Karen G. Mills.</w:t>
              </w:r>
            </w:hyperlink>
          </w:p>
        </w:tc>
        <w:tc>
          <w:tcPr>
            <w:tcW w:w="180" w:type="dxa"/>
            <w:vAlign w:val="bottom"/>
            <w:tcBorders>
              <w:bottom w:val="single" w:sz="8" w:color="0000EE"/>
            </w:tcBorders>
          </w:tcPr>
          <w:p>
            <w:pPr>
              <w:jc w:val="right"/>
              <w:spacing w:after="0" w:line="143" w:lineRule="exact"/>
              <w:rPr>
                <w:rFonts w:ascii="Arial" w:cs="Arial" w:eastAsia="Arial" w:hAnsi="Arial"/>
                <w:sz w:val="15"/>
                <w:szCs w:val="15"/>
                <w:color w:val="0000EE"/>
                <w:w w:val="87"/>
              </w:rPr>
            </w:pPr>
            <w:hyperlink r:id="rId57">
              <w:r>
                <w:rPr>
                  <w:rFonts w:ascii="Arial" w:cs="Arial" w:eastAsia="Arial" w:hAnsi="Arial"/>
                  <w:sz w:val="15"/>
                  <w:szCs w:val="15"/>
                  <w:color w:val="0000EE"/>
                  <w:w w:val="87"/>
                </w:rPr>
                <w:t>(1)</w:t>
              </w:r>
            </w:hyperlink>
          </w:p>
        </w:tc>
        <w:tc>
          <w:tcPr>
            <w:tcW w:w="1580" w:type="dxa"/>
            <w:vAlign w:val="bottom"/>
            <w:gridSpan w:val="3"/>
            <w:vMerge w:val="restart"/>
          </w:tcPr>
          <w:p>
            <w:pPr>
              <w:spacing w:after="0"/>
              <w:rPr>
                <w:sz w:val="14"/>
                <w:szCs w:val="14"/>
                <w:color w:val="auto"/>
              </w:rPr>
            </w:pPr>
          </w:p>
        </w:tc>
        <w:tc>
          <w:tcPr>
            <w:tcW w:w="180" w:type="dxa"/>
            <w:vAlign w:val="bottom"/>
            <w:vMerge w:val="restart"/>
          </w:tcPr>
          <w:p>
            <w:pPr>
              <w:spacing w:after="0"/>
              <w:rPr>
                <w:sz w:val="14"/>
                <w:szCs w:val="14"/>
                <w:color w:val="auto"/>
              </w:rPr>
            </w:pPr>
          </w:p>
        </w:tc>
        <w:tc>
          <w:tcPr>
            <w:tcW w:w="16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1160" w:type="dxa"/>
            <w:vAlign w:val="bottom"/>
            <w:vMerge w:val="continue"/>
          </w:tcPr>
          <w:p>
            <w:pPr>
              <w:spacing w:after="0"/>
              <w:rPr>
                <w:sz w:val="6"/>
                <w:szCs w:val="6"/>
                <w:color w:val="auto"/>
              </w:rPr>
            </w:pPr>
          </w:p>
        </w:tc>
        <w:tc>
          <w:tcPr>
            <w:tcW w:w="630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1580" w:type="dxa"/>
            <w:vAlign w:val="bottom"/>
            <w:gridSpan w:val="3"/>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160" w:type="dxa"/>
            <w:vAlign w:val="bottom"/>
            <w:vMerge w:val="restart"/>
          </w:tcPr>
          <w:p>
            <w:pPr>
              <w:jc w:val="center"/>
              <w:ind w:right="310"/>
              <w:spacing w:after="0"/>
              <w:rPr>
                <w:rFonts w:ascii="Arial" w:cs="Arial" w:eastAsia="Arial" w:hAnsi="Arial"/>
                <w:sz w:val="18"/>
                <w:szCs w:val="18"/>
                <w:u w:val="single" w:color="auto"/>
                <w:color w:val="0000EE"/>
                <w:w w:val="88"/>
              </w:rPr>
            </w:pPr>
            <w:hyperlink r:id="rId58">
              <w:r>
                <w:rPr>
                  <w:rFonts w:ascii="Arial" w:cs="Arial" w:eastAsia="Arial" w:hAnsi="Arial"/>
                  <w:sz w:val="18"/>
                  <w:szCs w:val="18"/>
                  <w:u w:val="single" w:color="auto"/>
                  <w:color w:val="0000EE"/>
                  <w:w w:val="88"/>
                </w:rPr>
                <w:t>10.13</w:t>
              </w:r>
            </w:hyperlink>
          </w:p>
        </w:tc>
        <w:tc>
          <w:tcPr>
            <w:tcW w:w="8060" w:type="dxa"/>
            <w:vAlign w:val="bottom"/>
            <w:gridSpan w:val="7"/>
            <w:vMerge w:val="restart"/>
          </w:tcPr>
          <w:p>
            <w:pPr>
              <w:spacing w:after="0"/>
              <w:rPr>
                <w:rFonts w:ascii="Arial" w:cs="Arial" w:eastAsia="Arial" w:hAnsi="Arial"/>
                <w:sz w:val="18"/>
                <w:szCs w:val="18"/>
                <w:u w:val="single" w:color="auto"/>
                <w:color w:val="0000EE"/>
                <w:w w:val="90"/>
              </w:rPr>
            </w:pPr>
            <w:hyperlink r:id="rId58">
              <w:r>
                <w:rPr>
                  <w:rFonts w:ascii="Arial" w:cs="Arial" w:eastAsia="Arial" w:hAnsi="Arial"/>
                  <w:sz w:val="18"/>
                  <w:szCs w:val="18"/>
                  <w:u w:val="single" w:color="auto"/>
                  <w:color w:val="0000EE"/>
                  <w:w w:val="90"/>
                </w:rPr>
                <w:t>Administrative Services Agreement, dated July 29, 2020, between the Company and an affiliate of the Sponsor.</w:t>
              </w:r>
            </w:hyperlink>
          </w:p>
        </w:tc>
        <w:tc>
          <w:tcPr>
            <w:tcW w:w="180" w:type="dxa"/>
            <w:vAlign w:val="bottom"/>
            <w:tcBorders>
              <w:bottom w:val="single" w:sz="8" w:color="0000EE"/>
            </w:tcBorders>
          </w:tcPr>
          <w:p>
            <w:pPr>
              <w:jc w:val="right"/>
              <w:spacing w:after="0" w:line="143" w:lineRule="exact"/>
              <w:rPr>
                <w:rFonts w:ascii="Arial" w:cs="Arial" w:eastAsia="Arial" w:hAnsi="Arial"/>
                <w:sz w:val="15"/>
                <w:szCs w:val="15"/>
                <w:color w:val="0000EE"/>
                <w:w w:val="87"/>
              </w:rPr>
            </w:pPr>
            <w:hyperlink r:id="rId58">
              <w:r>
                <w:rPr>
                  <w:rFonts w:ascii="Arial" w:cs="Arial" w:eastAsia="Arial" w:hAnsi="Arial"/>
                  <w:sz w:val="15"/>
                  <w:szCs w:val="15"/>
                  <w:color w:val="0000EE"/>
                  <w:w w:val="87"/>
                </w:rPr>
                <w:t>(1)</w:t>
              </w:r>
            </w:hyperlink>
          </w:p>
        </w:tc>
        <w:tc>
          <w:tcPr>
            <w:tcW w:w="16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1160" w:type="dxa"/>
            <w:vAlign w:val="bottom"/>
            <w:vMerge w:val="continue"/>
          </w:tcPr>
          <w:p>
            <w:pPr>
              <w:spacing w:after="0"/>
              <w:rPr>
                <w:sz w:val="6"/>
                <w:szCs w:val="6"/>
                <w:color w:val="auto"/>
              </w:rPr>
            </w:pPr>
          </w:p>
        </w:tc>
        <w:tc>
          <w:tcPr>
            <w:tcW w:w="8060" w:type="dxa"/>
            <w:vAlign w:val="bottom"/>
            <w:gridSpan w:val="7"/>
            <w:vMerge w:val="continue"/>
          </w:tcPr>
          <w:p>
            <w:pPr>
              <w:spacing w:after="0"/>
              <w:rPr>
                <w:sz w:val="6"/>
                <w:szCs w:val="6"/>
                <w:color w:val="auto"/>
              </w:rPr>
            </w:pPr>
          </w:p>
        </w:tc>
        <w:tc>
          <w:tcPr>
            <w:tcW w:w="18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160" w:type="dxa"/>
            <w:vAlign w:val="bottom"/>
          </w:tcPr>
          <w:p>
            <w:pPr>
              <w:jc w:val="center"/>
              <w:ind w:right="310"/>
              <w:spacing w:after="0" w:line="190" w:lineRule="exact"/>
              <w:rPr>
                <w:rFonts w:ascii="Arial" w:cs="Arial" w:eastAsia="Arial" w:hAnsi="Arial"/>
                <w:sz w:val="18"/>
                <w:szCs w:val="18"/>
                <w:u w:val="single" w:color="auto"/>
                <w:color w:val="0000EE"/>
                <w:w w:val="95"/>
              </w:rPr>
            </w:pPr>
            <w:hyperlink w:anchor="page24">
              <w:r>
                <w:rPr>
                  <w:rFonts w:ascii="Arial" w:cs="Arial" w:eastAsia="Arial" w:hAnsi="Arial"/>
                  <w:sz w:val="18"/>
                  <w:szCs w:val="18"/>
                  <w:u w:val="single" w:color="auto"/>
                  <w:color w:val="0000EE"/>
                  <w:w w:val="95"/>
                </w:rPr>
                <w:t>31.1*</w:t>
              </w:r>
            </w:hyperlink>
          </w:p>
        </w:tc>
        <w:tc>
          <w:tcPr>
            <w:tcW w:w="9880" w:type="dxa"/>
            <w:vAlign w:val="bottom"/>
            <w:tcBorders>
              <w:bottom w:val="single" w:sz="8" w:color="0000EE"/>
            </w:tcBorders>
            <w:gridSpan w:val="10"/>
          </w:tcPr>
          <w:p>
            <w:pPr>
              <w:spacing w:after="0" w:line="190"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Certification of Principal Executive Officer Pursuant to Securities Exchange Act Rules 13a-14(a), as adopted Pursuant to Section 302 of</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23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the Sarbanes-Oxley Act of 2002</w:t>
              </w:r>
            </w:hyperlink>
          </w:p>
        </w:tc>
        <w:tc>
          <w:tcPr>
            <w:tcW w:w="75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jc w:val="center"/>
              <w:ind w:right="310"/>
              <w:spacing w:after="0" w:line="196" w:lineRule="exact"/>
              <w:rPr>
                <w:rFonts w:ascii="Arial" w:cs="Arial" w:eastAsia="Arial" w:hAnsi="Arial"/>
                <w:sz w:val="18"/>
                <w:szCs w:val="18"/>
                <w:u w:val="single" w:color="auto"/>
                <w:color w:val="0000EE"/>
                <w:w w:val="95"/>
              </w:rPr>
            </w:pPr>
            <w:hyperlink w:anchor="page25">
              <w:r>
                <w:rPr>
                  <w:rFonts w:ascii="Arial" w:cs="Arial" w:eastAsia="Arial" w:hAnsi="Arial"/>
                  <w:sz w:val="18"/>
                  <w:szCs w:val="18"/>
                  <w:u w:val="single" w:color="auto"/>
                  <w:color w:val="0000EE"/>
                  <w:w w:val="95"/>
                </w:rPr>
                <w:t>31.2*</w:t>
              </w:r>
            </w:hyperlink>
          </w:p>
        </w:tc>
        <w:tc>
          <w:tcPr>
            <w:tcW w:w="988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Certification of Principal Financial Officer Pursuant to Securities Exchange Act Rules 13a-14(a), as adopted Pursuant to Section 302 of</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23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the Sarbanes-Oxley Act of 2002</w:t>
              </w:r>
            </w:hyperlink>
          </w:p>
        </w:tc>
        <w:tc>
          <w:tcPr>
            <w:tcW w:w="75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jc w:val="center"/>
              <w:ind w:right="310"/>
              <w:spacing w:after="0" w:line="196" w:lineRule="exact"/>
              <w:rPr>
                <w:rFonts w:ascii="Arial" w:cs="Arial" w:eastAsia="Arial" w:hAnsi="Arial"/>
                <w:sz w:val="18"/>
                <w:szCs w:val="18"/>
                <w:u w:val="single" w:color="auto"/>
                <w:color w:val="0000EE"/>
                <w:w w:val="95"/>
              </w:rPr>
            </w:pPr>
            <w:hyperlink w:anchor="page26">
              <w:r>
                <w:rPr>
                  <w:rFonts w:ascii="Arial" w:cs="Arial" w:eastAsia="Arial" w:hAnsi="Arial"/>
                  <w:sz w:val="18"/>
                  <w:szCs w:val="18"/>
                  <w:u w:val="single" w:color="auto"/>
                  <w:color w:val="0000EE"/>
                  <w:w w:val="95"/>
                </w:rPr>
                <w:t>32.1*</w:t>
              </w:r>
            </w:hyperlink>
          </w:p>
        </w:tc>
        <w:tc>
          <w:tcPr>
            <w:tcW w:w="988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w:anchor="page26">
              <w:r>
                <w:rPr>
                  <w:rFonts w:ascii="Arial" w:cs="Arial" w:eastAsia="Arial" w:hAnsi="Arial"/>
                  <w:sz w:val="18"/>
                  <w:szCs w:val="18"/>
                  <w:color w:val="0000EE"/>
                  <w:w w:val="93"/>
                </w:rPr>
                <w:t>Certification of Principal Executive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9880" w:type="dxa"/>
            <w:vAlign w:val="bottom"/>
            <w:gridSpan w:val="10"/>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Oxley Act of 2002</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5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jc w:val="center"/>
              <w:ind w:right="310"/>
              <w:spacing w:after="0" w:line="196" w:lineRule="exact"/>
              <w:rPr>
                <w:rFonts w:ascii="Arial" w:cs="Arial" w:eastAsia="Arial" w:hAnsi="Arial"/>
                <w:sz w:val="18"/>
                <w:szCs w:val="18"/>
                <w:u w:val="single" w:color="auto"/>
                <w:color w:val="0000EE"/>
                <w:w w:val="95"/>
              </w:rPr>
            </w:pPr>
            <w:hyperlink w:anchor="page27">
              <w:r>
                <w:rPr>
                  <w:rFonts w:ascii="Arial" w:cs="Arial" w:eastAsia="Arial" w:hAnsi="Arial"/>
                  <w:sz w:val="18"/>
                  <w:szCs w:val="18"/>
                  <w:u w:val="single" w:color="auto"/>
                  <w:color w:val="0000EE"/>
                  <w:w w:val="95"/>
                </w:rPr>
                <w:t>32.2*</w:t>
              </w:r>
            </w:hyperlink>
          </w:p>
        </w:tc>
        <w:tc>
          <w:tcPr>
            <w:tcW w:w="9880" w:type="dxa"/>
            <w:vAlign w:val="bottom"/>
            <w:gridSpan w:val="10"/>
          </w:tcPr>
          <w:p>
            <w:pPr>
              <w:spacing w:after="0" w:line="196" w:lineRule="exact"/>
              <w:rPr>
                <w:rFonts w:ascii="Arial" w:cs="Arial" w:eastAsia="Arial" w:hAnsi="Arial"/>
                <w:sz w:val="18"/>
                <w:szCs w:val="18"/>
                <w:color w:val="0000EE"/>
                <w:w w:val="94"/>
              </w:rPr>
            </w:pPr>
            <w:hyperlink w:anchor="page27">
              <w:r>
                <w:rPr>
                  <w:rFonts w:ascii="Arial" w:cs="Arial" w:eastAsia="Arial" w:hAnsi="Arial"/>
                  <w:sz w:val="18"/>
                  <w:szCs w:val="18"/>
                  <w:color w:val="0000EE"/>
                  <w:w w:val="94"/>
                </w:rPr>
                <w:t>Certification of Principal Financial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98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Oxley Act of 2002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5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60" w:type="dxa"/>
            <w:vAlign w:val="bottom"/>
          </w:tcPr>
          <w:p>
            <w:pPr>
              <w:jc w:val="center"/>
              <w:ind w:right="330"/>
              <w:spacing w:after="0"/>
              <w:rPr>
                <w:sz w:val="20"/>
                <w:szCs w:val="20"/>
                <w:color w:val="auto"/>
              </w:rPr>
            </w:pPr>
            <w:r>
              <w:rPr>
                <w:rFonts w:ascii="Arial" w:cs="Arial" w:eastAsia="Arial" w:hAnsi="Arial"/>
                <w:sz w:val="18"/>
                <w:szCs w:val="18"/>
                <w:color w:val="auto"/>
                <w:w w:val="97"/>
              </w:rPr>
              <w:t>101.INS*</w:t>
            </w:r>
          </w:p>
        </w:tc>
        <w:tc>
          <w:tcPr>
            <w:tcW w:w="9880" w:type="dxa"/>
            <w:vAlign w:val="bottom"/>
            <w:gridSpan w:val="10"/>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1160" w:type="dxa"/>
            <w:vAlign w:val="bottom"/>
          </w:tcPr>
          <w:p>
            <w:pPr>
              <w:jc w:val="center"/>
              <w:ind w:right="310"/>
              <w:spacing w:after="0"/>
              <w:rPr>
                <w:sz w:val="20"/>
                <w:szCs w:val="20"/>
                <w:color w:val="auto"/>
              </w:rPr>
            </w:pPr>
            <w:r>
              <w:rPr>
                <w:rFonts w:ascii="Arial" w:cs="Arial" w:eastAsia="Arial" w:hAnsi="Arial"/>
                <w:sz w:val="18"/>
                <w:szCs w:val="18"/>
                <w:color w:val="auto"/>
                <w:w w:val="94"/>
              </w:rPr>
              <w:t>101.SCH*</w:t>
            </w:r>
          </w:p>
        </w:tc>
        <w:tc>
          <w:tcPr>
            <w:tcW w:w="988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1160" w:type="dxa"/>
            <w:vAlign w:val="bottom"/>
          </w:tcPr>
          <w:p>
            <w:pPr>
              <w:jc w:val="center"/>
              <w:ind w:right="310"/>
              <w:spacing w:after="0"/>
              <w:rPr>
                <w:sz w:val="20"/>
                <w:szCs w:val="20"/>
                <w:color w:val="auto"/>
              </w:rPr>
            </w:pPr>
            <w:r>
              <w:rPr>
                <w:rFonts w:ascii="Arial" w:cs="Arial" w:eastAsia="Arial" w:hAnsi="Arial"/>
                <w:sz w:val="18"/>
                <w:szCs w:val="18"/>
                <w:color w:val="auto"/>
                <w:w w:val="98"/>
              </w:rPr>
              <w:t>101.CAL*</w:t>
            </w:r>
          </w:p>
        </w:tc>
        <w:tc>
          <w:tcPr>
            <w:tcW w:w="988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1160" w:type="dxa"/>
            <w:vAlign w:val="bottom"/>
          </w:tcPr>
          <w:p>
            <w:pPr>
              <w:jc w:val="center"/>
              <w:ind w:right="330"/>
              <w:spacing w:after="0"/>
              <w:rPr>
                <w:sz w:val="20"/>
                <w:szCs w:val="20"/>
                <w:color w:val="auto"/>
              </w:rPr>
            </w:pPr>
            <w:r>
              <w:rPr>
                <w:rFonts w:ascii="Arial" w:cs="Arial" w:eastAsia="Arial" w:hAnsi="Arial"/>
                <w:sz w:val="18"/>
                <w:szCs w:val="18"/>
                <w:color w:val="auto"/>
                <w:w w:val="94"/>
              </w:rPr>
              <w:t>101.DEF*</w:t>
            </w:r>
          </w:p>
        </w:tc>
        <w:tc>
          <w:tcPr>
            <w:tcW w:w="988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1160" w:type="dxa"/>
            <w:vAlign w:val="bottom"/>
          </w:tcPr>
          <w:p>
            <w:pPr>
              <w:jc w:val="center"/>
              <w:ind w:right="310"/>
              <w:spacing w:after="0"/>
              <w:rPr>
                <w:sz w:val="20"/>
                <w:szCs w:val="20"/>
                <w:color w:val="auto"/>
              </w:rPr>
            </w:pPr>
            <w:r>
              <w:rPr>
                <w:rFonts w:ascii="Arial" w:cs="Arial" w:eastAsia="Arial" w:hAnsi="Arial"/>
                <w:sz w:val="18"/>
                <w:szCs w:val="18"/>
                <w:color w:val="auto"/>
                <w:w w:val="99"/>
              </w:rPr>
              <w:t>101.LAB*</w:t>
            </w:r>
          </w:p>
        </w:tc>
        <w:tc>
          <w:tcPr>
            <w:tcW w:w="9880" w:type="dxa"/>
            <w:vAlign w:val="bottom"/>
            <w:gridSpan w:val="10"/>
          </w:tcPr>
          <w:p>
            <w:pPr>
              <w:spacing w:after="0"/>
              <w:rPr>
                <w:sz w:val="20"/>
                <w:szCs w:val="20"/>
                <w:color w:val="auto"/>
              </w:rPr>
            </w:pPr>
            <w:r>
              <w:rPr>
                <w:rFonts w:ascii="Arial" w:cs="Arial" w:eastAsia="Arial" w:hAnsi="Arial"/>
                <w:sz w:val="18"/>
                <w:szCs w:val="18"/>
                <w:color w:val="auto"/>
              </w:rPr>
              <w:t>XBRL Taxonomy Extension Labels Linkbase Document</w:t>
            </w:r>
          </w:p>
        </w:tc>
        <w:tc>
          <w:tcPr>
            <w:tcW w:w="0" w:type="dxa"/>
            <w:vAlign w:val="bottom"/>
          </w:tcPr>
          <w:p>
            <w:pPr>
              <w:spacing w:after="0"/>
              <w:rPr>
                <w:sz w:val="1"/>
                <w:szCs w:val="1"/>
                <w:color w:val="auto"/>
              </w:rPr>
            </w:pPr>
          </w:p>
        </w:tc>
      </w:tr>
      <w:tr>
        <w:trPr>
          <w:trHeight w:val="230"/>
        </w:trPr>
        <w:tc>
          <w:tcPr>
            <w:tcW w:w="1160" w:type="dxa"/>
            <w:vAlign w:val="bottom"/>
          </w:tcPr>
          <w:p>
            <w:pPr>
              <w:jc w:val="center"/>
              <w:ind w:right="330"/>
              <w:spacing w:after="0"/>
              <w:rPr>
                <w:sz w:val="20"/>
                <w:szCs w:val="20"/>
                <w:color w:val="auto"/>
              </w:rPr>
            </w:pPr>
            <w:r>
              <w:rPr>
                <w:rFonts w:ascii="Arial" w:cs="Arial" w:eastAsia="Arial" w:hAnsi="Arial"/>
                <w:sz w:val="18"/>
                <w:szCs w:val="18"/>
                <w:color w:val="auto"/>
                <w:w w:val="93"/>
              </w:rPr>
              <w:t>101.PRE*</w:t>
            </w:r>
          </w:p>
        </w:tc>
        <w:tc>
          <w:tcPr>
            <w:tcW w:w="988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540" w:right="1720" w:hanging="5532"/>
        <w:spacing w:after="0" w:line="761" w:lineRule="auto"/>
        <w:tabs>
          <w:tab w:leader="none" w:pos="351"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Previously filed as an exhibit to our Current Report on Form 8-K filed on August 3, 2020 and incorporated by reference herein.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66"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Churchill Capital Corp IV</w:t>
      </w:r>
    </w:p>
    <w:p>
      <w:pPr>
        <w:spacing w:after="0" w:line="229" w:lineRule="exact"/>
        <w:rPr>
          <w:sz w:val="20"/>
          <w:szCs w:val="20"/>
          <w:color w:val="auto"/>
        </w:rPr>
      </w:pPr>
    </w:p>
    <w:p>
      <w:pPr>
        <w:spacing w:after="0"/>
        <w:tabs>
          <w:tab w:leader="none" w:pos="5720" w:val="left"/>
          <w:tab w:leader="none" w:pos="6280" w:val="left"/>
        </w:tabs>
        <w:rPr>
          <w:sz w:val="20"/>
          <w:szCs w:val="20"/>
          <w:color w:val="auto"/>
        </w:rPr>
      </w:pPr>
      <w:r>
        <w:rPr>
          <w:rFonts w:ascii="Arial" w:cs="Arial" w:eastAsia="Arial" w:hAnsi="Arial"/>
          <w:sz w:val="18"/>
          <w:szCs w:val="18"/>
          <w:color w:val="auto"/>
        </w:rPr>
        <w:t>Date: November 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14605</wp:posOffset>
            </wp:positionV>
            <wp:extent cx="31375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Michael Klein</w:t>
      </w:r>
    </w:p>
    <w:p>
      <w:pPr>
        <w:spacing w:after="0" w:line="23" w:lineRule="exact"/>
        <w:rPr>
          <w:sz w:val="20"/>
          <w:szCs w:val="20"/>
          <w:color w:val="auto"/>
        </w:rPr>
      </w:pPr>
    </w:p>
    <w:p>
      <w:pPr>
        <w:ind w:left="5740"/>
        <w:spacing w:after="0"/>
        <w:tabs>
          <w:tab w:leader="none" w:pos="6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9"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5720" w:val="left"/>
          <w:tab w:leader="none" w:pos="6280" w:val="left"/>
        </w:tabs>
        <w:rPr>
          <w:sz w:val="20"/>
          <w:szCs w:val="20"/>
          <w:color w:val="auto"/>
        </w:rPr>
      </w:pPr>
      <w:r>
        <w:rPr>
          <w:rFonts w:ascii="Arial" w:cs="Arial" w:eastAsia="Arial" w:hAnsi="Arial"/>
          <w:sz w:val="18"/>
          <w:szCs w:val="18"/>
          <w:color w:val="auto"/>
        </w:rPr>
        <w:t>Date: November 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14605</wp:posOffset>
            </wp:positionV>
            <wp:extent cx="31375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1">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Jay Taragin</w:t>
      </w:r>
    </w:p>
    <w:p>
      <w:pPr>
        <w:spacing w:after="0" w:line="23" w:lineRule="exact"/>
        <w:rPr>
          <w:sz w:val="20"/>
          <w:szCs w:val="20"/>
          <w:color w:val="auto"/>
        </w:rPr>
      </w:pPr>
    </w:p>
    <w:p>
      <w:pPr>
        <w:ind w:left="5740"/>
        <w:spacing w:after="0"/>
        <w:tabs>
          <w:tab w:leader="none" w:pos="6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9"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(Principal Accounting Officer and Financial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Michael Klein, certify that:</w:t>
      </w:r>
    </w:p>
    <w:p>
      <w:pPr>
        <w:spacing w:after="0" w:line="225" w:lineRule="exact"/>
        <w:rPr>
          <w:sz w:val="20"/>
          <w:szCs w:val="20"/>
          <w:color w:val="auto"/>
        </w:rPr>
      </w:pPr>
    </w:p>
    <w:p>
      <w:pPr>
        <w:ind w:left="680" w:hanging="672"/>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Churchill Capital Corp IV;</w:t>
      </w:r>
    </w:p>
    <w:p>
      <w:pPr>
        <w:spacing w:after="0" w:line="225" w:lineRule="exact"/>
        <w:rPr>
          <w:rFonts w:ascii="Arial" w:cs="Arial" w:eastAsia="Arial" w:hAnsi="Arial"/>
          <w:sz w:val="18"/>
          <w:szCs w:val="18"/>
          <w:color w:val="auto"/>
        </w:rPr>
      </w:pPr>
    </w:p>
    <w:p>
      <w:pPr>
        <w:jc w:val="both"/>
        <w:ind w:left="680" w:hanging="672"/>
        <w:spacing w:after="0" w:line="263"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80" w:hanging="672"/>
        <w:spacing w:after="0" w:line="308" w:lineRule="auto"/>
        <w:tabs>
          <w:tab w:leader="none" w:pos="6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80" w:right="20" w:hanging="672"/>
        <w:spacing w:after="0" w:line="263"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60" w:hanging="677"/>
        <w:spacing w:after="0" w:line="263" w:lineRule="auto"/>
        <w:tabs>
          <w:tab w:leader="none" w:pos="13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ind w:left="1360" w:hanging="677"/>
        <w:spacing w:after="0"/>
        <w:tabs>
          <w:tab w:leader="none" w:pos="13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ind w:left="1360" w:hanging="677"/>
        <w:spacing w:after="0" w:line="342" w:lineRule="auto"/>
        <w:tabs>
          <w:tab w:leader="none" w:pos="13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60" w:hanging="677"/>
        <w:spacing w:after="0" w:line="263" w:lineRule="auto"/>
        <w:tabs>
          <w:tab w:leader="none" w:pos="13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80" w:right="20" w:hanging="672"/>
        <w:spacing w:after="0" w:line="342" w:lineRule="auto"/>
        <w:tabs>
          <w:tab w:leader="none" w:pos="6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60" w:hanging="677"/>
        <w:spacing w:after="0" w:line="308" w:lineRule="auto"/>
        <w:tabs>
          <w:tab w:leader="none" w:pos="13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60" w:hanging="677"/>
        <w:spacing w:after="0" w:line="277" w:lineRule="auto"/>
        <w:tabs>
          <w:tab w:leader="none" w:pos="13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2020</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Michael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Michael Klein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Jay Taragin, certify that:</w:t>
      </w:r>
    </w:p>
    <w:p>
      <w:pPr>
        <w:spacing w:after="0" w:line="225" w:lineRule="exact"/>
        <w:rPr>
          <w:sz w:val="20"/>
          <w:szCs w:val="20"/>
          <w:color w:val="auto"/>
        </w:rPr>
      </w:pPr>
    </w:p>
    <w:p>
      <w:pPr>
        <w:ind w:left="680" w:hanging="672"/>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Churchill Capital Corp IV;</w:t>
      </w:r>
    </w:p>
    <w:p>
      <w:pPr>
        <w:spacing w:after="0" w:line="225" w:lineRule="exact"/>
        <w:rPr>
          <w:rFonts w:ascii="Arial" w:cs="Arial" w:eastAsia="Arial" w:hAnsi="Arial"/>
          <w:sz w:val="18"/>
          <w:szCs w:val="18"/>
          <w:color w:val="auto"/>
        </w:rPr>
      </w:pPr>
    </w:p>
    <w:p>
      <w:pPr>
        <w:jc w:val="both"/>
        <w:ind w:left="680" w:hanging="672"/>
        <w:spacing w:after="0" w:line="263"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80" w:hanging="672"/>
        <w:spacing w:after="0" w:line="308" w:lineRule="auto"/>
        <w:tabs>
          <w:tab w:leader="none" w:pos="6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80" w:right="20" w:hanging="672"/>
        <w:spacing w:after="0" w:line="263"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60" w:hanging="677"/>
        <w:spacing w:after="0" w:line="263" w:lineRule="auto"/>
        <w:tabs>
          <w:tab w:leader="none" w:pos="13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ind w:left="1360" w:hanging="677"/>
        <w:spacing w:after="0"/>
        <w:tabs>
          <w:tab w:leader="none" w:pos="13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ind w:left="1360" w:hanging="677"/>
        <w:spacing w:after="0" w:line="342" w:lineRule="auto"/>
        <w:tabs>
          <w:tab w:leader="none" w:pos="13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60" w:hanging="677"/>
        <w:spacing w:after="0" w:line="263" w:lineRule="auto"/>
        <w:tabs>
          <w:tab w:leader="none" w:pos="13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80" w:right="20" w:hanging="672"/>
        <w:spacing w:after="0" w:line="342" w:lineRule="auto"/>
        <w:tabs>
          <w:tab w:leader="none" w:pos="6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60" w:hanging="677"/>
        <w:spacing w:after="0" w:line="308" w:lineRule="auto"/>
        <w:tabs>
          <w:tab w:leader="none" w:pos="13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60" w:hanging="677"/>
        <w:spacing w:after="0" w:line="277" w:lineRule="auto"/>
        <w:tabs>
          <w:tab w:leader="none" w:pos="13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2020</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Jay Taragin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Accounting Officer and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connection with the Quarterly Report of Churchill Capital Corp IV (the “Company”) on Form 10-Q for the quarterly period ended September 30, 2020, as filed with the Securities and Exchange Commission (the “Report”), I, Michael Klein, Chief Executive Officer of the Company, certify, pursuant to 18 U.S.C. §1350, as added by §906 of the Sarbanes-Oxley Act of 2002, that:</w:t>
      </w:r>
    </w:p>
    <w:p>
      <w:pPr>
        <w:spacing w:after="0" w:line="184" w:lineRule="exact"/>
        <w:rPr>
          <w:sz w:val="20"/>
          <w:szCs w:val="20"/>
          <w:color w:val="auto"/>
        </w:rPr>
      </w:pPr>
    </w:p>
    <w:p>
      <w:pPr>
        <w:ind w:left="920" w:hanging="453"/>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right="20" w:hanging="453"/>
        <w:spacing w:after="0" w:line="277"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9, 2020</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Michael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Michael Klein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Churchill Capital Corp IV (the “Company”) on Form 10-Q for the quarterly period ended September 30, 2020, as filed with the Securities and Exchange Commission (the “Report”), I, Jay Taragin, Chief Financial Officer of the Company, certify, pursuant to 18 U.S.C. §1350, as added by §906 of the Sarbanes-Oxley Act of 2002, that:</w:t>
      </w:r>
    </w:p>
    <w:p>
      <w:pPr>
        <w:spacing w:after="0" w:line="184" w:lineRule="exact"/>
        <w:rPr>
          <w:sz w:val="20"/>
          <w:szCs w:val="20"/>
          <w:color w:val="auto"/>
        </w:rPr>
      </w:pPr>
    </w:p>
    <w:p>
      <w:pPr>
        <w:ind w:left="920" w:hanging="453"/>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right="20" w:hanging="453"/>
        <w:spacing w:after="0" w:line="277" w:lineRule="auto"/>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9, 2020</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Jay Taragin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Accounting Officer and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lowerRoman"/>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55" Type="http://schemas.openxmlformats.org/officeDocument/2006/relationships/image" Target="media/image36.png"/><Relationship Id="rId59" Type="http://schemas.openxmlformats.org/officeDocument/2006/relationships/image" Target="media/image37.png"/><Relationship Id="rId60" Type="http://schemas.openxmlformats.org/officeDocument/2006/relationships/image" Target="media/image38.png"/><Relationship Id="rId61" Type="http://schemas.openxmlformats.org/officeDocument/2006/relationships/image" Target="media/image39.png"/><Relationship Id="rId62" Type="http://schemas.openxmlformats.org/officeDocument/2006/relationships/image" Target="media/image40.png"/><Relationship Id="rId63" Type="http://schemas.openxmlformats.org/officeDocument/2006/relationships/image" Target="media/image41.png"/><Relationship Id="rId64" Type="http://schemas.openxmlformats.org/officeDocument/2006/relationships/image" Target="media/image42.png"/><Relationship Id="rId65" Type="http://schemas.openxmlformats.org/officeDocument/2006/relationships/image" Target="media/image43.png"/><Relationship Id="rId66" Type="http://schemas.openxmlformats.org/officeDocument/2006/relationships/image" Target="media/image44.png"/><Relationship Id="rId67" Type="http://schemas.openxmlformats.org/officeDocument/2006/relationships/image" Target="media/image45.png"/><Relationship Id="rId68" Type="http://schemas.openxmlformats.org/officeDocument/2006/relationships/image" Target="media/image46.png"/><Relationship Id="rId69" Type="http://schemas.openxmlformats.org/officeDocument/2006/relationships/image" Target="media/image47.png"/><Relationship Id="rId70" Type="http://schemas.openxmlformats.org/officeDocument/2006/relationships/image" Target="media/image48.png"/><Relationship Id="rId43" Type="http://schemas.openxmlformats.org/officeDocument/2006/relationships/hyperlink" Target="https://www.sec.gov/Archives/edgar/data/1811210/000110465920090379/tm2026266d1_ex1-1.htm" TargetMode="External"/><Relationship Id="rId44" Type="http://schemas.openxmlformats.org/officeDocument/2006/relationships/hyperlink" Target="https://www.sec.gov/Archives/edgar/data/1811210/000110465920090379/tm2026266d1_ex4-1.htm" TargetMode="External"/><Relationship Id="rId45" Type="http://schemas.openxmlformats.org/officeDocument/2006/relationships/hyperlink" Target="https://www.sec.gov/Archives/edgar/data/1811210/000110465920090379/tm2026266d1_ex10-1.htm" TargetMode="External"/><Relationship Id="rId46" Type="http://schemas.openxmlformats.org/officeDocument/2006/relationships/hyperlink" Target="https://www.sec.gov/Archives/edgar/data/1811210/000110465920090379/tm2026266d1_ex10-2.htm" TargetMode="External"/><Relationship Id="rId47" Type="http://schemas.openxmlformats.org/officeDocument/2006/relationships/hyperlink" Target="https://www.sec.gov/Archives/edgar/data/1811210/000110465920090379/tm2026266d1_ex10-3.htm" TargetMode="External"/><Relationship Id="rId48" Type="http://schemas.openxmlformats.org/officeDocument/2006/relationships/hyperlink" Target="https://www.sec.gov/Archives/edgar/data/1811210/000110465920090379/tm2026266d1_ex10-4.htm" TargetMode="External"/><Relationship Id="rId49" Type="http://schemas.openxmlformats.org/officeDocument/2006/relationships/hyperlink" Target="https://www.sec.gov/Archives/edgar/data/1811210/000110465920090379/tm2026266d1_ex10-5.htm" TargetMode="External"/><Relationship Id="rId50" Type="http://schemas.openxmlformats.org/officeDocument/2006/relationships/hyperlink" Target="https://www.sec.gov/Archives/edgar/data/1811210/000110465920090379/tm2026266d1_ex10-6.htm" TargetMode="External"/><Relationship Id="rId51" Type="http://schemas.openxmlformats.org/officeDocument/2006/relationships/hyperlink" Target="https://www.sec.gov/Archives/edgar/data/1811210/000110465920090379/tm2026266d1_ex10-7.htm" TargetMode="External"/><Relationship Id="rId52" Type="http://schemas.openxmlformats.org/officeDocument/2006/relationships/hyperlink" Target="https://www.sec.gov/Archives/edgar/data/1811210/000110465920090379/tm2026266d1_ex10-8.htm" TargetMode="External"/><Relationship Id="rId53" Type="http://schemas.openxmlformats.org/officeDocument/2006/relationships/hyperlink" Target="https://www.sec.gov/Archives/edgar/data/1811210/000110465920090379/tm2026266d1_ex10-9.htm" TargetMode="External"/><Relationship Id="rId54" Type="http://schemas.openxmlformats.org/officeDocument/2006/relationships/hyperlink" Target="https://www.sec.gov/Archives/edgar/data/1811210/000110465920090379/tm2026266d1_ex10-10.htm" TargetMode="External"/><Relationship Id="rId56" Type="http://schemas.openxmlformats.org/officeDocument/2006/relationships/hyperlink" Target="https://www.sec.gov/Archives/edgar/data/1811210/000110465920090379/tm2026266d1_ex10-11.htm" TargetMode="External"/><Relationship Id="rId57" Type="http://schemas.openxmlformats.org/officeDocument/2006/relationships/hyperlink" Target="https://www.sec.gov/Archives/edgar/data/1811210/000110465920090379/tm2026266d1_ex10-12.htm" TargetMode="External"/><Relationship Id="rId58" Type="http://schemas.openxmlformats.org/officeDocument/2006/relationships/hyperlink" Target="https://www.sec.gov/Archives/edgar/data/1811210/000110465920090379/tm2026266d1_ex10-1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2020-11-09T15:38:23Z</dcterms:created>
  <dcterms:modified xsi:type="dcterms:W3CDTF">2020-11-09T15:38:23Z</dcterms:modified>
</cp:coreProperties>
</file>