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40"/>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4"/>
          <w:szCs w:val="24"/>
          <w:color w:val="auto"/>
        </w:rPr>
      </w:pPr>
    </w:p>
    <w:p>
      <w:pPr>
        <w:ind w:left="4880"/>
        <w:spacing w:after="0"/>
        <w:rPr>
          <w:sz w:val="20"/>
          <w:szCs w:val="20"/>
          <w:color w:val="auto"/>
        </w:rPr>
      </w:pPr>
      <w:r>
        <w:rPr>
          <w:rFonts w:ascii="Arial" w:cs="Arial" w:eastAsia="Arial" w:hAnsi="Arial"/>
          <w:sz w:val="18"/>
          <w:szCs w:val="18"/>
          <w:color w:val="auto"/>
        </w:rPr>
        <w:t>7373 Gateway Blvd.</w:t>
      </w:r>
    </w:p>
    <w:p>
      <w:pPr>
        <w:spacing w:after="0" w:line="9"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Newark, CA 94560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August 19,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Eiko Yaoita Pyles</w:t>
      </w:r>
    </w:p>
    <w:p>
      <w:pPr>
        <w:spacing w:after="0" w:line="221"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Lucid Group,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333-258348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firstLine="648"/>
        <w:spacing w:after="0" w:line="303" w:lineRule="auto"/>
        <w:rPr>
          <w:sz w:val="20"/>
          <w:szCs w:val="20"/>
          <w:color w:val="auto"/>
        </w:rPr>
      </w:pPr>
      <w:r>
        <w:rPr>
          <w:rFonts w:ascii="Arial" w:cs="Arial" w:eastAsia="Arial" w:hAnsi="Arial"/>
          <w:sz w:val="16"/>
          <w:szCs w:val="16"/>
          <w:color w:val="auto"/>
        </w:rPr>
        <w:t>Lucid Group, Inc. (the “</w:t>
      </w:r>
      <w:r>
        <w:rPr>
          <w:rFonts w:ascii="Arial" w:cs="Arial" w:eastAsia="Arial" w:hAnsi="Arial"/>
          <w:sz w:val="16"/>
          <w:szCs w:val="16"/>
          <w:b w:val="1"/>
          <w:bCs w:val="1"/>
          <w:color w:val="auto"/>
        </w:rPr>
        <w:t>Registrant</w:t>
      </w:r>
      <w:r>
        <w:rPr>
          <w:rFonts w:ascii="Arial" w:cs="Arial" w:eastAsia="Arial" w:hAnsi="Arial"/>
          <w:sz w:val="16"/>
          <w:szCs w:val="16"/>
          <w:color w:val="auto"/>
        </w:rPr>
        <w:t>”) hereby requests that the U.S.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take appropriate action to cause the above-referenced Registration Statement on Form S-1 to become effective on August 24, 2021, at 4:00 p.m., Eastern Time, or as soon thereafter as is practicable or at such later time as the Registrant may orally request via telephone call to the staff of the Commission. The Registrant hereby authorizes Emily Roberts of Davis Polk &amp; Wardwell LLP, counsel to the Registrant, to make such request on its behalf.</w:t>
      </w:r>
    </w:p>
    <w:p>
      <w:pPr>
        <w:spacing w:after="0" w:line="155" w:lineRule="exact"/>
        <w:rPr>
          <w:sz w:val="24"/>
          <w:szCs w:val="24"/>
          <w:color w:val="auto"/>
        </w:rPr>
      </w:pPr>
    </w:p>
    <w:p>
      <w:pPr>
        <w:ind w:right="60" w:firstLine="648"/>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Emily Roberts of Davis Polk &amp; Wardwell LLP, counsel to the Registrant, at (650) 752-2085.</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 w:name="page2"/>
    <w:bookmarkEnd w:id="1"/>
    <w:p>
      <w:pPr>
        <w:ind w:left="5632"/>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32"/>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ind w:left="5632"/>
        <w:spacing w:after="0"/>
        <w:tabs>
          <w:tab w:leader="none" w:pos="617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Rawlinson</w:t>
      </w:r>
    </w:p>
    <w:p>
      <w:pPr>
        <w:spacing w:after="0" w:line="36"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Name: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-121920</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jc w:val="both"/>
        <w:ind w:left="5632"/>
        <w:spacing w:after="0"/>
        <w:tabs>
          <w:tab w:leader="none" w:pos="6172"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52" w:hanging="652"/>
        <w:spacing w:after="0"/>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Jonathan Butler, Lucid Group, Inc.</w:t>
      </w:r>
    </w:p>
    <w:p>
      <w:pPr>
        <w:spacing w:after="0" w:line="23"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Emily Roberts,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451485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1"/>
      </w:cols>
      <w:pgMar w:left="328"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2021-09-22T23:05:51Z</dcterms:created>
  <dcterms:modified xsi:type="dcterms:W3CDTF">2021-09-22T23:05:51Z</dcterms:modified>
</cp:coreProperties>
</file>