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100" w:after="283"/>
        <w:jc w:val="center"/>
        <w:rPr/>
      </w:pPr>
      <w:r>
        <w:rPr>
          <w:rFonts w:ascii="Times New Roman;serif" w:hAnsi="Times New Roman;serif"/>
          <w:b/>
          <w:color w:val="000000"/>
          <w:sz w:val="20"/>
        </w:rPr>
        <w:t>Commission File Number:</w:t>
      </w:r>
      <w:r>
        <w:rPr>
          <w:color w:val="000000"/>
        </w:rPr>
        <w:t xml:space="preserve"> </w:t>
      </w:r>
      <w:r>
        <w:rPr>
          <w:rFonts w:ascii="Times New Roman;serif" w:hAnsi="Times New Roman;serif"/>
          <w:b/>
          <w:color w:val="000000"/>
          <w:sz w:val="20"/>
        </w:rPr>
        <w:t>001-39408</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7373 Gateway Boulevard, Newark, CA 94560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100" w:after="283"/>
        <w:jc w:val="both"/>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Number of shares of the registrant’s common stock outstanding on April 29, 2026: 390,256,808</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93"/>
        <w:gridCol w:w="257"/>
        <w:gridCol w:w="257"/>
        <w:gridCol w:w="257"/>
        <w:gridCol w:w="257"/>
        <w:gridCol w:w="257"/>
        <w:gridCol w:w="2676"/>
        <w:gridCol w:w="2676"/>
        <w:gridCol w:w="2730"/>
        <w:gridCol w:w="158"/>
        <w:gridCol w:w="158"/>
        <w:gridCol w:w="229"/>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77">
              <w:r>
                <w:rPr>
                  <w:rStyle w:val="InternetLink"/>
                  <w:rFonts w:ascii="Times New Roman;serif" w:hAnsi="Times New Roman;serif"/>
                  <w:b w:val="false"/>
                  <w:color w:val="0E32E1"/>
                  <w:sz w:val="20"/>
                  <w:u w:val="single"/>
                </w:rPr>
                <w:t>PART I. FINANCIAL INFORMATION</w:t>
              </w:r>
            </w:hyperlink>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10">
              <w:r>
                <w:rPr>
                  <w:rStyle w:val="InternetLink"/>
                  <w:rFonts w:ascii="Times New Roman;serif" w:hAnsi="Times New Roman;serif"/>
                  <w:b w:val="false"/>
                  <w:color w:val="0E32E1"/>
                  <w:sz w:val="20"/>
                  <w:u w:val="single"/>
                </w:rPr>
                <w:t>Cautionary Note Regarding Forward-Looking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10">
              <w:r>
                <w:rPr>
                  <w:rStyle w:val="InternetLink"/>
                  <w:rFonts w:ascii="Times New Roman;serif" w:hAnsi="Times New Roman;serif"/>
                  <w:b w:val="false"/>
                  <w:strike w:val="false"/>
                  <w:dstrike w:val="false"/>
                  <w:color w:val="242424"/>
                  <w:sz w:val="20"/>
                  <w:u w:val="none"/>
                  <w:effect w:val="none"/>
                </w:rPr>
                <w:t>3</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13">
              <w:r>
                <w:rPr>
                  <w:rStyle w:val="InternetLink"/>
                  <w:rFonts w:ascii="Times New Roman;serif" w:hAnsi="Times New Roman;serif"/>
                  <w:b w:val="false"/>
                  <w:color w:val="0E32E1"/>
                  <w:sz w:val="20"/>
                  <w:u w:val="single"/>
                </w:rPr>
                <w:t>Frequently Used Terms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13">
              <w:r>
                <w:rPr>
                  <w:rStyle w:val="InternetLink"/>
                  <w:rFonts w:ascii="Times New Roman;serif" w:hAnsi="Times New Roman;serif"/>
                  <w:b w:val="false"/>
                  <w:strike w:val="false"/>
                  <w:dstrike w:val="false"/>
                  <w:color w:val="000000"/>
                  <w:sz w:val="20"/>
                  <w:u w:val="none"/>
                  <w:effect w:val="none"/>
                </w:rPr>
                <w:t>4</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19">
              <w:r>
                <w:rPr>
                  <w:rStyle w:val="InternetLink"/>
                  <w:rFonts w:ascii="Times New Roman;serif" w:hAnsi="Times New Roman;serif"/>
                  <w:b w:val="false"/>
                  <w:color w:val="0E32E1"/>
                  <w:sz w:val="20"/>
                  <w:u w:val="single"/>
                </w:rPr>
                <w:t>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19">
              <w:r>
                <w:rPr>
                  <w:rStyle w:val="InternetLink"/>
                  <w:rFonts w:ascii="Times New Roman;serif" w:hAnsi="Times New Roman;serif"/>
                  <w:b w:val="false"/>
                  <w:strike w:val="false"/>
                  <w:dstrike w:val="false"/>
                  <w:color w:val="000000"/>
                  <w:sz w:val="20"/>
                  <w:u w:val="none"/>
                  <w:effect w:val="none"/>
                </w:rPr>
                <w:t>6</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2">
              <w:r>
                <w:rPr>
                  <w:rStyle w:val="InternetLink"/>
                  <w:rFonts w:ascii="Times New Roman;serif" w:hAnsi="Times New Roman;serif"/>
                  <w:b w:val="false"/>
                  <w:color w:val="0E32E1"/>
                  <w:sz w:val="20"/>
                  <w:u w:val="single"/>
                </w:rPr>
                <w:t>Condensed Consolidated Balance Sheets as of March 31, 2026 and December 31,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2">
              <w:r>
                <w:rPr>
                  <w:rStyle w:val="InternetLink"/>
                  <w:rFonts w:ascii="Times New Roman;serif" w:hAnsi="Times New Roman;serif"/>
                  <w:b w:val="false"/>
                  <w:strike w:val="false"/>
                  <w:dstrike w:val="false"/>
                  <w:color w:val="000000"/>
                  <w:sz w:val="20"/>
                  <w:u w:val="none"/>
                  <w:effect w:val="none"/>
                </w:rPr>
                <w:t>6</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31">
              <w:r>
                <w:rPr>
                  <w:rStyle w:val="InternetLink"/>
                  <w:rFonts w:ascii="Times New Roman;serif" w:hAnsi="Times New Roman;serif"/>
                  <w:b w:val="false"/>
                  <w:color w:val="0E32E1"/>
                  <w:sz w:val="20"/>
                  <w:u w:val="single"/>
                </w:rPr>
                <w:t>Condensed Consolidated Statements of Operations and Comprehensive Loss for the Three Months Ended March 31, 2026 and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31">
              <w:r>
                <w:rPr>
                  <w:rStyle w:val="InternetLink"/>
                  <w:rFonts w:ascii="Times New Roman;serif" w:hAnsi="Times New Roman;serif"/>
                  <w:b w:val="false"/>
                  <w:strike w:val="false"/>
                  <w:dstrike w:val="false"/>
                  <w:color w:val="000000"/>
                  <w:sz w:val="20"/>
                  <w:u w:val="none"/>
                  <w:effect w:val="none"/>
                </w:rPr>
                <w:t>7</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37">
              <w:r>
                <w:rPr>
                  <w:rStyle w:val="InternetLink"/>
                  <w:rFonts w:ascii="Times New Roman;serif" w:hAnsi="Times New Roman;serif"/>
                  <w:b w:val="false"/>
                  <w:color w:val="0E32E1"/>
                  <w:sz w:val="20"/>
                  <w:u w:val="single"/>
                </w:rPr>
                <w:t>Condensed Consolidated Statements of Redeemable Convertible Preferred Stock and Stockholders’ Equity for the Three Months Ended March 31, 2026 and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37">
              <w:r>
                <w:rPr>
                  <w:rStyle w:val="InternetLink"/>
                  <w:rFonts w:ascii="Times New Roman;serif" w:hAnsi="Times New Roman;serif"/>
                  <w:b w:val="false"/>
                  <w:strike w:val="false"/>
                  <w:dstrike w:val="false"/>
                  <w:color w:val="000000"/>
                  <w:sz w:val="20"/>
                  <w:u w:val="none"/>
                  <w:effect w:val="none"/>
                </w:rPr>
                <w:t>8</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43">
              <w:r>
                <w:rPr>
                  <w:rStyle w:val="InternetLink"/>
                  <w:rFonts w:ascii="Times New Roman;serif" w:hAnsi="Times New Roman;serif"/>
                  <w:b w:val="false"/>
                  <w:color w:val="0E32E1"/>
                  <w:sz w:val="20"/>
                  <w:u w:val="single"/>
                </w:rPr>
                <w:t>Condensed Consolidated Statements of Cash Flows for the Three Months Ended March 31, 2026 and 2025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43">
              <w:r>
                <w:rPr>
                  <w:rStyle w:val="InternetLink"/>
                  <w:rFonts w:ascii="Times New Roman;serif" w:hAnsi="Times New Roman;serif"/>
                  <w:b w:val="false"/>
                  <w:strike w:val="false"/>
                  <w:dstrike w:val="false"/>
                  <w:color w:val="000000"/>
                  <w:sz w:val="20"/>
                  <w:u w:val="none"/>
                  <w:effect w:val="none"/>
                </w:rPr>
                <w:t>9</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49">
              <w:r>
                <w:rPr>
                  <w:rStyle w:val="InternetLink"/>
                  <w:rFonts w:ascii="Times New Roman;serif" w:hAnsi="Times New Roman;serif"/>
                  <w:b w:val="false"/>
                  <w:color w:val="0E32E1"/>
                  <w:sz w:val="20"/>
                  <w:u w:val="single"/>
                </w:rPr>
                <w:t>Notes to 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49">
              <w:r>
                <w:rPr>
                  <w:rStyle w:val="InternetLink"/>
                  <w:rFonts w:ascii="Times New Roman;serif" w:hAnsi="Times New Roman;serif"/>
                  <w:b w:val="false"/>
                  <w:strike w:val="false"/>
                  <w:dstrike w:val="false"/>
                  <w:color w:val="000000"/>
                  <w:sz w:val="20"/>
                  <w:u w:val="none"/>
                  <w:effect w:val="none"/>
                </w:rPr>
                <w:t>10</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14">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14">
              <w:r>
                <w:rPr>
                  <w:rStyle w:val="InternetLink"/>
                  <w:rFonts w:ascii="Times New Roman;serif" w:hAnsi="Times New Roman;serif"/>
                  <w:b w:val="false"/>
                  <w:strike w:val="false"/>
                  <w:dstrike w:val="false"/>
                  <w:color w:val="000000"/>
                  <w:sz w:val="20"/>
                  <w:u w:val="none"/>
                  <w:effect w:val="none"/>
                </w:rPr>
                <w:t>43</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71">
              <w:r>
                <w:rPr>
                  <w:rStyle w:val="InternetLink"/>
                  <w:rFonts w:ascii="Times New Roman;serif" w:hAnsi="Times New Roman;serif"/>
                  <w:b w:val="false"/>
                  <w:color w:val="0E32E1"/>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71">
              <w:r>
                <w:rPr>
                  <w:rStyle w:val="InternetLink"/>
                  <w:rFonts w:ascii="Times New Roman;serif" w:hAnsi="Times New Roman;serif"/>
                  <w:b w:val="false"/>
                  <w:strike w:val="false"/>
                  <w:dstrike w:val="false"/>
                  <w:color w:val="000000"/>
                  <w:sz w:val="20"/>
                  <w:u w:val="none"/>
                  <w:effect w:val="none"/>
                </w:rPr>
                <w:t>60</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74">
              <w:r>
                <w:rPr>
                  <w:rStyle w:val="InternetLink"/>
                  <w:rFonts w:ascii="Times New Roman;serif" w:hAnsi="Times New Roman;serif"/>
                  <w:b w:val="false"/>
                  <w:color w:val="0E32E1"/>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74">
              <w:r>
                <w:rPr>
                  <w:rStyle w:val="InternetLink"/>
                  <w:rFonts w:ascii="Times New Roman;serif" w:hAnsi="Times New Roman;serif"/>
                  <w:b w:val="false"/>
                  <w:strike w:val="false"/>
                  <w:dstrike w:val="false"/>
                  <w:color w:val="000000"/>
                  <w:sz w:val="20"/>
                  <w:u w:val="none"/>
                  <w:effect w:val="none"/>
                </w:rPr>
                <w:t>61</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77">
              <w:r>
                <w:rPr>
                  <w:rStyle w:val="InternetLink"/>
                  <w:rFonts w:ascii="Times New Roman;serif" w:hAnsi="Times New Roman;serif"/>
                  <w:b w:val="false"/>
                  <w:color w:val="0E32E1"/>
                  <w:sz w:val="20"/>
                  <w:u w:val="single"/>
                </w:rPr>
                <w:t>PART II.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80">
              <w:r>
                <w:rPr>
                  <w:rStyle w:val="InternetLink"/>
                  <w:rFonts w:ascii="Times New Roman;serif" w:hAnsi="Times New Roman;serif"/>
                  <w:b w:val="false"/>
                  <w:color w:val="0E32E1"/>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80">
              <w:r>
                <w:rPr>
                  <w:rStyle w:val="InternetLink"/>
                  <w:rFonts w:ascii="Times New Roman;serif" w:hAnsi="Times New Roman;serif"/>
                  <w:b w:val="false"/>
                  <w:strike w:val="false"/>
                  <w:dstrike w:val="false"/>
                  <w:color w:val="000000"/>
                  <w:sz w:val="20"/>
                  <w:u w:val="none"/>
                  <w:effect w:val="none"/>
                </w:rPr>
                <w:t>62</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83">
              <w:r>
                <w:rPr>
                  <w:rStyle w:val="InternetLink"/>
                  <w:rFonts w:ascii="Times New Roman;serif" w:hAnsi="Times New Roman;serif"/>
                  <w:b w:val="false"/>
                  <w:color w:val="0E32E1"/>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83">
              <w:r>
                <w:rPr>
                  <w:rStyle w:val="InternetLink"/>
                  <w:rFonts w:ascii="Times New Roman;serif" w:hAnsi="Times New Roman;serif"/>
                  <w:b w:val="false"/>
                  <w:strike w:val="false"/>
                  <w:dstrike w:val="false"/>
                  <w:color w:val="000000"/>
                  <w:sz w:val="20"/>
                  <w:u w:val="none"/>
                  <w:effect w:val="none"/>
                </w:rPr>
                <w:t>62</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86">
              <w:r>
                <w:rPr>
                  <w:rStyle w:val="InternetLink"/>
                  <w:rFonts w:ascii="Times New Roman;serif" w:hAnsi="Times New Roman;serif"/>
                  <w:b w:val="false"/>
                  <w:color w:val="0E32E1"/>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86">
              <w:r>
                <w:rPr>
                  <w:rStyle w:val="InternetLink"/>
                  <w:rFonts w:ascii="Times New Roman;serif" w:hAnsi="Times New Roman;serif"/>
                  <w:b w:val="false"/>
                  <w:strike w:val="false"/>
                  <w:dstrike w:val="false"/>
                  <w:color w:val="000000"/>
                  <w:sz w:val="20"/>
                  <w:u w:val="none"/>
                  <w:effect w:val="none"/>
                </w:rPr>
                <w:t>113</w:t>
              </w:r>
            </w:hyperlink>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89">
              <w:r>
                <w:rPr>
                  <w:rStyle w:val="InternetLink"/>
                  <w:rFonts w:ascii="Times New Roman;serif" w:hAnsi="Times New Roman;serif"/>
                  <w:b w:val="false"/>
                  <w:color w:val="0E32E1"/>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89">
              <w:r>
                <w:rPr>
                  <w:rStyle w:val="InternetLink"/>
                  <w:rFonts w:ascii="Times New Roman;serif" w:hAnsi="Times New Roman;serif"/>
                  <w:b w:val="false"/>
                  <w:strike w:val="false"/>
                  <w:dstrike w:val="false"/>
                  <w:color w:val="000000"/>
                  <w:sz w:val="20"/>
                  <w:u w:val="none"/>
                  <w:effect w:val="none"/>
                </w:rPr>
                <w:t>113</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2174362959284dcfb43b805e2a5826ed_292">
              <w:r>
                <w:rPr>
                  <w:rStyle w:val="InternetLink"/>
                  <w:rFonts w:ascii="Times New Roman;serif" w:hAnsi="Times New Roman;serif"/>
                  <w:b w:val="false"/>
                  <w:color w:val="0E32E1"/>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174362959284dcfb43b805e2a5826ed_292">
              <w:r>
                <w:rPr>
                  <w:rStyle w:val="InternetLink"/>
                  <w:rFonts w:ascii="Times New Roman;serif" w:hAnsi="Times New Roman;serif"/>
                  <w:b w:val="false"/>
                  <w:strike w:val="false"/>
                  <w:dstrike w:val="false"/>
                  <w:color w:val="000000"/>
                  <w:sz w:val="20"/>
                  <w:u w:val="none"/>
                  <w:effect w:val="none"/>
                </w:rPr>
                <w:t>115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lineRule="auto" w:line="288" w:before="240" w:after="283"/>
        <w:jc w:val="left"/>
        <w:rPr/>
      </w:pPr>
      <w:r>
        <w:rPr>
          <w:rFonts w:ascii="Times New Roman;serif" w:hAnsi="Times New Roman;serif"/>
          <w:b w:val="false"/>
          <w:color w:val="000000"/>
          <w:sz w:val="20"/>
        </w:rPr>
        <w:t>This Quarterly</w:t>
      </w:r>
      <w:r>
        <w:rPr>
          <w:color w:val="000000"/>
          <w:shd w:fill="FFFFFF" w:val="clear"/>
        </w:rPr>
        <w:t xml:space="preserve"> </w:t>
      </w:r>
      <w:r>
        <w:rPr>
          <w:rFonts w:ascii="Times New Roman;serif" w:hAnsi="Times New Roman;serif"/>
          <w:b w:val="false"/>
          <w:color w:val="000000"/>
          <w:sz w:val="20"/>
          <w:shd w:fill="FFFFFF" w:val="clear"/>
        </w:rPr>
        <w:t xml:space="preserve">Report on Form 10-Q </w:t>
      </w:r>
      <w:r>
        <w:rPr>
          <w:rFonts w:ascii="Times New Roman;serif" w:hAnsi="Times New Roman;serif"/>
          <w:b w:val="false"/>
          <w:color w:val="000000"/>
          <w:sz w:val="20"/>
        </w:rPr>
        <w:t>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“aiming,” “targeting” or other similar expressions that predict or indicate future events or trends or that are not statements of historical matters. They appear in a number of places throughout this Quarterly</w:t>
      </w:r>
      <w:r>
        <w:rPr>
          <w:color w:val="000000"/>
          <w:shd w:fill="FFFFFF" w:val="clear"/>
        </w:rPr>
        <w:t xml:space="preserve"> </w:t>
      </w:r>
      <w:r>
        <w:rPr>
          <w:rFonts w:ascii="Times New Roman;serif" w:hAnsi="Times New Roman;serif"/>
          <w:b w:val="false"/>
          <w:color w:val="000000"/>
          <w:sz w:val="20"/>
          <w:shd w:fill="FFFFFF" w:val="clear"/>
        </w:rPr>
        <w:t xml:space="preserve">Report on Form 10-Q </w:t>
      </w:r>
      <w:r>
        <w:rPr>
          <w:rFonts w:ascii="Times New Roman;serif" w:hAnsi="Times New Roman;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distribution strategy, our financial and operating outlook, future market launches and international expansion, including our manufacturing facility in Saudi Arabia and related timing and value to us, our needs for additional financing, and the promise of Lucid’s technology.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including the military operations in the Gulf region and the Middle East, and the potential escalation and broadening of the conflict in Iran;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prices and availability of commodities and components, including rare-earth minerals, semiconductors and their related products, and other materials, our supply chain, logistics, inventory management and quality control, and our ability to complete the tooling of our manufacturing facilities over time and scale production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uncertainty of our projected financial and operational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construction and expansion of our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effects of competition and the pace and depth of EV adoption generally on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regulatory requirements, policies, and governmental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fuel and energy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or maintain partnerships with original equipment manufacturers, vendors and technology providers, including our ability to realize the anticipated benefits of our partnerships with Aston Martin, Uber Technologies, Inc. (“Uber”), Nuro, Inc. (“Nuro”), and NVIDIA Corporation;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manage our growth and recruit and retain key employees, including our executive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ongoing need to attract, retain, and motivate key employees, including engineering and management employees, as we have undertaken multiple significant management changes in the past;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outstanding Redeemable Convertible Preferred Stock and Convertible Senior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reduction or elimination of, and our ability to obtain and effectively utilize, Zero Emission Vehicle (“ZEV”) credits, tax incentives, and other governmental and regulatory programs and incentives;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changes to vehicle specifications which may impact performance, features, pricing, and other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factors disclosed in this Quarterly</w:t>
      </w:r>
      <w:r>
        <w:rPr>
          <w:color w:val="000000"/>
          <w:shd w:fill="FFFFFF" w:val="clear"/>
        </w:rPr>
        <w:t xml:space="preserve"> </w:t>
      </w:r>
      <w:r>
        <w:rPr>
          <w:rFonts w:ascii="Times New Roman;serif" w:hAnsi="Times New Roman;serif"/>
          <w:b w:val="false"/>
          <w:color w:val="000000"/>
          <w:sz w:val="20"/>
          <w:shd w:fill="FFFFFF" w:val="clear"/>
        </w:rPr>
        <w:t xml:space="preserve">Report on Form 10-Q </w:t>
      </w:r>
      <w:r>
        <w:rPr>
          <w:rFonts w:ascii="Times New Roman;serif" w:hAnsi="Times New Roman;serif"/>
          <w:b w:val="false"/>
          <w:color w:val="000000"/>
          <w:sz w:val="20"/>
        </w:rPr>
        <w:t>or our other filings with the Securities and Exchange Commission (the “SEC”).</w:t>
      </w:r>
    </w:p>
    <w:p>
      <w:pPr>
        <w:pStyle w:val="TextBody"/>
        <w:bidi w:val="0"/>
        <w:spacing w:lineRule="auto" w:line="288" w:before="240" w:after="283"/>
        <w:jc w:val="left"/>
        <w:rPr/>
      </w:pPr>
      <w:r>
        <w:rPr>
          <w:rFonts w:ascii="Times New Roman;serif" w:hAnsi="Times New Roman;serif"/>
          <w:b w:val="false"/>
          <w:color w:val="000000"/>
          <w:sz w:val="20"/>
        </w:rPr>
        <w:t xml:space="preserve">The forward-looking statements contained in this </w:t>
      </w:r>
      <w:r>
        <w:rPr>
          <w:rFonts w:ascii="Times New Roman;serif" w:hAnsi="Times New Roman;serif"/>
          <w:b w:val="false"/>
          <w:color w:val="000000"/>
          <w:sz w:val="20"/>
          <w:shd w:fill="FFFFFF" w:val="clear"/>
        </w:rPr>
        <w:t xml:space="preserve">Quarterly Report on Form 10-Q </w:t>
      </w:r>
      <w:r>
        <w:rPr>
          <w:rFonts w:ascii="Times New Roman;serif" w:hAnsi="Times New Roman;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w:t>
      </w:r>
      <w:r>
        <w:rPr>
          <w:rFonts w:ascii="Times New Roman;serif" w:hAnsi="Times New Roman;serif"/>
          <w:b w:val="false"/>
          <w:color w:val="000000"/>
          <w:sz w:val="20"/>
          <w:shd w:fill="FFFFFF" w:val="clear"/>
        </w:rPr>
        <w:t>Quarterly</w:t>
      </w:r>
      <w:r>
        <w:rPr>
          <w:color w:val="000000"/>
        </w:rPr>
        <w:t xml:space="preserve"> </w:t>
      </w:r>
      <w:r>
        <w:rPr>
          <w:rFonts w:ascii="Times New Roman;serif" w:hAnsi="Times New Roman;serif"/>
          <w:b w:val="false"/>
          <w:color w:val="000000"/>
          <w:sz w:val="20"/>
        </w:rPr>
        <w:t xml:space="preserve">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w:t>
      </w:r>
      <w:r>
        <w:rPr>
          <w:rFonts w:ascii="Times New Roman;serif" w:hAnsi="Times New Roman;serif"/>
          <w:b w:val="false"/>
          <w:color w:val="000000"/>
          <w:sz w:val="20"/>
          <w:shd w:fill="FFFFFF" w:val="clear"/>
        </w:rPr>
        <w:t>Quarterly</w:t>
      </w:r>
      <w:r>
        <w:rPr>
          <w:color w:val="000000"/>
        </w:rPr>
        <w:t xml:space="preserve"> </w:t>
      </w:r>
      <w:r>
        <w:rPr>
          <w:rFonts w:ascii="Times New Roman;serif" w:hAnsi="Times New Roman;serif"/>
          <w:b w:val="false"/>
          <w:color w:val="000000"/>
          <w:sz w:val="20"/>
        </w:rPr>
        <w:t xml:space="preserve">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2030 Notes” are to the 5.00% Convertible Senior Notes due 2030;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2031 Notes” are to the 7.00% Convertible Senior Notes due 2031;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Ayar” are to Ayar Third Investment Company, an affiliate of the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Certificate of Designations” refers to Series A Certificate of Designations, Series B Certificate of Designations, and Series C Certificate of Designations,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common stock” are to the Class A common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Convertible Senior Notes” refers to the 2026 Notes, the 2030 Notes, and the 2031 Notes;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EV” are to electric vehicle;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Redeemable Convertible Preferred Stock” are to the Series A Convertible Preferred Stock, Series B Convertible Preferred Stock, and Series C Convertible Preferred Stock,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Reverse Stock Split” are to the one-for-ten (1:10) reverse stock split of our common stock that became effective on August 29,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A Certificate of Designations” refers to the Certificate of Designations of Series A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Subscription Agreement” refers to the subscription agreement entered into on March 24, 2024, by the Company and Ayar to purchase from the Company 100,000 shares of its Series A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B Certificate of Designations” refers to the Certificate of Designations of Series B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Redeemable Convertible Preferred Stock” are to the Series B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Subscription Agreement” refers to the subscription agreement entered into on August 4, 2024, by the Company and Ayar to purchase from the Company 75,000 shares of its Series B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C Certificate of Designations” refers to the Certificate of Designations of Series C Redeemable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C Redeemable Convertible Preferred Stock” are to the Series C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C Subscription Agreement” refers to the subscription agreement entered into on April 14, 2026, by the Company and Ayar to purchase from the Company 55,000 shares of its Series C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74"/>
        <w:gridCol w:w="2082"/>
        <w:gridCol w:w="2067"/>
        <w:gridCol w:w="109"/>
        <w:gridCol w:w="109"/>
        <w:gridCol w:w="109"/>
        <w:gridCol w:w="196"/>
        <w:gridCol w:w="886"/>
        <w:gridCol w:w="109"/>
        <w:gridCol w:w="109"/>
        <w:gridCol w:w="109"/>
        <w:gridCol w:w="109"/>
        <w:gridCol w:w="196"/>
        <w:gridCol w:w="886"/>
        <w:gridCol w:w="155"/>
      </w:tblGrid>
      <w:tr>
        <w:trPr/>
        <w:tc>
          <w:tcPr>
            <w:tcW w:w="2974"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997,827 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Short-term investments (including nil and $50,000 associated with a related party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receivable, net (including $95,278 and $120,540 from a related party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1,109,529 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2,756,669 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3,299,651 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4,028,772 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3,978,132 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Long-term investments (including $13,615 and $24,259 associated with a related party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512,241 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7,483,168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8,386,981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payable (including $20,127 and nil associated with a related party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Current portion of debt ($503,530 and $467,963 associated with related party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671,746 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current liabilities (including $69,859 and $81,580 associated with related parties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1,392,641 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2,636,130 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2,046,576 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long-term liabilities (including $123,350 and $123,198 associated with related parties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582,739 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5,386,204 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March 31, 2026 and December 31, 2025, Series A redeemable convertible preferred stock, par value $0.0001; 100,000 shares issued and outstanding as of March 31, 2026 and December 31, 2025; liquidation preference of $1,408,003 and $1,350,441 as of March 31, 2026 and December 31, 2025,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March 31, 2026 and December 31, 2025, Series B redeemable convertible preferred stock, par value $0.0001; 75,000 shares issued and outstanding as of March 31, 2026 and December 31, 2025; liquidation preference of $990,274 and $949,249 as of March 31, 2026 and December 31, 2025,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2,283,490 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Common stock, par value $0.0001; 1,500,000,000 shares authorized as of March 31, 2026 and December 31, 2025; 330,230,365 and 327,451,844 shares issued and 330,144,583 and 327,366,062 shares outstanding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16,304,893 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16,337,023 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85,782 shares at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(16,639,089)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(15,610,745)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717,287 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17"/>
              </w:rPr>
            </w:pPr>
            <w:r>
              <w:rPr>
                <w:rFonts w:ascii="Times New Roman;serif" w:hAnsi="Times New Roman;serif"/>
                <w:b/>
                <w:color w:val="000000"/>
                <w:sz w:val="17"/>
              </w:rPr>
              <w:t>TOTAL LIABILITIES, REDEEMABLE CONVERTIBLE PREFERRED STOCK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7,483,168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8,386,981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92"/>
        <w:gridCol w:w="2244"/>
        <w:gridCol w:w="2251"/>
        <w:gridCol w:w="211"/>
        <w:gridCol w:w="1027"/>
        <w:gridCol w:w="109"/>
        <w:gridCol w:w="109"/>
        <w:gridCol w:w="109"/>
        <w:gridCol w:w="109"/>
        <w:gridCol w:w="211"/>
        <w:gridCol w:w="877"/>
        <w:gridCol w:w="156"/>
      </w:tblGrid>
      <w:tr>
        <w:trPr/>
        <w:tc>
          <w:tcPr>
            <w:tcW w:w="279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Revenue (including $38,370 and $5,096 from a related party for the three months ended March 31, 2026 and 2025,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235,048 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Costs and expenses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revenue</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Workforce reduction charges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and expenses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1,271,950 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926,981 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operations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(989,485)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(691,933)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income (expense), net</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 expense (including $11,309 and $3,700 to a related party for the three months ended March 31, 2026 and 2025, respectively)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income (expense), net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324,399 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before provision for (benefit from) income taxes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(1,028,167)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(367,534)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(1,028,344)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(366,171)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(364,925)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Net loss attributable to common stockholders,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(1,134,306)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(731,096)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Weighted-average shares outstanding attributable to common stockholders, basic and diluted</w:t>
            </w:r>
            <w:r>
              <w:rPr>
                <w:rFonts w:ascii="Times New Roman;serif" w:hAnsi="Times New Roman;serif"/>
                <w:b w:val="false"/>
                <w:color w:val="000000"/>
                <w:sz w:val="12"/>
              </w:rPr>
              <w:t>(1)</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328,285,861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303,631,731</w:t>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loss per share attributable to common stockholders, basic and diluted</w:t>
            </w:r>
            <w:r>
              <w:rPr>
                <w:rFonts w:ascii="Times New Roman;serif" w:hAnsi="Times New Roman;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comprehensive income (loss)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unrealized gains (losses) on investments,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Reclassification adjustment for realized gains on investments included in net loss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comprehensive income (loss)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Comprehensive loss</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(358,722)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(364,925)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Comprehensive loss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(1,142,485)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(723,647)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and net loss per share attributable to common stockholders have been adjusted for the prior periods presented to reflect the one-for-ten (1:10) reverse stock split effected on August 29, 2025. See Note 2 “Summary of Significant Accounting Policies” for more information.</w:t>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462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0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Equity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2,283,490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327,366,062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16,337,023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11,692</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(15,610,745)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717,287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(1,028,344)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2,469,949 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2,389,452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330,144,583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16,304,893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3,513</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(16,639,089)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(351,366)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707"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92"/>
        <w:gridCol w:w="851"/>
        <w:gridCol w:w="163"/>
        <w:gridCol w:w="109"/>
        <w:gridCol w:w="109"/>
        <w:gridCol w:w="109"/>
        <w:gridCol w:w="196"/>
        <w:gridCol w:w="976"/>
        <w:gridCol w:w="109"/>
        <w:gridCol w:w="109"/>
        <w:gridCol w:w="109"/>
        <w:gridCol w:w="109"/>
        <w:gridCol w:w="196"/>
        <w:gridCol w:w="88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1,299,842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303,136,190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16,808,291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(12,912,694)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3,872,812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1,709,070 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1,664,767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304,880,073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16,477,874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5,350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(13,278,865)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3,183,675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has been adjusted for the prior periods presented to reflect the one-for-ten (1:10) reverse stock split effected on August 29, 2025. See Note 2 “Summary of Significant Accounting Policies” for more information.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59"/>
        <w:gridCol w:w="2211"/>
        <w:gridCol w:w="2226"/>
        <w:gridCol w:w="211"/>
        <w:gridCol w:w="1019"/>
        <w:gridCol w:w="109"/>
        <w:gridCol w:w="109"/>
        <w:gridCol w:w="109"/>
        <w:gridCol w:w="109"/>
        <w:gridCol w:w="211"/>
        <w:gridCol w:w="976"/>
        <w:gridCol w:w="156"/>
      </w:tblGrid>
      <w:tr>
        <w:trPr/>
        <w:tc>
          <w:tcPr>
            <w:tcW w:w="275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insurance premium</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and firm purchase commitments write-downs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 of a related party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associated with redeemable convertible preferred stock (related party)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investment discounts/premiums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Accounts receivable (including $25,262 and $4,116 from a related party for the three months ended March 31, 2026 and 2025, respectively)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(including $(47,134) and $(41,993) from a related party for the three months ended March 31, 2026 and 2025, respectively)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investments (including $50,000 and nil from a related party for the three months ended March 31, 2026 and 2025, respectively)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investments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investments (including nil and $(30,000) from a related party for the three months ended March 31, 2026 and 2025, respectively)</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from a related party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net settlement of employee awards</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finance lease liabilities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for credit facility issuance costs to a related party</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for the issuance of 2031 Notes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cash equivalents, and restricted cash</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1,855,191 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activity:</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Decreases in purchases of property, plant and equipment included in accounts payable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and right-of-use assets obtained through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property, plant, and equipment related to finance lease asset remeasurements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w:t>
      </w:r>
      <w:r>
        <w:rPr>
          <w:color w:val="000000"/>
        </w:rPr>
        <w:t xml:space="preserve"> – </w:t>
      </w:r>
      <w:r>
        <w:rPr>
          <w:rFonts w:ascii="Times New Roman;serif" w:hAnsi="Times New Roman;serif"/>
          <w:b/>
          <w:color w:val="000000"/>
          <w:sz w:val="20"/>
        </w:rPr>
        <w:t>DESCRIPTION OF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Lucid Group, Inc. (“Lucid”) is a technology company that is setting new standards with the world’s most advanced electric vehicles (“EVs”), the award-winning Lucid Air and 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Throughout the notes to the condensed consolidated financial statements, unless otherwise noted, the “Company,” “we,” “us” or “our” and similar terms refer to Lucid and its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devotes its efforts to business planning, sale and servicing of vehicles, providing technology access, research and development, construction of manufacturing facilities, expansion of retail studios and service centers, recruitment of management and technical talent, acquisition of operating assets, and capital-raising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inception through March 31, 2026, the Company has incurred operating losses and negative cash flows from operating activities. For the three months ended March 31, 2026 and 2025, the Company has incurred net losses of $1,028.3 million and $366.2 million, respectively. The Company had an accumulated deficit of $16.6 billion as of March 31,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The Company began commercial production and deliveries of its second vehicle, the Lucid Gravity, in December 2024. Currently, the AMP-1 phase 2 facility manufactures the Lucid Air and the Lucid Gravity. The Company continues to expand AMP-1, construct the completely-built-up (“CBU”) portion of AMP-2, and build a network of retail sales and service locations. The Company has plans for continued development of additional vehicle model types for future release, including its upcoming Midsize platform. The aforementioned activities will require considerable capital, which is above and beyond the expected cash inflows from the current sales of Lucid vehicles. As such, the future operating plan involves considerable risk if secure funding sources are not identified and confirmed.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existing sources of liquidity include cash, cash equivalents, investments, and unused available credit amounts from credit facilities. The Company funded operations primarily with issuances of common stock, convertible preferred stock, convertible notes, and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with Gulf International Bank (“GIB”) in an aggregate principal amount of approximately $266.1 million (as amended to increase the aggregate principal to $506.2 million in February 2025, the “2025 GIB Credit Facility”).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a subscription agreement (the “Series A Subscription Agreement”) with Ayar Third Investment Company, the controlling stockholder of the Company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7 “Redeemable Convertible Preferred Stock” and Note 15 “Related Party Transactions” for more information. In April 2026, the Company entered into a subscription agreement (the “Series C Subscription Agreement”) with Ayar. Pursuant to the Series C Subscription Agreement, the Company issued to Ayar 55,000 shares of its Series C convertible preferred stock, par value $0.0001 per share (the “Series C Redeemable Convertible Preferred Stock”), for an aggregate purchase price of $550.0 million in a private placement. See Note 17 “Subsequent Events”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the Series B Redeemable Convertible Preferred Stock, and the Series C Redeemable Convertible Preferred Stock (collectively,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in the certificate of designations of the Series B Redeemable Convertible Preferred Stock (the “Series B Certificate of Designations”), and in the certificate of designations of the Series C Redeemable Convertible Preferred Stock (the “Series C Certificate of Designations”) of the Company or (ii) during specified periods preceding a fundamental change or optional redemption by the Company under the terms of the Redeemable Convertible Preferred Stock. See Note 7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five-year unsecured delayed draw term loan credit facility (the “DDTL Credit Facility”) with Ayar. In November 2025, the Company and Ayar agreed to increase the aggregate principal amount from $750.0 million to $1.98 billion. See Note 6 “Debt” and Note 15 “Related Party Transactions” for more information. In April 2026, the Company borrowed $500.0 million under the DDTL Credit Facility. In April 2026, the Company also entered into an Amendment No.2 to Credit Agreement (the “DDTL Amendment”), pursuant to which the aggregate undrawn delayed commitments under the DDTL Credit Facility were increased by $500.0 million, such that, after giving effect to such increase, the aggregate sum of outstanding delayed draw term loans and aggregate undrawn commitments was increased to approximately $2.5 billion. See Note 17 “Subsequent Events”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an underwriting agreement (the “2024 Underwriting Agreement”) with BofA Securities, Inc. (the “Underwriter”), under which the Underwriter agreed to purchase from the Company shares of common stock in a public offering. The Company also granted the Underwriter a 30-day option to purchase additional shares of its common stock (the “Overallotment Option”), which the Underwriter exercised to purchase additional shares. In October 2024, the Company also entered into a subscription agreement (the “2024 Subscription Agreement”) with Ayar, pursuant to which Ayar agreed to purchase from the Company shares of common stock in a private placement. In addition, given the Underwriter’s exercise of the Overallotment Option, Ayar agreed to purchase additional shares of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15 “Related Party Transactions” for more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subscription agreement (the “2025 Subscription Agreement”) with SMB Holding Corporation (“SMB”), a subsidiary of Uber, under which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(as defined below), and consummated the private placement of shares to SMB for aggregate net proceeds of $299.7 million. See Note 8 “Stockholders’ Equity” for more information. In April 2026, the Company entered into a subscription agreement with SMB (the “2026 Subscription Agreement”), under which the Company issued to SMB, in a private placement, $200.0 million of the Company’s common stock. See Note 17 “Subsequent Events”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entered into an underwriting agreement (the “2026 Underwriting Agreement”) with the Underwriter, under which the Underwriter purchased from the Company shares of common stock in a registered offering, and the Company received aggregate net proceeds of $291.5 million. See Note 17 “Subsequent Events”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$1.10 billion aggregate principal amount of 5.00% convertible senior notes due in April 2030 (the “2030 Notes”) in a private offering. The net proceeds from the offering were $1.08 billion, after deducting debt issuance costs. In connection with the 2030 Notes offering, the Company paid $118.3 million to enter into privately negotiated capped call transactions with certain financial institutions to increase the effective conversion premium. Contemporaneously with the 2030 Notes offering, the Company repurchased $1,052.5 million aggregate principal amount of its 1.25% convertible senior notes due 2026 (the “2026 Notes”), using $931.4 million of the net proceeds of the 2030 Notes.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$975.0 million aggregate principal amount of 7.00% convertible senior notes due in November 2031 (the “2031 Notes”) in a private offering. The net proceeds from the offering were $962.2 million, after deducting debt issuance costs. Contemporaneously with the 2031 Notes offering, the Company repurchased $755.7 million aggregate principal amount of the 2026 Notes, using $748.2 million of the net proceeds of the 2031 Notes. See Note 6 “Debt”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Certain Significant Risks and Uncertainties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business activities consist of (i) generating sales from the deliveries and service of vehicles, (ii) research and development efforts to design, engineer and develop high-performance EVs and advanced EV powertrain components, including battery pack systems, (iii) construction of the CBU portion of AMP-2 in Saudi Arabia, (iv) further expansion of AMP-1 in Casa Grande, Arizona, (v) expansion of its retail studios and service center capabilities throughout North America and across the globe, and (vi) building strategic partnerships in an effort to accelerate growth and expand into new markets such as robotaxis. The Company is subject to the risks associated with such activities, including the need to further develop its technology, its marketing, and distribution channels; the need to further develop its sourcing, logistics,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participates in dynamic high-technology industries. Changes in any of the following areas could have a material adverse impact on the Company’s future financial position, results of operations, or cash flows: changes in the overall demand for its products and services; advances and trends in new technologies; competitive pressures; acceptance of the Company’s products and services; litigation or claims against the Company based on intellectual property (including patents); supply chain and logistical challenges and uncertainties; uncertainties surrounding trade policies as well as domestic and foreign tariffs and export controls; political, regulatory, social, environmental and economic conditions or other factors; and the Company’s ability to attract and retain employees necessary to support its business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changes or other central bank policy actions, bank closures and liquidity concerns at financial institutions, or other factors, have in the past and may in the future have an adverse impact on the Company’s business, prospects, financial condition and results of operations. If any of the Company’s suppliers, sub-suppliers or partners experience financial distress, insolvency or disruptions in operations, they may be unable to fulfill their obligations or meet the Company’s production and quality requirements. Adverse economic conditions and uncertainty about the current and future domestic or global economic conditions may also cause the Company’s customers to defer purchases or cancel their orders in response to higher interest rates, limited consumer credit availability, lower cash reserves, fluctuations in foreign currency exchange rates, and weakened consumer confidence. A reduction in demand for the Company’s products may result in a decline in product sales, with a corresponding material adverse impact on the Company’s business, prospects, financial condition and results of operations. Given the Company’s premium brand positioning and pricing, an economic recession or downturn is likely to have a disproportionate adverse effect on the Company compared to its competitors in the EV and traditional automotive sectors, to the extent that consumer demand for luxury goods declines in favor of more cost-conscious alternatives. In addition, adverse economic conditions and uncertainties surrounding trade policies, tariffs and export controls have caused, and may continue to cause, supply chain and logistical challenges and operational risks. In particular, the U.S. federal government enacted the law commonly referred to as the One Big, Beautiful Bill Act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Taken together, adverse economic conditions and uncertainties surrounding trade policies, tariffs and export controls, coupled with supply chain challenges and the potential difficulty of passing costs to customers or sharing the burden with suppliers, could reduce demand for the Company’s products and have a material adverse effect on the Company’s business, prospects, results of operations and financial condition. In addition, the deterioration of conditions in the financial markets may limit the Company’s ability to obtain external financing to fund its operations and capital expenditures for business growth on terms favorable to the Company, if at all. See “Risk Factors” in Part II, Item 1A of this Quarterly Report on Form 10-Q (the “Quarterly Report”) for more information regarding risks associated with a global economic recession, downturn or other adverse economic conditions.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24,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March 31, 2026 and the results of operations for the three months ended March 31, 2026 and 2025. The results of operations for the three months ended March 31, 2026 are not necessarily indicative of the results to be expected for the full year ending December 31, 2026 or any other future interim or annual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29, 2025, the Company effected a reverse stock split of its common stock at a ratio of one-for-ten (1:10) (the “Reverse Stock Split”) and a corresponding reduction of the authorized shares of common stock, as approved by the Company’s board of directors (the “Board of Directors”) and stockholders. The shares of the common stock began trading on a reverse split-adjusted basis at market open on September 2, 2025. Unless otherwise noted, the share, per share, and related information in this Quarterly Report on Form 10-Q reflects the effect of the Reverse Stock Split. The share and per share information of the Redeemable Convertible Preferred Stock remains unchanged, except for the information relating to the common stock underlying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the Company and its wholly owned subsidiaries. All significant intercompany balances and transactions have been eliminated in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Significant estimates, assumptions and judgments made by management include, among others, inventory valuation, warranty reserve, useful lives of property, plant and equipment,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Actual results may differ from these estimates under different assumptions or conditions due to the inherent uncertainty involved in making those estimates and any such differences may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Reclassification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in the accompanying condensed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is primarily related to cash reserved or letters of credit issued for certain lease arrangements.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amounts shown in the statements of cash flows (in thousands):</w:t>
      </w:r>
    </w:p>
    <w:tbl>
      <w:tblPr>
        <w:tblW w:w="7044" w:type="dxa"/>
        <w:jc w:val="left"/>
        <w:tblInd w:w="0" w:type="dxa"/>
        <w:tblLayout w:type="fixed"/>
        <w:tblCellMar>
          <w:top w:w="28" w:type="dxa"/>
          <w:left w:w="28" w:type="dxa"/>
          <w:bottom w:w="28" w:type="dxa"/>
          <w:right w:w="28" w:type="dxa"/>
        </w:tblCellMar>
      </w:tblPr>
      <w:tblGrid>
        <w:gridCol w:w="1532"/>
        <w:gridCol w:w="1345"/>
        <w:gridCol w:w="1353"/>
        <w:gridCol w:w="211"/>
        <w:gridCol w:w="826"/>
        <w:gridCol w:w="109"/>
        <w:gridCol w:w="109"/>
        <w:gridCol w:w="109"/>
        <w:gridCol w:w="109"/>
        <w:gridCol w:w="211"/>
        <w:gridCol w:w="97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an immaterial allowance for uncollectible amounts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however, its deposits exceed federally insured limits. The Company invests in highly rated securities, primarily issued by the U.S. government or liquid money market funds. As of March 31, 2026 and December 31, 2025, accounts receivable from the EV purchase agreement with the Government of Saudi Arabia, a related party of the Public Investment Fund (“PIF”), which is an affiliate of Ayar, as represented by the Ministry of Finance (the “EV Purchase Agreement”), represented 72.6% and 68.0% of the total accounts receivable balance, respectively. See Note 15 “Related Party Transactions” for more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dependent on its suppliers, the majority of which are single-source suppliers. The inability of these suppliers to deliver necessary components of its products according to the schedule and at prices, quality levels, and volumes acceptable to the Company, whether due to changes or uncertainties in trade policies, the imposition or proposed imposition of tariffs, threat of a trade war or otherwise, or its inability to efficiently manage these components, or the unavailability of stable domestic suppliers,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 Company generated total vehicle sales revenue of $264.7 million and $194.9 million during the three months ended March 31, 2026 and 2025, respectively. The performance obligations identified in vehicle sale arrangements include delivery of the vehicle equipped with an onboard advanced driver assistance system (“ADAS”), the provision of maintenance services, the remarketing activities, and the right to unspecified OTA software updates as they become available over the term of the basic vehicle warranty, which is generally four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Payments received before the customer obtains control of the vehicle are recorded within other current liabilities in the condensed consolidated balance sheets.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the Company reduces the transaction price and records a sales return reserve against revenue for estimated variable consideration related to future returns. Return rate estimates are based on historical experience and the sales return reserve balance was not material as of March 31,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recorded $88.5 million and $87.5 million of total deferred revenue from all vehicle sales related to OTA, maintenance services, and remarketing activities for vehicle sales, respectively. The Company recorded $28.7 million and $30.0 million of the total deferred revenue within other current liabilities and the remaining $59.8 million and $57.5 million within other long-term liabilities in the condensed consolidated balance sheets as of March 31, 2026 and December 31, 2025, respectively. Revenue recognized that was included in the deferred revenue at the beginning of the period was not material during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residual value guarantee to its commercial banking partners in connection with its vehicle leasing program. Related vehicle sales represented approximately 41% and 57% of total revenue during the three months ended March 31, 2026 and 2025, respectively. Under the vehicle leasing program, the Company recognizes revenue when control transfers upon delivery when the consumer-lessee takes physical possession of the vehicle, and bifurcates the RVG at fair value and accounts for it as a reduction to revenue and a guarantee liability. The remaining amount of the transaction price is allocated among the performance obligations. Any fees or incentives that are paid or payable by the Company to commercial banking partners are recognized as a reduction to vehicle sales revenue.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RVG liability is assessed subsequently for any changes on a quarterly basis. The Company recorded $118.7 million and $114.0 million of RVG liabilities as of March 31, 2026 and December 31, 2025, respectively, in other current liabilities and other long-term liabilities in the condensed consolidated balance sheets.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$706.6 million and $705.9 million as of March 31, 2026 and December 31, 2025,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 and were not material as of March 31, 2026 and December 31, 2025. The operating lease revenue was not material for the three months ended March 31, 2026 and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sale and leaseback transactions in which the Company transfers control of vehicles to rental companies and simultaneously leases them back as operating leases. The Company recognizes revenue related to the vehicles under the arrangement when the rental companies obtain control of the vehicles and separately recognizes the lease obligations based on the present value of the future payments to the rental companies within other current liabilities and other long-term liabilities. The Company also records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revenue from sale and leaseback transactions of $34.4 million and $25.9 million during the three months ended March 31, 2026 and 2025, respectively. Operating lease expenses were not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consists primarily of revenue from non-warranty after-sales vehicle services and parts, sales of battery pack systems, powertrain kits, retail merchandise, regulatory credits, and sales of non-Lucid vehicles acquired as part of the trade-in program. The Company generates regulatory credits revenue from the sale of tradable credits the Company earns under various regulations. This includes credits related to ZEVs and greenhouse gas (“GHG”), and the Corporate Average Fuel Economy (“CAFE”) credits. Regulatory credit revenue totaled nil and $31.5 million during the three months ended March 31, 2026 and 2025, respectively. The revenue from sales of non-Lucid vehicles was not material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Accounting Standards Codification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Derivative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 liabilities are related to the conversion features embedded in the Redeemable Convertible Preferred Stock. See Note 7 “Redeemable Convertible Preferred Stock”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Except for the policies described above, there have been no significant changes to accounting policies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WORKFORCE REDUCTION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announced a reduction of its current U.S. workforce (the “2026 Plan”) that intended to align with its long-term operating goals as it focuses on the start of production of its Midsize platform, expansion into the robotaxi market and development of ADAS technologies, as well as the sale and distribution of its current models in existing and new geographies. The Company expects to substantially complete the 2026 Plan by the end of the second quarter of 2026, subject to local law and consultation requirements. As a result of the 2026 Plan, the Company expects to incur total workforce reduction charges of approximately $40 million, primarily related to severance payments, employee benefits, and employee transition. During the three months ended March 31, 2026, the Company recorded workforce reduction charges of $37.9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24, 2024, the Company announced a plan (the “2024 Plan”) intended to optimize operating expenses in response to evolving business needs and productivity improvement through a reduction in workforce. The Company completed the 2024 Plan during the first quarter of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accrued liabilities associated with the workforce reduction plans was as follows (in thousands):</w:t>
      </w:r>
    </w:p>
    <w:tbl>
      <w:tblPr>
        <w:tblW w:w="7196" w:type="dxa"/>
        <w:jc w:val="left"/>
        <w:tblInd w:w="0" w:type="dxa"/>
        <w:tblLayout w:type="fixed"/>
        <w:tblCellMar>
          <w:top w:w="28" w:type="dxa"/>
          <w:left w:w="28" w:type="dxa"/>
          <w:bottom w:w="28" w:type="dxa"/>
          <w:right w:w="28" w:type="dxa"/>
        </w:tblCellMar>
      </w:tblPr>
      <w:tblGrid>
        <w:gridCol w:w="1721"/>
        <w:gridCol w:w="1512"/>
        <w:gridCol w:w="1521"/>
        <w:gridCol w:w="234"/>
        <w:gridCol w:w="801"/>
        <w:gridCol w:w="121"/>
        <w:gridCol w:w="121"/>
        <w:gridCol w:w="121"/>
        <w:gridCol w:w="121"/>
        <w:gridCol w:w="234"/>
        <w:gridCol w:w="518"/>
        <w:gridCol w:w="171"/>
      </w:tblGrid>
      <w:tr>
        <w:trP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Workforce reduction charges excluding non-cash items</w:t>
            </w:r>
            <w:r>
              <w:rPr>
                <w:rFonts w:ascii="Times New Roman;serif" w:hAnsi="Times New Roman;serif"/>
                <w:b w:val="false"/>
                <w:color w:val="000000"/>
                <w:sz w:val="13"/>
              </w:rPr>
              <w:t>(1)</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end of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non-cash items of $1.4 million for the three months ended March 31, 2026 related to the 2026 Plan, which was net of accelerated stock-based compensation expense of $1.9 million and a reversal of $3.3 million related to previously recognized stock-based compensation expenses for unvested restricted stock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accrued liabilities of $30.5 million associated with the 2026 Plan were included in other current liabilities on the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BALANCE SHEETS COMPONENTS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as of March 31, 2026 and December 31, 2025 was as follows (in thousands): </w:t>
      </w:r>
    </w:p>
    <w:tbl>
      <w:tblPr>
        <w:tblW w:w="4463" w:type="dxa"/>
        <w:jc w:val="left"/>
        <w:tblInd w:w="0" w:type="dxa"/>
        <w:tblLayout w:type="fixed"/>
        <w:tblCellMar>
          <w:top w:w="28" w:type="dxa"/>
          <w:left w:w="28" w:type="dxa"/>
          <w:bottom w:w="28" w:type="dxa"/>
          <w:right w:w="28" w:type="dxa"/>
        </w:tblCellMar>
      </w:tblPr>
      <w:tblGrid>
        <w:gridCol w:w="543"/>
        <w:gridCol w:w="476"/>
        <w:gridCol w:w="480"/>
        <w:gridCol w:w="211"/>
        <w:gridCol w:w="976"/>
        <w:gridCol w:w="109"/>
        <w:gridCol w:w="109"/>
        <w:gridCol w:w="109"/>
        <w:gridCol w:w="109"/>
        <w:gridCol w:w="211"/>
        <w:gridCol w:w="97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Finished goods</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as of March 31, 2026 and December 31, 2025 was comprised of raw materials, work in progress related to the production of vehicles for sale and SKD units for final assembly in Saudi Arabia, and finished goods inventory including new vehicles available for sale, vehicles in transit to fulfill customer orders, and used vehicles which the Company intends to sell. The Company recorded write-downs of $237.9 million and $151.6 million for the three months ended March 31, 2026 and 2025, respectively, to reduce its inventories to its net realizable values and for any excess or obsolete inventories, as well as losses from firm purchase commitments (“LCNRV”). While the final scope and application of recently announced changes in trade policy remain uncertain at this time, higher tariffs on imports and subsequent retaliatory tariffs could adversely impact the Company’s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current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U.S. Supreme Court ruled that certain tariffs previously imposed under the International Emergency Economic Powers Act (“IEEPA”) were unlawful. As a result of that ruling and related Court-ordered actions by the Court of International Trade (“CIT”), the Company has evaluated the recoverability of IEEPA tariffs previously paid on imported goods.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had previously capitalized IEEPA tariffs as a component of inventory and subsequently recognized substantially all such amounts in cost of revenue. Based on Company’s determination that recovery was probable and reasonably estimable, the Company recognized a $53.0 million receivable within other current assets in the condensed consolidated balance sheets, with a corresponding reduction to cost of revenue in the condensed consolidated statement of operations and comprehensive loss for the three months ended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 reflects Company’s judgment regarding the portion of previously recognized IEEPA tariffs expected to be recoverable through the refund process administered by U.S. Customs and Border Protection (“CBP”) and it may be subject to change based on the ultimate resolution of refund claims. The ultimate amount of recoveries may differ from the Company’s estimates, based on additional guidance from CBP, the resolution of specific entry-level claims, or other administrative developments. To the extent there are changes in amounts that become recoverable, including any associated interest, such amounts will be recognized in the period in which information about the probable and reasonably estimable amounts becomes known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as of March 31, 2026 and December 31, 2025 was as follows (in thousands):</w:t>
      </w:r>
    </w:p>
    <w:tbl>
      <w:tblPr>
        <w:tblW w:w="7014" w:type="dxa"/>
        <w:jc w:val="left"/>
        <w:tblInd w:w="0" w:type="dxa"/>
        <w:tblLayout w:type="fixed"/>
        <w:tblCellMar>
          <w:top w:w="28" w:type="dxa"/>
          <w:left w:w="28" w:type="dxa"/>
          <w:bottom w:w="28" w:type="dxa"/>
          <w:right w:w="28" w:type="dxa"/>
        </w:tblCellMar>
      </w:tblPr>
      <w:tblGrid>
        <w:gridCol w:w="1466"/>
        <w:gridCol w:w="1289"/>
        <w:gridCol w:w="1295"/>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Building and improvements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Machinery, tooling and vehicles</w:t>
            </w:r>
            <w:r>
              <w:rPr>
                <w:rFonts w:ascii="Times New Roman;serif" w:hAnsi="Times New Roman;serif"/>
                <w:b w:val="false"/>
                <w:color w:val="000000"/>
                <w:sz w:val="13"/>
              </w:rPr>
              <w:t>(2)(3)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March 31, 2026 and December 31, 2025,</w:t>
      </w:r>
      <w:r>
        <w:rPr>
          <w:color w:val="000000"/>
        </w:rPr>
        <w:t xml:space="preserve"> </w:t>
      </w:r>
      <w:r>
        <w:rPr>
          <w:rFonts w:ascii="Times New Roman;serif" w:hAnsi="Times New Roman;serif"/>
          <w:b w:val="false"/>
          <w:color w:val="000000"/>
          <w:sz w:val="16"/>
        </w:rPr>
        <w:t>$127.5 million of capital expenditure support received from Ministry of Investment of Saudi Arabia (“MISA”) was primarily recorded as a deduction to the AMP-2 building balance. See Note 15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$48.8 million and $47.2 million of service loaner vehicles as of March 31, 2026 and December 31, 2025, respectively.</w:t>
      </w:r>
    </w:p>
    <w:p>
      <w:pPr>
        <w:pStyle w:val="TextBody"/>
        <w:bidi w:val="0"/>
        <w:spacing w:lineRule="auto" w:line="28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Included $31.3 million and $33.7 million of operating lease vehicles sold to rental companies as of March 31, 2026 and December 31,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5978" w:type="dxa"/>
        <w:jc w:val="left"/>
        <w:tblInd w:w="0" w:type="dxa"/>
        <w:tblLayout w:type="fixed"/>
        <w:tblCellMar>
          <w:top w:w="28" w:type="dxa"/>
          <w:left w:w="28" w:type="dxa"/>
          <w:bottom w:w="28" w:type="dxa"/>
          <w:right w:w="28" w:type="dxa"/>
        </w:tblCellMar>
      </w:tblPr>
      <w:tblGrid>
        <w:gridCol w:w="1146"/>
        <w:gridCol w:w="1006"/>
        <w:gridCol w:w="1012"/>
        <w:gridCol w:w="211"/>
        <w:gridCol w:w="976"/>
        <w:gridCol w:w="109"/>
        <w:gridCol w:w="109"/>
        <w:gridCol w:w="109"/>
        <w:gridCol w:w="109"/>
        <w:gridCol w:w="211"/>
        <w:gridCol w:w="8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of AMP-1 and AMP-2</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March 31, 2026 and December 31, 2025, $67.3 million of capital expenditure support received from MISA was recorded primarily as a deduction to the AMP-2 facility construction in progress balance. See Note 15 “Related Party Transactions” for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$116.4 million and $98.0 million for the three months ended March 31, 2026 and 2025, respectively. The amount of interest capitalized on construction in progress related to significant capital asset constructions was not material for the three months ended March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as of March 31, 2026 and December 31, 2025 were as follows (in thousands):</w:t>
      </w:r>
    </w:p>
    <w:tbl>
      <w:tblPr>
        <w:tblW w:w="7733" w:type="dxa"/>
        <w:jc w:val="left"/>
        <w:tblInd w:w="0" w:type="dxa"/>
        <w:tblLayout w:type="fixed"/>
        <w:tblCellMar>
          <w:top w:w="28" w:type="dxa"/>
          <w:left w:w="28" w:type="dxa"/>
          <w:bottom w:w="28" w:type="dxa"/>
          <w:right w:w="28" w:type="dxa"/>
        </w:tblCellMar>
      </w:tblPr>
      <w:tblGrid>
        <w:gridCol w:w="1727"/>
        <w:gridCol w:w="1519"/>
        <w:gridCol w:w="1523"/>
        <w:gridCol w:w="211"/>
        <w:gridCol w:w="976"/>
        <w:gridCol w:w="109"/>
        <w:gridCol w:w="109"/>
        <w:gridCol w:w="109"/>
        <w:gridCol w:w="109"/>
        <w:gridCol w:w="211"/>
        <w:gridCol w:w="97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purchases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leasehold improvements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services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on firm inventory purchase commitments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incentive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RVG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Primarily represent accruals for inventory related purchases and transportation charges that had not been invoiced.</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 deferred revenue from vehicle sales primarily related to OTA and remarketing activities.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long-term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as of March 31, 2026 and December 31, 2025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long-term liabilities</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March 31, 2026 and December 31, 2025, $114.8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15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accrued warranty balance of $96.2 million and $93.4 million as of March 31, 2026 and December 31,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warranty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activities consisted of the following (in thousands):</w:t>
      </w:r>
    </w:p>
    <w:tbl>
      <w:tblPr>
        <w:tblW w:w="6143" w:type="dxa"/>
        <w:jc w:val="left"/>
        <w:tblInd w:w="0" w:type="dxa"/>
        <w:tblLayout w:type="fixed"/>
        <w:tblCellMar>
          <w:top w:w="28" w:type="dxa"/>
          <w:left w:w="28" w:type="dxa"/>
          <w:bottom w:w="28" w:type="dxa"/>
          <w:right w:w="28" w:type="dxa"/>
        </w:tblCellMar>
      </w:tblPr>
      <w:tblGrid>
        <w:gridCol w:w="1260"/>
        <w:gridCol w:w="1106"/>
        <w:gridCol w:w="1113"/>
        <w:gridCol w:w="211"/>
        <w:gridCol w:w="826"/>
        <w:gridCol w:w="109"/>
        <w:gridCol w:w="109"/>
        <w:gridCol w:w="109"/>
        <w:gridCol w:w="109"/>
        <w:gridCol w:w="211"/>
        <w:gridCol w:w="82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warranty - beginning of period</w:t>
            </w:r>
            <w:r>
              <w:rPr>
                <w:rFonts w:ascii="Times New Roman;serif" w:hAnsi="Times New Roman;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warranty</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warranty - end of period</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Provision for warranty for the three months ended March 31, 2026 and 2025 included estimated costs related to the recalls identified and/or special campaigns to repair or replace items under warranties.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Accrued warranty balance of $68.1 million and $58.8 million was recorded within other current liabilities, and $96.2 million and $93.4 million was recorded within other long-term liabilities, in the condensed consolidated balance sheets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FAIR VALUE MEASUREMENTS AND 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investments are reported at their respective fair values on the Company’s condensed consolidated balance sheets. The Company’s short-term and long-term investments are classified as available-for-sale securities. Carrying amounts of accounts receivable, accounts payable, and other current liabilities approximate their estimated fair values.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subject to fair value measurements on a recurring basis by level within the fair value hierarchy as of March 31, 2026 and December 31, 2025 (in thousands):</w:t>
      </w:r>
    </w:p>
    <w:tbl>
      <w:tblPr>
        <w:tblW w:w="4178" w:type="dxa"/>
        <w:jc w:val="left"/>
        <w:tblInd w:w="0" w:type="dxa"/>
        <w:tblLayout w:type="fixed"/>
        <w:tblCellMar>
          <w:top w:w="28" w:type="dxa"/>
          <w:left w:w="28" w:type="dxa"/>
          <w:bottom w:w="28" w:type="dxa"/>
          <w:right w:w="28" w:type="dxa"/>
        </w:tblCellMar>
      </w:tblPr>
      <w:tblGrid>
        <w:gridCol w:w="816"/>
        <w:gridCol w:w="719"/>
        <w:gridCol w:w="730"/>
        <w:gridCol w:w="304"/>
        <w:gridCol w:w="1190"/>
        <w:gridCol w:w="156"/>
        <w:gridCol w:w="109"/>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0790" w:type="dxa"/>
        <w:jc w:val="left"/>
        <w:tblInd w:w="0" w:type="dxa"/>
        <w:tblLayout w:type="fixed"/>
        <w:tblCellMar>
          <w:top w:w="28" w:type="dxa"/>
          <w:left w:w="28" w:type="dxa"/>
          <w:bottom w:w="28" w:type="dxa"/>
          <w:right w:w="28" w:type="dxa"/>
        </w:tblCellMar>
      </w:tblPr>
      <w:tblGrid>
        <w:gridCol w:w="511"/>
        <w:gridCol w:w="231"/>
        <w:gridCol w:w="189"/>
        <w:gridCol w:w="211"/>
        <w:gridCol w:w="976"/>
        <w:gridCol w:w="109"/>
        <w:gridCol w:w="109"/>
        <w:gridCol w:w="109"/>
        <w:gridCol w:w="109"/>
        <w:gridCol w:w="211"/>
        <w:gridCol w:w="616"/>
        <w:gridCol w:w="109"/>
        <w:gridCol w:w="109"/>
        <w:gridCol w:w="109"/>
        <w:gridCol w:w="109"/>
        <w:gridCol w:w="257"/>
        <w:gridCol w:w="495"/>
        <w:gridCol w:w="134"/>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deposits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$50.0 million of time deposits with GIB in short-term investments. GIB is a related party of the PIF, which is an affiliate of Ayar. See Note 15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recorded realized gains of $5.7 million on the sale of available-for-sale securities, and immaterial realized gains for the same period in the prior year. Accrued interest receivable excluded from both the fair value and amortized cost basis of the available-for-sale securities was nil and $13.1 million as of March 31, 2026 and December 31, 2025, respectively, and was recorded in other current assets on its condensed consolidated balance sheets. As of March 31, 2026 and December 31, 2025, no allowance for credit losses was recorded related to an impairment of available-for-sale securities.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the Company received 28,352,273 ordinary shares of Aston Martin with an initial fair value of $73.2 million. The Company remeasured the shares and recorded fair values of $13.6 million and $24.3 million within long-term investments in the condensed consolidated balance sheets as of March 31, 2026 and December 31, 2025, respectively. These equity securities are publicly traded stocks (where shares are denominated in GBP) measured at fair value on a recurring basis and classified within level 1 in the fair value hierarchy. The Company recognized unrealized losses of $10.2 million and $13.5 million during the three months ended March 31, 2026 and 2025, respectively, in change of fair value of equity securities of a related party in the condensed consolidated statement of operations and comprehensive loss. The Company also recognized an unrealized foreign currency loss of $0.5 million and an unrealized foreign currency gain of $1.3 million during the three months ended March 31, 2026 and 2025, respectively, related to these equity securities in other income (expense), net in the condensed consolidated statement of operations and comprehensive loss. See Note 15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for the Redeemable Convertible Preferred Stock are discussed further in Note 7 “Redeemable Convertible Preferred Stock”. The fair value of the common stock warrant liability remains unchanged and was nil as of March 31, 2026 and December 31, 2025.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common stock warrant liability and derivative liabilities associated with the Redeemable Convertible Preferred Stock measured and recorded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667"/>
        <w:gridCol w:w="586"/>
        <w:gridCol w:w="588"/>
        <w:gridCol w:w="276"/>
        <w:gridCol w:w="945"/>
        <w:gridCol w:w="142"/>
        <w:gridCol w:w="109"/>
        <w:gridCol w:w="109"/>
        <w:gridCol w:w="109"/>
        <w:gridCol w:w="289"/>
        <w:gridCol w:w="846"/>
        <w:gridCol w:w="149"/>
        <w:gridCol w:w="109"/>
        <w:gridCol w:w="109"/>
        <w:gridCol w:w="109"/>
        <w:gridCol w:w="264"/>
        <w:gridCol w:w="1037"/>
        <w:gridCol w:w="136"/>
        <w:gridCol w:w="109"/>
        <w:gridCol w:w="109"/>
        <w:gridCol w:w="109"/>
        <w:gridCol w:w="264"/>
        <w:gridCol w:w="1034"/>
        <w:gridCol w:w="136"/>
        <w:gridCol w:w="109"/>
        <w:gridCol w:w="109"/>
        <w:gridCol w:w="109"/>
        <w:gridCol w:w="296"/>
        <w:gridCol w:w="1014"/>
        <w:gridCol w:w="22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Warrant Liability</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value-beginning of period</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value-end of period</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232,100 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debt as of March 31, 2026 and December 31, 2025 was as follows (in millions):</w:t>
      </w:r>
    </w:p>
    <w:tbl>
      <w:tblPr>
        <w:tblW w:w="5204" w:type="dxa"/>
        <w:jc w:val="left"/>
        <w:tblInd w:w="0" w:type="dxa"/>
        <w:tblLayout w:type="fixed"/>
        <w:tblCellMar>
          <w:top w:w="28" w:type="dxa"/>
          <w:left w:w="28" w:type="dxa"/>
          <w:bottom w:w="28" w:type="dxa"/>
          <w:right w:w="28" w:type="dxa"/>
        </w:tblCellMar>
      </w:tblPr>
      <w:tblGrid>
        <w:gridCol w:w="841"/>
        <w:gridCol w:w="738"/>
        <w:gridCol w:w="746"/>
        <w:gridCol w:w="109"/>
        <w:gridCol w:w="109"/>
        <w:gridCol w:w="109"/>
        <w:gridCol w:w="211"/>
        <w:gridCol w:w="766"/>
        <w:gridCol w:w="109"/>
        <w:gridCol w:w="109"/>
        <w:gridCol w:w="109"/>
        <w:gridCol w:w="109"/>
        <w:gridCol w:w="212"/>
        <w:gridCol w:w="772"/>
        <w:gridCol w:w="155"/>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GIB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issuances of the 2026 Notes, the 2030 Notes, and the 2031 Notes as single liabilities measured at its respective amortized cost, as no other embedded features require bifurcation and recognition as derivatives. It determined the fair value of the Convertible Senior Notes based on quoted prices in markets that are not active, which is considered a Level 2 valuation input. The following table sets forth a summary of the 2026 Notes, the 2030 Notes, and the 2031 Notes as of March 31, 2026 and December 31, 2025 (in millions):</w:t>
      </w:r>
    </w:p>
    <w:tbl>
      <w:tblPr>
        <w:tblW w:w="10205" w:type="dxa"/>
        <w:jc w:val="left"/>
        <w:tblInd w:w="0" w:type="dxa"/>
        <w:tblLayout w:type="fixed"/>
        <w:tblCellMar>
          <w:top w:w="28" w:type="dxa"/>
          <w:left w:w="28" w:type="dxa"/>
          <w:bottom w:w="28" w:type="dxa"/>
          <w:right w:w="28" w:type="dxa"/>
        </w:tblCellMar>
      </w:tblPr>
      <w:tblGrid>
        <w:gridCol w:w="774"/>
        <w:gridCol w:w="678"/>
        <w:gridCol w:w="688"/>
        <w:gridCol w:w="254"/>
        <w:gridCol w:w="924"/>
        <w:gridCol w:w="131"/>
        <w:gridCol w:w="109"/>
        <w:gridCol w:w="109"/>
        <w:gridCol w:w="109"/>
        <w:gridCol w:w="718"/>
        <w:gridCol w:w="1791"/>
        <w:gridCol w:w="373"/>
        <w:gridCol w:w="109"/>
        <w:gridCol w:w="109"/>
        <w:gridCol w:w="109"/>
        <w:gridCol w:w="299"/>
        <w:gridCol w:w="1086"/>
        <w:gridCol w:w="154"/>
        <w:gridCol w:w="109"/>
        <w:gridCol w:w="109"/>
        <w:gridCol w:w="109"/>
        <w:gridCol w:w="211"/>
        <w:gridCol w:w="766"/>
        <w:gridCol w:w="109"/>
        <w:gridCol w:w="109"/>
        <w:gridCol w:w="159"/>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268" w:type="dxa"/>
            <w:gridSpan w:val="2"/>
            <w:tcBorders/>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4"/>
        <w:gridCol w:w="678"/>
        <w:gridCol w:w="688"/>
        <w:gridCol w:w="254"/>
        <w:gridCol w:w="924"/>
        <w:gridCol w:w="131"/>
        <w:gridCol w:w="109"/>
        <w:gridCol w:w="109"/>
        <w:gridCol w:w="109"/>
        <w:gridCol w:w="718"/>
        <w:gridCol w:w="1791"/>
        <w:gridCol w:w="373"/>
        <w:gridCol w:w="109"/>
        <w:gridCol w:w="109"/>
        <w:gridCol w:w="109"/>
        <w:gridCol w:w="299"/>
        <w:gridCol w:w="1086"/>
        <w:gridCol w:w="154"/>
        <w:gridCol w:w="109"/>
        <w:gridCol w:w="109"/>
        <w:gridCol w:w="109"/>
        <w:gridCol w:w="211"/>
        <w:gridCol w:w="766"/>
        <w:gridCol w:w="109"/>
        <w:gridCol w:w="109"/>
        <w:gridCol w:w="159"/>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8" w:type="dxa"/>
            <w:gridSpan w:val="2"/>
            <w:tcBorders/>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2026 Notes, the 2030 Notes, and the 2031 Notes is 1.5%, 5.4%, and 7.3%, respectively. The components of interest expense related to the 2026 Notes, the 2030 Notes, and the 2031 Notes were as follows (in millions):</w:t>
      </w:r>
    </w:p>
    <w:p>
      <w:pPr>
        <w:pStyle w:val="TextBody"/>
        <w:bidi w:val="0"/>
        <w:spacing w:before="0" w:after="0"/>
        <w:jc w:val="left"/>
        <w:rPr/>
      </w:pPr>
      <w:r>
        <w:rPr/>
      </w:r>
    </w:p>
    <w:tbl>
      <w:tblPr>
        <w:tblW w:w="7017" w:type="dxa"/>
        <w:jc w:val="left"/>
        <w:tblInd w:w="0" w:type="dxa"/>
        <w:tblLayout w:type="fixed"/>
        <w:tblCellMar>
          <w:top w:w="28" w:type="dxa"/>
          <w:left w:w="28" w:type="dxa"/>
          <w:bottom w:w="28" w:type="dxa"/>
          <w:right w:w="28" w:type="dxa"/>
        </w:tblCellMar>
      </w:tblPr>
      <w:tblGrid>
        <w:gridCol w:w="1655"/>
        <w:gridCol w:w="1456"/>
        <w:gridCol w:w="1464"/>
        <w:gridCol w:w="267"/>
        <w:gridCol w:w="647"/>
        <w:gridCol w:w="138"/>
        <w:gridCol w:w="138"/>
        <w:gridCol w:w="138"/>
        <w:gridCol w:w="138"/>
        <w:gridCol w:w="267"/>
        <w:gridCol w:w="514"/>
        <w:gridCol w:w="195"/>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debt issuance costs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issued an aggregate of $2,012.5 million principal amount of 1.25% convertible senior notes due in December 2026 in a private offering to qualified institutional buyers pursuant to Rule 144A under the Securities Act,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the Company’s common stock, or a combination of cash and shares of the Company’s common stock, at the Company’s election, at an initial conversion rate of 1.8255 shares of the Company’s common stock per $1,000 principal amount of 2026 Notes, which is equivalent to an initial conversion price of approximately $547.80 per share of the Company’s common stock. The conversion rate and conversion price will be subject to customary adjustments upon the occurrence of certain events, including a reverse stock split. The Company may redeem for cash all or any portion of the 2026 Notes, at the Company’s option, on or after December 20, 2024 if the last reported sale price of the Company’s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the Company repurchased $1,052.5 million aggregate principal amount of the 2026 Notes, using $931.4 million of the net proceeds of the 2030 Notes. The difference between the consideration paid with the net proceeds from the 2030 Notes to repurchase a portion of the 2026 Notes principal amount and the then carrying value of the 2026 Notes resulted in a gain of $116.4 million. Following the redemption, the Company’s outstanding principal balance of the 2026 Notes was $960.0 million. In November 2025, contemporaneously with the 2031 Notes offering, the Company repurchased $755.7 million aggregate principal amount of the 2026 Notes, using $748.2 million of the net proceeds of the 2031 Notes. The difference between the consideration paid with the net proceeds from the 2031 Notes to repurchase a portion of the 2026 Notes principal amount and the then carrying value of the 2026 Notes resulted in a gain of $5.4 million. Following the redemption, the Company’s outstanding principal balance of the 2026 Notes was $204.3 million. The repurchases of the 2026 Notes were accounted for as debt extinguishments. During the year ended December 31, 2025, the Company recorded a total gain of $121.8 million within gain on extinguishment of debt in the consolidated statement of operations and comprehensive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were not eligible for conversion as of March 31, 2026 and December 31, 2025. No sinking fund is provided for the 2026 Notes, which means that the Company is not required to redeem or retire them periodically. As of March 31, 2026 and December 31, 2025, the Company was in compliance with applicable covenants under the indentures governing the 2026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2030 Notes and Capped Call Transactions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an aggregate of $1,100.0 million principal amount of 5.00% convertible senior notes due in April 2030 in a private offering to qualified institutional buyers pursuant to Rule 144A under the Securities Act, at an issuance price equal to 100.0% of the principal amount of the 2030 Notes. The 2030 Notes were issued pursuant to and are governed by an indenture dated April 8, 2025, between the Company and U.S. Bank Trust Company, National Association as the trustee. The proceeds from the issuance of the 2030 Notes were $1,081.8 million, net of the debt issuance costs. Contemporaneously with the 2030 Notes offering, the Company entered into privately negotiated transactions with certain holders of the 2026 Notes to repurchase $1,052.5 million aggregate principal amount of the 2026 Notes, using $931.4 million of the net proceeds of the 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are unsecured obligations which bear regular interest at 5.00% per annum and are payable semi-annually in arrears on April 1 and October 1 of each year, beginning on October 1, 2025. The 2030 Notes will mature on April 1, 2030, unless repurchased, redeemed, or converted in accordance with their terms prior to such date. The 2030 Notes are convertible into cash, shares of the Company’s common stock, or a combination of cash and shares of the Company’s common stock, at the Company’s election, at an initial conversion rate of 33.3333 shares of the Company’s common stock per $1,000 principal amount of the 2030 Notes, which is equivalent to an initial conversion price of approximately $30.00 per share of the Company’s common stock. The conversion rate and conversion price will be subject to customary adjustments upon the occurrence of certain events, including a reverse stock split. The Company may redeem for cash all or any portion of the 2030 Notes, at the Company’s option, on or after April 6, 2028 if the last reported sale price of the Company’s common stock has been at least 130% of the conversion price then in effect for at least 20 trading days at a redemption price equal to 100% of the principal amount of the 2030 Notes to be redeemed, plus accrued and unpaid interest up to the day before the redemption date. The holders may require the Company to repurchase the 2030 Notes upon the occurrence of certain fundamental change transactions at a redemption price equal to 100% of the principal amount of the 2030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2030 Notes may convert all or a portion of their 2030 Notes at their option prior to January 1, 2030,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June 30, 2025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2030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January 1, 2030, the 2030 Notes are convertible at any time until the close of business on the second scheduled trading day immediately preceding the maturity date. Holders of the 2030 Notes who convert the 2030 Notes in connection with a make-whole fundamental change, as defined in the indenture governing the 2030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2030 Notes were not eligible for conversion as of March 31, 2026 and December 31, 2025. No sinking fund is provided for the 2030 Notes, which means that the Company is not required to redeem or retire them periodically. As of March 31, 2026 and December 31, 2025, the Company was in compliance with applicable covenants under the indentures governing the 2030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the Company paid $118.3 million to enter into privately negotiated capped call transactions (the “Capped Call Transactions”) with certain financial institutions. The Capped Call Transactions cover, subject to anti-dilution adjustments, the number of shares of the Company’s common stock initially underlying the 2030 Notes. The Capped Call Transactions have an expiration date of April 1,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the Capped Call Transactions generally would reduce the potential dilution to the Company’s common stock upon conversion of the notes or offset any cash payments that the Company could be required to make in excess of the principal amount of any converted notes, as the case may be, in the event that the market price per share of Lucid’s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the Company’s common stock. The initial cap price of the Capped Call Transactions was $48.00 per share of the Company’s common stock and is subject to customary anti-dilution adjustments.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separate transactions, entered into by the Company with certain financial institutions, and were not part of the terms of the 2030 Notes. Holders of the 2030 Notes will not have any rights with respect to the Capped Call Transactions. The Company recorded the Capped Call Transactions as a reduction to additional paid-in capital in the condensed consolidated balance sheets as of March 31, 2026 and December 31, 2025, with no remeasurement in subsequent periods as they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an aggregate of $975.0 million principal amount of 7.00% convertible senior notes due in November 2031 in a private offering to qualified institutional buyers pursuant to Rule 144A under the Securities Act, at an issuance price equal to 100% of the principal amount of the 2031 Notes. The 2031 Notes were issued pursuant to and are governed by an indenture dated November 17, 2025, between the Company and U.S. Bank Trust Company, National Association as the trustee. The proceeds from the issuance of the 2031 Notes were $962.2 million, net of the debt issuance costs. Contemporaneously with the 2031 Notes offering, the Company entered into privately negotiated transactions with certain holders of the 2026 Notes to repurchase $755.7 million aggregate principal amount of the 2026 Notes, using $748.2 million of the net proceeds of the 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2031 Notes are unsecured obligations which bear regular interest at 7.00% per annum and are payable semi-annually in arrears on May 1 and November 1 of each year, beginning on May 1, 2026. The 2031 Notes will mature on November 1, 2031, unless repurchased, redeemed, or converted in accordance with their terms prior to such date. The 2031 Notes are convertible into cash, shares of the Company’s common stock, or a combination of cash and shares of the Company’s common stock, at the Company’s election, at an initial conversion rate of 48.0475 shares of the Company’s common stock per $1,000 principal amount of the 2031 Notes, which is equivalent to an initial conversion price of approximately $20.81 per share of the Company’s common stock. The conversion rate and conversion price will be subject to customary adjustments upon the occurrence of certain events, including a reverse stock split. The Company may redeem for cash all or any portion of the 2031 Notes, at the Company’s option, on or after November 6, 2028 and on or before the 31st scheduled trading day immediately preceding the maturity date, if the last reported sale price of the Company’s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may require the Company to repurchase the 2031 Notes on November 1, 2029 or upon the occurrence of certain fundamental change transactions at a redemption price equal to 100% of the principal amount of the 2031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2031 Notes may convert all or a portion of their 2031 Notes at their option prior to August 1, 2031,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2026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2031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August 1, 2031, the 2031 Notes are convertible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2031 Notes were not eligible for conversion as of March 31, 2026 and December 31, 2025. No sinking fund is provided for the 2031 Notes, which means that the Company is not required to redeem or retire them periodically. As of March 31, 2026 and December 31, 2025, the Company was in compliance with applicable covenants under the indentures governing the 2031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Ayar Prepaid Forward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2030 Notes, Ayar entered into a privately negotiated prepaid forward transaction with a forward counterparty that is an affiliate of one of the initial purchasers of the 2030 Notes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2031 Notes, Ayar entered into a privately negotiated prepaid forward transaction with the Forward Counterparty, pursuant to which Ayar will purchase approximately $636.7 million of the Company’s common stock with delivery expected to occur on or about the maturity date for the 2031 Notes, subject to the ability of the Forward Counterparty to elect to settle all or a portion of the prepaid forward transaction early.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the prepaid forward transactions. In connection with Ayar agreeing to enter into and fund the prepaid forward transactions, the Company has agreed to pay a periodic cash fee to Ayar, which shall initially accrue at a rate of 0.5% per annum on the amount of prepaid forward transactions and be recalculated to reflect any early settlement of the prepaid forward transactions. The periodic fee incurred associated with the prepaid forward transactions was not material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$93.2 million).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erif" w:hAnsi="Times New Roman;serif"/>
          <w:b w:val="false"/>
          <w:color w:val="000000"/>
          <w:sz w:val="20"/>
        </w:rPr>
        <w:t xml:space="preserve">SIDF Loans will not bear interest. Instead, Lucid LLC will be required to pay SIDF service fees, consisting of follow-up and technical evaluation fees, ranging, in aggregate, from SAR 415 million (approximately $110.6 million) to SAR 1.77 billion (approximately $471.6 million), over the term of the SIDF Loans. SIDF Loans will be secured by security interests in the </w:t>
      </w:r>
      <w:r>
        <w:rPr>
          <w:rFonts w:ascii="Times New Roman;serif" w:hAnsi="Times New Roman;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erif" w:hAnsi="Times New Roman;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erif" w:hAnsi="Times New Roman;serif"/>
          <w:b w:val="false"/>
          <w:color w:val="242424"/>
          <w:sz w:val="20"/>
          <w:shd w:fill="FFFFFF" w:val="clear"/>
        </w:rPr>
        <w:t xml:space="preserve">As of </w:t>
      </w:r>
      <w:r>
        <w:rPr>
          <w:rFonts w:ascii="Times New Roman;serif" w:hAnsi="Times New Roman;serif"/>
          <w:b w:val="false"/>
          <w:color w:val="000000"/>
          <w:sz w:val="20"/>
        </w:rPr>
        <w:t>March 31, 2026 and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B6B6B6"/>
        </w:rPr>
        <w:t xml:space="preserve"> </w:t>
      </w:r>
      <w:r>
        <w:rPr>
          <w:rFonts w:ascii="Times New Roman;serif" w:hAnsi="Times New Roman;serif"/>
          <w:b w:val="false"/>
          <w:color w:val="000000"/>
          <w:sz w:val="20"/>
          <w:shd w:fill="FFFFFF" w:val="clear"/>
        </w:rPr>
        <w:t>amount</w:t>
      </w:r>
      <w:r>
        <w:rPr>
          <w:color w:val="242424"/>
          <w:shd w:fill="FFFFFF" w:val="clear"/>
        </w:rPr>
        <w:t xml:space="preserve"> </w:t>
      </w:r>
      <w:r>
        <w:rPr>
          <w:rFonts w:ascii="Times New Roman;serif" w:hAnsi="Times New Roman;serif"/>
          <w:b w:val="false"/>
          <w:color w:val="242424"/>
          <w:sz w:val="20"/>
          <w:shd w:fill="FFFFFF" w:val="clear"/>
        </w:rPr>
        <w:t>was outstanding under the SIDF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242424"/>
          <w:sz w:val="20"/>
          <w:shd w:fill="FFFFFF" w:val="clear"/>
        </w:rPr>
      </w:pPr>
      <w:r>
        <w:rPr>
          <w:rFonts w:ascii="Times New Roman;serif" w:hAnsi="Times New Roman;serif"/>
          <w:b/>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On March 12, 2023, Lucid LLC entered into the 2023 Amended GIB Facility Agreement to combine the two committed revolving credit facilities into a committed SAR 1.0 billion (approximately $266.1 million) 2023 GIB Credit Facility which may be used for general corporate purposes. Loans under the 2023 Amended GIB Facility Agreement had a maturity of no more than 12 months and bore interest at a rate of 1.40% per annum over SAIBOR (based on the term of borrowing) and associated fees. Under the 2023 Amended GIB Facility Agreement, the Company was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$506.2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commitment fees for the three months ended March 31, 2026 and 2025 were not material. The 2025 GIB Credit Facility contains certain conditions precedent to drawdowns, representations and warranties and covenants of Lucid LLC and events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outstanding borrowings of SAR 1,890.0 million (approximately $503.5 million) and SAR 1,755.0 million (approximately $468.0 million), respectively. The outstanding borrowings were recorded within current portion of debt in the condensed consolidated balance sheets. The weighted average interest rate on the outstanding borrowings was 6.21% and 6.44% as of March 31, 2026 and December 31, 2025, respectively. As of March 31, 2026 and December 31, 2025, availability under the GIB credit facility was SAR 8.7 million (approximately $2.3 million) and SAR 143.5 million (approximately $38.3 million), respectively, after giving effect to the outstanding letters of credit. The Company recorded interest expense of SAR 29.7 million (approximately $7.9 million) and SAR 9.2 million (approximately $2.5 million) during the three months ended March 31, 2026 and 2025, respectively. As of March 31, 2026 and December 31, 2025, the Company was in compliance with applicable covenants under the GIB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March 31, 2026 and December 31, 2025, the Company was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no outstanding borrowings under the ABL Credit Facility. Outstanding letters of credit under the ABL Credit Facility were $133.4 million and $104.1 million as of March 31, 2026 and December 31, 2025, respectively. Availability under the ABL Credit Facility was $610.0 million (including $141.6 million cash and cash equivalents) and $596.0 million (including $199.2 million cash and cash equivalents) as of March 31, 2026 and December 31, 2025,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Commitment fee and amortization of the deferred issuance costs were not material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increased the aggregate principal amount of the DDTL Credit Facility from $750.0 million to $1.98 billion. The Company is required to pay a quarterly undrawn fee of 0.50% per annum based on the unutilized portion of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included a minimum liquidity covenant, which was eliminated under the DDTL Amendment. As of March 31, 2026 and December 31, 2025, the Company was in compliance with applicable covenants under the DDTL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no outstanding borrowings under the DDTL Credit Facility. The Company incurred issuance costs of $6.2 million to obtain the DDTL Credit Facility during the year ended December 31, 2024, which was capitalized within other noncurrent assets in the condensed consolidated balance sheet and amortized over the facility term using the straight-line method. The Company incurred issuance costs of $9.2 million to increase the aggregate delayed draw term commitment of the DDTL Credit Facility during the year ended December 31, 2025, which was capitalized within other noncurrent assets in the condensed consolidated balance sheet and amortized over the remaining term of the facility using the straight-line method. Commitment fee and amortization of the deferred issuance costs were $3.4 million for the three months ended March 31, 2026, and were not material for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 </w:t>
      </w:r>
    </w:p>
    <w:p>
      <w:pPr>
        <w:pStyle w:val="TextBody"/>
        <w:bidi w:val="0"/>
        <w:spacing w:lineRule="auto" w:line="288" w:before="240" w:after="283"/>
        <w:jc w:val="left"/>
        <w:rPr/>
      </w:pPr>
      <w:r>
        <w:rPr>
          <w:rFonts w:ascii="Times New Roman;serif" w:hAnsi="Times New Roman;serif"/>
          <w:b/>
          <w:i/>
          <w:color w:val="000000"/>
          <w:sz w:val="20"/>
        </w:rPr>
        <w:t>Dividends:</w:t>
      </w:r>
      <w:r>
        <w:rPr>
          <w:color w:val="000000"/>
        </w:rPr>
        <w:t xml:space="preserve"> </w:t>
      </w:r>
      <w:r>
        <w:rPr>
          <w:rFonts w:ascii="Times New Roman;serif" w:hAnsi="Times New Roman;serif"/>
          <w:b w:val="false"/>
          <w:color w:val="000000"/>
          <w:sz w:val="20"/>
        </w:rPr>
        <w:t xml:space="preserve">The Redeemable Convertible Preferred Stock ranks senior to the common stock with respect to dividends and distributions of assets 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 </w:t>
      </w:r>
    </w:p>
    <w:p>
      <w:pPr>
        <w:pStyle w:val="TextBody"/>
        <w:bidi w:val="0"/>
        <w:spacing w:lineRule="auto" w:line="288" w:before="240" w:after="283"/>
        <w:jc w:val="left"/>
        <w:rPr/>
      </w:pPr>
      <w:r>
        <w:rPr>
          <w:rFonts w:ascii="Times New Roman;serif" w:hAnsi="Times New Roman;serif"/>
          <w:b/>
          <w:i/>
          <w:color w:val="000000"/>
          <w:sz w:val="20"/>
        </w:rPr>
        <w:t>Liquidation Preference:</w:t>
      </w:r>
      <w:r>
        <w:rPr>
          <w:color w:val="000000"/>
        </w:rPr>
        <w:t xml:space="preserve"> </w:t>
      </w:r>
      <w:r>
        <w:rPr>
          <w:rFonts w:ascii="Times New Roman;serif" w:hAnsi="Times New Roman;serif"/>
          <w:b w:val="false"/>
          <w:color w:val="000000"/>
          <w:sz w:val="20"/>
        </w:rPr>
        <w:t>Upon a liquidation, dissolution or winding up of the Company, each holder of shares of the Redeemable Convertible 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March 31, 2026 and December 31, 2025, the liquidation preference of the Series A Redeemable Convertible Preferred Stock was $1,408.0 million and $1,350.4 million, respectively. As of March 31, 2026 and December 31, 2025, the liquidation preference of the Series B Redeemable Convertible Preferred Stock was $990.3 million and $949.2 million, respectively.</w:t>
      </w:r>
    </w:p>
    <w:p>
      <w:pPr>
        <w:pStyle w:val="TextBody"/>
        <w:bidi w:val="0"/>
        <w:spacing w:lineRule="auto" w:line="288" w:before="240" w:after="283"/>
        <w:jc w:val="left"/>
        <w:rPr/>
      </w:pPr>
      <w:r>
        <w:rPr>
          <w:rFonts w:ascii="Times New Roman;serif" w:hAnsi="Times New Roman;serif"/>
          <w:b/>
          <w:i/>
          <w:color w:val="000000"/>
          <w:sz w:val="20"/>
        </w:rPr>
        <w:t xml:space="preserve">Voting Rights: </w:t>
      </w:r>
      <w:r>
        <w:rPr>
          <w:rFonts w:ascii="Times New Roman;serif" w:hAnsi="Times New Roman;serif"/>
          <w:b w:val="false"/>
          <w:color w:val="000000"/>
          <w:sz w:val="20"/>
        </w:rPr>
        <w:t>Each Holder is entitled to the number of votes equal to the number of whole shares of common stock into which the aggregate 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($27.70 for the Series A Redeemable Convertible Preferred Stock and $31.20 for the Series B Redeemable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pStyle w:val="TextBody"/>
        <w:bidi w:val="0"/>
        <w:spacing w:lineRule="auto" w:line="288" w:before="240" w:after="283"/>
        <w:jc w:val="left"/>
        <w:rPr/>
      </w:pPr>
      <w:r>
        <w:rPr>
          <w:rFonts w:ascii="Times New Roman;serif" w:hAnsi="Times New Roman;serif"/>
          <w:b/>
          <w:i/>
          <w:color w:val="000000"/>
          <w:sz w:val="20"/>
        </w:rPr>
        <w:t>Conversion:</w:t>
      </w:r>
      <w:r>
        <w:rPr>
          <w:color w:val="000000"/>
        </w:rPr>
        <w:t xml:space="preserve"> </w:t>
      </w:r>
      <w:r>
        <w:rPr>
          <w:rFonts w:ascii="Times New Roman;serif" w:hAnsi="Times New Roman;serif"/>
          <w:b w:val="false"/>
          <w:color w:val="000000"/>
          <w:sz w:val="20"/>
        </w:rPr>
        <w:t xml:space="preserve">Each share of the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$35.9520 for the Series A Redeemable Convertible Preferred Stock and $43.7990 for the Series B Redeemable Convertible Preferred Stock, subject to customary anti-dilution adjustments, including in the event of any stock split, stock dividend, recapitalization or similar events (the “Conversion Price”). </w:t>
      </w:r>
    </w:p>
    <w:p>
      <w:pPr>
        <w:pStyle w:val="TextBody"/>
        <w:bidi w:val="0"/>
        <w:spacing w:lineRule="auto" w:line="288" w:before="240" w:after="283"/>
        <w:jc w:val="left"/>
        <w:rPr/>
      </w:pPr>
      <w:r>
        <w:rPr>
          <w:rFonts w:ascii="Times New Roman;serif" w:hAnsi="Times New Roman;serif"/>
          <w:b/>
          <w:i/>
          <w:color w:val="000000"/>
          <w:sz w:val="20"/>
        </w:rPr>
        <w:t xml:space="preserve">Mandatory Conversion: </w:t>
      </w:r>
      <w:r>
        <w:rPr>
          <w:rFonts w:ascii="Times New Roman;serif" w:hAnsi="Times New Roman;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a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lineRule="auto" w:line="288" w:before="240" w:after="283"/>
        <w:jc w:val="left"/>
        <w:rPr/>
      </w:pPr>
      <w:r>
        <w:rPr>
          <w:rFonts w:ascii="Times New Roman;serif" w:hAnsi="Times New Roman;serif"/>
          <w:b/>
          <w:i/>
          <w:color w:val="000000"/>
          <w:sz w:val="20"/>
        </w:rPr>
        <w:t xml:space="preserve">Fundamental Change: </w:t>
      </w:r>
      <w:r>
        <w:rPr>
          <w:rFonts w:ascii="Times New Roman;serif" w:hAnsi="Times New Roman;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TextBody"/>
        <w:bidi w:val="0"/>
        <w:spacing w:lineRule="auto" w:line="288" w:before="240" w:after="283"/>
        <w:jc w:val="left"/>
        <w:rPr/>
      </w:pPr>
      <w:r>
        <w:rPr>
          <w:rFonts w:ascii="Times New Roman;serif" w:hAnsi="Times New Roman;serif"/>
          <w:b/>
          <w:i/>
          <w:color w:val="000000"/>
          <w:sz w:val="20"/>
        </w:rPr>
        <w:t xml:space="preserve">Optional Redemption: </w:t>
      </w:r>
      <w:r>
        <w:rPr>
          <w:rFonts w:ascii="Times New Roman;serif" w:hAnsi="Times New Roman;serif"/>
          <w:b w:val="false"/>
          <w:color w:val="000000"/>
          <w:sz w:val="20"/>
        </w:rPr>
        <w:t>On or after the fifth anniversary of the initial issue date, the Company may redeem all or any portion of the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Preferred Stock initially at its issuance price, net of issuance costs of $0.6 million and net of the initial value of the bifurcated derivative liability of $297.7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During the three months ended March 31, 2026 and 2025, the Company recorded accretion of $62.5 million and $225.3 million, respectively, related to the Series A Redeemable Convertible Preferred Stock. During the three months ended March 31, 2026 and 2025, the Company recorded accretion of $43.5 million and $139.6 million, respectively, related to the Series B Redeemable Convertible Preferred Stock. Accretion of the Redeemable Convertible Preferred Stock was reflected as adjustments to additional paid-in capital in the condensed consolidated balance sheets as of March 31, 2026 and December 31, 2025. The carrying value of the Series A Redeemable Convertible Preferred Stock was $1,402.1 million and $1,339.6 million as of March 31, 2026 and December 31, 2025, respectively. The carrying value of the Series B Redeemable Convertible Preferred Stock was $987.3 million and $943.8 million as of March 31, 2026 and December 31, 2025, respectively.</w:t>
      </w:r>
    </w:p>
    <w:p>
      <w:pPr>
        <w:pStyle w:val="TextBody"/>
        <w:bidi w:val="0"/>
        <w:spacing w:lineRule="auto" w:line="288" w:before="240" w:after="283"/>
        <w:jc w:val="left"/>
        <w:rPr/>
      </w:pPr>
      <w:r>
        <w:rPr>
          <w:rFonts w:ascii="Times New Roman;serif" w:hAnsi="Times New Roman;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condensed consolidated statement of operations and comprehensi</w:t>
      </w:r>
      <w:r>
        <w:rPr>
          <w:rFonts w:ascii="Times New Roman;serif" w:hAnsi="Times New Roman;serif"/>
          <w:b w:val="false"/>
          <w:color w:val="000000"/>
          <w:sz w:val="20"/>
          <w:shd w:fill="FFFFFF" w:val="clear"/>
        </w:rPr>
        <w:t>ve loss</w:t>
      </w:r>
      <w:r>
        <w:rPr>
          <w:rFonts w:ascii="Times New Roman;serif" w:hAnsi="Times New Roman;serif"/>
          <w:b w:val="false"/>
          <w:color w:val="000000"/>
          <w:sz w:val="2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remeasured the derivative liabilities for the Redeemable Convertible Preferred Stock to fair value of $8.8 million and $16.2 million, comprising of $5.9 million and $10.8 million related to Series A Redeemable Convertible Preferred Stock and $2.9 million and $5.4 million related to Series B Redeemable Convertible Preferred Stock, respectively. The Company recognized gains of $7.4 million and $281.7 million for the three months ended March 31, 2026 and 2025, respectively, in change in fair value of derivative liabilities associated with redeemable convertible preferred stock (related party) in the condensed consolidated statements of operations and comprehensive loss. </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estimated the fair value of the derivative liabilities using a binomial lattice model with the volatility, credit spread, and term</w:t>
      </w:r>
      <w:r>
        <w:rPr>
          <w:color w:val="000000"/>
        </w:rPr>
        <w:t xml:space="preserve"> </w:t>
      </w:r>
      <w:r>
        <w:rPr>
          <w:rFonts w:ascii="Times New Roman;serif" w:hAnsi="Times New Roman;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erif" w:hAnsi="Times New Roman;serif"/>
          <w:b w:val="false"/>
          <w:color w:val="000000"/>
          <w:sz w:val="20"/>
        </w:rPr>
        <w:t xml:space="preserve">market. Significant changes in any of those inputs in isolation would result in significant changes to the fair value measurement.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The level 3 fair value inputs</w:t>
      </w:r>
      <w:r>
        <w:rPr>
          <w:color w:val="000000"/>
        </w:rPr>
        <w:t xml:space="preserve"> </w:t>
      </w:r>
      <w:r>
        <w:rPr>
          <w:rFonts w:ascii="Times New Roman;serif" w:hAnsi="Times New Roman;serif"/>
          <w:b w:val="false"/>
          <w:color w:val="000000"/>
          <w:sz w:val="20"/>
        </w:rPr>
        <w:t xml:space="preserve">used in the valuation of the derivative liabilities associated with the Redeemable Convertible Preferred Stock were as follows: </w:t>
      </w:r>
    </w:p>
    <w:tbl>
      <w:tblPr>
        <w:tblW w:w="8477" w:type="dxa"/>
        <w:jc w:val="left"/>
        <w:tblInd w:w="0" w:type="dxa"/>
        <w:tblLayout w:type="fixed"/>
        <w:tblCellMar>
          <w:top w:w="28" w:type="dxa"/>
          <w:left w:w="28" w:type="dxa"/>
          <w:bottom w:w="28" w:type="dxa"/>
          <w:right w:w="28" w:type="dxa"/>
        </w:tblCellMar>
      </w:tblPr>
      <w:tblGrid>
        <w:gridCol w:w="484"/>
        <w:gridCol w:w="424"/>
        <w:gridCol w:w="427"/>
        <w:gridCol w:w="325"/>
        <w:gridCol w:w="787"/>
        <w:gridCol w:w="417"/>
        <w:gridCol w:w="109"/>
        <w:gridCol w:w="109"/>
        <w:gridCol w:w="109"/>
        <w:gridCol w:w="325"/>
        <w:gridCol w:w="787"/>
        <w:gridCol w:w="417"/>
        <w:gridCol w:w="109"/>
        <w:gridCol w:w="109"/>
        <w:gridCol w:w="109"/>
        <w:gridCol w:w="294"/>
        <w:gridCol w:w="858"/>
        <w:gridCol w:w="377"/>
        <w:gridCol w:w="109"/>
        <w:gridCol w:w="109"/>
        <w:gridCol w:w="109"/>
        <w:gridCol w:w="290"/>
        <w:gridCol w:w="849"/>
        <w:gridCol w:w="43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A </w:t>
              <w:b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B </w:t>
              <w:br/>
              <w:t>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A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B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STOCKHOLDERS’ EQUITY (DEFICIT)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16, 2025, the Company entered into a Vehicle Production Agreement (the “First VPA”) with Uber and the 2025 Subscription Agreement with SMB, a subsidiary of Uber. Under the First VPA, Uber and its designated fleet operators have agreed to purchase a minimum commitment of 20,000 Lucid Gravity vehicles that have been modified to include certain autonomous driving hardware and other features (the “Lucid Gravity Plus vehicles”). Under the 2025 Subscription Agreement,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The Company also consummated the private placement of shares to SMB and issued 13,715,121 shares at a price per share of $21.87, for aggregate net proceeds of $299.7 million after deducting issuance costs of $0.3 million in September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common stock sold to SMB pursuant to the 2025 Subscription Agreement were sold based upon reliance on the exemption from registration provided in Section 4(a)(2) of the Securities Act. SMB may not transfer the shares of common stock acquired under the 2025 Subscription Agreement for a period of 18-months after the closing of the private placement.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Issuance costs incurred were recorded as a reduction of the gross proceeds received from the equity offerings within additional paid-in capital in the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2021, the Company repurchased an aggregate of 85,782 shares of its common stock, including 71,274 shares from certain employees and 14,508 shares from board of directors of the Company’s predecessor, Atieva, Inc. at $241.50 per share. No common stock was repurchased during the three months ended March 31, 2026 and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Reserved for Issuance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common stock reserved for future issuances as of March 31, 2026 was as follows:</w:t>
      </w:r>
    </w:p>
    <w:tbl>
      <w:tblPr>
        <w:tblW w:w="8450" w:type="dxa"/>
        <w:jc w:val="left"/>
        <w:tblInd w:w="0" w:type="dxa"/>
        <w:tblLayout w:type="fixed"/>
        <w:tblCellMar>
          <w:top w:w="28" w:type="dxa"/>
          <w:left w:w="28" w:type="dxa"/>
          <w:bottom w:w="28" w:type="dxa"/>
          <w:right w:w="28" w:type="dxa"/>
        </w:tblCellMar>
      </w:tblPr>
      <w:tblGrid>
        <w:gridCol w:w="2434"/>
        <w:gridCol w:w="2139"/>
        <w:gridCol w:w="2147"/>
        <w:gridCol w:w="592"/>
        <w:gridCol w:w="594"/>
        <w:gridCol w:w="544"/>
      </w:tblGrid>
      <w:tr>
        <w:trPr/>
        <w:tc>
          <w:tcPr>
            <w:tcW w:w="243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1,640,548 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17,696,754 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3,343,576 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372,950 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2031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46,846,313 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33,258,443 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19,794,423 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164,054,637 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STOCK-BASED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three months ended March 31, 2026 was as follows:</w:t>
      </w:r>
    </w:p>
    <w:tbl>
      <w:tblPr>
        <w:tblW w:w="10205" w:type="dxa"/>
        <w:jc w:val="left"/>
        <w:tblInd w:w="0" w:type="dxa"/>
        <w:tblLayout w:type="fixed"/>
        <w:tblCellMar>
          <w:top w:w="28" w:type="dxa"/>
          <w:left w:w="28" w:type="dxa"/>
          <w:bottom w:w="28" w:type="dxa"/>
          <w:right w:w="28" w:type="dxa"/>
        </w:tblCellMar>
      </w:tblPr>
      <w:tblGrid>
        <w:gridCol w:w="965"/>
        <w:gridCol w:w="847"/>
        <w:gridCol w:w="849"/>
        <w:gridCol w:w="499"/>
        <w:gridCol w:w="486"/>
        <w:gridCol w:w="353"/>
        <w:gridCol w:w="109"/>
        <w:gridCol w:w="109"/>
        <w:gridCol w:w="109"/>
        <w:gridCol w:w="372"/>
        <w:gridCol w:w="1088"/>
        <w:gridCol w:w="192"/>
        <w:gridCol w:w="109"/>
        <w:gridCol w:w="109"/>
        <w:gridCol w:w="109"/>
        <w:gridCol w:w="820"/>
        <w:gridCol w:w="820"/>
        <w:gridCol w:w="821"/>
        <w:gridCol w:w="109"/>
        <w:gridCol w:w="109"/>
        <w:gridCol w:w="109"/>
        <w:gridCol w:w="238"/>
        <w:gridCol w:w="695"/>
        <w:gridCol w:w="179"/>
      </w:tblGrid>
      <w:tr>
        <w:trPr/>
        <w:tc>
          <w:tcPr>
            <w:tcW w:w="9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Outstanding Options</w:t>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Intrinsic Value </w:t>
              <w:br/>
              <w:t>(in thousands)</w:t>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2,030,874 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(308,572)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canceled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(81,754)</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1,640,548 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March 31, 2026</w:t>
            </w:r>
          </w:p>
        </w:tc>
        <w:tc>
          <w:tcPr>
            <w:tcW w:w="98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1,561,157 </w:t>
            </w:r>
          </w:p>
        </w:tc>
        <w:tc>
          <w:tcPr>
            <w:tcW w:w="3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unrecognized stock-based compensation cost related to outstanding unvested stock options that are expected to vest was $2.4 million, and is expected to be recognized over a weighted-average period of 1.4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RSUs activity for the three months ended March 31, 2026 was as follows:</w:t>
      </w:r>
    </w:p>
    <w:tbl>
      <w:tblPr>
        <w:tblW w:w="10205" w:type="dxa"/>
        <w:jc w:val="left"/>
        <w:tblInd w:w="0" w:type="dxa"/>
        <w:tblLayout w:type="fixed"/>
        <w:tblCellMar>
          <w:top w:w="28" w:type="dxa"/>
          <w:left w:w="28" w:type="dxa"/>
          <w:bottom w:w="28" w:type="dxa"/>
          <w:right w:w="28" w:type="dxa"/>
        </w:tblCellMar>
      </w:tblPr>
      <w:tblGrid>
        <w:gridCol w:w="760"/>
        <w:gridCol w:w="668"/>
        <w:gridCol w:w="670"/>
        <w:gridCol w:w="540"/>
        <w:gridCol w:w="541"/>
        <w:gridCol w:w="411"/>
        <w:gridCol w:w="109"/>
        <w:gridCol w:w="109"/>
        <w:gridCol w:w="109"/>
        <w:gridCol w:w="605"/>
        <w:gridCol w:w="605"/>
        <w:gridCol w:w="606"/>
        <w:gridCol w:w="109"/>
        <w:gridCol w:w="109"/>
        <w:gridCol w:w="109"/>
        <w:gridCol w:w="540"/>
        <w:gridCol w:w="541"/>
        <w:gridCol w:w="275"/>
        <w:gridCol w:w="109"/>
        <w:gridCol w:w="109"/>
        <w:gridCol w:w="109"/>
        <w:gridCol w:w="528"/>
        <w:gridCol w:w="1542"/>
        <w:gridCol w:w="392"/>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17,337,857 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2,645,726 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19,983,583 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1,470,163 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1,503,235 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(2,111,155)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(466,775)</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(2,577,930)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(656,568)</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(1,212,134)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16,141,299 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1,555,455 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17,696,754 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unrecognized stock-based compensation cost related to outstanding unvested time-based RSUs that are expected to vest was $320.2 million, which is expected to be recognized over a weighted-average period of 1.9 years.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1,383,475 shares of the time-based RSUs to the former CEO that would vest in sixteen equal quarterly installments, beginning on December 5, 2021, and were subject to continuous employment. The Company recognized compensation expense for these time-based RSUs on a graded vesting schedule over the requisite vesting period. The Company withheld approximately 47,712 shares of common stock for the three months ended March 31, 2025, by net settlement to meet the related tax withholding requirements related to the former CEO’s time-based RSUs. In February 2025, the Company announced the former CEO’s resignation and transition. In connection with this transition, the Company recorded a reversal of $41.6 million related to previously recognized stock-based compensation expenses for his unvested time-based RSUs. As of December 31, 2025, there were no unrecognized stock-based compensation expenses related to the time-based RSUs.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performance-based RSUs to certain employees and they are subject to (i) corporate performance conditions and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 individual performance. Stock-based compensation expense is recognized when the relevant performance condition is considered probable of achievement for the performance-based award. During the three months ended March 31, 2026 and 2025, the Company recorded stock-based compensation expenses of $5.6 million and $8.9 million, respectively, related to these performance-based RSUs. As of March 31, 2026, the unamortized expense for the performance-based RSUs was $15.1 million, which will be recognized over a weighted-average period of 1.1 years primarily contingent upon realization of the corporate performance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ESPP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March 31, 2026, unrecognized stock-based compensation cost related to the ESPP was $21.9 million which is expected to be recognized over a weighted-average period of 1.7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employee and nonemployee stock-based compensation expense for the three months ended March 31, 2026 and 2025, was classified in the condensed consolidated statements of operations and comprehensive loss as follows (in thousands):</w:t>
      </w:r>
    </w:p>
    <w:tbl>
      <w:tblPr>
        <w:tblW w:w="5408"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Workforce reduction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capitalized stock-based compensation expenses of $11.1 million and $9.9 million for the three months ended March 31, 2026 and 2025, respectively,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various non-cancellable operating and finance lease agreements for certain of the Company’s offices, manufacturing and warehouse facilities, retail and service locations, equipment and vehicles, worldwide.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2022, the Company entered into a four-year agreement (“Lease Agreement”) to lease land in Casa Grande, Arizona adjacent to our manufacturing facility. The Company classified this lease as a finance lease because the Lease Agreement contained a purchase option which the Company was reasonably certain to exercise. As of December 31, 2025, assets and liabilities associated with the finance lease were $79.3 million and $79.4 million, respectively. During the three months ended March 31, 2026, the Company elected not to exercise the purchase option. As a result, the Company remeasured the lease</w:t>
        <w:noBreakHyphen/>
        <w:t>related assets and liabilities, and the remaining balances were immaterial as of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current liabilities in the condensed consolidated balance sheets as of March 31,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balances for the operating and finance leases where the Company is the lessee are presented as follows within the Company’s condensed consolidated balance sheets (in thousands):</w:t>
      </w:r>
    </w:p>
    <w:tbl>
      <w:tblPr>
        <w:tblW w:w="6519" w:type="dxa"/>
        <w:jc w:val="left"/>
        <w:tblInd w:w="0" w:type="dxa"/>
        <w:tblLayout w:type="fixed"/>
        <w:tblCellMar>
          <w:top w:w="28" w:type="dxa"/>
          <w:left w:w="28" w:type="dxa"/>
          <w:bottom w:w="28" w:type="dxa"/>
          <w:right w:w="28" w:type="dxa"/>
        </w:tblCellMar>
      </w:tblPr>
      <w:tblGrid>
        <w:gridCol w:w="1396"/>
        <w:gridCol w:w="1225"/>
        <w:gridCol w:w="1234"/>
        <w:gridCol w:w="211"/>
        <w:gridCol w:w="826"/>
        <w:gridCol w:w="109"/>
        <w:gridCol w:w="109"/>
        <w:gridCol w:w="109"/>
        <w:gridCol w:w="109"/>
        <w:gridCol w:w="211"/>
        <w:gridCol w:w="82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lease liabilities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net</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liabilities, current portion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finance lease liabilities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March 31, 2026 and December 31, 2025, the Company recorded $94.0 million and $95.3 million of finance lease assets, respectively, and $98.9 million of finance lease liabilities related to certain facility leases assumed in connection with the assets acquisition from Nikola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within the Company’s condensed consolidated statements of operations and comprehensive loss (in thousands):</w:t>
      </w:r>
    </w:p>
    <w:tbl>
      <w:tblPr>
        <w:tblW w:w="4928"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short-term leases, which were not 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where the Company is the lessee was as follows:</w:t>
      </w:r>
    </w:p>
    <w:tbl>
      <w:tblPr>
        <w:tblW w:w="7136" w:type="dxa"/>
        <w:jc w:val="left"/>
        <w:tblInd w:w="0" w:type="dxa"/>
        <w:tblLayout w:type="fixed"/>
        <w:tblCellMar>
          <w:top w:w="28" w:type="dxa"/>
          <w:left w:w="28" w:type="dxa"/>
          <w:bottom w:w="28" w:type="dxa"/>
          <w:right w:w="28" w:type="dxa"/>
        </w:tblCellMar>
      </w:tblPr>
      <w:tblGrid>
        <w:gridCol w:w="1603"/>
        <w:gridCol w:w="1408"/>
        <w:gridCol w:w="1413"/>
        <w:gridCol w:w="308"/>
        <w:gridCol w:w="308"/>
        <w:gridCol w:w="476"/>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18"/>
        <w:gridCol w:w="853"/>
        <w:gridCol w:w="15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415,671 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obligations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234,132 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entered into additional leases for facilities that have not yet commenced with undiscounted future lease payments of $17.9 million. The leases are expected to commence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$0.9 billion in commitments related to AMP-1 and AMP-2 plant and equipment, respectively. These commitments represent future expected payments on open purchase orders entered into as of March 31,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non-cancellable long-term commitments primarily related to certain inventory component purchases. As of March 31, 2026, pursuant to the terms of agreements the Company entered into in connection with the supply of lithium-ion battery cells, the Company had remaining minimum purchase commitments of an aggregate of approximately $2.55 billion, calculated using the current base prices, which could vary period-to-period primarily as a result of changes in raw material indexes. The estimated future payments having a remaining term in excess of one year as of March 31, 2026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Commitment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 2022, and May 31, 2022, two alleged shareholders filed putative class actions under the federal securities laws in the United States District Court for the Northern District of California against the Company and certain officers of the Company relating to alleged statements, updated projections and guidance provided from late 2021 to early 2022. The two matters were consolidated as In re Lucid Group, Inc. Securities Litigation. The consolidated complaint named the Company and the Company’s former chief executive officer and former chief financial officer as defendants, and generally alleged that defendants purportedly made false or misleading statements regarding delivery and revenue projections and related matters between November 15, 2021 and August 3, 2022. Defendants filed a motion to dismiss on February 23, 2023. On August 8, 2024, the Court granted in part and denied in part the motion to dismiss. On September 20, 2024, Plaintiffs filed an amended consolidated complaint, which named the Company and its former chief executive officer as defendants. Defendants filed a motion to dismiss the Amended Consolidated Complaint, in part, on December 6, 2024. On May 22, 2025, the court issued a ruling granting in part and denying in part the defendants’ motion to dismiss. On July 10, 2025, the court issued a Case Management Scheduling Order. On July 25, 2025, Defendants filed an Answer to Plaintiffs’ Amended Compliant. The parties are currently engaged in discovery in this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Nine purported shareholders have filed derivative cases in various courts putatively on behalf of the Company against certain of the Company’s current and former directors based on allegations similar to those in the In re Lucid Group, Inc. Securities Litigation action. These cases raise claims such as a breach of fiduciary duty, unjust enrichment, waste of corporate assets, and aiding and abetting a breach of fiduciary duty. On July 11, 2022, a derivative case raising such claims was filed in the Superior Court of California, Alameda County, and is currently stayed. Between September 2024 and December 2024, three other derivative lawsuits were filed in the Delaware Court of Chancery raising similar claims. Two were consolidated into a single action. On January 29, 2025, February 7, 2025 and August 6, 2025, three other derivative lawsuits were filed in the Northern District of California also raising similar claims. The court has granted the parties stipulation to consolidate and stay the cases. Between February 28, 2025, and March 7, 2025, two other derivative lawsuits raising similar claims were also filed in the United States District Court for the District of Delaware. They were consolidated into a single action and are currently stayed.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registered and applied for trademarks in an effort to protect our brand and goodwill with customers, competitors or other third parties have previously opposed, currently oppose, and may continue to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be unable to submit specimens of use by the applicable deadline to perfect such trademark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$169.9 million and $130.9 million as of March 31, 2026 and December 31, 2025,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lineRule="auto" w:line="288" w:before="240" w:after="283"/>
        <w:jc w:val="left"/>
        <w:rPr/>
      </w:pPr>
      <w:r>
        <w:rPr>
          <w:rFonts w:ascii="Times New Roman;serif" w:hAnsi="Times New Roman;serif"/>
          <w:b w:val="false"/>
          <w:color w:val="231F20"/>
          <w:sz w:val="20"/>
        </w:rPr>
        <w:t>The Compa</w:t>
      </w:r>
      <w:r>
        <w:rPr>
          <w:rFonts w:ascii="Times New Roman;serif" w:hAnsi="Times New Roman;serif"/>
          <w:b w:val="false"/>
          <w:color w:val="000000"/>
          <w:sz w:val="20"/>
        </w:rPr>
        <w:t>ny’s provision for (benefit from) income taxes for interim periods is determined using its effective tax rate that arise during the period. The 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0.0% and 0.4% for the three months ended March 31, 2026 and 2025, respectively, due to minimal profits in foreign jurisdictions and U.S. losses for which no benefit will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The Company is electing to fully amortize its previously capitalized domestic research and development expenses in the current year. Due to the Company’s full valuation allowance on its U.S. deferred tax assets, the net tax impact of the legislation is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13 - NET LOSS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are calculated as follows (in thousands, except share and per share amounts):</w:t>
      </w:r>
    </w:p>
    <w:tbl>
      <w:tblPr>
        <w:tblW w:w="9308" w:type="dxa"/>
        <w:jc w:val="left"/>
        <w:tblInd w:w="0" w:type="dxa"/>
        <w:tblLayout w:type="fixed"/>
        <w:tblCellMar>
          <w:top w:w="28" w:type="dxa"/>
          <w:left w:w="28" w:type="dxa"/>
          <w:bottom w:w="28" w:type="dxa"/>
          <w:right w:w="28" w:type="dxa"/>
        </w:tblCellMar>
      </w:tblPr>
      <w:tblGrid>
        <w:gridCol w:w="2267"/>
        <w:gridCol w:w="1981"/>
        <w:gridCol w:w="2022"/>
        <w:gridCol w:w="211"/>
        <w:gridCol w:w="1051"/>
        <w:gridCol w:w="109"/>
        <w:gridCol w:w="109"/>
        <w:gridCol w:w="109"/>
        <w:gridCol w:w="109"/>
        <w:gridCol w:w="237"/>
        <w:gridCol w:w="949"/>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convertible preferred stock (related party)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 and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328,285,861 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303,631,731 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attributable to common stockholders, basic and diluted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9682" w:type="dxa"/>
        <w:jc w:val="left"/>
        <w:tblInd w:w="0" w:type="dxa"/>
        <w:tblLayout w:type="fixed"/>
        <w:tblCellMar>
          <w:top w:w="28" w:type="dxa"/>
          <w:left w:w="28" w:type="dxa"/>
          <w:bottom w:w="28" w:type="dxa"/>
          <w:right w:w="28" w:type="dxa"/>
        </w:tblCellMar>
      </w:tblPr>
      <w:tblGrid>
        <w:gridCol w:w="2428"/>
        <w:gridCol w:w="2138"/>
        <w:gridCol w:w="2153"/>
        <w:gridCol w:w="592"/>
        <w:gridCol w:w="594"/>
        <w:gridCol w:w="156"/>
        <w:gridCol w:w="109"/>
        <w:gridCol w:w="109"/>
        <w:gridCol w:w="109"/>
        <w:gridCol w:w="540"/>
        <w:gridCol w:w="541"/>
        <w:gridCol w:w="213"/>
      </w:tblGrid>
      <w:tr>
        <w:trPr/>
        <w:tc>
          <w:tcPr>
            <w:tcW w:w="24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16,548,056 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8,652,524 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2,414,344 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3,673,819 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2031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46,846,313 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30,426,265 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18,108,797 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164,449,204 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70,355,567 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also excluded from the computation of diluted net loss per share as they would be anti-dilutive. The 1,148,698 and 848,105 shares of common stock equivalents subject to RSUs were excluded from the anti-dilutive table above as the underlying shares remain contingently issuable since the market or corporate and individual performance conditions have not been satisfied as of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 EMPLOYEE BENEFIT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$3.9 million and $4.0 million as of March 31, 2026 and December 31, 2025, respectively. The lease liability was $6.6 million and $6.5 million as of March 31, 2026 and December 31, 2025, respectively. The right-of-use asset and lease liability were recorded in right-of-use assets and other long-term liabilities in the condensed consolidated balance sheets, respectively. The lease expense recorded for the three months ended March 31, 2026 and 2025 was immaterial.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$1.6 million and $1.7 million as of March 31, 2026 and December 31, 2025, respectively. The lease liability was $2.5 million and $2.4 million as of March 31, 2026 and December 31, 2025, respectively. The right-of-use asset and lease liability were recorded in right-of-use assets and primarily in other long-term liabilities in the condensed consolidated balance sheets, respectively. The lease expense recorded for the three months ended March 31, 2026 and 2025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pPr>
      <w:r>
        <w:rPr>
          <w:rFonts w:ascii="Times New Roman;serif" w:hAnsi="Times New Roman;serif"/>
          <w:b w:val="false"/>
          <w:color w:val="000000"/>
          <w:sz w:val="20"/>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erif" w:hAnsi="Times New Roman;serif"/>
          <w:b w:val="false"/>
          <w:color w:val="000000"/>
          <w:sz w:val="20"/>
        </w:rPr>
        <w:t>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MISA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 Company received support of SAR 366 million (approximately $97.5 million) in cash. As of December 31, 2024, the Company recorded $97.5 million as a deduction in calculating the carrying amount of the related assets in the consolidated balance sheet. During the year ended December 31, 2025 and three months ended March 31, 2026, there were no further deductions to the carrying value of the related assets in the condensed consolidated balance sheets. There were no unfulfilled conditions and contingencies attached to the payments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2022, Lucid LLC entered into revolving credit facilities with GIB in an aggregate principal amount of SAR 1.0 billion (approximately $266.1 million). In February 2025, Lucid LLC entered into the 2025 GIB Credit Facility to increase the credit facility aggregate principal to SAR 1.9 billion (approximately $506.2 million).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Construction Service Contract </w:t>
      </w:r>
    </w:p>
    <w:p>
      <w:pPr>
        <w:pStyle w:val="TextBody"/>
        <w:bidi w:val="0"/>
        <w:spacing w:lineRule="auto" w:line="288" w:before="240" w:after="283"/>
        <w:jc w:val="left"/>
        <w:rPr/>
      </w:pPr>
      <w:r>
        <w:rPr>
          <w:rFonts w:ascii="Times New Roman;serif" w:hAnsi="Times New Roman;serif"/>
          <w:b w:val="false"/>
          <w:color w:val="000000"/>
          <w:sz w:val="20"/>
        </w:rPr>
        <w:t xml:space="preserve">Lucid LLC entered into agreements with Al Bawani Company Limited (“Al Bawani”), an </w:t>
      </w:r>
      <w:r>
        <w:rPr>
          <w:rFonts w:ascii="Times New Roman;serif" w:hAnsi="Times New Roman;serif"/>
          <w:b w:val="false"/>
          <w:color w:val="000000"/>
          <w:sz w:val="20"/>
          <w:shd w:fill="FFFFFF" w:val="clear"/>
        </w:rPr>
        <w:t xml:space="preserve">affiliate of the </w:t>
      </w:r>
      <w:r>
        <w:rPr>
          <w:rFonts w:ascii="Times New Roman;serif" w:hAnsi="Times New Roman;serif"/>
          <w:b w:val="false"/>
          <w:color w:val="000000"/>
          <w:sz w:val="20"/>
        </w:rPr>
        <w:t>PIF, which is an affiliate of Ayar, for certain design and construction services in connection with the development of AMP-2. The capital expenditures incurred to date under these agreements were SAR 2,356.5 million (approximately $627.8 million) and SAR 2,147.8 million (approximately $572.7 million) as of March 31, 2026 and December 31, 2025, respectively. Amounts due to Al Bawani under these agreements was SAR 337.8 million (approximately $90.0 million) and SAR 306.0 million (approximately $81.6 million) as of March 31, 2026 and December 31, 2025, respectively, which was recorded within accounts payable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Subscription Agreements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See Note 7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the 2024 Subscription Agreement, pursuant to which Ayar agreed to purchase from the Company 37,471,793 shares of common stock in a private placement. In addition, Ayar agreed to purchase an additional 2,147,045 shares of common stock. As of October 31, 2024, the Company consummated the private placement of shares to Ayar pursuant to the 2024 Subscription Agreement, at a price per share of $25.91, for aggregate net proceeds of $1,025.7 million after deducting issuance costs of $0.8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by Ayar under the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which governs the registration for resale of such common stock and the Redeemable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Human Resources Development Fund (“HRDF”) Joint Cooperation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and July 2025, Lucid LLC entered into joint cooperation agreements with HRDF, a related party of the PIF, which is an affiliate of Ayar. Pursuant to the agreements, Lucid LLC will train and develop local personnel in Saudi Arabia, and HRDF agreed to reimburse the Company training related costs in aggregate maximum amounts of SAR 29.3 million (approximately $7.8 million) and SAR 24.7 million (approximately $6.6 million),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received payments of SAR 10.9 million (approximately $2.9 million) in cash during the years ended December 31, 2025 and 2024. Payments received during the three months ended March 31, 2026 was immaterial. The deferred liability was nil as of March 31, 2026 and December 31, 2025, and the Company recorded the remaining deferred liability balance as a deduction to operating expenses in the condensed consolidated statement of operations and comprehensive loss. The deduction recorded to operating expenses in the condensed consolidated statement of operations and comprehensive loss was not material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 Purchase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net vehicle sales amount of SAR 144.0 million (approximately $38.4 million) and SAR 19.1 million (approximately $5.1 million) during the three months ended March 31, 2026 and 2025, respectively. The deferred revenue from the vehicle sales was primarily related to OTA and was recorded within other current liabilities and other long-term liabilities in the condensed consolidated balance sheets. As of March 31, 2026 and December 31, 2025, the deferred revenue balance was not material. The Company recorded amounts due from the Purchaser of SAR 357.6 million (approximately $95.3 million) and SAR 452.1 million (approximately $120.5 million) in accounts receivable, net in the condensed consolidated balance sheets as of March 31, 2026 and December 31, 2025, respectively. See “Vehicle Sales” section under Note 2 “Summary of Significant Accounting Policies” for the revenue recognition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Implementation Agreement with Aston Martin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the Company entered into an agreement (the “Implementation Agreement”) with Aston Martin, a related party of the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EV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and the first cash installment of $33.0 million. These shares were initially measured at a fair value of $73.2 million. As of March 31, 2026 and December 31, 2025, the Company remeasured the shares and recorded fair values of $13.6 million and $24.3 million within long-term investments in the condensed consolidated balance sheets, respectively. The Company will receive the remaining cash payments of $99 million phased over a period of three years. Aston Martin has also committed to an effective minimum spend with the Company on powertrain components of $225 million. In connection with the Strategic Technology Arrangement, the Company will also receive an aggregate of $10 million for integration service fees phased over a period of three years, of which the Company received $5.8 million from inception through March 31, 2026. As of March 31, 2026 and December 31, 2025, the Company recorded accounts receivable of $2.8 million. The Company accounts for technology access, integration service, and supply arrangement as a single performance obligation and recognizes revenue related to technology access and integration service based on estimated units of delivery under the supply arrangement. As of March 31, 2026 and December 31, 2025, the Company recorded $114.8 million as deferred revenue within other long-term liabilities in the condensed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 year DDTL Credit Facility with Ayar, which may be used for working capital and general corporate purposes. In November 2025, the Company increased the aggregate principal amount of the DDTL Credit Facility from $750.0 million to $1.98 billion.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 Deposit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purchases time deposits with GIB from time-to-time. GIB is a related party of the PIF, which is an affiliate of Ayar. As of March 31, 2026 and December 31, 2025, the Company recorded time deposit balance of nil and $50.0 million within short-term investments in the condensed consolidated balance sheets, respectively. See Note 5 “Fair Value Measurements and Financial Instruments”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Ayar Prepaid Forward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Ayar entered into a privately negotiated prepaid forward transaction with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The periodic fee incurred associated with the prepaid forward transaction was not material for the three months ended March 31, 2026.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2031 Notes, Ayar entered into a privately negotiated prepaid forward transaction with the Forward Counterparty, pursuant to which Ayar will purchase approximately $636.7 million of the Company’s common stock with delivery expected to occur on or about the maturity date for the 2031 Notes, subject to the ability of the Forward Counterparty to elect to settle all or a portion of the prepaid forward transaction early. The periodic fee incurred associated with the prepaid forward transaction was not material for the three months ended March 31, 2026.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 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primarily from the sale of EVs to customers, and the Company’s reported measure of the segment’s profit or loss is the consolidated net loss reported in the condensed consolidated statements of operations and comprehensive loss. The CODM uses the consolidated net loss for monitoring actual results to assess the Company’s financial performance. The Company’s CODM does not evaluate its reportable segment using asset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disaggregation of the Company’s revenue by geographic area based on the sales location where the sales originated was as follows (in thousands):</w:t>
      </w:r>
    </w:p>
    <w:tbl>
      <w:tblPr>
        <w:tblW w:w="4329" w:type="dxa"/>
        <w:jc w:val="left"/>
        <w:tblInd w:w="0" w:type="dxa"/>
        <w:tblLayout w:type="fixed"/>
        <w:tblCellMar>
          <w:top w:w="28" w:type="dxa"/>
          <w:left w:w="28" w:type="dxa"/>
          <w:bottom w:w="28" w:type="dxa"/>
          <w:right w:w="28" w:type="dxa"/>
        </w:tblCellMar>
      </w:tblPr>
      <w:tblGrid>
        <w:gridCol w:w="602"/>
        <w:gridCol w:w="530"/>
        <w:gridCol w:w="533"/>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Middle East</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United States revenue was $225.3 million and $218.4 million for the three months ended March 31, 2026 and 2025, respectively.</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Kingdom of Saudi Arabia revenue was $41.9 million and $7.5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included information about reported segment revenue, segment profit or loss, and significant segment expenses (in thousands): </w:t>
      </w:r>
    </w:p>
    <w:tbl>
      <w:tblPr>
        <w:tblW w:w="10205" w:type="dxa"/>
        <w:jc w:val="left"/>
        <w:tblInd w:w="0" w:type="dxa"/>
        <w:tblLayout w:type="fixed"/>
        <w:tblCellMar>
          <w:top w:w="28" w:type="dxa"/>
          <w:left w:w="28" w:type="dxa"/>
          <w:bottom w:w="28" w:type="dxa"/>
          <w:right w:w="28" w:type="dxa"/>
        </w:tblCellMar>
      </w:tblPr>
      <w:tblGrid>
        <w:gridCol w:w="2661"/>
        <w:gridCol w:w="2291"/>
        <w:gridCol w:w="2318"/>
        <w:gridCol w:w="211"/>
        <w:gridCol w:w="1035"/>
        <w:gridCol w:w="109"/>
        <w:gridCol w:w="109"/>
        <w:gridCol w:w="109"/>
        <w:gridCol w:w="109"/>
        <w:gridCol w:w="211"/>
        <w:gridCol w:w="885"/>
        <w:gridCol w:w="157"/>
      </w:tblGrid>
      <w:tr>
        <w:trPr/>
        <w:tc>
          <w:tcPr>
            <w:tcW w:w="2661"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excluding LCNRV and provision for warranty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LCNRV</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provision for warranty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(212,175)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Workforce reduction charges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associated with redeemable convertible preferred stock (related party)</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were $116.4 million and $98.0 million for the three months ended March 31, 2026 and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long-lived assets by geographic area were as follows (in thousands): </w:t>
      </w:r>
    </w:p>
    <w:tbl>
      <w:tblPr>
        <w:tblW w:w="4929" w:type="dxa"/>
        <w:jc w:val="left"/>
        <w:tblInd w:w="0" w:type="dxa"/>
        <w:tblLayout w:type="fixed"/>
        <w:tblCellMar>
          <w:top w:w="28" w:type="dxa"/>
          <w:left w:w="28" w:type="dxa"/>
          <w:bottom w:w="28" w:type="dxa"/>
          <w:right w:w="28" w:type="dxa"/>
        </w:tblCellMar>
      </w:tblPr>
      <w:tblGrid>
        <w:gridCol w:w="713"/>
        <w:gridCol w:w="624"/>
        <w:gridCol w:w="628"/>
        <w:gridCol w:w="211"/>
        <w:gridCol w:w="976"/>
        <w:gridCol w:w="109"/>
        <w:gridCol w:w="109"/>
        <w:gridCol w:w="109"/>
        <w:gridCol w:w="109"/>
        <w:gridCol w:w="211"/>
        <w:gridCol w:w="97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w:t>
            </w:r>
            <w:r>
              <w:rPr>
                <w:rFonts w:ascii="Times New Roman;serif" w:hAnsi="Times New Roman;serif"/>
                <w:b w:val="false"/>
                <w:color w:val="000000"/>
                <w:sz w:val="10"/>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4,220,106 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Kingdom of Saudi Arabia long-lived assets balance was $784.1 million</w:t>
      </w:r>
      <w:r>
        <w:rPr>
          <w:color w:val="000000"/>
        </w:rPr>
        <w:t xml:space="preserve"> </w:t>
      </w:r>
      <w:r>
        <w:rPr>
          <w:rFonts w:ascii="Times New Roman;serif" w:hAnsi="Times New Roman;serif"/>
          <w:b w:val="false"/>
          <w:color w:val="000000"/>
          <w:sz w:val="16"/>
        </w:rPr>
        <w:t>and</w:t>
      </w:r>
      <w:r>
        <w:rPr>
          <w:color w:val="000000"/>
        </w:rPr>
        <w:t xml:space="preserve"> </w:t>
      </w:r>
      <w:r>
        <w:rPr>
          <w:rFonts w:ascii="Times New Roman;serif" w:hAnsi="Times New Roman;serif"/>
          <w:b w:val="false"/>
          <w:color w:val="000000"/>
          <w:sz w:val="16"/>
        </w:rPr>
        <w:t xml:space="preserve">$658.6 million as of March 31, 2026 and December 31, 2025. No individual foreign country had more than 10% of the total long-lived assets balance as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condensed consolidated financial statements for the three months ended March 31, 2026, the Company evaluated subsequent events and concluded there were no subsequent events that required recognition in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Series C Subscription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the Company entered into the Series C Subscription Agreement with Ayar. Pursuant to the Series C Subscription Agreement, the Company issued to Ayar 55,000 shares of its Series C Redeemable Convertible Preferred Stock, par value $0.0001 per share, for an aggregate purchase price of $550.0 million in a private placement.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Series C Redeemable Convertible Preferred Stock sold to Ayar pursuant to the Series C Subscription Agreement was issued pursuant to the Series C Certificate of Designations filed with the Secretary of State of the State of Delaware in April 2026 and was sold in reliance on the exemption from registration provided in Section 4(a)(2) of the Securities Act.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Uber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Vehicle Production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the Company announced the entry into a Second Vehicle Production Agreement (the “Second VPA”, together with the First VPA, the “VPAs”) with Uber, under which Uber and its designated fleet operators have agreed to purchase a minimum commitment (the “Minimum Quantity Guarantee”) of 25,000 Lucid Midsize platform vehicles for use as robotaxis that have been modified to include certain autonomous driving hardware and other features (the “Lucid Midsize Plus vehicles”) over a six-year period following the start of production. Start of production of Lucid Midsize Plus vehicles is targeted to occur in late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offset provisions under the First VPA we entered into with Uber on July 16, 2025, the Minimum Quantity Guarantee increased the aggregate number of Lucid Gravity Plus and Lucid Midsize Plus vehicles Uber is committed to purchase to at least 35,000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Uber Private Placement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in connection with the Second VPA, the Company and SMB entered into a subscription agreement, under which the Company issued to SMB, in a private placement, $200.0 million of its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Underwriting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the Company entered into the 2026 Underwriting Agreement with the Underwriter, under which the Underwriter purchased from the Company shares of common stock in a registered offering, and the Company received aggregate net proceeds of $291.5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the Company borrowed $500.0 million under the DDTL Credit Facility. In April 2026, the Company also entered into the DDTL Amendment, pursuant to which the aggregate undrawn delayed commitments under the DDTL Credit Facility were increased by $500.0 million, such that, after giving effect to such increase, the aggregate sum of outstanding delayed draw term loans and aggregate undrawn commitments was increased to approximately $2.5 billion.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DDTL Amendment, among other things, eliminated the minimum liquidity covenant and removed the requirement that the Company fully utilize the borrowing availability under the ABL Credit Agreement (as defined therein) prior to making borrowings under the DDTL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and our Annual Report on Form 10-K for the year ended December 31, 2025, filed with the SEC on February 24, 2026.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otherwise noted, the share, per share, and related information in this Quarterly Report has been retrospectively adjusted to reflect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 technology company that is shaping the future of mobility through our innovations, advanced technology, and software-defined vehicle platforms. Our award-winning Lucid Air and Lucid Gravity set new standards with their unmatched combination of performance, range, space, and efficiency. Our focus on in-house hardware and software innovation, vertical integration, and a “clean sheet” approach to engineering and design led to the development of the award-winning Lucid Air and Lucid Gravity, and upcoming Midsize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sell vehicles directly to consumers through our retail sales network and online channels, including Lucid Financial Services. We believe that owning and operating our sales network provides the best opportunity to closely manage the customer experience, gather direct feedback, and ensure that every interaction is tailored to customer needs. We are also actively exploring alternative importer and agency models to enhance flexibility and optimize our distribution strategy in response to evolving market dynamics. We also own and operate a vehicle service network comprised of service centers in major metropolitan areas and a fleet of mobile service vehicles. In addition to our in-house capabilities, we continue to grow an approved list of specially trained collision repair shops, which in some cases serve as repair hubs for mobile service.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Series C Subscription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we entered into the Series C Subscription Agreement with Ayar. Pursuant to the Series C Subscription Agreement, we issued to Ayar 55,000 shares of our Series C Redeemable Convertible Preferred Stock, par value $0.0001 per share, for an aggregate purchase price of $550.0 million in a private placement.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Series C Redeemable Convertible Preferred Stock sold to Ayar pursuant to the Series C Subscription Agreement was issued pursuant to the Series C Certificate of Designations filed with the Secretary of State of the State of Delaware in April 2026 and was sold in reliance on the exemption from registration provided in Section 4(a)(2) of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Uber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Vehicle Production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we announced the entry into the Second VPA with Uber, under which Uber and its designated fleet operators have agreed to the Minimum Quantity Guarantee of 25,000 Lucid Midsize platform vehicles for use as robotaxis that have been modified to include certain autonomous driving hardware and other features (the “Lucid Midsize Plus vehicles”) over a six-year period following the start of production. Start of production of Lucid Midsize Plus vehicles is targeted to occur in late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offset provisions under the first VPA we entered into with Uber on July 16, 2025, the Minimum Quantity Guarantee increased the aggregate number of Lucid Gravity Plus and Lucid Midsize Plus vehicles Uber is committed to purchase to at least 35,000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Uber Private Placement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in connection with the Second VPA, we and a subsidiary of Uber, SMB, entered into a subscription agreement, under which we issued to SMB, in a private placement, $200.0 million of our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Underwriting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we entered into the 2026 Underwriting Agreement with the Underwriter, under which the Underwriter purchased from us shares of our common stock in a registered offering, and we received aggregate net proceeds of $291.5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we borrowed $500.0 million under the DDTL Credit Facility. In April 2026, we also entered into the DDTL Amendment, pursuant to which the aggregate undrawn delayed commitments under the DDTL Credit Facility were increased by $500.0 million, such that, after giving effect to such increase, the sum of outstanding delayed draw term loans and aggregate undrawn commitments was increased to approximately $2.5 billion.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DDTL Amendment, among other things, eliminated the minimum liquidity covenant and removed the requirement that we fully utilize the borrowing availability under the ABL Credit Agreement (as defined therein) prior to making borrowings under the DDTL Credit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CEO Announcement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we announced that Silvio Napoli will be our next Chief Executive Officer (“CEO”). Mr. Napoli is expected to be appointed as our CEO once he receives the right to work in the U.S. In addition, Mr. Napoli was appointed to our Board of Directors and Executive Committee.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Potential Impact of Adverse Economic Conditions and Trade Policy Uncertainties on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increases or other central bank policy actions, bank closures and liquidity concerns at financial institutions, or other factors, have in the past and may in the future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w:t>
      </w:r>
    </w:p>
    <w:p>
      <w:pPr>
        <w:pStyle w:val="TextBody"/>
        <w:bidi w:val="0"/>
        <w:spacing w:lineRule="auto" w:line="288" w:before="240" w:after="283"/>
        <w:jc w:val="left"/>
        <w:rPr/>
      </w:pPr>
      <w:r>
        <w:rPr>
          <w:rFonts w:ascii="Times New Roman;serif" w:hAnsi="Times New Roman;serif"/>
          <w:b w:val="false"/>
          <w:color w:val="000000"/>
          <w:sz w:val="20"/>
        </w:rPr>
        <w:t xml:space="preserve">Taken together, adverse economic conditions and uncertainties surrounding trade policies, tariffs and export controls, coupled with supply chain challenges and the potential difficulty of passing costs to consumers or sharing the burden with suppliers, could reduce demand for our products and have a material adverse effect on our business, prospects, results of operations and financial condition. In addition, the deterioration of conditions in the financial markets may limit our ability to obtain external financing to fund our operations and capital expenditures for business growth on terms favorable to us, if at all. See “Risk Factors” in Part II, Item 1A of this Quarterly Report for more information regarding risks associated with a global economic downturn or recession, changes or uncertainties in trade policies, or the imposition or proposed imposition of tariffs, including under the captions </w:t>
      </w:r>
      <w:r>
        <w:rPr>
          <w:color w:val="000000"/>
        </w:rPr>
        <w:t>“</w:t>
      </w:r>
      <w:r>
        <w:rPr>
          <w:rFonts w:ascii="Times New Roman;serif" w:hAnsi="Times New Roman;serif"/>
          <w:b w:val="false"/>
          <w:i/>
          <w:color w:val="000000"/>
          <w:sz w:val="20"/>
        </w:rPr>
        <w:t xml:space="preserve">A global economic recession, downturn or other adverse economic conditions may have a material adverse impact on our business, prospects, results of operations and financial condition.” and “Changes in U.S. trade policy, including the imposition of or uncertainties surrounding tariffs or revocation of normal trade relations and the resulting consequences, could adversely affect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are positioned to be a leader in the EV market by unlocking the potential for advanced, high-performance, and long-range EVs to co-exist. We designed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and the Lucid Gravity are software-defined vehicles, designed to improve over time, with OTA software updates and key hardware already in place in the vehicle. This holistic systems approach to the integration of hardware and software is what allows us to provide these continuous OTA updates.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designed the Lucid Gravity to share components with the Lucid Air where possible, and we continue to evaluate opportunities to apply components developed for the Lucid Gravity to the Lucid Air, further expanding the number of common parts while also enhancing the customer experience in the Lucid Air. These measures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EVs as substitutes for gasoline-fueled vehicles. We also anticipate that these attributes will drive customer demand for the Lucid Gravity, and our future models, including our upcoming Midsize platform.</w:t>
      </w:r>
    </w:p>
    <w:p>
      <w:pPr>
        <w:pStyle w:val="TextBody"/>
        <w:bidi w:val="0"/>
        <w:spacing w:lineRule="auto" w:line="288" w:before="240" w:after="283"/>
        <w:jc w:val="left"/>
        <w:rPr/>
      </w:pPr>
      <w:r>
        <w:rPr>
          <w:rFonts w:ascii="Times New Roman;serif" w:hAnsi="Times New Roman;serif"/>
          <w:b/>
          <w:i/>
          <w:color w:val="000000"/>
          <w:sz w:val="20"/>
        </w:rPr>
        <w:t>Distribution Models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direct-to-consumer sales and service model in North America, which we believe allows us to offer a personalized experience for our customers based on their purchase and ownership preferences. We expect to continue to incur significant expenses in our sales, service and marketing operations for sales of the Lucid Air, the Lucid Gravity, and any future vehicle programs, including the upcoming Midsize platform, that we may offer over the coming decade, including to open additional studios, expand our sales force, grow marketing and brand awareness, and establish a robust service center operation. As of March 31, 2026, we have opened 62 studios and service centers (excluding temporary and satellite service centers): 39 in the United States (14 in California, four in New York, three in Florida, two in each of Arizona, Illinois, Massachusetts, New Jersey, Texas, Virginia and Washington, and one in each of Colorado, Georgia, Michigan and Pennsylvania), seven in Germany, five in Canada, four in Saudi Arabia, three in Switzerland, two in Norway, one in Netherlands, and one in the United Arab Emirates. We also plan to hire additional sales, customer service, and service center personnel. We believe that investing in our direct-to-consumer sales and service model will be critical to delivering and servicing the Lucid EVs we currently manufacture and sell.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we expand globally, our strategy includes establishing third-party distribution partnerships through proven business models such as importer, dealer, agent, and authorized repairer relationships. Introducing these channels is expected to enable rapid growth in these markets while optimizing the capital required to build a comprehensive sales and service network. All third-party partnerships are expected to be governed by robust agreements, standards, and guidelines to ensure compliance and maintain the Lucid customer experience throughout the entire journey.</w:t>
      </w:r>
    </w:p>
    <w:p>
      <w:pPr>
        <w:pStyle w:val="TextBody"/>
        <w:bidi w:val="0"/>
        <w:spacing w:lineRule="auto" w:line="288" w:before="240" w:after="283"/>
        <w:jc w:val="left"/>
        <w:rPr/>
      </w:pPr>
      <w:r>
        <w:rPr>
          <w:rFonts w:ascii="Times New Roman;serif" w:hAnsi="Times New Roman;serif"/>
          <w:b/>
          <w:i/>
          <w:color w:val="000000"/>
          <w:sz w:val="20"/>
        </w:rPr>
        <w:t>Expanding and Improving Manufacturing Capacity and Processes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Achieving commercialization and growth for each generation of our EVs requires us to make significant capital expenditures to scale our production capacity and improve our supply chain processes in the United States and internationally. We expect our capital expenditures to increase as we continue constructing the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EVs, our ability to achieve sales and meet customer demand at anticipated levels, our ability to utilize planned capacity in our existing facilities and our ability to enter new markets.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Technology Innovation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develop in-house battery, powertrain, and software technology, which requires significant capital investment in research and development. The EV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EVs and other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for the periods presented (in thousands):</w:t>
      </w:r>
    </w:p>
    <w:tbl>
      <w:tblPr>
        <w:tblW w:w="5666" w:type="dxa"/>
        <w:jc w:val="left"/>
        <w:tblInd w:w="0" w:type="dxa"/>
        <w:tblLayout w:type="fixed"/>
        <w:tblCellMar>
          <w:top w:w="28" w:type="dxa"/>
          <w:left w:w="28" w:type="dxa"/>
          <w:bottom w:w="28" w:type="dxa"/>
          <w:right w:w="28" w:type="dxa"/>
        </w:tblCellMar>
      </w:tblPr>
      <w:tblGrid>
        <w:gridCol w:w="266"/>
        <w:gridCol w:w="234"/>
        <w:gridCol w:w="236"/>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from vehicle sales when the customer obtains control of the vehicle, which is upon delivery. We also generate revenue from non-warranty after-sales vehicle services and parts, sales of battery pack systems, powertrain kits, retail merchandise, regulatory credits, and sales of non-Lucid vehicles acquired as part of the trade-in program. We generate regulatory credits revenue from the sale of tradable credits we earn under various regulations. This includes credits related to ZEVs and GHG, and CAFE credits.</w:t>
      </w:r>
    </w:p>
    <w:p>
      <w:pPr>
        <w:pStyle w:val="TextBody"/>
        <w:bidi w:val="0"/>
        <w:spacing w:lineRule="auto" w:line="288" w:before="240" w:after="283"/>
        <w:jc w:val="left"/>
        <w:rPr/>
      </w:pPr>
      <w:r>
        <w:rPr>
          <w:rFonts w:ascii="Times New Roman;serif" w:hAnsi="Times New Roman;serif"/>
          <w:b w:val="false"/>
          <w:color w:val="000000"/>
          <w:sz w:val="20"/>
        </w:rPr>
        <w:t>Revenue increased by $47.4 million, or 20% for the three months ended March 31, 2026, as compared to the same period in the prior year, primarily driven by our ramp-up of the Lucid Gravity. Lucid Gravity which has a higher average selling price, resulted in a favorable product mix that contributed to the increase in the revenue. The increase was partially offset by a decrease of $31.5 million in regulatory credit sales for the three months ended March 31, 2026, as compared to the same period in the prior year. We believe the recent proposal to lower the U.S. federal fuel economy standards and eliminate CAFE EV credit trading may create uncertainties to future regulatory credit sales. Please see “</w:t>
      </w:r>
      <w:r>
        <w:rPr>
          <w:rFonts w:ascii="Times New Roman;serif" w:hAnsi="Times New Roman;serif"/>
          <w:b w:val="false"/>
          <w:i/>
          <w:color w:val="000000"/>
          <w:sz w:val="20"/>
        </w:rPr>
        <w:t>Risk Factors — Risks Related to Our Business and Operations — The unavailability, reduction or elimination of certain government and economic programs could have a material adverse effect on our business, prospects, financial condition and results of operations</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cost of revenue and gross profit (loss) for the periods presented (in thousands):</w:t>
      </w:r>
    </w:p>
    <w:tbl>
      <w:tblPr>
        <w:tblW w:w="6632" w:type="dxa"/>
        <w:jc w:val="left"/>
        <w:tblInd w:w="0" w:type="dxa"/>
        <w:tblLayout w:type="fixed"/>
        <w:tblCellMar>
          <w:top w:w="28" w:type="dxa"/>
          <w:left w:w="28" w:type="dxa"/>
          <w:bottom w:w="28" w:type="dxa"/>
          <w:right w:w="28" w:type="dxa"/>
        </w:tblCellMar>
      </w:tblPr>
      <w:tblGrid>
        <w:gridCol w:w="522"/>
        <w:gridCol w:w="458"/>
        <w:gridCol w:w="460"/>
        <w:gridCol w:w="196"/>
        <w:gridCol w:w="811"/>
        <w:gridCol w:w="109"/>
        <w:gridCol w:w="109"/>
        <w:gridCol w:w="109"/>
        <w:gridCol w:w="109"/>
        <w:gridCol w:w="196"/>
        <w:gridCol w:w="811"/>
        <w:gridCol w:w="109"/>
        <w:gridCol w:w="109"/>
        <w:gridCol w:w="109"/>
        <w:gridCol w:w="109"/>
        <w:gridCol w:w="196"/>
        <w:gridCol w:w="736"/>
        <w:gridCol w:w="109"/>
        <w:gridCol w:w="109"/>
        <w:gridCol w:w="109"/>
        <w:gridCol w:w="109"/>
        <w:gridCol w:w="203"/>
        <w:gridCol w:w="203"/>
        <w:gridCol w:w="532"/>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4456" w:type="dxa"/>
        <w:jc w:val="left"/>
        <w:tblInd w:w="0" w:type="dxa"/>
        <w:tblLayout w:type="fixed"/>
        <w:tblCellMar>
          <w:top w:w="28" w:type="dxa"/>
          <w:left w:w="28" w:type="dxa"/>
          <w:bottom w:w="28" w:type="dxa"/>
          <w:right w:w="28" w:type="dxa"/>
        </w:tblCellMar>
      </w:tblPr>
      <w:tblGrid>
        <w:gridCol w:w="396"/>
        <w:gridCol w:w="348"/>
        <w:gridCol w:w="350"/>
        <w:gridCol w:w="314"/>
        <w:gridCol w:w="316"/>
        <w:gridCol w:w="256"/>
        <w:gridCol w:w="109"/>
        <w:gridCol w:w="109"/>
        <w:gridCol w:w="109"/>
        <w:gridCol w:w="269"/>
        <w:gridCol w:w="271"/>
        <w:gridCol w:w="256"/>
        <w:gridCol w:w="109"/>
        <w:gridCol w:w="109"/>
        <w:gridCol w:w="109"/>
        <w:gridCol w:w="109"/>
        <w:gridCol w:w="109"/>
        <w:gridCol w:w="109"/>
        <w:gridCol w:w="109"/>
        <w:gridCol w:w="109"/>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 includes direct parts, material and labor costs,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revenue increased by $130.6 million, or 28% for the three months ended March 31, 2026, as compared to the same period in the prior year, primarily due to higher inventory write-downs including losses from firm purchase commitments and approximately $41.0 million of incremental tariff cost impact resulting from U.S. tariffs implemented in February 2025, and increased in unit costs attributable to a higher Lucid Gravity product mix. These increases were partially offset by an estimated IEEPA tariff refund of approximately $53.0 million, recorded following the U.S. Supreme Court’s February 2026 ruling that certain tariffs imposed under the IEEPA were unlawful. See Note 4 “Balance Sheets Components” to our condensed consolidated financial statements included elsewhere in this Quarterly Report for more information. In the near term, we expect our production volume of vehicles to continue to be less than our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recorded write-downs of $237.9 million and $151.6 million for the three months ended March 31, 2026 and 2025, respectively, to reduce our inventories to their net realizable values, for any excess or obsolete inventories, and losses from firm purchase commitments. The increase in the write-downs was primarily due to higher inventory balance driven by the Lucid Gravity production ramp-up and tariff impacts for the three months ended March 31, 2026, as compared to the same period in the prior year. While the final scope and application of recently announced changes in trade policy remain uncertain at this time, higher tariffs on imports and subsequent retaliatory tariffs could adversely impact our financial results. We expect inventory write-downs could negatively affect our costs of vehicle sales in the near term as we ramp production volumes up toward our manufacturing capacity.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(the “IRA”) was enacted with clean energy incentives. The impact of the IRA on our results of operations was not material for the three months ended March 31, 2026 and 2025. We will continue to evaluate the expected future impact of the IRA on our business and financial statements upon issuance of additional regulatory guidance.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was (110.4)% for the three months ended March 31, 2026, as compared to (97.2)% for the same period in the prior year. The decrease in gross margin was primarily driven by higher inventory write-downs including losses from firm purchase commitments, $41.0 million of incremental tariff cost, and $31.5 million lower regulatory credit sales during the three months ended March 31, 2026, as compared to the same period in the prior year. These impacts were partially offset by an estimated IEEPA tariff refund of approximately $53.0 million recorded during the three months ended March 31, 2026 and a favorable product mix. Our gross margin was also negatively impacted by the fact that our direct production costs for vehicles sold during the period exceeded the revenue generated from those sales, independent of the charges for inventory write-downs.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operating expenses for the periods presented (in thousands):</w:t>
      </w:r>
    </w:p>
    <w:tbl>
      <w:tblPr>
        <w:tblW w:w="7569" w:type="dxa"/>
        <w:jc w:val="left"/>
        <w:tblInd w:w="0" w:type="dxa"/>
        <w:tblLayout w:type="fixed"/>
        <w:tblCellMar>
          <w:top w:w="28" w:type="dxa"/>
          <w:left w:w="28" w:type="dxa"/>
          <w:bottom w:w="28" w:type="dxa"/>
          <w:right w:w="28" w:type="dxa"/>
        </w:tblCellMar>
      </w:tblPr>
      <w:tblGrid>
        <w:gridCol w:w="923"/>
        <w:gridCol w:w="812"/>
        <w:gridCol w:w="81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Workforce reduction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have primarily focused on the development of our battery and powertrain technology, the Lucid Air, the Lucid Gravity, and future generations of our EVs, including our Midsize platform. Research and development expenses primarily consist of materials, supplies, personnel-related expenses for employees involved in the engineering, designing, and testing of EVs, and contractor fees.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$84.4 million, or 34% for the three months ended March 31, 2026, as compared to the same period in the prior year. The increase was primarily attributable to increases of $42.9 million in engineering, design and testing services, and prototype materials related mostly to the Midsize platform, $27.6 million in payroll related expenses, and $8.0 million in utilization of contractors and professional fees primarily related to an increase in headcount to support our Midsize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EVs, including our Midsize platform, we expect an increase to our selling, general and administrative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$92.0 million, or 43% for the three months ended March 31, 2026, as compared to the same period in the prior year. The increase was primarily attributable to increases of $32.1 million in stock-based compensation expenses, primarily driven by a reversal of previously recognized expenses for the former CEO’s unvested time-based RSUs during the three months ended March 31, 2025, $18.1 million in payroll related expenses due to our continued commercialization and growth strategy, $16.5 million in facilities and rental related costs, and $15.8 million in sales and marketing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Workforce Reduction Charges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we announced the 2026 Plan that intended to align with our long-term operating goals as we focus on the start of production of our Midsize platform, expansion into the robotaxi market and development of ADAS technologies, as well as the sale and distribution of our current models in existing and new geographies. We expect to substantially complete the 2026 Plan by the end of the second quarter of 2026, subject to local law and consultation requirements. As a result of the 2026 Plan, we expect to incur total workforce reduction charges of approximately $40 million, primarily related to severance payments, employee benefits, and employee transition. During the three months ended March 31, 2026, we recorded workforce reduction charges of $37.9 million. See Note 3 “Workforce Reduction”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2"/>
        <w:gridCol w:w="1604"/>
        <w:gridCol w:w="1611"/>
        <w:gridCol w:w="196"/>
        <w:gridCol w:w="695"/>
        <w:gridCol w:w="109"/>
        <w:gridCol w:w="109"/>
        <w:gridCol w:w="109"/>
        <w:gridCol w:w="109"/>
        <w:gridCol w:w="196"/>
        <w:gridCol w:w="736"/>
        <w:gridCol w:w="109"/>
        <w:gridCol w:w="109"/>
        <w:gridCol w:w="109"/>
        <w:gridCol w:w="109"/>
        <w:gridCol w:w="196"/>
        <w:gridCol w:w="785"/>
        <w:gridCol w:w="109"/>
        <w:gridCol w:w="109"/>
        <w:gridCol w:w="109"/>
        <w:gridCol w:w="109"/>
        <w:gridCol w:w="235"/>
        <w:gridCol w:w="235"/>
        <w:gridCol w:w="536"/>
      </w:tblGrid>
      <w:tr>
        <w:trPr/>
        <w:tc>
          <w:tcPr>
            <w:tcW w:w="187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associated with redeemable convertible preferred stock (related party)</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5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 in Fair Value of Common Stock Warrant Liability </w:t>
      </w:r>
    </w:p>
    <w:p>
      <w:pPr>
        <w:pStyle w:val="TextBody"/>
        <w:bidi w:val="0"/>
        <w:spacing w:lineRule="auto" w:line="276" w:before="240" w:after="283"/>
        <w:jc w:val="left"/>
        <w:rPr>
          <w:rFonts w:ascii="Times New Roman;serif" w:hAnsi="Times New Roman;serif"/>
          <w:b w:val="false"/>
          <w:color w:val="231F20"/>
          <w:sz w:val="20"/>
        </w:rPr>
      </w:pPr>
      <w:r>
        <w:rPr>
          <w:rFonts w:ascii="Times New Roman;serif" w:hAnsi="Times New Roman;serif"/>
          <w:b w:val="false"/>
          <w:color w:val="231F20"/>
          <w:sz w:val="20"/>
        </w:rPr>
        <w:t>Our common stock warrant liability relates to the Private Placement Warrants to purchase shares of our common stock that were effectively issued upon the closing in connection with the Merger. Our common stock warrant liability is subject to remeasurement to fair value at each reporting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remained unexercised as of March 31, 2026, and the liability was remeasured to a fair value of nil as of March 31, 2026 and December 31, 2025. The changes in fair value were nil and $12.9 million during the three months ended March 31, 2026 and 2025, respectively, and were classified within change in fair value of common stock warrant liability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Equity Securities of a Related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in connection with the commencement of the Strategic Technology Arrangement with Aston Martin, we received 28,352,273 ordinary shares of Aston Martin. The ordinary shares of Aston Martin are subject to remeasurement to fair value at each reporting period. Such shares were remeasured to fair values of $13.6 million and $24.3 million as of March 31, 2026 and December 31, 2025, respectively. The changes in fair value resulted in unrealized losses of $10.2 million and $13.5 million for the three months ended March 31, 2026 and 2025, respectively, and were classified within change in fair value of equity securities of a related party in the condensed consolidated statements of operations and comprehensive loss. See Note 5 “Fair Value Measurements and Financial Instruments” and Note 15 “Related Party Transactions”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Liabilities Associated with Redeemable Convertible Preferred Stock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March 2024, we entered into the Series A Subscription Agreement with Ayar. Pursuant to the Series A Subscription Agreement, Ayar agreed to purchase from us 100,000 shares of our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the Series B Subscription Agreement with Ayar. Pursuant to the Series B Subscription Agreement, Ayar agreed to purchase from us 75,000 shares of our Series B Redeemable Convertible Preferred Stock, for an aggregate purchase price of $750.0 million in a private placement. Subsequently, in August 2024, we issued the shares to Ayar pursuant to the Series B Subscription Agreement and received aggregate net proceeds of $749.4 million after deducting issuance costs of $0.6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condensed consolidated statement of operations and comprehensive loss.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derivative liabilities of the Redeemable Convertible Preferred Stock were remeasured to a fair value of $8.8 million and $16.2 million as of March 31, 2026 and December 31, 2025, respectively. We recognized gains of $7.4 million and $281.7 million for the three months ended March 31, 2026 and 2025, respectively, primarily driven by a decrease in our stock price, within change in fair value of derivative liabilities associated with redeemable convertible preferred stock (related party) in the condensed consolidated statements of operations and comprehensive loss. See Note 7 “Redeemable Convertible Preferred Stock”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$39.1 million, or 75% for the three months ended March 31, 2026, as compared to the same period in the prior year, primarily due to lower average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consists of contractual interest and amortization of debt discounts and debt issuance costs incurred related to the 2026 Notes, the 2030 Notes, and the 2031 Notes, commitment fees and amortization of deferred issuance costs from the ABL Credit Facility and the DDTL Credit Facility, interest on borrowings from the GIB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$29.2 million, or 246% for the three months ended March 31, 2026, as compared to the same period in the prior year. The increase was primarily due to higher interest expense of $30.8 million from the issuances of the 2030 Notes and the 2031 Notes in April 2025 and November 2025, respectively, and higher interest expense of $5.5 million from the GIB credit facility resulting from higher average borrowings, partially offset by an increase of $8.1 million in interest capitalized on construction in progress related to significant capital asset construction during the three months ended March 31, 2026, as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foreign currency gains and losses, changes in residual value guarantee reserve, and realized gains or losses on the sale of available-for-sale securities.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changed by $10.8 million for the three months ended March 31, 2026, as compared to the same period in the prior year, primarily due to changes in foreign exchange rates, residual value guarantee reserve, and realized gains on the sale of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Provision for (Benefit from) Income Taxes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provision for (benefit from) income taxes for the periods presented (in thousands):</w:t>
      </w:r>
    </w:p>
    <w:tbl>
      <w:tblPr>
        <w:tblW w:w="7479" w:type="dxa"/>
        <w:jc w:val="left"/>
        <w:tblInd w:w="0" w:type="dxa"/>
        <w:tblLayout w:type="fixed"/>
        <w:tblCellMar>
          <w:top w:w="28" w:type="dxa"/>
          <w:left w:w="28" w:type="dxa"/>
          <w:bottom w:w="28" w:type="dxa"/>
          <w:right w:w="28" w:type="dxa"/>
        </w:tblCellMar>
      </w:tblPr>
      <w:tblGrid>
        <w:gridCol w:w="1109"/>
        <w:gridCol w:w="973"/>
        <w:gridCol w:w="977"/>
        <w:gridCol w:w="196"/>
        <w:gridCol w:w="421"/>
        <w:gridCol w:w="109"/>
        <w:gridCol w:w="109"/>
        <w:gridCol w:w="109"/>
        <w:gridCol w:w="109"/>
        <w:gridCol w:w="196"/>
        <w:gridCol w:w="631"/>
        <w:gridCol w:w="109"/>
        <w:gridCol w:w="109"/>
        <w:gridCol w:w="109"/>
        <w:gridCol w:w="109"/>
        <w:gridCol w:w="196"/>
        <w:gridCol w:w="556"/>
        <w:gridCol w:w="109"/>
        <w:gridCol w:w="109"/>
        <w:gridCol w:w="109"/>
        <w:gridCol w:w="109"/>
        <w:gridCol w:w="268"/>
        <w:gridCol w:w="268"/>
        <w:gridCol w:w="380"/>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We are electing to fully amortize its previously capitalized domestic research and development expenses in the current year. Due to the full valuation allowance on our U.S. deferred tax assets, the net tax impact of the legislation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we had $714.0 million of cash, cash equivalents, and investments. We also had $1.98 billion, $468.4 million, and $2.3 million of unused available credit amounts from the DDTL Credit Facility, the ABL Credit Facility, and the 2025 GIB Credit Facility, respectively, as of March 31, 2026. Our existing sources of liquidity include cash, cash equivalents, investments, and unused available credit amounts from credit facilities. We funded operations primarily with issuances of common stock, convertible preferred stock, convertible notes, and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expansion of AMP-1 in Casa Grande, Arizona, (iv) construction of the CBU portion of AMP-2 in Saudi Arabia, (v) vendor tooling, (vi) expansion of retail studios and service centers, and (vii) other initiatives related to the sale of vehicles or technology.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anticipate our cumulative spending on capital expenditures to be in a range of approximately $1.2 billion to $1.4 billion for the fiscal year 2026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15 “Related Party Transactions” to the condensed consolidated financial statements included elsewhere in this Quarterly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total minimum lease payments are $646.4 million, of which $84.4 million is due in fiscal year 2026. We also have non-cancellable long-term commitments of approximately $2.63 billion, primarily relating to certain inventory component purchases. For details regarding these obligations, refer to Note 10 “Leases” and Note 11 “Commitments and Contingencies” to the condensed consolidated financial statements included elsewhere in this Quarterly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2026 Notes only upon the occurrence of certain events. From and after September 15, 2026, noteholders may elect at any time to convert their 2026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1.8255 shares of common stock per $1,000 principal amount of the 2026 Notes, which represents an initial conversion price of approximately $547.80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March 31, 2026 and December 31, 2025, we were in compliance with applicable covenants under the indenture governing the 2026 Notes.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we repurchased $1,052.5 million aggregate principal amount of the 2026 Notes, using $931.4 million of the net proceeds of the 2030 Notes. In November 2025, we repurchased $755.7 million aggregate principal amount of the 2026 Notes, using $748.2 million of the net proceeds of the 2031 Notes. Following the redemption, our outstanding principal balance of the 2026 Notes was $204.3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issued $1,100.0 million of the 2030 Notes. Contemporaneously with the 2030 Notes offering, we entered into privately negotiated transactions with certain holders of the 2026 Notes to repurchase $1,052.5 million aggregate principal amount of the 2026 Notes, using $931.4 million of the net proceeds of the 2030 Notes. The 2030 Notes accrue interest at a rate of 5.00% per annum, payable semi-annually in arrears on April 1 and October 1 of each year, beginning on October 1, 2025. The 2030 Notes will mature on April 1, 2030, unless earlier repurchased, redeemed or converted. Before the close of business on the business day immediately before January 1, 2030, noteholders will have the right to convert their 2030 Notes only upon the occurrence of certain events. From and after January 1, 2030, noteholders may elect at any time to convert their 2030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33.3333 shares of common stock per $1,000 principal amount of the 2030 Notes, which represents an initial conversion price of approximately $30.00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March 31, 2026 and December 31, 2025, we were in compliance with applicable covenants under the indenture governing the 2030 Notes.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we paid $118.3 million to enter into the Capped Call Transactions with certain financial institutions. The Capped Call Transactions cover, subject to anti-dilution adjustments, the number of shares of our common stock initially underlying the 2030 Notes. The Capped Call Transactions have an expiration date of April 1, 2030.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the Capped Call Transactions generally would reduce the potential dilution to our common stock upon conversion of the notes and/or offset any cash payments that we could be required to make in excess of the principal amount of any converted notes, as the case may be, in the event that the market price per share of our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our common stock. The initial cap price of the Capped Call Transactions was $48.00 per share of our common stock and is subject to customary anti-dilution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2025, we issued $975.0 million of the 2031 Notes. Contemporaneously with the 2031 Notes offering, we entered into privately negotiated transactions with certain holders of the 2026 Notes to repurchase $755.7 million aggregate principal amount of the 2026 Notes, using $748.2 million of the net proceeds of the 2031 Notes. The 2031 Notes accrue interest at a rate of 7.00% per annum, payable semi-annually in arrears on May 1 and November 1 of each year, beginning on May 1, 2026. The 2031 Notes will mature on November 1, 2031, unless earlier repurchased, redeemed or converted. The holders may require us to repurchase the 2031 Notes on November 1, 2029. Before the close of business on the business day immediately before August 1, 2031, noteholders will have the right to convert their 2031 Notes only upon the occurrence of certain events. From and after August 1, 2031, noteholders may elect at any time to convert their 2031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48.0475 shares of common stock per $1,000 principal amount of the 2031 Notes, which represents an initial conversion price of approximately $20.81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March 31, 2026 and December 31, 2025, we were in compliance with applicable covenants under the indenture governing the 2031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Manufacturing Expansion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we announced the selection of KAEC in Saudi Arabia as the location of our first international manufacturing plant and signed related agreements with the MISA, the SIDF, and the Economic City at KAEC. We started the AMP-2 operations with re-assembly of the Lucid Air vehicle “kits” pre-manufactured in the U.S. and, over time, will commence production of complete vehicles.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entered into the SIDF Loan Agreement with SIDF, a related party of the PIF, which is an affiliate of Ayar. Under the SIDF Loan Agreement, SIDF has committed to provide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$93.2 million).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SIDF Loans will not bear interest. Instead, Lucid LLC will be required to pay SIDF service fees, consisting of follow-up and technical evaluation fees, ranging, in aggregate, from SAR 415 million (approximately $110.6 million) to SAR 1.77 billion (approximately $471.6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March 31, 2026 and December 31, 2025, no amount was outstanding under the SIDF Loan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MISA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received support of SAR 366 million (approximately $97.5 million) in cash. As of December 31, 2024, we recorded $97.5 million as a deduction in calculating the carrying amount of the related assets in the condensed consolidated balance sheet. During the year ended December 31, 2025 and three months ended March 31, 2026, there were no further deductions to the carrying value of the related assets in the condensed consolidated balance sheets. There were no unfulfilled conditions and contingencies attached to the payments received. </w:t>
      </w:r>
    </w:p>
    <w:p>
      <w:pPr>
        <w:pStyle w:val="TextBody"/>
        <w:bidi w:val="0"/>
        <w:spacing w:lineRule="auto" w:line="288" w:before="240" w:after="283"/>
        <w:jc w:val="left"/>
        <w:rPr>
          <w:rFonts w:ascii="Times New Roman;serif" w:hAnsi="Times New Roman;serif"/>
          <w:b w:val="false"/>
          <w:i/>
          <w:color w:val="242424"/>
          <w:sz w:val="20"/>
          <w:shd w:fill="FFFFFF" w:val="clear"/>
        </w:rPr>
      </w:pPr>
      <w:r>
        <w:rPr>
          <w:rFonts w:ascii="Times New Roman;serif" w:hAnsi="Times New Roman;serif"/>
          <w:b w:val="false"/>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On March 12, 2023, Lucid LLC entered into the 2023 Amended GIB Facility Agreement to combine the two committed revolving credit facilities into a committed SAR 1.0 billion (approximately $266.1 million) 2023 GIB Credit Facility which may be used for general corporate purposes. Loans under the 2023 Amended GIB Facility Agreement had a maturity of no more than 12 months and bore interest at a rate of 1.40% per annum over SAIBOR (based on the term of borrowing) and associated fees. Under the 2023 Amended GIB Facility Agreement, we were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$506.2 million). Loans under the 2025 GIB Credit Facility may be used for general corporate purposes, have a maturity of no more than 12 months, and bear interest at a rate of 1.40% per annum over SAIBOR (based on the term of borrowing) and associated fees. We are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2025 GIB Credit Facility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had outstanding borrowings of SAR 1,890.0 million (approximately $503.5 million) and SAR 1,755.0 million (approximately $468.0 million), respectively. The outstanding borrowings were recorded within current portion of debt in the condensed consolidated balance sheets. The weighted average interest rate on the outstanding borrowings was 6.21% and 6.44% as of March 31, 2026 and December 31, 2025, respectively. As of March 31, 2026 and December 31, 2025, availability under the GIB credit facility was SAR 8.7 million (approximately $2.3 million) and SAR 143.5 million (approximately $38.3 million), respectively, after giving effect to the outstanding letters of credit. As of March 31, 2026 and December 31, 2025, we were in compliance with applicable covenants under the GIB credit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ABL Credit Facility</w:t>
      </w:r>
    </w:p>
    <w:p>
      <w:pPr>
        <w:pStyle w:val="TextBody"/>
        <w:bidi w:val="0"/>
        <w:spacing w:lineRule="auto" w:line="288" w:before="240" w:after="283"/>
        <w:jc w:val="left"/>
        <w:rPr/>
      </w:pPr>
      <w:r>
        <w:rPr>
          <w:rFonts w:ascii="Times New Roman;serif" w:hAnsi="Times New Roman;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serif" w:hAnsi="Times New Roman;serif"/>
          <w:b w:val="false"/>
          <w:color w:val="242424"/>
          <w:sz w:val="20"/>
        </w:rPr>
        <w:t>In June 2024, we amended the ABL Credit Facility to update the Canadian reference rate.</w:t>
      </w:r>
      <w:r>
        <w:rPr>
          <w:color w:val="000000"/>
        </w:rPr>
        <w:t xml:space="preserve"> </w:t>
      </w:r>
      <w:r>
        <w:rPr>
          <w:rFonts w:ascii="Times New Roman;serif" w:hAnsi="Times New Roman;serif"/>
          <w:b w:val="false"/>
          <w:color w:val="000000"/>
          <w:sz w:val="20"/>
        </w:rPr>
        <w:t xml:space="preserve">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March 31, 2026 and December 31, 2025, we were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had no outstanding borrowings under the ABL Credit Facility. Outstanding letters of credit under the ABL Credit Facility were $133.4 million and $104.1 million as of March 31, 2026 and December 31, 2025, respectively. Availability under the ABL Credit Facility was $610.0 million (including $141.6 million cash and cash equivalents) and $596.0 million (including $199.2 million cash and cash equivalents) as of March 31, 2026 and December 31, 2025, respectively, after giving effect to the borrowing base and the outstanding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increased the aggregate principal amount of the DDTL Credit Facility from $750.0 million to $1.98 billion. We are required to pay a quarterly undrawn fee of 0.50% per annum based on the unutilized portion of the DDTL Credit Facility. 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included a minimum liquidity covenant, which was eliminated under the DDTL Amendment. As of March 31, 2026 and December 31, 2025, we were in compliance with applicable covenants under the DDTL Credit Facility, and had no outstanding borrowings under the DDTL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we borrowed $500.0 million under the DDTL Credit Facility. In April 2026, we also entered into the DDTL Amendment, pursuant to which the aggregate undrawn delayed commitments under the DDTL Credit Facility were increased by $500.0 million, such that, after giving effect to such increase, the sum of outstanding delayed draw term loans and aggregate undrawn commitments was increased to approximately $2.5 billion.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Subscription Agreements and Underwriting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7 “Redeemable Convertible Preferred Stock”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15 “Related Party Transactions”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consummated the private placement of shares to SMB pursuant to the 2025 Subscription Agreement for aggregate net proceeds of $299.7 million after deducting issuance costs. See Note 8 “Stockholders’ Equity” to the condensed consolidated financial statements included elsewhere in this Quarterly Report, for more information. In April 2026, in connection with the Second VPA, we consummated the private placement of shares to SMB for aggregate proceeds of $200.0 million. See Note 17 “Subsequent Events” to the condensed consolidated financial statements included elsewhere in this Quarterly Report, for more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pursuant to the Series C Subscription Agreement, we issued to Ayar 55,000 shares of our Series C Redeemable Convertible Preferred Stock and received aggregate gross proceeds of $550.0 million. In April 2026, we also completed the public offering pursuant to the 2026 Underwriting Agreement for aggregate net proceeds of $291.5 million. See Note 17 “Subsequent Events”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losses from our operations as reflected in our accumulated deficit of $16.6 billion and $15.6 billion as of March 31, 2026 and December 31, 2025,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8348" w:type="dxa"/>
        <w:jc w:val="left"/>
        <w:tblInd w:w="0" w:type="dxa"/>
        <w:tblLayout w:type="fixed"/>
        <w:tblCellMar>
          <w:top w:w="28" w:type="dxa"/>
          <w:left w:w="28" w:type="dxa"/>
          <w:bottom w:w="28" w:type="dxa"/>
          <w:right w:w="28" w:type="dxa"/>
        </w:tblCellMar>
      </w:tblPr>
      <w:tblGrid>
        <w:gridCol w:w="2030"/>
        <w:gridCol w:w="1787"/>
        <w:gridCol w:w="1792"/>
        <w:gridCol w:w="196"/>
        <w:gridCol w:w="946"/>
        <w:gridCol w:w="109"/>
        <w:gridCol w:w="109"/>
        <w:gridCol w:w="109"/>
        <w:gridCol w:w="109"/>
        <w:gridCol w:w="196"/>
        <w:gridCol w:w="811"/>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after starting commercial operations, we expect our cash used in operating activities to increase before it starts to generate any material cash flows from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$757.0 million to $1,185.7 million during the three months ended March 31, 2026, as compared to the same period in the prior year. The increase was primarily due to increases in net operating assets and liabilities of $525.2 million and net loss excluding non-cash expenses and gains of $231.8 million during the three months ended March 31, 2026, as compared to the same period in the prior year. The increase in net operating assets and liabilities was primarily attributable to a significant increase in inventory balance, reflecting higher production of the Lucid Gravity and a 29</w:t>
        <w:noBreakHyphen/>
        <w:t>day production disruption resulting from a supplier quality issue affecting Lucid Gravity second</w:t>
        <w:noBreakHyphen/>
        <w:t>row seats. The disruption limited vehicle completions during the period, resulting in higher work</w:t>
        <w:noBreakHyphen/>
        <w:t>in</w:t>
        <w:noBreakHyphen/>
        <w:t xml:space="preserve">process and finished goods inventory as of March 31, 2026.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provided by investing activities primarily relate to proceeds from sales and maturities of investments, net of purchases of investments and capital expenditures to support our growth.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increased by $261.2 million to $875.2 million during the three months ended March 31, 2026, as compared to the same period in the prior year. The increase was primarily attributable to higher volume of investment sales and maturities compared to investment purchases during the three months ended March 31, 2026, as compared to the same period in the prior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financed our operations primarily from the issuances of equity and equity-linked securities and debt financings, the private placements to Ayar and SMB, convertible preferred stock, the proceeds of the Merger, the 2026 Notes, the 2030 Notes, and the 2031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decreased by $27.5 million to $35.3 million during the three months ended March 31, 2026, as compared to the same period in the prior year. The decrease was primarily attributable to a decrease in proceeds from borrowings from 2025 GIB Credit Facility during the three months ended March 31, 2026 compared to the same period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We are evaluating the impact of this amendment to the related financial statement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ASU removed references to prescriptive and sequential software development stages. The ASU requires us to start capitalizing eligible software costs when management has authorized and committed to funding the software project, and it is probable that the project will be completed and the software will be used to perform the function intended. The ASU does not change the types of costs eligible for capitalization. The guidance is effective for annual reporting periods beginning after December 15, 2027, and interim reporting periods within those annual reporting periods. Early adoption is permitted and may be applied using a prospective, retrospective or modified transition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The ASU requires us to recognize a government grant when it is probable that we will comply with the conditions attached to the grant and the grant will be received, and we meet the recognition guidance for a grant related to an asset or a grant related to income. The ASU requires a grant related to an asset to be recognized as we incur the related costs for which the grant is intended to compensate, either as deferred income or as an adjustment to the cost basis in determining the carrying amount of the asset. The ASU also requires a grant related to income and a grant related to an asset for which the deferred income approach is elected to be recognized in earnings on a systematic and rational basis. When we elect the cost accumulation approach for a grant related to an asset, there is no separate subsequent recognition of the government grant proceeds in earnings. We are required to continue providing disclosures on the nature of the government grant received, the accounting policies used to account for the grant, and significant terms and conditions of the grant. The guidance is effective for annual reporting periods beginning after December 15, 2028, and interim reporting periods within those annual reporting periods. Early adoption is permitted, and may be applied using a modified prospective, modified retrospective or retrospective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ASU provides clarity on the current interim reporting disclosures and introduces a disclosure principle which requires us to disclose events since the end of the last annual reporting period that have a material impact on us. The guidance is effective for interim reporting periods within annual reporting periods beginning after December 15, 2027. Early adoption is permitted and may be applied using a prospective or retrospective approach.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The ASU represents changes to the Codification that clarify, correct errors, or make minor improvements. The guidance is effective for annual reporting periods beginning after December 15, 2026, and interim reporting periods within those annual reporting periods. Early adoption is permitted and we may elect the transition method on an issue-by-issue basis. We are evaluating the impact of this amendment to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2026, the FASB issued ASU 2026-01, Equity (Topic 505): Initial Measurement of Paid-in-Kind Dividends on Equity-Classified Preferred Stock, which requires that paid-in-kind (“PIK”) dividends on equity-classified preferred stock, including preferred stock that is classified as temporary equity, be initially measured on the basis of the PIK dividend rate stated in the preferred stock agreement. The guidance is effective for annual reporting periods beginning after December 15, 2026, and interim reporting periods within those annual reporting periods. Early adoption is permitted and may be applied using a prospective or modified retrospective approach. We are evaluating the impact of this amendment to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considered all other recently issued accounting pronouncements and do not believe the adoption of such pronouncements will have a material impact on our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the related notes thereto included elsewhere in this Quarterly Report are prepared in accordance with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 performance obligations identified in vehicle sale arrangements include delivery of the vehicle equipped with an onboard ADAS, the provision of maintenance services, the remarketing activities, and the right to unspecified OTA software updates as they become available over the term of the basic vehicle warranty, which is generally four years. Shipping and handling provided by us is considered a fulfillment activity.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 Payments received before the customer obtains control of the vehicle are recorded within other current liabilities in the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we reduce the transaction price and record a sales return reserve against revenue for estimated variable consideration related to future returns. Such return rate estimates are based on historical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 residual value guarantee to our commercial banking partners in connection with their vehicle leasing programs. Under the vehicle leasing program, we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 </w:t>
      </w:r>
    </w:p>
    <w:p>
      <w:pPr>
        <w:pStyle w:val="TextBody"/>
        <w:bidi w:val="0"/>
        <w:spacing w:lineRule="auto" w:line="288" w:before="240" w:after="283"/>
        <w:jc w:val="left"/>
        <w:rPr/>
      </w:pPr>
      <w:r>
        <w:rPr>
          <w:rFonts w:ascii="Times New Roman;serif" w:hAnsi="Times New Roman;serif"/>
          <w:b w:val="false"/>
          <w:color w:val="000000"/>
          <w:sz w:val="20"/>
        </w:rPr>
        <w:t xml:space="preserve">We account for the vehicle leasing program in accordance with ASC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 xml:space="preserve">and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are the lessor at inception of a lease and immediately transfer the lease as well as the underlying vehicle to our commercial banking partners, with the transaction being accounted for as a sale under ASC 606. We recognize revenue when control transfers upon delivery when the consumer-lessee takes physical possession of the vehicle, and bifurcate the RVG at fair value and account for it as a reduction to revenue and a guarantee liability. The remaining amount of the transaction price is allocated among the performance obligations. Any fees or incentives that are paid or payable by us to commercial banking partners are recognized as a reduction to vehicle sales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RVG liability is assessed subsequently for any changes on a quarterly basis. As we accumulate more data related to the resale value of our vehicles or as market conditions change, there could be material changes to the estimated guarantee liabilities. The maximum potential amount of future payments (in excess of RVG liabilities recorded) that we could be required to make was $706.6 million and $705.9 million as of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 into sale and leaseback transactions in which we transfer control of vehicles to rental companies and simultaneously lease them back as operating leases. We recognize revenue related to the vehicles under the arrangement when the rental companies obtain control of the vehicles and separately recognizes the leaseback obligations based on the present value of the future payments to the rental companies within other current liabilities and other long-term liabilities. We also record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Inventory Valuation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Derivative Liabilities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Item 3. Quantitative and Qualitative Disclosures about Market Risk.</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equity price and inflationary pressure.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Price Risk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hold equity securities of Aston Martin. The fair value of these equity securities was $13.6 million as of March 31, 2026. Changes in fair value of these equity securities are impacted by the volatility of the stock market and changes in general economic conditions, among other factors. A hypothetical 10% decrease in the stock price of these equity securities would not be material as of March 31,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dependent on our suppliers, the majority of which are single-source suppliers. The inability of these suppliers to deliver necessary components of its products according to the schedule and at prices, quality levels and volumes acceptable to us, whether due to changes or uncertainties in trade policies, the imposition or proposed imposition of tariffs, threat of a trade war or otherwise, or its inability to efficiently manage these components, or the unavailability of stable domestic suppliers,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their evaluation, our principal executive officer and principal financial officer concluded that as of March 31, 2026,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that occurred during the fiscal quarter ended March 31, 2026, that has materially affected, or is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please see the description set forth in the “Legal Matters” section in Note 11 “Commitments and Contingencies” in the notes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limited operating history makes evaluating our business and future prospects difficult and may increase the risk of stockholders’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attract or retain customers through the purchase process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distribution model primarily relies on a direct-to-consumer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manage our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risks associated with international operations, including possible unfavorable regulatory, geopolitical, tax and labor conditions, which could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experienced and may in the future experience significant delays in the design, launch and manufacture of our vehicles, including the Lucid Air, the Lucid Gravity and our upcoming Midsize platform,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continue production and grow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dependent on our suppliers, the majority of which are single-source suppliers, and the inability of these suppliers to deliver necessary components of our products, or our inability to efficiently manage these components, could have a material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costs, changes of supply or shortage of materials, in particular for lithium-ion battery cells,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not be able to accurately estimate the supply and demand for our vehicles, which could prevent us from maximizing our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unauthorized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evolving laws, regulations, standards, policies, and contractual obligations related to data privacy, cybersecurity, and artificial intelligence, and failure to comply with such obligations could harm our reputation,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face regulatory limitations on our ability to sell vehicles directly, which could materially and adversely affect our ability to sell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adequately obtain, maintain, enforce, defend and protect our intellectual property and may not be able to prevent third parties from unauthorized use of our intellectual property and proprietary technology, which could harm our competitive position and cause us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be able to realize the anticipated benefits of our agreements with Aston Martin, Uber, and Nuro.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 “controlled company” within the meaning of the applicable Nasdaq rules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PIF and Ayar beneficially own a significant equity interest in us and have significant influence over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Redeemable Convertible Preferred Stock has rights, preferences and privileges that are not held by, and are senior to the rights of, our common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Business and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limited operating history makes evaluating our business and future prospects difficult and may increase the risk of stockholders’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a limited operating history and operate in a rapidly evolving and highly regulated market. Furthermore, we have only released two commercially available vehicles, and we have limited experience manufacturing or selling a commercial product at scale. </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We have encountered and expect to continue to encounter risks and uncertainties frequently experienced by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design, build, manufacture and market new variants and models of EVs, such as our upcoming Midsize platform;</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expand our customer base;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anticipate and adapt to changing market conditions, including consumer demand for certain vehicle types, models or trim levels, technological developments and changes in competitive landscape;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navigate an evolving and complex landscape of regulations, policies, and government incentives;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each year since our inception, including net loss of $1,028.3 million for the three months ended March 31, 2026. As of March 31, 2026, our accumulated deficit was $16.6 billion. As a result of the capital-intensive nature of our business, we expect to continue to incur substantial operating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market EV-related products and technologies, including robotaxis;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 our sales, service and marketing activities and develop our distribution infrastructure;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expand into new markets;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general and administrative functions to support operations as a public company.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our product development or commercialization of future vehicles or models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unable to adequately control the substantial costs associated with our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incurred and expect to continue to incur significant costs servicing and maintaining customers’ vehicles, including establishing our service operations and facilities and undertaking product recalls.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longer term, our ability to become profitable will depend on our ability to effectively manage our capital expenditures, control costs on a timely basis, and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Demand and supply in the automobile industry is volatile. A number of factors may impact our ability to attract customers and complete the purchase process. Such volatility may result in customer cancellations, including delays in customer deliveries, delays in the availability of options, potential changes in customer preferences, competitive developments, increased interest rates, negative publicity, loss of government incentives, decreased demand for EVs, and insufficient charging infrastructure. For example, during the first quarter of 2026, deliveries of the Lucid Gravity were disrupted for 29 days due to a supplier quality issue with the second-row seats. As a result of this, our ability to meet customer demand was impacted.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a trade war, persistent inflation, political instability, global or regional conflicts or other geopolitical events, public health crises, interest rate increases or other central bank policy actions, bank closures and liquidity concerns at other financial institutions, or other factors, have in the past and may in the future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Taken together, adverse economic conditions and uncertainties surrounding trade policies, government grants or incentives, tariffs and export controls, coupled with supply chain challenges and the potential difficulty of passing costs to customers or sharing the burden with suppliers, could reduce demand for our products and have a material adverse effect on our business, prospects,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 xml:space="preserve">In addition, the deterioration of conditions in global credit markets may limit our ability to obtain external financing to fund our operations and capital expenditures for business growth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currently generate revenue from the Lucid Air and Lucid Gravity, and are expecting to launch the Midsize platform in the near future. For the foreseeable future, we will be significantly dependent on a limited number of models.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we entered into the EV Purchase Agreement with the Government of Saudi Arabia as represented by the Ministry of Finance, which supersedes the letter of undertaking that we entered into in April 2022. Pursuant to the terms of the EV Purchase Agreement,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Note 15 “Related Party Transactions” to the condensed consolidated financial statements included elsewhere in this Quarterly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appropriately price our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and prospects depend significantly on our brand.</w:t>
      </w:r>
    </w:p>
    <w:p>
      <w:pPr>
        <w:pStyle w:val="TextBody"/>
        <w:bidi w:val="0"/>
        <w:spacing w:lineRule="auto" w:line="288" w:before="240" w:after="283"/>
        <w:jc w:val="left"/>
        <w:rPr/>
      </w:pPr>
      <w:r>
        <w:rPr>
          <w:rFonts w:ascii="Times New Roman;serif" w:hAnsi="Times New Roman;serif"/>
          <w:b w:val="false"/>
          <w:color w:val="000000"/>
          <w:sz w:val="20"/>
        </w:rPr>
        <w:t>Our business and prospects heavily depend on our ab</w:t>
      </w:r>
      <w:r>
        <w:rPr>
          <w:rFonts w:ascii="Times New Roman;serif" w:hAnsi="Times New Roman;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gained experience over years but may continue to face challenges. To promote our brand, we will be required to invest in, and over time change our customer development and branding practices, which could result in substantially increased expenses, including the need to use public relations, media, event planning,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With social media, any negative publicity, whether or not factual, can quickly be disseminated and harm consumer perception and confidence in our brand. This risk is heightened by our engagement with influencers, as negative experiences by these high-profile users can be rapidly amplified, damaging our brand credibility and impacting brand loyalty. Viral negative posts or negative reviews that highlight quality issues or compare us unfavorably to competitors could adversely affect consumer perception about our vehicles and reduce demand, potentially causing a material adverse effect on our business, results of operations, prospects and financial condition. Thus, failure to correct misinformation or mitigate negative information concerning us, the products we offer, our customer experience, or any aspect of our brand, our business, sales and results of operations could adversely impact us.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Maintaining such confidence may be difficult as a result of many factors, including our limited operating history, others’ unfamiliarity with our products, uncertainty regarding the future of EVs,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EV companies have recently entered the automotive industry, which is an industry that has historically been associated with significant barriers to entry and a high rate of failure. Certain of these new entrants or other traditional automotive manufacturers now producing EVs have become insolvent, and if additional manufacturers producing EVs become insolvent or are perceived to likely become insolvent, discontinue production of EVs,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distribution model primarily relies on a direct-to-consumer strategy.</w:t>
      </w:r>
    </w:p>
    <w:p>
      <w:pPr>
        <w:pStyle w:val="TextBody"/>
        <w:bidi w:val="0"/>
        <w:spacing w:lineRule="auto" w:line="288" w:before="240" w:after="283"/>
        <w:jc w:val="left"/>
        <w:rPr/>
      </w:pPr>
      <w:r>
        <w:rPr>
          <w:rFonts w:ascii="Times New Roman;serif" w:hAnsi="Times New Roman;serif"/>
          <w:b w:val="false"/>
          <w:color w:val="242424"/>
          <w:sz w:val="20"/>
        </w:rPr>
        <w:t xml:space="preserve">Third-party dealer networks are the traditional method of vehicle sales distribution and service in North America.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If our use of an in-house sales, marketing and service team is not effective, our results of operations and financial condition could be adversely affected. </w:t>
      </w:r>
      <w:r>
        <w:rPr>
          <w:rFonts w:ascii="Times New Roman;serif" w:hAnsi="Times New Roman;serif"/>
          <w:b w:val="false"/>
          <w:color w:val="000000"/>
          <w:sz w:val="20"/>
        </w:rPr>
        <w:t xml:space="preserve">As we expand globally, </w:t>
      </w:r>
      <w:r>
        <w:rPr>
          <w:rFonts w:ascii="Times New Roman;serif" w:hAnsi="Times New Roman;serif"/>
          <w:b w:val="false"/>
          <w:color w:val="242424"/>
          <w:sz w:val="20"/>
        </w:rPr>
        <w:t>we are actively evaluating alternative importer and agency models designed to enhance flexibility, increase our speed to market in a capital efficient manner, and optimize our distribution strategy in response to evolving market dynamics</w:t>
      </w:r>
      <w:r>
        <w:rPr>
          <w:rFonts w:ascii="Times New Roman;serif" w:hAnsi="Times New Roman;serif"/>
          <w:b w:val="false"/>
          <w:color w:val="000000"/>
          <w:sz w:val="20"/>
        </w:rPr>
        <w:t xml:space="preserve">. Such efforts require significant information systems to be developed and deployed, which may prove costly, time-consuming or ineffective.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ability to generate meaningful product revenue will depend on consumer adoption of EVs.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are developing and producing EVs and related products and services and, accordingly, our ability to generate meaningful product revenue will highly depend on sustained consumer demand for alternative fuel vehicles in general and EVs in particular. If the market for EVs does not develop as we expect or develops more slowly than we expect, or if there is a decrease in consumer demand for EVs, these factors may harm our business, prospects, financial condition and results of operations. The market for electric and other alternative fuel vehicles is relatively new, rapidly evolving, characterized by rapidly changing technologies, price competition, market entrants, evolving government regulation (including the availability, reduction or elimination of government incentives and subsidies) and industry standards, frequent new vehicle introductions and changing consumer demands and behaviors. Any number of developments or disruptions in the industry could negatively affect consumer demand for EVs broadly and for our EVs in particular.</w:t>
      </w:r>
    </w:p>
    <w:p>
      <w:pPr>
        <w:pStyle w:val="TextBody"/>
        <w:bidi w:val="0"/>
        <w:spacing w:lineRule="auto" w:line="288" w:before="240" w:after="283"/>
        <w:jc w:val="left"/>
        <w:rPr/>
      </w:pPr>
      <w:r>
        <w:rPr>
          <w:rFonts w:ascii="Times New Roman;serif" w:hAnsi="Times New Roman;serif"/>
          <w:b w:val="false"/>
          <w:color w:val="242424"/>
          <w:sz w:val="20"/>
        </w:rPr>
        <w:t>In addition, demand for EVs may be affected by factors directly impacting automobile prices or the cost of purchasing and operating automobiles such as the availability, reduction or elimination of sales and financing incentives including tax credits, prices of raw materials and parts and components, cost of fuel, availability of consumer credit, interest rates, and governmental regulatio</w:t>
      </w:r>
      <w:r>
        <w:rPr>
          <w:rFonts w:ascii="Times New Roman;serif" w:hAnsi="Times New Roman;serif"/>
          <w:b w:val="false"/>
          <w:color w:val="000000"/>
          <w:sz w:val="20"/>
        </w:rPr>
        <w:t>ns, including tariffs, i</w:t>
      </w:r>
      <w:r>
        <w:rPr>
          <w:rFonts w:ascii="Times New Roman;serif" w:hAnsi="Times New Roman;serif"/>
          <w:b w:val="false"/>
          <w:color w:val="242424"/>
          <w:sz w:val="20"/>
        </w:rPr>
        <w:t>mport and export regulation and other taxes. Volatility in demand may lead to lower vehicle unit sales, which may result in downward price pressure and adversely affect our business, prospects, financial condition and results of operations. Further, sa</w:t>
      </w:r>
      <w:r>
        <w:rPr>
          <w:rFonts w:ascii="Times New Roman;serif" w:hAnsi="Times New Roman;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in an industry that has globally been experiencing a recent decline in sales.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Other factors that may influence the adoption of EVs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EV quality, safety, design, performance and cost;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limited range over which EVs may be driven on a single battery charge;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considerations about the total cost of ownership of EVs, including the initial purchase price and accumulated depreciation, as well as operating and maintenance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sustainability and environmental impact of EVs, including with respect to both the sourcing and disposal of materials for EV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of other alternative fuel vehicles, including plug-in hybrid EVs;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quality and availability of service for EVs, especially in international markets;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government regulations and the availability, reduction or elimination of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access to charging stations compatible with our vehicles and cost to charge an EV,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reduction or elimination of tax and other governmental incentives to purchase and operate EVs or future regulations requiring increased use of nonpolluting vehicles;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macroeconomic factors.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influence of any of the factors described above or any other factors may cause a general reduction in consumer demand for EVs or our EVs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challenges providing charging solutions for our vehicles, both domestically and internationally.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sometimes experience downtime, leading to customer dissatisfaction. Although we have partnered with third-party EV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gained access to Tesla’s Supercharger network, any delay in implementing changes in Lucid vehicles required by Tesla with respect to charge ports may result in Tesla denying our access to their network, and there is no guarantee that our customers will not experience performance, access or other issues with this or other charging networks. In addition, there has been additional scrutiny into funding that supports the EV industry under the current U.S. administration. Consequently, the deployment of public charging stations may not occur at planned levels, which could limit the development of public charging infrastructure and decrease the attractiveness of EVs. Lastly, Congress may pass or amend legislation related to EVs that could adversely impact the availability of funding under existing programs.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manage our growth effectively, we may not be able to develop, manufacture, distribute, market and sell our vehicles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our management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hiring and training new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ramping up the production of our current vehicles and releasing new models in the future;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implementing and enhancing administrative and business infrastructure, governance, systems and processes, including in connection with our status as a public company;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into new markets and establishing sales, service, administrative, distribution, or manufacturing operations and partnerships in many of those markets.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require qualified personnel, including design and manufacturing personnel and service technicians for our vehicles. Our vehicles are based on a different technology platform than traditional internal combustion engines, individuals with sufficient training in EVs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EVs is intense, and we may not be able to identify, attract, train, motivate or retain sufficient highly qualified personnel in the future. Furthermore, we have in the past reduced the size of our workforce, and implemented a workforce reduction plan in February 2026 and other actions relating to contractors in April 2026. Any such plan may adversely affect our internal programs and initiatives, our ability to recruit and retain skilled and motivated personnel, may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train, motivate and retain these employees could seriously harm our business and prospects. In addition, our employee equity program is a key factor in our ability to attract and retain talent and continue to support the growth of the company. If 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desired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face risks associated with international operations, including possible unfavorable regulatory, geopolitical, tax and labor conditions, which could adversely affect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expand our international presence and operations, we will be increasingly subject to the legal, geopolitical,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or selling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sufficient charging points for our customers in those jurisdictions, via partnerships or, if necessary, via development of our own charging networks or accessing those of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staffing and managing foreign operations, especially in jurisdictions where no EV ecosystem exists and qualified personnel must be hired or relocated;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difficulties or delays caused by local jurisdictions in implementing infrastructure improvements for manufacturing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United States and foreign government trade restrictions, tariffs, price or exchange controls, and export controls,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threat of a trade war that could impede the transition to EVs, disrupt global supply chains, and delay the implementation of economic competitiveness policies;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laws, regulations and restrictions, including in the areas of supply chain, labor, sales, service, sustainability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actions that may impede global green transition priorities or policies designed to reduce environmental sustainability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political instability, natural disasters, pandemics, wars, military actions, global or regional conflicts or other geopolitical events (including the war in Ukraine, the military operations in the Gulf region and the Middle East and the potential escalation and broadening of the conflict in Iran, each of which affect global energy prices and disrupt supply chains both regionally and globally, and have and may continue to adversely impact our operations in the Middle East, delay shipments of equipment and components, particularly those that go through the Strait of Hormuz shipment route, or hinder the movement of personnel necessary for our international manufacturing and logistics activities), or events of terrorism;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strength of international economies.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fail to successfully address these risks, they could materially and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industry has significant barriers to entry that we must overcome in order to manufacture and sell EVs at scale.</w:t>
      </w:r>
    </w:p>
    <w:p>
      <w:pPr>
        <w:pStyle w:val="TextBody"/>
        <w:bidi w:val="0"/>
        <w:spacing w:lineRule="auto" w:line="288" w:before="240" w:after="283"/>
        <w:jc w:val="left"/>
        <w:rPr/>
      </w:pPr>
      <w:r>
        <w:rPr>
          <w:rFonts w:ascii="Times New Roman;serif" w:hAnsi="Times New Roman;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EVs,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EVs, regulations associated with the transport or storage of batteries, the need to establish or provide access to sufficient charging locations and unproven high-volume customer demand for EVs. While we have developed and started producing Lucid Air and Lucid Gravity and have completed</w:t>
      </w:r>
      <w:r>
        <w:rPr>
          <w:color w:val="000000"/>
        </w:rPr>
        <w:t xml:space="preserve"> </w:t>
      </w:r>
      <w:r>
        <w:rPr>
          <w:rFonts w:ascii="Times New Roman;serif" w:hAnsi="Times New Roman;serif"/>
          <w:b w:val="false"/>
          <w:color w:val="000000"/>
          <w:sz w:val="20"/>
        </w:rPr>
        <w:t>the first two phases of construction of AMP-1 and the SKD portion of AMP-2, we have not finished tooling all production lines for AMP-1, and further construction of AMP-1 and the second phase of AMP-2 is underway. If</w:t>
      </w:r>
      <w:r>
        <w:rPr>
          <w:color w:val="242424"/>
        </w:rPr>
        <w:t xml:space="preserve"> </w:t>
      </w:r>
      <w:r>
        <w:rPr>
          <w:rFonts w:ascii="Times New Roman;serif" w:hAnsi="Times New Roman;serif"/>
          <w:b w:val="false"/>
          <w:color w:val="242424"/>
          <w:sz w:val="20"/>
        </w:rPr>
        <w:t>we are not able to overcome these barriers, our business, prospects, results of operations and financial condition will be negatively impacted, and it will harm our ability to grow our business.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The global automotive market, particularly for electric and alternative fuel vehicles, is highly competitive, and we expect it will become even more so in the future. In recent years, the EV industry has grown, with the emergence of several companies that focus completely or partially on the EV market. In addition, traditional automotive manufacturers are also producing and selling electric and alternative fuel vehicles. We expect additional companies to enter this market within the next several years. EV manufacturers with which we compete include Tesla, Rivian, an increasing number of U.S.-based and international entrants and traditional automotive manufacturers, many of which have begun, or announced plans to begin, selling their own EVs in the near-term. We also compete with established automobile manufacturers in the luxury vehicle segment, including certain manufacturers who have entered or plan to enter the alternative fuel and EV market with either fully electric or plug-in hybrid versions of their vehicles. We compete for sales of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Vehicle price reductions by our competitors may result in downward price pressure and reduced demand for our vehicles.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the increased demand for alternative fuel vehicles, global competitors,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Developments in EV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be unable to keep up with changes in EV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EVs. Any failure by us to develop new or enhanced technologies or processes, or to react to changes in existing technologies, could materially delay our development and introduction of new and enhanced EVs,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EV technology. Additionally, as other companies continue to enter the EV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42424"/>
          <w:sz w:val="20"/>
        </w:rPr>
        <w:t xml:space="preserve">We benefit from government and economic programs in the United States and abroad that encourage the development, manufacture or purchase of EVs, such as ZEV credits, production tax credits, GHG credits and similar regulatory credits, the loss of which has and may continue to harm our ability to generate revenue from the sale of such credits to other manufacturers; the availability of tax credits and other incentives to consumers, without which the net cost to consumers of our vehicles could increase,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In addition, changes to non-financial incentives may also impact demand for our products, such as the federal government’s announcement that electric and other clean air vehicles will no longer be able to use carpool lanes without meeting the high occupancy requirements. We may also benefit from government loan or grant programs. While such EV-related governmental programs and economic incentives have been available in the United States, Canada and the EU, there is no guarantee that they will be available in the future. Any reduction, elimination, limitation or selective application of tax and other governmental programs and economic incentives because of policy changes, fiscal tightening or other reasons may result in the diminished competitiveness of the EV industry generally or our EVs in particular, which would adversely affect our business, prospects, financial condition and results of operations. On July 4, 2025, the OBBBA was enacted, which among other things, eliminated tax credits related to the EV industry. In addition, the OBBBA eliminated the penalties that automakers would pay if they failed to meet CAFE standards, effectively eliminating the financial incentive to comply with those standards. Additionally, the current U.S. presidential administration has issued executive orders that aim to revoke or weaken fuel efficiency and emissions regulations established by the prior administration, and has issued proposed rulemakings that would repeal federal GHG emission standards for certain vehicles and engines and eliminate our CAFE credits. While certain aspects of the OBBBA and the proposed actions by the administration remain subject to the outcome of pending litigation, the ultimate resolutions of such matters remain uncertain. The administration has issued a policy statement aimed at eliminating the “EV mandate,” which targets state-level emissions waivers and governmental subsidies. The administration also revoked the waiver by the </w:t>
      </w:r>
      <w:r>
        <w:rPr>
          <w:rFonts w:ascii="Times New Roman;serif" w:hAnsi="Times New Roman;serif"/>
          <w:b w:val="false"/>
          <w:color w:val="231F20"/>
          <w:sz w:val="20"/>
        </w:rPr>
        <w:t>U.S. Environmental Protection Agency (“</w:t>
      </w:r>
      <w:r>
        <w:rPr>
          <w:rFonts w:ascii="Times New Roman;serif" w:hAnsi="Times New Roman;serif"/>
          <w:b w:val="false"/>
          <w:color w:val="242424"/>
          <w:sz w:val="20"/>
        </w:rPr>
        <w:t xml:space="preserve">EPA”) that had allowed California and certain other states to implement more stringent emissions standards for heavy-duty vehicles and to require all new passenger cars, trucks, and SUVs sold in California to be zero-emission by 2035. In particular, the NHTSA has proposed a rule that would, among other things, reset and reduce CAFE standards and eliminate CAFE EV credit trading. In response, California and certain other states have initiated litigation challenging the legal validity of these actions. The outcome of the litigation remains uncertain. </w:t>
      </w:r>
      <w:r>
        <w:rPr>
          <w:rFonts w:ascii="Times New Roman;serif" w:hAnsi="Times New Roman;serif"/>
          <w:b w:val="false"/>
          <w:i/>
          <w:color w:val="242424"/>
          <w:sz w:val="20"/>
        </w:rPr>
        <w:t xml:space="preserve">See “— Failure to attract customers, failure to complete the purchase process with customers, and customer cancellation of orders may have a material adverse impact on our business, prospects, results of operations and financial condition.” </w:t>
      </w:r>
      <w:r>
        <w:rPr>
          <w:rFonts w:ascii="Times New Roman;serif" w:hAnsi="Times New Roman;serif"/>
          <w:b w:val="false"/>
          <w:color w:val="242424"/>
          <w:sz w:val="20"/>
        </w:rPr>
        <w:t>These, and any similar legislative or executive actions in the future, may adversely affect demand for our vehicles as well as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pStyle w:val="TextBody"/>
        <w:bidi w:val="0"/>
        <w:spacing w:lineRule="auto" w:line="288" w:before="240" w:after="283"/>
        <w:jc w:val="left"/>
        <w:rPr/>
      </w:pPr>
      <w:r>
        <w:rPr>
          <w:rFonts w:ascii="Times New Roman;serif" w:hAnsi="Times New Roman;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if at all.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options—whether due to the availability, reduction or continued elimination of tax incentives and certain governmental or economic programs, the availability of agreements with our third-party financing partners on terms acceptable to us or our customers, or other reasons—is particularly relevant to customers in the luxury vehicle segments in which we compete, and if we are unable to offer our customers an attractive option to finance the purchase of or lease the Lucid Air, the Lucid Gravity or planned future vehicles, including the upcoming Midsize platform vehicles, such failure could substantially reduce the population of potential customers and decrease demand for our vehicles. See “—</w:t>
      </w:r>
      <w:r>
        <w:rPr>
          <w:color w:val="242424"/>
        </w:rPr>
        <w:t xml:space="preserve"> </w:t>
      </w:r>
      <w:r>
        <w:rPr>
          <w:rFonts w:ascii="Times New Roman;serif" w:hAnsi="Times New Roman;serif"/>
          <w:b w:val="false"/>
          <w:i/>
          <w:color w:val="242424"/>
          <w:sz w:val="20"/>
        </w:rPr>
        <w:t>The unavailability, reduction or elimination of certain government and economic programs could have a material adverse effect on our business, prospects, financial condition and results of operations</w:t>
      </w:r>
      <w:r>
        <w:rPr>
          <w:rFonts w:ascii="Times New Roman;serif" w:hAnsi="Times New Roman;serif"/>
          <w:b w:val="false"/>
          <w:color w:val="242424"/>
          <w:sz w:val="20"/>
        </w:rPr>
        <w:t>.”</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or regional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apply for federal, state and foreign grants, loans and tax incentives under government programs designed to stimulate the economy and support the production of alternative fuel and EVs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design our vehicles with proprietary ADAS hardware and software. The Lucid Air and Lucid Gravity are equipped with Level 2 (partial automation) ADAS functionality. Additionally, our vehicles are capable of integrating third-party ADAS hardware and software. For example, in July 2025, we entered into an integration agreement with Nuro to install autonomous driving software in Lucid Gravity vehicles, in conjunction with our agreement with Uber, to enable Uber and its designated fleet operators to operate such vehicles, in specified geographical area, without human intervention (“Level 4 autonomy”). In addition, we entered into the Second VPA with Uber in April 2026, further expanding our strategic partnership in connection with our Midsize platform vehicles. Over time, we plan to upgrade our vehicles with additional ADAS and autonomous vehicles (“AV”) capabilities. ADAS and AV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or third-party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face substantial competition in the development and deployment of ADAS and AV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or AV features, which could damage our brand,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erif" w:hAnsi="Times New Roman;serif"/>
          <w:b w:val="false"/>
          <w:color w:val="242424"/>
          <w:sz w:val="20"/>
        </w:rPr>
        <w:t xml:space="preserve">ADAS and AV technologies are also subject to regulatory uncertainty, which exposes us to additional risks. See “— Risks Related to Litigation and Regulation </w:t>
      </w:r>
      <w:r>
        <w:rPr>
          <w:color w:val="242424"/>
        </w:rPr>
        <w:t xml:space="preserve">— </w:t>
      </w:r>
      <w:r>
        <w:rPr>
          <w:rFonts w:ascii="Times New Roman;serif" w:hAnsi="Times New Roman;serif"/>
          <w:b w:val="false"/>
          <w:i/>
          <w:color w:val="242424"/>
          <w:sz w:val="20"/>
        </w:rPr>
        <w:t>ADAS and autonomous vehicle technologies are subject to uncertain and evolving regulations.</w:t>
      </w:r>
      <w:r>
        <w:rPr>
          <w:color w:val="242424"/>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generally customary for a company of our size and operations, we may not maintain as much insurance coverage as other original equipment manufacturers, and in some cases, we may not maintain any at all. Additionally, the policies that we have in place may include significant deductibles, limitations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changes in our risk profile or loss portfolio.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A portion of the current and expected demand for EVs results from concerns about volatility in the cost of gasoline and other petroleum-based fuel, the dependency of the United States on oil from unstable or hostile countries, government regulations and the availability, reduction or elimination of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EVs, including our vehicles, could be reduced, and our business and revenue may be harmed. In addition to the OBBBA, the current U.S. presidential administration has prioritized efforts that encourage domestic production of fossil-fuel energy, including oil. If increased production of oil lowers gas prices, demand for EV vehicles may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Gasoline and other petroleum-based fuel prices have historically been extremely volatile and it is difficult to ascertain whether such volatility will continue to persist, which could be exacerbated by geopolitical events, including the recent conflict in Iran.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EVs,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Changing and at times, conflicting expectations from global regulations, our investors, customers and employees with respect to sustainability matters may impose additional costs on us or expose us to new or additional risks.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Attention from governmental organizations and our investors, customers and employees, on sustainability issues and disclosure, may cause us to incur additional costs or expose us to additional risks. There can be no certainty that we will be able to meet varying or conflicting stakeholder expectations regarding these matters to our various stakeholders’ satisfaction. Negative public perception, adverse publicity or negative comments in social media about us could damage our reputation.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Additional costs and resources may be required to monitor, report, and comply with global regulations on sustainability topics, and the rapidly changing regulatory landscape makes it difficult to plan for future developments. Actual or perceived shortcomings or dissatisfaction with our sustainability practices and reporting may subject us to litigation and could negatively impact our business. In addition, a variety of organizations have developed ratings to measure the performance of companies on these topics, and the results of these assessments are widely publicized. Unfavorable or downgraded ratings of our company or our industries, as well as non-inclusion or removal of our stock on sustainability-oriented investment funds or indexes, may lead to negative investor sentiment and the diversion of investment to other companies or industries, which could have a negative impact on our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Manufacturing and Supply Chain</w:t>
      </w:r>
    </w:p>
    <w:p>
      <w:pPr>
        <w:pStyle w:val="TextBody"/>
        <w:bidi w:val="0"/>
        <w:spacing w:lineRule="auto" w:line="288" w:before="240" w:after="283"/>
        <w:jc w:val="left"/>
        <w:rPr/>
      </w:pPr>
      <w:r>
        <w:rPr>
          <w:rFonts w:ascii="Times New Roman;serif" w:hAnsi="Times New Roman;serif"/>
          <w:b/>
          <w:i/>
          <w:color w:val="231F20"/>
          <w:sz w:val="20"/>
        </w:rPr>
        <w:t xml:space="preserve">We have experienced and may in the future experience significant delays in the design, launch and manufacture of our vehicles, including the Lucid Air, the </w:t>
      </w:r>
      <w:r>
        <w:rPr>
          <w:rFonts w:ascii="Times New Roman;serif" w:hAnsi="Times New Roman;serif"/>
          <w:b/>
          <w:i/>
          <w:color w:val="000000"/>
          <w:sz w:val="20"/>
        </w:rPr>
        <w:t>Lucid</w:t>
      </w:r>
      <w:r>
        <w:rPr>
          <w:color w:val="000000"/>
        </w:rPr>
        <w:t xml:space="preserve"> </w:t>
      </w:r>
      <w:r>
        <w:rPr>
          <w:rFonts w:ascii="Times New Roman;serif" w:hAnsi="Times New Roman;serif"/>
          <w:b/>
          <w:i/>
          <w:color w:val="231F20"/>
          <w:sz w:val="20"/>
        </w:rPr>
        <w:t>Gravity and our upcoming Midsize platform, which could harm our business and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as well as in ramping up production, and we have experienced in the past, and may experience in the future, such delays with regard to our vehicles. For example, we have experienced delays in the engineering of certain of our vehicle systems, including as a result of design changes to components. Any future delays in the design, launch and manufacture of our vehicles and variants could materially damage our brand, business, prospects,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Midsize platform is still under development, and may be delayed or not proceed as planned. Additionally, prior to mass production of our EVs, they must be fully approved for sale in accordance with a range of jurisdiction-specific requirements, including but not limited to regulatory approvals in the various geographies where we intend to launch. Likewise, we have encountered and may continue to encounter delays with the design, construction, and regulatory or other approvals necessary to bring online our future expansions in Arizona and Saudi Arabia, or any other future manufacturing facilities.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we rely on third-party suppliers for the development, manufacture, and supply of many key components and materials used in our vehicles, as well as for provisioning and servicing equipment at our manufacturing facilities. We have been affected by ongoing, industry-wide challenges in logistics and supply chains, such as increased supplier lead times and the limited availability of reliable third-party suppliers. For example, the military operations in the Gulf region and the Middle East and the potential escalation and broadening of the conflict in Iran, each of which affect global energy prices and disrupt supply chains both regionally and globally, have and may continue to adversely impact our operations in the Middle East, delay shipments of equipment components, particularly those that go through the Strait of Hormuz shipment route, or hinder the movement of personnel necessary for our international manufacturing and logistics activities. These challenges have affected our ability, as well as the ability of our suppliers, to obtain parts, components and manufacturing equipment on a timely basis, and in some instances, have resulted in increased costs and delays in facilities construction and expansion as well as vehicle production ramp-up. We expect the risk of unexpected disruptions to continue for the foreseeable future. Any delays by our suppliers in delivering or developing necessary components may result in further setbacks to our production and delivery timelines.</w:t>
      </w:r>
    </w:p>
    <w:p>
      <w:pPr>
        <w:pStyle w:val="TextBody"/>
        <w:bidi w:val="0"/>
        <w:spacing w:lineRule="auto" w:line="288" w:before="240" w:after="283"/>
        <w:jc w:val="left"/>
        <w:rPr/>
      </w:pPr>
      <w:r>
        <w:rPr>
          <w:rFonts w:ascii="Times New Roman;serif" w:hAnsi="Times New Roman;serif"/>
          <w:b w:val="false"/>
          <w:color w:val="231F20"/>
          <w:sz w:val="20"/>
        </w:rPr>
        <w:t xml:space="preserve">The continued development, manufacturing and production ramp of our vehicles, including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our upcoming Midsize platform,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ongoing readiness of firmware features and functions to be integrated into our vehicles as planned and on the desired timeline;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finalize release candidate specifications for our future vehicles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a working and reliable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establish, implement,</w:t>
      </w:r>
      <w:r>
        <w:rPr>
          <w:color w:val="000000"/>
        </w:rPr>
        <w:t xml:space="preserve"> </w:t>
      </w:r>
      <w:r>
        <w:rPr>
          <w:rFonts w:ascii="Times New Roman;serif" w:hAnsi="Times New Roman;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neces</w:t>
      </w:r>
      <w:r>
        <w:rPr>
          <w:rFonts w:ascii="Times New Roman;serif" w:hAnsi="Times New Roman;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securing in a timely manner necessary raw materials and components that meet our quality standards, cost-effectively in domestic and international sourcing, including raw materials and components subject to China’s export control requirements regarding certain rare-earth minerals and semiconductor-related products, such as microchips and memory;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other delays, backlog in manufacturing and research and development of new mo</w:t>
      </w:r>
      <w:r>
        <w:rPr>
          <w:rFonts w:ascii="Times New Roman;serif" w:hAnsi="Times New Roman;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other risks identified herein.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delay or complication in the design of our vehicles, or in the launch, manufacture, and production ramp of our products, features and services, including those related to expanding our production capacity and supply chain, obtaining or maintaining necessary regulatory approvals, or managing such ramps cost-effectively, could materially damage our brand, business, prospects,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We expect that we will require additional financing</w:t>
      </w:r>
      <w:r>
        <w:rPr>
          <w:color w:val="000000"/>
        </w:rPr>
        <w:t xml:space="preserve"> </w:t>
      </w:r>
      <w:r>
        <w:rPr>
          <w:rFonts w:ascii="Times New Roman;serif" w:hAnsi="Times New Roman;serif"/>
          <w:b w:val="false"/>
          <w:color w:val="000000"/>
          <w:sz w:val="20"/>
        </w:rPr>
        <w:t>to fund our planned operations and expansion plans. If we are unable to arrange for required funds under the terms and on the timeline that we anticipate, our plans for tooling and building out our manufacturing facilities and for commercial production of our EVs could be significantly delayed, which would materially adversely affect our business, prospects, financial condition and results of operations. See “</w:t>
      </w:r>
      <w:r>
        <w:rPr>
          <w:color w:val="000000"/>
        </w:rPr>
        <w:t>—</w:t>
      </w:r>
      <w:r>
        <w:rPr>
          <w:rFonts w:ascii="Times New Roman;serif" w:hAnsi="Times New Roman;serif"/>
          <w:b w:val="false"/>
          <w:color w:val="000000"/>
          <w:sz w:val="20"/>
        </w:rPr>
        <w:t xml:space="preserve">Risks Related to Financing and Strategic Transactions </w:t>
      </w:r>
      <w:r>
        <w:rPr>
          <w:color w:val="000000"/>
        </w:rPr>
        <w:t xml:space="preserve">—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 xml:space="preserve">Our ability to continue production and grow depends upon our ability to </w:t>
      </w:r>
      <w:r>
        <w:rPr>
          <w:rFonts w:ascii="Times New Roman;serif" w:hAnsi="Times New Roman;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success, including our ability to continue production of the Lucid Air and Lucid Gravity, and commence production of our Midsize platform, will depend on our ability to enter into supplier agreements and maintain our relationships with hundreds of suppliers that are critical to the production of our vehicles. To date, we have not secured long-term supply agreements for all of our components, and for some components, our supply agreements do not guarantee sufficient quantities of components for our vehicle production ramp. We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or currency values. Substantial increases in the costs for such components, materials and equipment, whether due to supply chain or logistics issues, adverse economic conditions, changes in trade policies or agreements, the uncertainties surrounding domestic and foreign tariffs, export controls, inflation, or increased energy or natural gas costs, would increase our operating costs and could reduce our margins if we cannot offset these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hundreds of third-party suppliers for the provision and development of many key components and materials used in our vehicles. While we seek to obtain components from multiple sources whenever possible, many components used in our vehicles will be custom-designed and purchased by us from a single source. Our limited, and in many cases single-source, supply chain exposes us to delivery failure or component shortages for our production, including continued production of the Lucid Air and Lucid Gravity.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been affected by ongoing, industry-wide challenges in logistics and supply chains, such as increased supplier lead times, limited availability of reliable third-party suppliers, and ongoing constraints in the supply of semiconductors and their related products.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desired quality targets, development timelines and production volumes as well as due to design changes and model updates have resulted in cost increases from our suppliers.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increases in our production, such as production ramp of our vehicles, may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experienced, and in the future could continue to experience, delays if our suppliers do not meet agreed-upon timelines and volumes, experience capacity constraints, or deliver components that do not meet our quality standards or other requirements. For example, during the first quarter of 2026, deliveries of the Lucid Gravity were disrupted for 29 days due to a supplier quality issue with the second-row seats. Any disruption in the supply of components, including battery cells, magnets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as we scale our vehicle production,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We are also only in the process of scaling our vehicle servicing operations.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unexpected changes in business conditions, materials pricing, labor issues, wars, global or regional conflicts or other geopolitical events, governmental changes, political uncertainty, trade policies and agreements, the uncertainties surrounding domestic and foreign tariffs, export controls, natural disasters, health epidemics, and other factors beyond our and our suppliers’ control could also affect these suppliers’ ability to deliver components to us on a timely basis. For example, some of the shipping routes in the Red Sea have been affected by the conflicts in the Middle East, resulting in delays in delivery of components and an increase in shipping costs globally. Additionally, governmental and policy changes may continue to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identified certain of our suppliers, including certain suppliers we deem critical, as having poor financial health or being at risk of acquisition, liquidation or bankruptcy. Although we routinely review our suppliers’ financial health and attempt to identify alternate suppliers where possible, the loss of any supplier, particularly a single- or limited-source supplier, or the disruption in the supply of components from our suppliers, has led and may in the future continue to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costs, changes of supply or shortage of materials, in particular for lithium-ion battery cells,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magnets, lithium, nickel, copper, cobalt, neodymium, terbium, praseodymium and manganese, as well as lithium-ion battery cells and semiconductors from suppliers. The prices for these materials fluctuate, and their available supply may be unstable, depending on market conditions, trade policies, tariffs and export controls, inflationary pressure and global demand for these materials, including as a result of increased production of EVs, energy storage products by our competitors and the global supply chain crisis, and could adversely affect our business and results of operations. For instance, we are exposed to multiple risks relating to lithium-ion battery cells. These risks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erif" w:hAnsi="Times New Roman;serif"/>
          <w:b w:val="false"/>
          <w:color w:val="231F20"/>
          <w:sz w:val="20"/>
        </w:rPr>
        <w:t xml:space="preserve">Our ability to manufacture our vehicles or any future energy storage systems will depend on the continued supply of battery cells for the battery packs used in our products. A growth in popularity of EVs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 We have limited flexibility in changing battery cell suppliers, and any disruption in the supply of battery cells from such suppliers could disrupt production of our vehicles until a different supplier is fully qualified. In addition, </w:t>
      </w:r>
      <w:r>
        <w:rPr>
          <w:rFonts w:ascii="Times New Roman;serif" w:hAnsi="Times New Roman;serif"/>
          <w:b w:val="false"/>
          <w:color w:val="000000"/>
          <w:sz w:val="20"/>
        </w:rPr>
        <w:t xml:space="preserve">pursuant to the agreement we entered into in connection with the supply of lithium-ion battery cells, we have made certain </w:t>
      </w:r>
      <w:r>
        <w:rPr>
          <w:rFonts w:ascii="Times New Roman;serif" w:hAnsi="Times New Roman;serif"/>
          <w:b w:val="false"/>
          <w:color w:val="231F20"/>
          <w:sz w:val="20"/>
        </w:rPr>
        <w:t>non-can</w:t>
      </w:r>
      <w:r>
        <w:rPr>
          <w:rFonts w:ascii="Times New Roman;serif" w:hAnsi="Times New Roman;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erif" w:hAnsi="Times New Roman;serif"/>
          <w:b w:val="false"/>
          <w:color w:val="231F20"/>
          <w:sz w:val="20"/>
        </w:rPr>
        <w:t>material adverse effect on our results of operations.</w:t>
      </w:r>
    </w:p>
    <w:p>
      <w:pPr>
        <w:pStyle w:val="TextBody"/>
        <w:bidi w:val="0"/>
        <w:spacing w:lineRule="auto" w:line="288" w:before="240" w:after="283"/>
        <w:jc w:val="left"/>
        <w:rPr/>
      </w:pPr>
      <w:r>
        <w:rPr>
          <w:rFonts w:ascii="Times New Roman;serif" w:hAnsi="Times New Roman;serif"/>
          <w:b w:val="false"/>
          <w:color w:val="231F20"/>
          <w:sz w:val="20"/>
        </w:rPr>
        <w:t>Furthermore, our ability to manufacture our vehicles depends on continued and reliable access to semiconductors and microchips that incorporate them. The global semiconductor supply shortage, including as a result of China’s export controls over Nexperia’s microchip products, has impacted the automotive industry and affected many suppliers and man</w:t>
      </w:r>
      <w:r>
        <w:rPr>
          <w:rFonts w:ascii="Times New Roman;serif" w:hAnsi="Times New Roman;serif"/>
          <w:b w:val="false"/>
          <w:color w:val="000000"/>
          <w:sz w:val="20"/>
        </w:rPr>
        <w:t>ufacturers, including us. In addition, global supply constraints for DDR4 and DDR5 memory may persist due to increasing demand driven by artificial intelligence applications, which could adversely affect availability and costs. We have experienced, and may continue to experience, an impact on our operations as a result of such shortages, which could delay or reduce planned production levels of our current and future vehicles and have an adverse effect on our business, prospects and results of operations. Moreover, export controls, particularly those affecting components within our supply chain, such as China’s restrictions on certain rare-earth minerals, has posed, and could continue to pose, risks to our production and distribution capabilities. In addition, foreign currency fluctuations, tariffs, shortages in petroleum or natural gas and oth</w:t>
      </w:r>
      <w:r>
        <w:rPr>
          <w:rFonts w:ascii="Times New Roman;serif" w:hAnsi="Times New Roman;serif"/>
          <w:b w:val="false"/>
          <w:color w:val="231F20"/>
          <w:sz w:val="20"/>
        </w:rPr>
        <w:t xml:space="preserve">er economic or political conditions have contributed to and may continue to result in significant increases in freight charges and raw material costs. These risks could be further magnified by geographical developments, global or regional conflicts or other geopolitical events, including the war in Ukraine, the military operations in the Gulf region and the Middle East, potential escalation and broadening of the conflict in Iran, which affects shipping routes both regionally and globally and in particular, the Strait of Hormuz shipment route. In particular, geopolitical conflicts in Iran have disrupted the supply of materials critical in our manufacturing processes. Although we have been actively pursuing alternative sources, our remaining inventory may be limited, and any delay in qualifying replacement suppliers could adversely impact production.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must develop complex software and technology systems, including in coordination with vendors and suppliers, in order to produce our EVs, and there can be no assurance such systems will be successfully developed.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EVs and ensure it interoperates with other complex technology as designed and as expected.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production and delivery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penalties imposed by regulatory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completed the initial and second phases of construction at AMP-1 and the SKD portion of AMP-2, and further construction of AMP-1 and the second phase of AMP-2 is in progress. We also acquired select assets and assumed leases for certain facilities previously belonging to Nikola Corporation, including Nikola’s former Coolidge manufacturing facility. However, tooling these facilities for production of our vehicles and our future expansion plans is complicated and presents significant challenges and may require us to take vehicle production offline.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and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EV production processes, which differ substantially from traditional automobile production processes for which expertise is more readily available. In connection with the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EVs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or events, including but not limited to earthquakes, tornadoes, flooding, fire, power outages, sandstorms, environmental hazards and remediation, costs associated with decommissioning of equipment, labor disputes and strikes, lack of availability of qualified construction or operational labor, difficulty or delays in obtaining governmental permits and licenses, damages or defects in electronic systems, industrial accidents, health epidemics, political changes or instability, wars, military actions, global or regional conflicts, or other geopolitical events,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update or discontinue the use of our manufacturing equipment more quickly than expected, we may have to shorten the useful lives of this equipment, and the resulting acceleration in our depreciation could negatively affect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in high volume manufacture of our vehicles.</w:t>
      </w:r>
    </w:p>
    <w:p>
      <w:pPr>
        <w:pStyle w:val="TextBody"/>
        <w:bidi w:val="0"/>
        <w:spacing w:lineRule="auto" w:line="288" w:before="240" w:after="283"/>
        <w:jc w:val="left"/>
        <w:rPr/>
      </w:pPr>
      <w:r>
        <w:rPr>
          <w:rFonts w:ascii="Times New Roman;serif" w:hAnsi="Times New Roman;serif"/>
          <w:b w:val="false"/>
          <w:color w:val="231F20"/>
          <w:sz w:val="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political changes or instability, wars, military actions, global or regional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conflicts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 sustaining our production ramps or be unable to meet our related cost and profitability targets.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erif" w:hAnsi="Times New Roman;serif"/>
          <w:b w:val="false"/>
          <w:color w:val="231F20"/>
          <w:sz w:val="20"/>
        </w:rPr>
        <w:t>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contain defects and</w:t>
      </w:r>
      <w:r>
        <w:rPr>
          <w:color w:val="000000"/>
        </w:rPr>
        <w:t xml:space="preserve"> </w:t>
      </w:r>
      <w:r>
        <w:rPr>
          <w:rFonts w:ascii="Times New Roman;serif" w:hAnsi="Times New Roman;serif"/>
          <w:b w:val="false"/>
          <w:color w:val="000000"/>
          <w:sz w:val="20"/>
        </w:rPr>
        <w:t>errors. If our vehicles contain defects in design 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OTA software updates may fail to achieve their intended repair and performance goals, expose our customers’ vehicles to vulnerabilities, or have unintended consequences, and may require our customers to bring their vehicles to our service centers.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 xml:space="preserve">Any defects, delays or legal restrictions on vehicle features, failed OTA software updates, or other failure of our vehicles to perform as expected, could harm our brand and reputation and result in delivery delays, product recalls, order cancellations, product liability claims, breach of warranty claims or significant warranty and other expenses, and could have a material adverse impact on our business, results of operations, prospects and financial condition. </w:t>
      </w:r>
      <w:r>
        <w:rPr>
          <w:rFonts w:ascii="Times New Roman;serif" w:hAnsi="Times New Roman;serif"/>
          <w:b w:val="false"/>
          <w:color w:val="000000"/>
          <w:sz w:val="20"/>
        </w:rPr>
        <w:t xml:space="preserve">Any such defects or noncompliance with legal requirements could also result in safety recalls. See “— Risks Related to Litigation and Regulation — </w:t>
      </w:r>
      <w:r>
        <w:rPr>
          <w:rFonts w:ascii="Times New Roman;serif" w:hAnsi="Times New Roman;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erif" w:hAnsi="Times New Roman;serif"/>
          <w:b w:val="false"/>
          <w:color w:val="231F20"/>
          <w:sz w:val="20"/>
        </w:rPr>
        <w:t>As we build customer relationships and earn trust, these effects could be significantly detrimental to us. Additionally, problems and defects experienced by other consumer EVs could by association have a negative impact on perception and customer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even if our vehicles function as designed, we expect that the battery efficiency, and hence the range, of our EVs, like other EVs that use current battery technology, will decline over time. Other factors, such as usage, time and stress patterns, may also impact the battery’s ability to hold a charge, or could require us to limit vehicles’ battery charging capacity, including via OTA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limited experience servicing or repairing our vehicles and their integrated software. Servicing software-defined vehicles and EVs is different than servicing traditional vehicles and vehicles with internal combustion engines. Our service network has limited capabilities to address software-related issues. Servicing software-defined vehicles and EVs requires specialized skills, including software development, high voltage training and servicing techniques.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EVs, they will initially have limited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motor vehicle industry laws in some states require that service facilities be available to service vehicles physically sold from locations in the state, and we may be unable to scale our service operations as we sell more vehicles in such locations.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provide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performed under warranty. In addition, we expect to provide a manufacturer’s warranty on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 Tariffs announced by the United States and resulting retaliatory tariffs and other trade barriers, including China’s changes to its export controls for rare-earth minerals and semiconductor-related products have had and may continue to have, an adverse impact on our ability to predict our manufacturing requirements, costs and production, and our ability to receive raw materials and components.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Our facilities or operations could be adversely affected by events outside of our control, such as natural disasters, wars, military actions, global or regional conflicts or other geopolitical events, health epidemics or pandemics, or security incidents.</w:t>
      </w:r>
    </w:p>
    <w:p>
      <w:pPr>
        <w:pStyle w:val="TextBody"/>
        <w:bidi w:val="0"/>
        <w:spacing w:lineRule="auto" w:line="288" w:before="240" w:after="283"/>
        <w:jc w:val="left"/>
        <w:rPr/>
      </w:pPr>
      <w:r>
        <w:rPr>
          <w:rFonts w:ascii="Times New Roman;serif" w:hAnsi="Times New Roman;serif"/>
          <w:b w:val="false"/>
          <w:color w:val="231F20"/>
          <w:sz w:val="20"/>
        </w:rPr>
        <w:t xml:space="preserve">We and our suppliers may be impacted by weather events, natural disasters, wars, military actions, global or regional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erif" w:hAnsi="Times New Roman;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erif" w:hAnsi="Times New Roman;serif"/>
          <w:b w:val="false"/>
          <w:color w:val="000000"/>
          <w:sz w:val="20"/>
        </w:rPr>
        <w:t xml:space="preserve">In addition, global or regional conflicts or other geopolitical events, including the recent conflict in Iran, have and may continue to increase the likelihood of supply chain interruptions and may impair our ability to compete in current or future markets, or otherwise subject us to potential liability. See “—Risks Related to Manufacturing and Supply Chain — </w:t>
      </w:r>
      <w:r>
        <w:rPr>
          <w:rFonts w:ascii="Times New Roman;serif" w:hAnsi="Times New Roman;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erif" w:hAnsi="Times New Roman;serif"/>
          <w:b w:val="false"/>
          <w:color w:val="000000"/>
          <w:sz w:val="20"/>
        </w:rPr>
        <w:t xml:space="preserve">and “— Risks Related to Litigation and Regulation — </w:t>
      </w:r>
      <w:r>
        <w:rPr>
          <w:rFonts w:ascii="Times New Roman;serif" w:hAnsi="Times New Roman;serif"/>
          <w:b w:val="false"/>
          <w:i/>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serif" w:hAnsi="Times New Roman;serif"/>
          <w:b w:val="false"/>
          <w:color w:val="000000"/>
          <w:sz w:val="20"/>
        </w:rPr>
        <w:t xml:space="preserve">.” </w:t>
      </w:r>
      <w:r>
        <w:rPr>
          <w:rFonts w:ascii="Times New Roman;serif" w:hAnsi="Times New Roman;serif"/>
          <w:b w:val="false"/>
          <w:color w:val="231F20"/>
          <w:sz w:val="20"/>
        </w:rPr>
        <w:t>We may incur significant expenses or delays relating to such events outside of our control, which could have a material adverse impact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vehicles make use of lithium-ion battery cells, which, if not appropriately managed and controlled, have been observed to catch fire or vent smoke and flame.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battery packs within our vehicles use,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order cancellations,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EV or energy storage product may cause indirect adverse publicity for us and our products. Such adverse publicity could negatively affect our brand and harm our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Cybersecurity, Data Privacy, and AI-enabled Technologies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Any unauthorized access, control, manipulation, interruption or compromise to our products or information technology systems, networks, or data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products, services and operations rely on complex information technology systems, software</w:t>
        <w:noBreakHyphen/>
        <w:t>driven features, and digital infrastructure, including connected vehicle systems, cloud</w:t>
        <w:noBreakHyphen/>
        <w:t>based platforms, and third</w:t>
        <w:noBreakHyphen/>
        <w:t>party networks. For example, our vehicles are designed with built-in data connectivity to accept and install periodic cloud-based (over the internet) updates to add new or enhanced functionality.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collect, use, store, transmit and otherwise process data from vehicles, customers, employees and other third parties as part of our business operations, some of which includes personal, sensitive, confidential or proprietary information. We also work with third-party service providers and vendors to support these systems and to collect, store, and process such data and information on our behalf.</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increasingly rely on advanced data analytics, software</w:t>
        <w:noBreakHyphen/>
        <w:t xml:space="preserve">driven features, and, in certain areas of our business, artificial intelligence or machine learning </w:t>
        <w:noBreakHyphen/>
        <w:t>enabled technologies (collectively, “AI-enabled technologies”) to provide and support vehicle functionality, diagnostics, customer engagement, operational decision</w:t>
        <w:noBreakHyphen/>
        <w:t>making, and other business processes. The use of such technologies may increase our exposure to cybersecurity, data protection, regulatory, and operational risks, including risks related to data quality, system performance, model limitations, unintended outputs, intellectual property violations or misuse of data. If these technologies fail to operate as intended, are compromised, or are perceived to produce inaccurate, biased, or otherwise problematic outcomes, our business, reputation, and results of operations could be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taken measures designed to prevent unauthorized access, control, manipulation, interruption or compromise to our information technology systems, networks or data (including personal data) and plan to identify additional measures as we grow. Such measures may not be effective, particularly as our products, services, data practices, and reliance on third</w:t>
        <w:noBreakHyphen/>
        <w:t>party and AI</w:t>
        <w:noBreakHyphen/>
        <w:t>enabled technologies continue to evolve. As a result, we may be unable to anticipate, prevent, or mitigate cybersecurity, privacy, and data</w:t>
        <w:noBreakHyphen/>
        <w:t>related risks. Our third-party service providers and vendors also take steps designed to protect the security and integrity of information technology systems, networks or data. However, there can be no assurance that such systems and networks will not be compromised, including as a result of cyberattacks, system vulnerabilities, software bugs, technical malfunctions, human errors, or intentional misconduct by employees, contractors, vendors, or other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Cyber threat actors may in the future attempt to gain unauthorized access to, modify, alter or use our vehicles, products, systems and networks to (i) gain control of, (ii) change the functionality, user interface or performance characteristics of or (iii) gain access to data stored in or generated by, our vehicles, products, systems and networks. Advances in technology, such as AI-enabled technologies,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Increasing use of such products and services in our vehicles, including with our partnerships with Nuro and Uber for AV capabilities, and AI frontier model generative AI providers of large language models (“LLMs”) heightens the risk and severity of a cybersecurity breach of our or our third-party partners’ systems. We and our third-party service providers’ systems have in the past and may in the future be affected by security incidents.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prompt injection,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or our facilities could be subject to break-ins, sabotage and intentional acts of vandalism causing potential disruptions, unauthorized access, control, manipulation, interruption or compromise to our products, technology systems, networks or data. We implement measures designed to prevent or mitigate identified high-risk exposures and vulnerabilities, and we endeavor to maintain layered security practices designed to prevent or reduce the likelihood of a cybersecurity incident.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be subject to certain laws and regulations, such as “right to repair” laws that could require us to provide third-party access to certain vehicle and vehicle-connected systems. Some of our systems are not redundant, meaning the data may not be backed up in the event of damage at its primary data storage facility. Our disaster recovery planning cannot account for all eventualities, so there may be an incident that we are not prepared for.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threats or possible harms.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risks have been heightened in connection with ongoing global or regional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sensitive, confidential or proprietary data (including our proprietary software code), products, technology systems, or networks, resulting in a data breach, or disruption, modification or destruction of such.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are unable to protect our personal, sensitive, confidential or proprietary data (including our proprietary software code), products, technology systems and networks from unauthorized access, use, disclosure, disruption, modification, destruction or other breach, such threats or security incidents could have negative consequences for our business and future prospects, including compromise of vehicle integrity and physical safety, monetary losses, liabilities under our contracts or to the owners of the applicable data,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Irrespective of a complaint’s veracity, the mere mention (in headlines or elsewhere) of unauthorized access to our vehicles, products, technology systems, networks, and data may, alone, result in negative consumer sentiment when faced with the reality that all connected products (including our vehicles), systems and networks are vulnerable to being “hacked”.</w:t>
      </w:r>
    </w:p>
    <w:p>
      <w:pPr>
        <w:pStyle w:val="TextBody"/>
        <w:bidi w:val="0"/>
        <w:spacing w:lineRule="auto" w:line="288" w:before="240" w:after="283"/>
        <w:jc w:val="left"/>
        <w:rPr/>
      </w:pPr>
      <w:r>
        <w:rPr>
          <w:rFonts w:ascii="Times New Roman;serif" w:hAnsi="Times New Roman;serif"/>
          <w:b w:val="false"/>
          <w:color w:val="231F20"/>
          <w:sz w:val="20"/>
        </w:rPr>
        <w:t>The volume of our current and planned vehicle production necessitates continued development, implementation, maintenance, improvement, and expanding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and tax and regulatory compliance. Our ability to operate our business will depend on the availability and effectiveness of these systems and networks</w:t>
      </w:r>
      <w:r>
        <w:rPr>
          <w:color w:val="000000"/>
        </w:rPr>
        <w:t xml:space="preserve"> </w:t>
      </w:r>
      <w:r>
        <w:rPr>
          <w:rFonts w:ascii="Times New Roman;serif" w:hAnsi="Times New Roman;serif"/>
          <w:b w:val="false"/>
          <w:color w:val="231F20"/>
          <w:sz w:val="20"/>
        </w:rPr>
        <w:t xml:space="preserve">that are not entirely in our control and could be impacted by system outages or similar events. The development, implementation, maintenance, improvement and expansion of these systems and networks require significant management time, support and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There are inherent risks associated with developing, implementing, maintaining, improving, and expanding our core systems and networks. For example, implementing new systems and networks, including the disruption of our data management, procurement, manufacturing execution, finance, supply chain, inventory management, and sales and service processes. These systems and networks or their required functionality may not be effectively and timely developed, implemented, maintained, improved, or expanded, which means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depend on the ability of software and hardware to store, retrieve, process and manage immense amounts of data. Our software and hardware, including any OTA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 may only be discovered after our compiled code has been released. We implement processes designed to remedy issues we observe in our vehicles in a timely manner, including issuing patches for zero-day vulnerabilities and deploying OTA updates designed to resolve errors, bugs, design defects or other vulnerabilities in our vehicle software, but such efforts may not always be timely, may hamper production or may not be to the satisfaction of our customers. Additionally, if we deploy software updates to address any issues but our OTA update procedures fail, our customers will need to work with our service personnel to install these updates, and their vehicle will remain vulnerable until installation of the updates. Any compromise of our personal, sensitive, confidential or proprietary data (including our proprietary software code), products, technology systems or networks or ineffective fix for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have adequate insurance coverage, if any, to cover losses associated with any of the foregoing. The costs of investing and remediating a large alleged data breach, or the successful assertion of one or more large alleged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of any claim.</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evolving laws, regulations, standards, policies, and contractual obligations related to data privacy, cybersecurity, and AI-enabled technologies,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course of our operations, we collect, use, store, transmit, and otherwise process data from our vehicles, customers, employees and third parties as part of our business operations, some of which includes personal, sensitive, confidential or proprietary data such as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to aid it in vehicle diagnostics, repair and maintenance, as well as provide features designed to customize and improve the driving and riding experience.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that govern our collection, use, storage, transmission, and other processing of personal data including that of our employees, customers and other third parties with whom we conduct business. We operate in a rapidly evolving regulatory environment with respect to cybersecurity, data protection, privacy, and artificial intelligence, including under U.S. federal and state laws, international regulations, and emerging AI</w:t>
        <w:noBreakHyphen/>
        <w:t xml:space="preserve">specific frameworks. Compliance with these requirements may restrict our ability to collect, use, store, transmit, or otherwise process data; require changes to our products, services, or business practices; increase operational complexity; and require significant management attention and financial resources. Our failure, or perceived failure, to comply with applicable requirements could result in regulatory investigations, enforcement actions, fines, penalties, litigation, or other adverse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As we expand our global footprint, our risk profile changes, and we will need to manage against the varied applicable data protection rules and regulations in the context of the new jurisdictions, business models and market strategies.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European Union (“EU”) adopted the General Data Protection Regulation (“GDPR”)</w:t>
      </w:r>
      <w:r>
        <w:rPr>
          <w:rFonts w:ascii="Times New Roman;serif" w:hAnsi="Times New Roman;serif"/>
          <w:b w:val="false"/>
          <w:i/>
          <w:color w:val="231F20"/>
          <w:sz w:val="24"/>
        </w:rPr>
        <w:t xml:space="preserve">, </w:t>
      </w:r>
      <w:r>
        <w:rPr>
          <w:rFonts w:ascii="Times New Roman;serif" w:hAnsi="Times New Roman;serif"/>
          <w:b w:val="false"/>
          <w:color w:val="231F20"/>
          <w:sz w:val="20"/>
        </w:rPr>
        <w:t>which became effective in May 2018, as well as the European Data Act, the EU Artificial Intelligence Act (the “AI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we are also subject to the data privacy laws of the UK, including the UK General Data Protection Regulation (“UK GDPR”).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financial, and reputational risks.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For example, failure to comply with the GDPR can result in significant fines and other liability, including fines of up to EUR 20 million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may have a significant adverse effect on our business and operations.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countries outside the EEA. While we have taken steps designed to mitigate the impact on us, the efficacy and longevity of these mechanisms remain uncertain. Additionally, we continue to monitor our compliance obligations with a final rule adopted by the U.S. Department of Justice, which prohibits and restricts certain covered data transactions that result in the transfer or access to bulk U.S. sensitive personal data by countries of concern or covered persons, effective April 8, 2025, as well as a final rule adopted by the Bureau of Industry and Security that prohibits specific transactions involving the import or sale of connected vehicles and certain hardware and software with a sufficient nexus to China or Russia, applicable to vehicles from model year 2027. These regulations may impact our potential future business operations in China.</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and data privacy practices, and related disclosures, of companies within its jurisdiction, which at a minimum can result in distraction of management and significant diversion of resources. SEC cybersecurity disclosure rules (the “SEC Cybersecurity Disclosure Rules”) for public companies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pStyle w:val="TextBody"/>
        <w:bidi w:val="0"/>
        <w:spacing w:lineRule="auto" w:line="288" w:before="240" w:after="283"/>
        <w:jc w:val="left"/>
        <w:rPr/>
      </w:pPr>
      <w:r>
        <w:rPr>
          <w:rFonts w:ascii="Times New Roman;serif" w:hAnsi="Times New Roman;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such as our business, including an expansive definition of personal information and data privacy rights for California residents, and expanded rights with respect to certain sensitive personal information. The CCPA includes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A number of other U.S. states have enacted or are in the process of enacting, or considering similar laws. Complian</w:t>
      </w:r>
      <w:r>
        <w:rPr>
          <w:rFonts w:ascii="Times New Roman;serif" w:hAnsi="Times New Roman;serif"/>
          <w:b w:val="false"/>
          <w:color w:val="000000"/>
          <w:sz w:val="20"/>
        </w:rPr>
        <w:t>ce with these state laws, other similar state or federal laws that may be enacted in the future, and other applicable data privacy and cybersecurity laws and regulations is a rigorous and time-intensive process, and we may be required to put in place additional mechanisms designed to comply with such laws and regulations, which could cause us to incur substantial costs or require us to change our business practices, including our data practices, in a manner that adversely affects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post public privacy policies and other documentation regarding our collection, use, storage, transmission, and other processing of personal data. Although we endeavor to comply with our published policies and other documentation, we may at times fail to do so or may be perceived to have failed to do so. Moreover, despite our efforts designed to meet such obligations, we may not be successful in achieving compliance if our employees, contractors, service providers, vendors or other third parties fail to comply with our published policies and documentation. Such failures could carry similar consequences and subject us to potential local, state and federal action if our published privacy policies and documentation are found to be deceptive, unfair or misrepresentative of our actual practices. Claims that we have allegedly violated individuals’ privacy rights or failed to comply with applicable privacy notices or applicable data privacy laws, regulations, standards, policies, or contractual obligations could, even if we are not found liable, be extremely expensive and time-consuming to defend and could result in adverse publicity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also impacted by regulations that obligate us to share vehicle repair-related information such as vehicle telemetry data, which may include sensitive data like precise geo-location information, with third parties, including repair shops and repair tool hardware developers, under what are commonly called “right-to-repair” laws. Other U.S. state, federal, and foreign jurisdictions are exploring expanding these right-to-repair obligations, which may result in additional risk due to an increased number of third parties are processing data. Furthermore, some agencies within the U.S. federal government, including certain members of Congress and the NHTSA, have increasingly directed their focus to automotive cybersecurity issues and connected vehicle data, which could lead to additional automotive cybersecurity and connected vehicle regulations.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and connected vehicle data, we would be required to modify our systems to comply with such regulations, which would impose additional costs and introduce delays and could expose us to potential liability to the extent our automotive cybersecurity systems and connected vehicle data practices are inconsistent with such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New products, services and business lines may face scrutiny from regulators as well. Any changes in laws, rules or regulations regulating AI-enabled technologies could require us to expend significant resources in an effort to modify our products, services, or operations to facilitate compliance or remain competitive. As our engagement with AI-enabled technologies increases, we may be impacted by emerging artificial intelligence rules, regulations, and frameworks globally, including the AI Act and the EU Product Liability Directive (the “Directive”). This Directive extends the EU’s existing strict product liability regime to AI-enabled technologies and facilitates civil claims in respect of alleged harm caused by artificial intelligence. This in combination with other nascent data privacy and cybersecurity laws and regulations, leads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Employees and Human Resources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Our success is substantially dependent upon the continued service and performance of our senior management team and workforce. Our employees, including our senior management team, are generally at-will employees, and therefore may terminate employment with us at any time with no advance notice. We could lose some key employees, especially if we are unable to grant sufficient or competitive compensation, including equity awards and bonuses, or if the volatility of our stock price continues to increase.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continue to attract and retain highly skilled personnel. We have faced and continue to face potent competition for highly skilled workers in the United States, especially in California. As with any company with finite resources, there can be no guarantee that we will be able to attract such individuals or that the presence of such individuals will necessarily translate into our business success. Because we operate in an advanced technology and innovation sector, there may also be limited personnel available with relevant expertise or business experience, and such individuals may be subject to non-competition and other agreements that restrict their ability to work for us. This challenge may be amplified by our ongoing transition to full-scale, high-volume commercial vehicle manufacturing, where—despite significant progress in a short time—we continue to face competitors that may be more established, and therefore may have more predictable supply chains, more developed manufacturing capabilities and more brand recognition than we do at this time. Any failure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workforce reduction plan may also be distracting to employees and management and may negatively impact our ability to continue to attract and retain highly skilled personnel. We have in the past reduced the size of our workforce, and implemented a workforce reduction plan in February 2026 and other actions relating to contractors in April 2026. Any such plan may adversely affect our business operations, reputation, or ability to serve customers. The replacement of any members of our senior management team or other key employees could involve significant time and costs and may significantly delay or prevent the achievement of our business objectives.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14, 2026, we announced that Silvio Napoli is expected to be appointed as the Company’s CEO once he receives the right to work in the U.S. In the event we are unable to transition seamlessly from our Interim CEO to the new CEO, or if the new CEO should unexpectedly prove to be unsuitable for our Company, the resulting disruption could have an adverse effect on our operations or financial condition or impede our ability to execute our strategic plan.</w:t>
      </w:r>
    </w:p>
    <w:p>
      <w:pPr>
        <w:pStyle w:val="TextBody"/>
        <w:bidi w:val="0"/>
        <w:spacing w:lineRule="auto" w:line="288" w:before="240" w:after="283"/>
        <w:jc w:val="left"/>
        <w:rPr/>
      </w:pPr>
      <w:r>
        <w:rPr>
          <w:rFonts w:ascii="Times New Roman;serif" w:hAnsi="Times New Roman;serif"/>
          <w:b/>
          <w:i/>
          <w:color w:val="000000"/>
          <w:sz w:val="20"/>
        </w:rPr>
        <w:t xml:space="preserve">We will need to hire, retain, and train a </w:t>
      </w:r>
      <w:r>
        <w:rPr>
          <w:rFonts w:ascii="Times New Roman;serif" w:hAnsi="Times New Roman;serif"/>
          <w:b/>
          <w:i/>
          <w:color w:val="231F20"/>
          <w:sz w:val="20"/>
        </w:rPr>
        <w:t>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erif" w:hAnsi="Times New Roman;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erif" w:hAnsi="Times New Roman;serif"/>
          <w:b w:val="false"/>
          <w:color w:val="000000"/>
          <w:sz w:val="20"/>
        </w:rPr>
        <w:t>ective company culture. Although the area surrounding our AMP-1 facility in Casa Grande, Arizona and the area surrounding our AMP-2 facility in KAEC are home to highly trained workforces with experience in engineering and manufacturing, these workforces may not have significant experience with EV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Any failure to comply with local labor laws and customs could have an adverse effect on our business or operations. If we are unsuccessful in hiring</w:t>
      </w:r>
      <w:r>
        <w:rPr>
          <w:rFonts w:ascii="Times New Roman;serif" w:hAnsi="Times New Roman;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although none of our United States or international based employees is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or to finalize negotiations with any such union, including potential work slowdowns or stoppages, delays, and increased costs. Furthermore, we may be directly or indirectly dependent upon companies with unionized workforces,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Misconduct by our employees and independent contractors during and before their employment with us could expose us to potentially significant legal liabilities, reputational harm or other damages to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Many of our employees play critical roles in ensuring the safety and reliability of our vehicles or our compliance with relevant laws and regulations. Certain of our employees have access to sensitive information and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Litigation and Regulation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current U.S. presidential administration has adopted an evolving approach to trade policy, including renegotiating and terminating existing bilateral and multi-lateral trade agreements, reviewing U.S. trade policies, practices and agreements to address trade deficits and other economic security matters, and imposing tariffs on imports, in many cases significant, on a variety of items, including steel, aluminum, and certain vehicle parts and software, which have resulted in increased costs for imports and may cause shortages and delays in the supply of certain components, materials, tooling and equipment necessary to produce our vehicles. In response to these tariffs, a number of U.S. trading partners have imposed or threatened to impose retaliatory measures, including tariffs on U.S. products and enhanced export controls, which has increased the cost and complexity of exporting our vehicles to affected markets. For example, Canada has announced countermeasure tariffs on select U.S.-manufactured vehicles. Further, the current U.S. presidential administration has imposed tariffs on goods imported from China on top of existing tariffs, and has expanded its export and transfer restrictions on foreign companies and subsidiaries involving sensitive technology, which has resulted in uncertainty regarding the future of international trade between the U.S. and China. In response, China has imposed retaliatory tariffs and implemented export restrictions on certain rare-earth minerals and semiconductor-related products, including microchips. Despite recent negotiations, U.S.-China trade relations remain volatile and uncertain, and there can be no assurance that further actions by the U.S., China or another country will not have an adverse impact on our business, operations and access to products manufactured in China or elsewhere outside the 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The exact scope of any such tariffs that may be ultimately implemented remains uncertain at this time. We cannot predict whether, or to what extent, international trade agreements may be altered, nor can we predict whether, or to what extent, duties, additional tariffs, export controls, or other trade restrictions will be modified or imposed by the United States or other countries. If we are unable to pass the costs of such tariffs on to our customer base or otherwise mitigate such costs, or if demand for our exported vehicles decreases due to the higher cost or preferences in foreign countries for domestically manufactured products, our results of operations could be materially adversely affected. Additionally, the threat of retaliatory tariffs and trade wars between the United States and foreign countries could further impede the transition to EVs, disrupt global supply chains, and delay the implementation of economic competitiveness policies. Further, while the administration has issued an executive order and announced other arrangements to reduce certain previously announced tariffs on automobiles and auto parts, there can be no assurance that there will not be further changes. In February 2026, the Supreme Court struck down the current U.S. administration’s use of the IEEPA to impose broad tariffs on imports from foreign trade partners. We have submitted requests for refunds for tariffs that it had paid under the IEEPA to the official U.S. government refund portal. The refund processes in similar circumstances have in the past been lengthy and complex, and the timeline for receiving any refund is unclear. Additionally, tariff exposure may not significantly decline and the administration may expand use of other mechanisms to further its trade agenda. Taken together, these uncertainties surrounding domestic and foreign tariffs and the resulting environment of retaliatory trade practices could increase costs and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Uyghur Forced Labor Prevention Act (“UFLPA”)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While we are not presently aware of any direct impacts these restrictions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and aluminum. As the United States government continues to investigate claims of forced labor in China, the enforcement of the UFLPA continues to evolve, making the potential for impacts on Chinese suppliers (and non-Chinese suppliers using supply chains extending into China) difficult to assess.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2022, in response to actions taken by Russia against Ukraine, the United States and other countries worldwide implemented significant economic sanctions, embargoes, financial restrictions, trade controls and other governmental measures and restrictions against Russia, Belarus, and certain related entities and persons. Additionally, the military operations in the Gulf region and the Middle East, potential escalation and broadening of the conflict in Iran, could lead to new uncertainties to trade relations and policies. The United States has enacted, or may enact in the future, federal regulations that significantly constrain trade relations with Russia, Belarus or other countries. Consequently, imports of certain products or merchandise originating from these jurisdictions may be subject to higher import duty rates. To the extent such products or merchandise are found in our cross-border supply chains and subject to higher duties, the suspension of normal trade relations with Russia, Belarus and other countries could increase our input costs, which could adversely impact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Although we are not aware of any company-related operations or activities in these jurisdictions, economic sanctions and other laws and regulations targeting these jurisdictions could disrupt our supply chains, impair our ability to compete in current or future markets, or otherwise subject us to potential liability. While we have implemented, or may implement in the future, certain procedures to facilitate compliance with applicable laws and regulations in connection with the sanctions and trade control programs around the globe related to Russia, Belarus or other countries,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have negative consequences that could impact us, including reputational harm, government investigations, loss of export privileges, and penalties or fines. These economic sanctions and other restrictions continue to evolve, and the long-term potential impact on our operations and business remains unclear.</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TextBody"/>
        <w:bidi w:val="0"/>
        <w:spacing w:lineRule="auto" w:line="288" w:before="240" w:after="283"/>
        <w:jc w:val="left"/>
        <w:rPr/>
      </w:pPr>
      <w:r>
        <w:rPr>
          <w:rFonts w:ascii="Times New Roman;serif" w:hAnsi="Times New Roman;serif"/>
          <w:b w:val="false"/>
          <w:color w:val="231F20"/>
          <w:sz w:val="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any future vehicle programs, including the upcoming Midsize platform will be subject to such regulation under international, federal, state and local laws and standards. These regulations include those promulgated by the EPA, NHTSA, other federal agencies, various state agencies and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EVs continue to evolve, and we face risks associated with changes to these regulations, which could have an impact on the adoption of EVs.</w:t>
      </w:r>
    </w:p>
    <w:p>
      <w:pPr>
        <w:pStyle w:val="TextBody"/>
        <w:bidi w:val="0"/>
        <w:spacing w:lineRule="auto" w:line="288" w:before="240" w:after="283"/>
        <w:jc w:val="left"/>
        <w:rPr/>
      </w:pPr>
      <w:r>
        <w:rPr>
          <w:rFonts w:ascii="Times New Roman;serif" w:hAnsi="Times New Roman;serif"/>
          <w:b w:val="false"/>
          <w:color w:val="231F20"/>
          <w:sz w:val="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erif" w:hAnsi="Times New Roman;serif"/>
          <w:b w:val="false"/>
          <w:color w:val="000000"/>
          <w:sz w:val="20"/>
        </w:rPr>
        <w:t>volving. For example, the EU has enacted a battery regulation that affects Lucid vehicles and batteries delivered in Europe with increasing requirements for the durability, marking, supply chain transparency, and recycled content of the high-voltage batteries in our vehicles each year, among other requirements. Compliance with such regulations will require additional time and resources</w:t>
      </w:r>
      <w:r>
        <w:rPr>
          <w:rFonts w:ascii="Times New Roman;serif" w:hAnsi="Times New Roman;serif"/>
          <w:b w:val="false"/>
          <w:color w:val="231F20"/>
          <w:sz w:val="20"/>
        </w:rPr>
        <w:t>. This process may include official review 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erif" w:hAnsi="Times New Roman;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erif" w:hAnsi="Times New Roman;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We may face legal challenges to this distribution model. For example, in states where direct sales are not permitted, dealers and their lobbying organizations may raise complaints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erif" w:hAnsi="Times New Roman;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erif" w:hAnsi="Times New Roman;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EVs or components (including our batteries) prove to be defective or noncompliant with applicable federal motor vehicle safety standards. If a large number</w:t>
      </w:r>
      <w:r>
        <w:rPr>
          <w:color w:val="000000"/>
        </w:rPr>
        <w:t xml:space="preserve"> </w:t>
      </w:r>
      <w:r>
        <w:rPr>
          <w:rFonts w:ascii="Times New Roman;serif" w:hAnsi="Times New Roman;serif"/>
          <w:b w:val="false"/>
          <w:color w:val="231F20"/>
          <w:sz w:val="20"/>
        </w:rPr>
        <w:t xml:space="preserve">of vehicles are the subject of a recall or if we are </w:t>
      </w:r>
      <w:r>
        <w:rPr>
          <w:rFonts w:ascii="Times New Roman;serif" w:hAnsi="Times New Roman;serif"/>
          <w:b w:val="false"/>
          <w:color w:val="000000"/>
          <w:sz w:val="20"/>
        </w:rPr>
        <w:t>unable to obtain the necessary replacement parts, we may be unable to service and repair recalled vehicles for a significant period of time. During the first quarter of 2026, deliveries of the Lucid Gravity were disrupted for 29 days due to a supplier quality issue with the second-row seats. These types of disruptions could jeopardize our ability to fulfill existing contractual commitments or satisfy demand for our EVs and could also r</w:t>
      </w:r>
      <w:r>
        <w:rPr>
          <w:rFonts w:ascii="Times New Roman;serif" w:hAnsi="Times New Roman;serif"/>
          <w:b w:val="false"/>
          <w:color w:val="231F20"/>
          <w:sz w:val="20"/>
        </w:rPr>
        <w:t>esult in the loss of business to our competitors. Such recalls and stop sales, whether caused by systems or components engineered or manufactured by us or our suppliers, would involve significant expense, the possibility of lawsuits, adverse publicity, and diversion of management’s attention and other resources, which could adversely affect our brand image in our target markets and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serif" w:hAnsi="Times New Roman;serif"/>
          <w:b w:val="false"/>
          <w:color w:val="000000"/>
          <w:sz w:val="20"/>
        </w:rPr>
        <w:t>11</w:t>
      </w:r>
      <w:r>
        <w:rPr>
          <w:color w:val="231F20"/>
        </w:rPr>
        <w:t xml:space="preserve"> “</w:t>
      </w:r>
      <w:r>
        <w:rPr>
          <w:rFonts w:ascii="Times New Roman;serif" w:hAnsi="Times New Roman;serif"/>
          <w:b w:val="false"/>
          <w:color w:val="231F20"/>
          <w:sz w:val="20"/>
        </w:rPr>
        <w:t>Commitments and Contingencies” to the condensed consolidated financial statements included elsewhere in this Quarterly Report for more information.</w:t>
      </w:r>
    </w:p>
    <w:p>
      <w:pPr>
        <w:pStyle w:val="TextBody"/>
        <w:bidi w:val="0"/>
        <w:spacing w:lineRule="auto" w:line="288" w:before="240" w:after="283"/>
        <w:jc w:val="left"/>
        <w:rPr/>
      </w:pPr>
      <w:r>
        <w:rPr>
          <w:rFonts w:ascii="Times New Roman;serif" w:hAnsi="Times New Roman;serif"/>
          <w:b w:val="false"/>
          <w:color w:val="000000"/>
          <w:sz w:val="20"/>
        </w:rPr>
        <w:t>Litigation and regulatory proceedings may be protracted an</w:t>
      </w:r>
      <w:r>
        <w:rPr>
          <w:rFonts w:ascii="Times New Roman;serif" w:hAnsi="Times New Roman;serif"/>
          <w:b w:val="false"/>
          <w:color w:val="231F20"/>
          <w:sz w:val="20"/>
        </w:rPr>
        <w:t>d expensive, and the results are difficult to predict. Additionally, our litigation and legal 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II, Item 1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erif" w:hAnsi="Times New Roman;serif"/>
          <w:b w:val="false"/>
          <w:color w:val="000000"/>
          <w:sz w:val="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ADAS and AV features in our vehicles. See “— Risks Related to Litigation and Regulation — </w:t>
      </w:r>
      <w:r>
        <w:rPr>
          <w:rFonts w:ascii="Times New Roman;serif" w:hAnsi="Times New Roman;serif"/>
          <w:b w:val="false"/>
          <w:i/>
          <w:color w:val="000000"/>
          <w:sz w:val="20"/>
        </w:rPr>
        <w:t>ADAS and autonomous vehicle technologies are subject to uncertain and evolving regulations.</w:t>
      </w:r>
      <w:r>
        <w:rPr>
          <w:color w:val="000000"/>
        </w:rPr>
        <w:t xml:space="preserve">” </w:t>
      </w:r>
      <w:r>
        <w:rPr>
          <w:rFonts w:ascii="Times New Roman;serif" w:hAnsi="Times New Roman;serif"/>
          <w:b w:val="false"/>
          <w:color w:val="000000"/>
          <w:sz w:val="20"/>
        </w:rPr>
        <w:t xml:space="preserve">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See “— Risks Related to Manufacturing and Supply Chain — </w:t>
      </w:r>
      <w:r>
        <w:rPr>
          <w:rFonts w:ascii="Times New Roman;serif" w:hAnsi="Times New Roman;serif"/>
          <w:b w:val="false"/>
          <w:i/>
          <w:color w:val="000000"/>
          <w:sz w:val="20"/>
        </w:rPr>
        <w:t>Our vehicles make use of lithium-ion battery cells, which, if not appropriately managed and controlled, have been observed to catch fire or vent smoke and flame.</w:t>
      </w:r>
      <w:r>
        <w:rPr>
          <w:color w:val="000000"/>
        </w:rPr>
        <w:t xml:space="preserve">” </w:t>
      </w:r>
      <w:r>
        <w:rPr>
          <w:rFonts w:ascii="Times New Roman;serif" w:hAnsi="Times New Roman;serif"/>
          <w:b w:val="false"/>
          <w:color w:val="000000"/>
          <w:sz w:val="20"/>
        </w:rPr>
        <w:t>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time-consuming and expensive. Furthermore, if our products contain design defects, manufacturing defects, or other defects in materials or workmanship that cause them to not conform to applicable express or implied warranties, 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erif" w:hAnsi="Times New Roman;serif"/>
          <w:b w:val="false"/>
          <w:color w:val="231F20"/>
          <w:sz w:val="20"/>
        </w:rPr>
        <w:t>A successful product liability or warranty-related claim against us could result in a substantial monetary loss.</w:t>
      </w:r>
      <w:r>
        <w:rPr>
          <w:color w:val="000000"/>
        </w:rPr>
        <w:t xml:space="preserve"> </w:t>
      </w:r>
      <w:r>
        <w:rPr>
          <w:rFonts w:ascii="Times New Roman;serif" w:hAnsi="Times New Roman;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exposed to delays, limitations and risks related to the environmental permits and other operating permits required to construct and operate our manufacturing facilities.</w:t>
      </w:r>
    </w:p>
    <w:p>
      <w:pPr>
        <w:pStyle w:val="TextBody"/>
        <w:bidi w:val="0"/>
        <w:spacing w:lineRule="auto" w:line="288" w:before="240" w:after="283"/>
        <w:jc w:val="left"/>
        <w:rPr/>
      </w:pPr>
      <w:r>
        <w:rPr>
          <w:rFonts w:ascii="Times New Roman;serif" w:hAnsi="Times New Roman;serif"/>
          <w:b w:val="false"/>
          <w:color w:val="231F20"/>
          <w:sz w:val="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granting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erif" w:hAnsi="Times New Roman;serif"/>
          <w:b w:val="false"/>
          <w:i/>
          <w:color w:val="231F20"/>
          <w:sz w:val="20"/>
        </w:rPr>
        <w:t>We have experienced and may in the future experience significant delays in the design, manufacture, launch and financing of our vehicles, including the Lucid Air, the Lucid Gravity and our upcoming Midsize platform, which could harm our business and prospects.</w:t>
      </w:r>
      <w:r>
        <w:rPr>
          <w:color w:val="231F20"/>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and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ADAS and autonomous vehicle technologies are subject to uncertain and evolving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expect to introduce certain ADAS and AV technologies into our vehicles over time. ADAS and AV technologies are subject to regulatory uncertainty as the law evolves to catch up with the rapidly evolving nature of the technologies,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are considering new rules for ADAS and AV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or affect the pace at which we enter the robotaxi business,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or AV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the U.S. Foreign Corrupt Practices Act of 1977, as amended, the U.S. domestic bribery statute,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Intellectual Property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circumvent or otherwise design around our patents or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pStyle w:val="TextBody"/>
        <w:bidi w:val="0"/>
        <w:spacing w:lineRule="auto" w:line="288" w:before="240" w:after="283"/>
        <w:jc w:val="left"/>
        <w:rPr/>
      </w:pPr>
      <w:r>
        <w:rPr>
          <w:rFonts w:ascii="Times New Roman;serif" w:hAnsi="Times New Roman;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erif" w:hAnsi="Times New Roman;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erif" w:hAnsi="Times New Roman;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erif" w:hAnsi="Times New Roman;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alternative branding for our products and services.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Financing and Strategic Transactions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funded our operations since inception primarily through equity and debt financings. We anticipate that we will continue to raise additional funds through equity, equity-linked or debt financings. Our business is capital-intensive, and our efforts to increase cost-effectiveness may not succeed. There can be no assurance that we will achieve positive cash flow from operations on our anticipated timeline, or at all. In addition, we have settled,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erif" w:hAnsi="Times New Roman;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erif" w:hAnsi="Times New Roman;serif"/>
          <w:b w:val="false"/>
          <w:color w:val="000000"/>
          <w:sz w:val="20"/>
        </w:rPr>
        <w:t xml:space="preserve">For example, as of March 31, 2026, pursuant to the terms of the agreements we entered into in connection with the supply of lithium-ion battery cells, we have remaining minimum purchase commitments of an aggregate of approximately $2.55 billion of lithium-ion battery cells using the current base prices, which could vary period-to-period primarily as a result of changes in raw material indexes. </w:t>
      </w:r>
      <w:r>
        <w:rPr>
          <w:rFonts w:ascii="Times New Roman;serif" w:hAnsi="Times New Roman;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volatility and disruptions in the capital and credit markets, including as a result of inflation, bank closures and liquidity concerns at financial institutions, the risk of a global economic recession or other downturn, interest rate changes, global or regional conflicts or other geopolitical events, or investor acceptance of our business model. These factors may </w:t>
      </w:r>
      <w:r>
        <w:rPr>
          <w:rFonts w:ascii="Times New Roman;serif" w:hAnsi="Times New Roman;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realize the anticipated benefits of our agreements with Aston Martin, Uber, and Nuro.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the Implementation Agreement with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EV chassis, and supply powertrain and battery components to Aston Martin. However, we may not be able to realize the anticipated benefits of this agreement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See Note 15 “Related Party Transactions” to the condensed consolidated financial statements included elsewhere in this Quarterly Report for more information.</w:t>
      </w:r>
    </w:p>
    <w:p>
      <w:pPr>
        <w:pStyle w:val="TextBody"/>
        <w:bidi w:val="0"/>
        <w:spacing w:lineRule="auto" w:line="288" w:before="240" w:after="283"/>
        <w:jc w:val="left"/>
        <w:rPr/>
      </w:pPr>
      <w:r>
        <w:rPr>
          <w:rFonts w:ascii="Times New Roman;serif" w:hAnsi="Times New Roman;serif"/>
          <w:b w:val="false"/>
          <w:color w:val="000000"/>
          <w:sz w:val="20"/>
        </w:rPr>
        <w:t xml:space="preserve">In July 2025, we entered into the First VPA with Uber under which Uber and its designated fleet operators have agreed to purchase a minimum commitment of 20,000 Lucid Gravity Plus vehicles over a six-year period following the start of production. We will collaborate with Nuro </w:t>
      </w:r>
      <w:r>
        <w:rPr>
          <w:rFonts w:ascii="Times New Roman;serif" w:hAnsi="Times New Roman;serif"/>
          <w:b w:val="false"/>
          <w:color w:val="242424"/>
          <w:sz w:val="20"/>
        </w:rPr>
        <w:t xml:space="preserve">to install autonomous driving software in Lucid Gravity vehicles, to enable Uber and its </w:t>
      </w:r>
      <w:r>
        <w:rPr>
          <w:rFonts w:ascii="Times New Roman;serif" w:hAnsi="Times New Roman;serif"/>
          <w:b w:val="false"/>
          <w:color w:val="000000"/>
          <w:sz w:val="20"/>
        </w:rPr>
        <w:t xml:space="preserve">designated fleet operators </w:t>
      </w:r>
      <w:r>
        <w:rPr>
          <w:rFonts w:ascii="Times New Roman;serif" w:hAnsi="Times New Roman;serif"/>
          <w:b w:val="false"/>
          <w:color w:val="242424"/>
          <w:sz w:val="20"/>
        </w:rPr>
        <w:t>to operate the vehicles as robotaxis with Level 4 autonomy</w:t>
      </w:r>
      <w:r>
        <w:rPr>
          <w:rFonts w:ascii="Times New Roman;serif" w:hAnsi="Times New Roman;serif"/>
          <w:b w:val="false"/>
          <w:color w:val="000000"/>
          <w:sz w:val="20"/>
        </w:rPr>
        <w:t>. In April 2026, we entered into the Second VPA, further expanding our strategic partnership with Uber in connection with our Midsize platform vehicles. See Note 8 “Stockholders’ Equity” and Note 17 “Subsequent Events”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realize the anticipated benefits of the VPAs if we fail to meet certain volume and other requirements and specifications with respect to the Lucid Gravity Plus vehicles and Lucid Midsize Plus vehicles, including continued production of the base Lucid Gravity vehicles and base Lucid Midsize platform vehicles, meeting certain quality thresholds, and timely fulfillment of orders for the subject vehicles. In addition, we will depend on Nuro to meet its requirements in order to fulfill some of these conditions.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such delay or failure for any reason, including financial distress, insolvency or disruptions in operations experienced by our partners or for any other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accounting method for reflecting the Convertible Senior Notes on our consolidated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Convertible Senior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ASU 2020-06, we accounted for the issuance of the Convertible Senior Notes as a liability on our balance sheets, with the initial carrying amount equal to the principal amount of the Convertible Senior Notes, net of issuance costs. The issuance costs will be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a higher reported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shares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convert their Convertible Senior Notes and could materially reduce our reported working capital.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Servicing our current and future debt and potential payment obligations, including under the terms of our Convertible Senior Notes and Redeemable Convertible Preferred Stock, may restrict our flexibility in operating our business and require a significant amount of cash, and we may not have sufficient cash flow from our business to pay our indebtedness or satisfy our payment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issued $2.0 billion principal amount of the 2026 Notes in December 2021, issued $1.1 billion principal amount of the 2030 Notes in April 2025, issued $975.0 million principal amount of the 2031 Notes in November 2025, and have entered into several credit facilities since 2022. Concurrent with the 2030 Notes offering and the 2031 Notes offering, we repurchased $1,808.2 million principal amount of the 2026 Notes in the aggregate, reducing its remaining principal amount to $204.3 million. See Note 6 “Debt” to the condensed consolidated financial statements included elsewhere in this Quarterly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Noteholders may, subject to a limited exception, require us to repurchase their Convertible Senior Notes following a fundamental change at a cash repurchase price generally equal to the principal amount of the Convertible Senior Notes to be repurchased, plus accrued and unpaid interest, if any. Holders of the 2031 Notes may also require us to repurchase their 2031 Notes on November 1, 2029 at a cash optional repurchase price equal to the principal amount of the 2031 Notes to be repurchased. In addition, upon conversion, we will satisfy part or all of our conversion obligation in cash unless we elect to settle conversions solely in shares of our common stock. We may not have sufficient available cash or be able to obtain financing at the time we are required to repurchase the Convertible Senior Notes or pay any cash amounts due upon conversion. In addition, applicable law, regulatory authorities and the agreements governing our other indebtedness, such as the covenants in the ABL Credit Facility and Certificate of Designations, may restrict our ability to repurchase the Convertible Senior Notes or pay any cash amounts due upon conversion. Our failure to repurchase the Convertible Senior Notes or pay any cash amounts due upon conversion when required will constitute a default under the indentures of such Convertible Senior Notes. A default under the indentures of such Convertible Senior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under the SIDF Loan Agreement, the 2025 GIB Credit Facility,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certain sale and leaseback transactions, consummate mergers and other fundamental changes, enter in to restrictive agreements or modify their organizational documents.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In March 2024, we issued 100,000 shares of our Series A Redeemable Convertible Preferred Stock, in August 2024, we issued 75,000 shares of our Series B Redeemable Convertible Preferred Stock, and in April 2026, we issued 55,000 shares of our Series C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in Note 7 “Redeemable Convertible Preferred Stock” to our condensed consolidated financial statements included elsewhere in this Quarterly Report)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 In addition, prior to the obtaining of the requisite shareholder approval, we are required to cash settle the shares of common stock deliverable upon conversion, redemption or repurchase of the Series C Redeemable Convertible Preferred Stock that are over the Conversion Share Cap (as defined therein). The holders of our Redeemable Convertible Preferred Stock also have the right to receive certain Minimum Consideration (as defined in Note 7 “Redeemable Convertible Preferred Stock” to our condensed consolidated financial statements included elsewhere in this Quarterly Report)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erif" w:hAnsi="Times New Roman;serif"/>
          <w:b w:val="false"/>
          <w:i/>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future financing on desirable terms, which could result in a default on our debt obligations. In addition, our existing debt agreements contain, and any of our future debt agreements may contain restrictive covenants that may prohibit us from selling assets, restructuring debt or preferred stock or obtaining additional debt financing or equity capital, which may make it more difficult for us to obtain additional capital to pursue business opportunities, including potential acquisitions or divestitures. Our failure to comply with these covenants could result in an event of default which, if not cured or waived, could result in the acceleration of our debt, and may limit our ability to obtain additional financing, which in turn may have an adverse effect on our cash flows and liquidity.</w:t>
      </w:r>
    </w:p>
    <w:p>
      <w:pPr>
        <w:pStyle w:val="TextBody"/>
        <w:bidi w:val="0"/>
        <w:spacing w:lineRule="auto" w:line="288" w:before="240" w:after="283"/>
        <w:jc w:val="left"/>
        <w:rPr/>
      </w:pPr>
      <w:r>
        <w:rPr>
          <w:rFonts w:ascii="Times New Roman;serif" w:hAnsi="Times New Roman;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serif" w:hAnsi="Times New Roman;serif"/>
          <w:b w:val="false"/>
          <w:i/>
          <w:color w:val="000000"/>
          <w:sz w:val="20"/>
        </w:rPr>
        <w:t>We may be unable to raise the funds necessary to pay the cash amounts due upon mandatory conversion, redeem our Redeemable</w:t>
      </w:r>
      <w:r>
        <w:rPr>
          <w:color w:val="000000"/>
        </w:rPr>
        <w:t xml:space="preserve"> </w:t>
      </w:r>
      <w:r>
        <w:rPr>
          <w:rFonts w:ascii="Times New Roman;serif" w:hAnsi="Times New Roman;serif"/>
          <w:b w:val="false"/>
          <w:i/>
          <w:color w:val="000000"/>
          <w:sz w:val="20"/>
        </w:rPr>
        <w:t>Convertible Preferred Stock or repurchase the Redeemable</w:t>
      </w:r>
      <w:r>
        <w:rPr>
          <w:color w:val="000000"/>
        </w:rPr>
        <w:t xml:space="preserve"> </w:t>
      </w:r>
      <w:r>
        <w:rPr>
          <w:rFonts w:ascii="Times New Roman;serif" w:hAnsi="Times New Roman;serif"/>
          <w:b w:val="false"/>
          <w:i/>
          <w:color w:val="000000"/>
          <w:sz w:val="20"/>
        </w:rPr>
        <w:t>Convertible Preferred Stock upon a fundamental change</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xml:space="preserve">• </w:t>
      </w:r>
      <w:r>
        <w:rPr>
          <w:rFonts w:ascii="Times New Roman;serif" w:hAnsi="Times New Roman;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place us at a disadvantage compared to our competitors who have less debt or other obligations;</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xml:space="preserve">• </w:t>
      </w:r>
      <w:r>
        <w:rPr>
          <w:rFonts w:ascii="Times New Roman;serif" w:hAnsi="Times New Roman;serif"/>
          <w:b w:val="false"/>
          <w:color w:val="000000"/>
          <w:sz w:val="20"/>
        </w:rPr>
        <w:t>make an acquisition of our company less attractive or more difficult.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and may still incur substantially more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have incurred and may need to incur substantial additional debt in the future, subject to the restrictions contained in our debt instruments, some of which may be secured debt. The ABL Credit Facility and Certificate of Designations impose certain restrictions on our ability to incur additional debt, but we are not restricted under the terms of the indentures governing our Convertible Senior Notes from incurring additional debt, securing existing or future debt, recapitalizing our debt or taking a number of other actions that could have the effect of diminishing our ability to make payments on our Convertible Senior Notes when due.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Convertible Senior Notes, if triggered, may adversely affect our financial condition and operating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2026 Notes, before the close of business on the business day immediately before September 15, 2026, noteholders will have the right to convert their 2026 Notes upon the occurrence of certain events, and they may elect to convert their 2026 Notes regardless of the occurrence of such events from and after September 15, 2026 until the close of business on the second scheduled trading day immediately before December 15, 2026. For the 2030 Notes, before the close of business on the business day immediately before January 1, 2030, noteholders will have the right to convert their 2030 Notes upon the occurrence of certain events, and they may elect to convert their 2030 Notes regardless of the occurrence of such events from and after January 1, 2030 until the close of business on the second scheduled trading day immediately before April 1, 2030. For the 2031 Notes, before the close of business on the business day immediately before August 1, 2031, noteholders will have the right to convert their 2031 Notes upon the occurrence of certain events, and they may elect to convert their 2031 Notes regardless of the occurrence of such events from and after August 1, 2031 until the close of business on the second scheduled trading day immediately before November 1, 2031. If holders of the Convertible Senior Notes elect to convert their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Convertible Senior Notes as a current rather than long-term liability, which would result in a material reduction of our net working capital.</w:t>
      </w:r>
    </w:p>
    <w:p>
      <w:pPr>
        <w:pStyle w:val="TextBody"/>
        <w:bidi w:val="0"/>
        <w:spacing w:lineRule="auto" w:line="288" w:before="240" w:after="283"/>
        <w:jc w:val="left"/>
        <w:rPr/>
      </w:pPr>
      <w:r>
        <w:rPr>
          <w:rFonts w:ascii="Times New Roman;serif" w:hAnsi="Times New Roman;serif"/>
          <w:b/>
          <w:i/>
          <w:color w:val="000000"/>
          <w:sz w:val="20"/>
        </w:rPr>
        <w:t>The holders of our Redeemable</w:t>
      </w:r>
      <w:r>
        <w:rPr>
          <w:color w:val="000000"/>
        </w:rPr>
        <w:t xml:space="preserve"> </w:t>
      </w:r>
      <w:r>
        <w:rPr>
          <w:rFonts w:ascii="Times New Roman;serif" w:hAnsi="Times New Roman;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as long as at least 10% of the aggregate number of shares of the Series A, Series B, and Series C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which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are required to comply with certain debt incurrence covenants in our ABL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erif" w:hAnsi="Times New Roman;serif"/>
          <w:b w:val="false"/>
          <w:i/>
          <w:color w:val="000000"/>
          <w:sz w:val="20"/>
        </w:rPr>
        <w:t>The issuance of additional shares of our common stock or other equity or equity-linked securities, including upon conversion, optional redemption or repurchase of convertible securities, or sales of a significant portion of our common stock, could depress the market price of our common stock.</w:t>
      </w:r>
      <w:r>
        <w:rPr>
          <w:color w:val="000000"/>
        </w:rPr>
        <w:t xml:space="preserve">” </w:t>
      </w:r>
      <w:r>
        <w:rPr>
          <w:rFonts w:ascii="Times New Roman;serif" w:hAnsi="Times New Roman;serif"/>
          <w:b w:val="false"/>
          <w:color w:val="000000"/>
          <w:sz w:val="20"/>
        </w:rPr>
        <w:t>In addition, holders of our Redeemable Convertible Preferred Stock have the right to receive payment in cash upon a mandatory conversion, optional redemption or a fundamental change if certain liquidity conditions are not satisfied. Further, prior to the obtaining of the requisite shareholder approval, we are required to cash settle the shares of common stock deliverable upon conversion, redemption or repurchase of the Series C Redeemable Convertible Preferred Stock that are over the Conversion Share Cap. See “—</w:t>
      </w:r>
      <w:r>
        <w:rPr>
          <w:rFonts w:ascii="Times New Roman;serif" w:hAnsi="Times New Roman;serif"/>
          <w:b w:val="false"/>
          <w:i/>
          <w:color w:val="000000"/>
          <w:sz w:val="20"/>
        </w:rPr>
        <w:t>Servicing our current and future debt and potential payment obligations, including under the terms of our Convertible Senior Notes and Redeemable Convertible Preferred Stock, may restrict our flexibility in operating our business and require a significant amount of cash, and we may not have sufficient cash flow from our business to pay our indebtedness or satisfy our payment obligations.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erif" w:hAnsi="Times New Roman;serif"/>
          <w:b w:val="false"/>
          <w:i/>
          <w:color w:val="000000"/>
          <w:sz w:val="20"/>
        </w:rPr>
        <w:t>Convertible Preferred Stock</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draw down the full amounts available under the ABL Credit Facility, the SIDF Loan Agreement, the 2025 GIB Credit Facility or the DDTL Credit Facility.</w:t>
      </w:r>
    </w:p>
    <w:p>
      <w:pPr>
        <w:pStyle w:val="TextBody"/>
        <w:bidi w:val="0"/>
        <w:spacing w:lineRule="auto" w:line="288" w:before="240" w:after="283"/>
        <w:jc w:val="left"/>
        <w:rPr/>
      </w:pPr>
      <w:r>
        <w:rPr>
          <w:rFonts w:ascii="Times New Roman;serif" w:hAnsi="Times New Roman;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2025 GIB Credit Facility are only available for certain specific purposes and subject to conditions on drawdowns. The DDTL Credit Facility provides for an approximately $2.0 billion undrawn delayed draw term commitments, subject to drawdown conditions, following a $500.0 million draw on April 1, 2026. Any inability to draw down the full amounts committed under these facilities, should the need arise, may have an</w:t>
      </w:r>
      <w:r>
        <w:rPr>
          <w:color w:val="231F20"/>
        </w:rPr>
        <w:t xml:space="preserve"> </w:t>
      </w:r>
      <w:r>
        <w:rPr>
          <w:rFonts w:ascii="Times New Roman;serif" w:hAnsi="Times New Roman;serif"/>
          <w:b w:val="false"/>
          <w:color w:val="231F20"/>
          <w:sz w:val="20"/>
        </w:rPr>
        <w:t>adverse effect on our cash flows and liquidity.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erif" w:hAnsi="Times New Roman;serif"/>
          <w:b w:val="false"/>
          <w:color w:val="231F20"/>
          <w:sz w:val="20"/>
        </w:rPr>
        <w:t xml:space="preserve">Strategic business relationships have been and will continue to be an important factor in the growth and long-term success of our business. From time-to-time, we explore opportunities to enter into such relationships, including partnerships with original equipment manufacturers, service and charging providers, and technology innovators. However, there are no assurances that we will be able to identify or secure suitable business relationship opportunities in the future or that </w:t>
      </w:r>
      <w:r>
        <w:rPr>
          <w:rFonts w:ascii="Times New Roman;serif" w:hAnsi="Times New Roman;serif"/>
          <w:b w:val="false"/>
          <w:color w:val="000000"/>
          <w:sz w:val="20"/>
        </w:rPr>
        <w:t xml:space="preserve">we will be able to maintain such relationships. In addition, </w:t>
      </w:r>
      <w:r>
        <w:rPr>
          <w:rFonts w:ascii="Times New Roman;serif" w:hAnsi="Times New Roman;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EV charging providers to provide our customers with access to charging infrastructure, and we will rely on ongoing access to such infrastructure to provide our customers with charging solutions. If third-party EV charging providers terminate their partnerships or otherwise fail to deliver the anticipated benefits of their partnerships, our ability to provide a satisfactory customer experience will be harmed. In addition, although we have gained access to Tesla’s Supercharger network, any delay in implementing changes in Lucid vehicles required by Tesla by a certain milestone date may result in Tesla denying our access to their network. Our current and future alliances, including among others, our strategic partnership with Uber and Nuro,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strategic relationship opportunities in the future, our overall growth could be impaired, and our business, prospects and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integration of acquired businesses, assets or personnel typically requires significant time and resources, which could result in a diversion of resources from our existing business, which could have an adverse effect on our operations, and we may not be able to manage the integration process successfully. For instance, in April 2025, we acquired select facilities and assets in Arizona previously belonging to Nikola Corporation, including Nikola’s former Coolidge manufacturing facility and the Phoenix facility, and we offered employment to certain former Nikola employees in roles across our Arizona facilities.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equity-linked securities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erif" w:hAnsi="Times New Roman;serif"/>
          <w:b w:val="false"/>
          <w:color w:val="231F20"/>
          <w:sz w:val="20"/>
        </w:rPr>
        <w:t xml:space="preserve">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design and develop new EV-related products and technologies including robotaxis,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See “—Risks Related to Manufacturing and Supply Chain — </w:t>
      </w:r>
      <w:r>
        <w:rPr>
          <w:rFonts w:ascii="Times New Roman;serif" w:hAnsi="Times New Roman;serif"/>
          <w:b w:val="false"/>
          <w:i/>
          <w:color w:val="231F20"/>
          <w:sz w:val="20"/>
        </w:rPr>
        <w:t>if we fail to successfully tool our manufacturing facilities or if our manufacturing facilities become inoperable, we will be unable to produce our vehicles and our business will be harmed.</w:t>
      </w:r>
      <w:r>
        <w:rPr>
          <w:color w:val="231F20"/>
        </w:rPr>
        <w:t xml:space="preserve">” </w:t>
      </w:r>
      <w:r>
        <w:rPr>
          <w:rFonts w:ascii="Times New Roman;serif" w:hAnsi="Times New Roman;serif"/>
          <w:b w:val="false"/>
          <w:color w:val="231F20"/>
          <w:sz w:val="20"/>
        </w:rPr>
        <w:t xml:space="preserve">In addition, automotive manufacturers typically experience significant seasonality, with comparatively low sales in the first quarter and comparatively high sales in the fourth quarter, and we have experienced, and expect to continue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 incentives; changes in interest rates; impairment of long-lived assets; macroeconomic conditions, including changes in trade policies and imposition or proposed imposition of tariffs; negative publicity relating to our vehicles; changes in consumer preferences and competitive conditions; investment in expansion to new markets; or increase in our sales, service and marketing activities. See “— Risks Related to Litigation and Regulation — </w:t>
      </w:r>
      <w:r>
        <w:rPr>
          <w:rFonts w:ascii="Times New Roman;serif" w:hAnsi="Times New Roman;serif"/>
          <w:b w:val="false"/>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color w:val="231F20"/>
        </w:rPr>
        <w:t xml:space="preserve">” </w:t>
      </w:r>
      <w:r>
        <w:rPr>
          <w:rFonts w:ascii="Times New Roman;serif" w:hAnsi="Times New Roman;serif"/>
          <w:b w:val="false"/>
          <w:color w:val="231F20"/>
          <w:sz w:val="20"/>
        </w:rPr>
        <w:t>As a result of these factors, we believe that quarter-to-quarter comparisons of our financial results, especially in the short-term, may have limited utility as an indicator of future performance. Significant variation in our quarterly performance could also significantly and adversely affect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Tax</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erif" w:hAnsi="Times New Roman;serif"/>
          <w:b w:val="false"/>
          <w:color w:val="231F20"/>
          <w:sz w:val="20"/>
        </w:rPr>
        <w:t>We have accumulated U.S. federal and state net operating loss (“NOL”) carryforwards and research and deve</w:t>
      </w:r>
      <w:r>
        <w:rPr>
          <w:rFonts w:ascii="Times New Roman;serif" w:hAnsi="Times New Roman;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of $10.8 billion and $7.8 billion, respectively, from taxable years prior to 2018 will begin to expire in 2027. As of March 31, 2026, we also had U.S. federal research and development credit carryforwards which will begin to expire in 2036 and state research and development credit carryforwards do not have an expiration date. As of March 31, 2026, we had foreign net operating loss carryforwards, the majority of which will begin to expire in 2043. As of March 31, 2026, we maintain a full valuation allowance for our U.S. and the majority of our non-U.S. net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Our U.S. federal and state NOL carryforwards and certain tax credits may be subject to significant limitations under Section 382 and Section 383 of the U.S. tax code, respectively, and similar provisions of state law. Un</w:t>
      </w:r>
      <w:r>
        <w:rPr>
          <w:rFonts w:ascii="Times New Roman;serif" w:hAnsi="Times New Roman;serif"/>
          <w:b w:val="false"/>
          <w:color w:val="231F20"/>
          <w:sz w:val="20"/>
        </w:rPr>
        <w:t>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erif" w:hAnsi="Times New Roman;serif"/>
          <w:b w:val="false"/>
          <w:color w:val="231F20"/>
          <w:sz w:val="20"/>
        </w:rPr>
        <w:t>In general, an “ownership change” will occur if there is a cumulative change in our ownership by “5-percent shareholders” that exceeds 50 percentage poin</w:t>
      </w:r>
      <w:r>
        <w:rPr>
          <w:rFonts w:ascii="Times New Roman;serif" w:hAnsi="Times New Roman;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erif" w:hAnsi="Times New Roman;serif"/>
          <w:b w:val="false"/>
          <w:color w:val="000000"/>
          <w:sz w:val="20"/>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w:t>
      </w:r>
      <w:r>
        <w:rPr>
          <w:rFonts w:ascii="Times New Roman;serif" w:hAnsi="Times New Roman;serif"/>
          <w:b w:val="false"/>
          <w:color w:val="231F20"/>
          <w:sz w:val="20"/>
        </w:rPr>
        <w:t>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It is more likely than not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$500.0 million for prior three tax years and that make certain payments to related foreign persons.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cash flows and financial results in the current or future reporting periods.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privately placed common stock warrants issued in connection with the Churchill IPO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Public Company Requirements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erif" w:hAnsi="Times New Roman;serif"/>
          <w:b w:val="false"/>
          <w:color w:val="000000"/>
          <w:sz w:val="20"/>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erif" w:hAnsi="Times New Roman;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erif" w:hAnsi="Times New Roman;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erif" w:hAnsi="Times New Roman;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be required to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Common Stock</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price of our common stock has been, and may continue to be, volatile, and this volatility may negatively impact the trading price of our common stock and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financial projections and any other guidance or metrics that we may publicly disclose, including any decision to adjust or withdraw such financial projections, guidance or metrics;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lower-than-anticipated industry-wide EV adoption rates or perception that EV demand is slowing;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reaction to any of our strategic partners;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our capital structure, such as future issuances of securities or the incurrence of additional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volume of our common stock available for public sale, including as a result of conversion of our Convertible Senior Notes or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any major change in our Board </w:t>
      </w:r>
      <w:r>
        <w:rPr>
          <w:rFonts w:ascii="Times New Roman;serif" w:hAnsi="Times New Roman;serif"/>
          <w:b w:val="false"/>
          <w:color w:val="000000"/>
          <w:sz w:val="20"/>
        </w:rPr>
        <w:t>or management, including the recent announcement of our next CEO;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and political conditions, such as uncertainties in trade policies, the imposition or proposed imposition of tariffs, export controls, threat of a trade war, recessions, interest rate changes, inflation, bank closures and liquidity concerns at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risk factors listed in this section “Risk Factors.”</w:t>
      </w:r>
    </w:p>
    <w:p>
      <w:pPr>
        <w:pStyle w:val="TextBody"/>
        <w:bidi w:val="0"/>
        <w:spacing w:lineRule="auto" w:line="288" w:before="240" w:after="283"/>
        <w:jc w:val="left"/>
        <w:rPr/>
      </w:pPr>
      <w:r>
        <w:rPr>
          <w:rFonts w:ascii="Times New Roman;serif" w:hAnsi="Times New Roman;serif"/>
          <w:b w:val="false"/>
          <w:color w:val="000000"/>
          <w:sz w:val="20"/>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regardless of our business, prospects, financial condition or results of operations. Broad market and industry factors, including global or regional conflicts and other geopolitical events, natural disasters, and any other global pa</w:t>
      </w:r>
      <w:r>
        <w:rPr>
          <w:rFonts w:ascii="Times New Roman;serif" w:hAnsi="Times New Roman;serif"/>
          <w:b w:val="false"/>
          <w:color w:val="231F20"/>
          <w:sz w:val="20"/>
        </w:rPr>
        <w:t xml:space="preserve">ndemics, as well as general economic, political and market conditions such as recessions, inflation, </w:t>
      </w:r>
      <w:r>
        <w:rPr>
          <w:rFonts w:ascii="Times New Roman;serif" w:hAnsi="Times New Roman;serif"/>
          <w:b w:val="false"/>
          <w:color w:val="000000"/>
          <w:sz w:val="20"/>
        </w:rPr>
        <w:t xml:space="preserve">bank closures and liquidity concerns at financial institutions, </w:t>
      </w:r>
      <w:r>
        <w:rPr>
          <w:rFonts w:ascii="Times New Roman;serif" w:hAnsi="Times New Roman;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the stock markets in general, and the markets for technology and EV stocks in particular, have experienced extreme volatility that has sometimes been unrelated to the operating performance of the companies. The trading price of our common stock may be adversely affected by third parties trying to drive down or drive up the market price. Short sellers and others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pPr>
      <w:r>
        <w:rPr>
          <w:rFonts w:ascii="Times New Roman;serif" w:hAnsi="Times New Roman;serif"/>
          <w:b/>
          <w:i/>
          <w:color w:val="231F20"/>
          <w:sz w:val="20"/>
        </w:rPr>
        <w:t>The issuance of additional shares of our common stock or other equity or equity-linked securities,</w:t>
      </w:r>
      <w:r>
        <w:rPr>
          <w:color w:val="000000"/>
        </w:rPr>
        <w:t xml:space="preserve"> </w:t>
      </w:r>
      <w:r>
        <w:rPr>
          <w:rFonts w:ascii="Times New Roman;serif" w:hAnsi="Times New Roman;serif"/>
          <w:b/>
          <w:i/>
          <w:color w:val="231F20"/>
          <w:sz w:val="20"/>
        </w:rPr>
        <w:t>including upon conversion, optional redemption or repurchase of convertible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erif" w:hAnsi="Times New Roman;serif"/>
          <w:b w:val="false"/>
          <w:color w:val="231F20"/>
          <w:sz w:val="20"/>
        </w:rPr>
        <w:t>Future issuan</w:t>
      </w:r>
      <w:r>
        <w:rPr>
          <w:rFonts w:ascii="Times New Roman;serif" w:hAnsi="Times New Roman;serif"/>
          <w:b w:val="false"/>
          <w:color w:val="000000"/>
          <w:sz w:val="20"/>
        </w:rPr>
        <w:t>ces of shares of our common stock, or of securities convertible into or exercisable for our common stock, could depress the market price of our common stock and result in significant dilution for holders of our common stock. This includes the potential issuance of a substantial number of shares of our common stock upon the conversion, optional redemption, or repurchase of our Redeemable Convertible Preferred Stock. The Redeemable Convertible Preferred Stock is convertible into our common stock at specified conversion prices, subject to customary anti-dilution adjustments, and the number of shares issuable upon conversion may increase over time due to the compounding of dividends at an initial rate of 9% per annum, which are not subject to any cap or sunset provisions and may accrue in perpetuity. As a result, the number of shares of common stock issuable upon conversion of the Redeemable Convertible Preferred Stock may continue to increase, further diluting the ownership interests of existing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in certain circumstances, including in connection with a mandatory conversion, optional redemption, or a fundamental change (as defined in the Certificate of Designations), holders of the Redeemable Convertible Preferred Stock may be entitled to receive “Minimum Consideration.” If the value of the Minimum Consideration exceeds the Accrued Value of the Redeemable Convertible Preferred Stock, we would be required to issue a number of shares of common stock that is presently indeterminable and, particularly if our stock price is substantially below the initial conversion price, such issuances could result in significant dilution to the common stockholders which could have a material adverse effect on the market prices of our common stock and on our financial condition, liquidity, and ability to obtain additional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exercise of our outstanding warrants and options, the vesting and settlement of our restricted stock units and the conversion of our Convertible Senior Notes may also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TextBody"/>
        <w:bidi w:val="0"/>
        <w:spacing w:lineRule="auto" w:line="288" w:before="240" w:after="283"/>
        <w:jc w:val="left"/>
        <w:rPr/>
      </w:pPr>
      <w:r>
        <w:rPr>
          <w:rFonts w:ascii="Times New Roman;serif" w:hAnsi="Times New Roman;serif"/>
          <w:b w:val="false"/>
          <w:color w:val="000000"/>
          <w:sz w:val="20"/>
        </w:rPr>
        <w:t xml:space="preserve">The market price of shares of our common </w:t>
      </w:r>
      <w:r>
        <w:rPr>
          <w:rFonts w:ascii="Times New Roman;serif" w:hAnsi="Times New Roman;serif"/>
          <w:b w:val="false"/>
          <w:color w:val="231F20"/>
          <w:sz w:val="20"/>
        </w:rPr>
        <w:t>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pursuant to the Investor Rights Agreement, Ayar, and certain other parties thereto are entitled to, among other things, certain registration rights, including demand, piggy-back and shelf registration rights with respect to their shares of common stock (including shares of common stock underlying the Redeemable Convertible Preferred Stock held by Ayar) and Ayar’s shares of the Redeemable Convertible Preferred Stock. We also provided certain registration rights to SMB with respect to the shares of common stock issued to SMB pursuant to the 2025 Subscription Agreement and the 2026 Subscription Agreement. If either pursuant to any registration statement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pPr>
      <w:r>
        <w:rPr>
          <w:rFonts w:ascii="Times New Roman;serif" w:hAnsi="Times New Roman;serif"/>
          <w:b/>
          <w:i/>
          <w:color w:val="000000"/>
          <w:sz w:val="20"/>
        </w:rPr>
        <w:t>We are a “controlled company” withi</w:t>
      </w:r>
      <w:r>
        <w:rPr>
          <w:rFonts w:ascii="Times New Roman;serif" w:hAnsi="Times New Roman;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March 31, 2026</w:t>
      </w:r>
      <w:r>
        <w:rPr>
          <w:rFonts w:ascii="Times New Roman;serif" w:hAnsi="Times New Roman;serif"/>
          <w:b w:val="false"/>
          <w:color w:val="231F20"/>
          <w:sz w:val="20"/>
        </w:rPr>
        <w:t>, the PIF, both directly and indirectly through A</w:t>
      </w:r>
      <w:r>
        <w:rPr>
          <w:rFonts w:ascii="Times New Roman;serif" w:hAnsi="Times New Roman;serif"/>
          <w:b w:val="false"/>
          <w:color w:val="000000"/>
          <w:sz w:val="20"/>
        </w:rPr>
        <w:t>yar, held over 50% of the voting power for the el</w:t>
      </w:r>
      <w:r>
        <w:rPr>
          <w:rFonts w:ascii="Times New Roman;serif" w:hAnsi="Times New Roman;serif"/>
          <w:b w:val="false"/>
          <w:color w:val="231F20"/>
          <w:sz w:val="20"/>
        </w:rPr>
        <w:t>ection of our directors</w:t>
      </w:r>
      <w:r>
        <w:rPr>
          <w:rFonts w:ascii="Times New Roman;serif" w:hAnsi="Times New Roman;serif"/>
          <w:b w:val="false"/>
          <w:color w:val="000000"/>
          <w:sz w:val="20"/>
        </w:rPr>
        <w:t>. As a result, we are a “controlled company” within the meaning of the Nasdaq rules, and as a result, we qualify for exemptions from ce</w:t>
      </w:r>
      <w:r>
        <w:rPr>
          <w:rFonts w:ascii="Times New Roman;serif" w:hAnsi="Times New Roman;serif"/>
          <w:b w:val="false"/>
          <w:color w:val="231F20"/>
          <w:sz w:val="20"/>
        </w:rPr>
        <w:t>rtain corporate governance requirements. Under these rules, a company of which more than 50% of the voting power for the election of directors is held by an individual, group or another</w:t>
      </w:r>
      <w:r>
        <w:rPr>
          <w:color w:val="000000"/>
        </w:rPr>
        <w:t xml:space="preserve"> </w:t>
      </w:r>
      <w:r>
        <w:rPr>
          <w:rFonts w:ascii="Times New Roman;serif" w:hAnsi="Times New Roman;serif"/>
          <w:b w:val="false"/>
          <w:color w:val="000000"/>
          <w:sz w:val="20"/>
        </w:rPr>
        <w:t>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transactions entered into with the Forward Counterparty in connection with the pricing of the 2030 Notes and the 2031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erif" w:hAnsi="Times New Roman;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w:t>
      </w:r>
      <w:r>
        <w:rPr>
          <w:color w:val="231F20"/>
        </w:rPr>
        <w:t xml:space="preserve"> </w:t>
      </w:r>
      <w:r>
        <w:rPr>
          <w:rFonts w:ascii="Times New Roman;serif" w:hAnsi="Times New Roman;serif"/>
          <w:b w:val="false"/>
          <w:color w:val="231F20"/>
          <w:sz w:val="20"/>
        </w:rPr>
        <w:t>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PIF and Ayar beneficially own a significant equity interest in us and may take actions that conflict with other stockholders’ interests.</w:t>
      </w:r>
    </w:p>
    <w:p>
      <w:pPr>
        <w:pStyle w:val="TextBody"/>
        <w:bidi w:val="0"/>
        <w:spacing w:lineRule="auto" w:line="288" w:before="240" w:after="283"/>
        <w:jc w:val="left"/>
        <w:rPr/>
      </w:pPr>
      <w:r>
        <w:rPr>
          <w:rFonts w:ascii="Times New Roman;serif" w:hAnsi="Times New Roman;serif"/>
          <w:b w:val="false"/>
          <w:color w:val="231F20"/>
          <w:sz w:val="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serif" w:hAnsi="Times New Roman;serif"/>
          <w:b w:val="false"/>
          <w:color w:val="000000"/>
          <w:sz w:val="20"/>
        </w:rPr>
        <w:t>omplementary to our business and, as a result, those acquisition opportunities may not be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erif" w:hAnsi="Times New Roman;serif"/>
          <w:b w:val="false"/>
          <w:color w:val="231F20"/>
          <w:sz w:val="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trading of our securities may be more limited than if we were quoted or listed on Nasdaq or another national securities exchange. Our stockholders may be unable to sell their securities unless a market can be established or sustained.</w:t>
      </w:r>
    </w:p>
    <w:p>
      <w:pPr>
        <w:pStyle w:val="TextBody"/>
        <w:bidi w:val="0"/>
        <w:spacing w:lineRule="auto" w:line="288" w:before="240" w:after="283"/>
        <w:jc w:val="left"/>
        <w:rPr/>
      </w:pPr>
      <w:r>
        <w:rPr>
          <w:rFonts w:ascii="Times New Roman;serif" w:hAnsi="Times New Roman;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erif" w:hAnsi="Times New Roman;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valid at face value, a stockholder may nevertheless seek to bring a claim in a venue other than those designated in the exclusive forum provisions, and there can</w:t>
      </w:r>
      <w:r>
        <w:rPr>
          <w:color w:val="000000"/>
        </w:rPr>
        <w:t xml:space="preserve"> </w:t>
      </w:r>
      <w:r>
        <w:rPr>
          <w:rFonts w:ascii="Times New Roman;serif" w:hAnsi="Times New Roman;serif"/>
          <w:b w:val="false"/>
          <w:color w:val="231F20"/>
          <w:sz w:val="20"/>
        </w:rPr>
        <w:t>be no assurance that such provisions will be enforced by a court in those other jurisdictions.</w:t>
      </w:r>
    </w:p>
    <w:p>
      <w:pPr>
        <w:pStyle w:val="TextBody"/>
        <w:bidi w:val="0"/>
        <w:spacing w:lineRule="auto" w:line="288" w:before="240" w:after="283"/>
        <w:jc w:val="left"/>
        <w:rPr/>
      </w:pPr>
      <w:r>
        <w:rPr>
          <w:rFonts w:ascii="Times New Roman;serif" w:hAnsi="Times New Roman;serif"/>
          <w:b/>
          <w:i/>
          <w:color w:val="231F20"/>
          <w:sz w:val="20"/>
        </w:rPr>
        <w:t xml:space="preserve">Some provisions of Delaware law, our current certificate of incorporation and our current bylaws, our Certificate of Designations and the indentures for the Convertible Senior Notes may deter third parties from acquiring us and diminish the value of our common stock, the Convertible Senior Notes and the </w:t>
      </w:r>
      <w:r>
        <w:rPr>
          <w:rFonts w:ascii="Times New Roman;serif" w:hAnsi="Times New Roman;serif"/>
          <w:b/>
          <w:i/>
          <w:color w:val="000000"/>
          <w:sz w:val="20"/>
        </w:rPr>
        <w:t>Redeemable</w:t>
      </w:r>
      <w:r>
        <w:rPr>
          <w:color w:val="000000"/>
        </w:rPr>
        <w:t xml:space="preserve"> </w:t>
      </w:r>
      <w:r>
        <w:rPr>
          <w:rFonts w:ascii="Times New Roman;serif" w:hAnsi="Times New Roman;serif"/>
          <w:b/>
          <w:i/>
          <w:color w:val="231F20"/>
          <w:sz w:val="20"/>
        </w:rPr>
        <w:t>Convertible Preferred Stock.</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certain limitations on convening special stockholder meetings.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 xml:space="preserve">In addition, certain terms of our Redeemable Convertible Preferred Stock and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w:t>
      </w:r>
      <w:r>
        <w:rPr>
          <w:color w:val="231F20"/>
        </w:rPr>
        <w:t xml:space="preserve">— </w:t>
      </w:r>
      <w:r>
        <w:rPr>
          <w:rFonts w:ascii="Times New Roman;serif" w:hAnsi="Times New Roman;serif"/>
          <w:b w:val="false"/>
          <w:color w:val="000000"/>
          <w:sz w:val="20"/>
        </w:rPr>
        <w:t>Risks Related to Financing and Strategic Transactions—</w:t>
      </w:r>
      <w:r>
        <w:rPr>
          <w:rFonts w:ascii="Times New Roman;serif" w:hAnsi="Times New Roman;serif"/>
          <w:b w:val="false"/>
          <w:i/>
          <w:color w:val="000000"/>
          <w:sz w:val="20"/>
        </w:rPr>
        <w:t>Our Redeemable</w:t>
      </w:r>
      <w:r>
        <w:rPr>
          <w:color w:val="000000"/>
        </w:rPr>
        <w:t xml:space="preserve"> </w:t>
      </w:r>
      <w:r>
        <w:rPr>
          <w:rFonts w:ascii="Times New Roman;serif" w:hAnsi="Times New Roman;serif"/>
          <w:b w:val="false"/>
          <w:i/>
          <w:color w:val="000000"/>
          <w:sz w:val="20"/>
        </w:rPr>
        <w:t>Convertible Preferred Stock has rights, preferences and privileges that are not held by, and are senior to the rights of, our common stockholders</w:t>
      </w:r>
      <w:r>
        <w:rPr>
          <w:rFonts w:ascii="Times New Roman;serif" w:hAnsi="Times New Roman;serif"/>
          <w:b w:val="false"/>
          <w:color w:val="000000"/>
          <w:sz w:val="20"/>
        </w:rPr>
        <w:t xml:space="preserve">.” Similarly, the indentures governing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generally requires us, at the option of the holders, to repurchase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for cash upon the occurrence of a fundamental change and, in certain circumstances, to increase the conversion rate for a holder that converts its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in connection with a make-whole fundamental change, as defined in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These provisions may make it more costly for a potential acquirer to engage in a business combination transaction with us.</w:t>
      </w:r>
    </w:p>
    <w:p>
      <w:pPr>
        <w:pStyle w:val="TextBody"/>
        <w:bidi w:val="0"/>
        <w:spacing w:lineRule="auto" w:line="288" w:before="240" w:after="240"/>
        <w:jc w:val="left"/>
        <w:rPr/>
      </w:pPr>
      <w:r>
        <w:rPr>
          <w:rFonts w:ascii="Times New Roman;serif" w:hAnsi="Times New Roman;serif"/>
          <w:b w:val="false"/>
          <w:color w:val="000000"/>
          <w:sz w:val="20"/>
        </w:rPr>
        <w:t xml:space="preserve">These provisions in our current certificate of incorporation, our current bylaws, our Certificate of Designations and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as well as D</w:t>
      </w:r>
      <w:r>
        <w:rPr>
          <w:rFonts w:ascii="Times New Roman;serif" w:hAnsi="Times New Roman;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 March 2, 2026, Ori Winitzer, a member of the Company’s board of directors, adopted a Rule 10b5-1 trading arrangement that is intended to satisfy the affirmative defense conditions of Rule 10b5-1(c) under the Exchange Act, for the sale of up to 25,393 shares of Common Stock. Mr. Winitzer’s Rule 10b5-1 trading arrangement is scheduled to expire no later than July 9, 2027. Except for the foregoing, none of the Company’s directors or officers adopted, modified or terminated a Rule 10b5-1 trading arrangement or a non-Rule 10b5-1 trading arrangement during the quarter ended March 31, 2026,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exhibits listed on the Exhibit Index to this Form 10-Q are filed herewith or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1984"/>
        <w:gridCol w:w="1810"/>
        <w:gridCol w:w="1831"/>
        <w:gridCol w:w="170"/>
        <w:gridCol w:w="170"/>
        <w:gridCol w:w="171"/>
        <w:gridCol w:w="241"/>
        <w:gridCol w:w="241"/>
        <w:gridCol w:w="242"/>
        <w:gridCol w:w="332"/>
        <w:gridCol w:w="221"/>
        <w:gridCol w:w="223"/>
        <w:gridCol w:w="230"/>
        <w:gridCol w:w="230"/>
        <w:gridCol w:w="231"/>
        <w:gridCol w:w="242"/>
        <w:gridCol w:w="242"/>
        <w:gridCol w:w="348"/>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w:t>
              <w:br/>
              <w:t>Number</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Filing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18"/>
                  <w:u w:val="single"/>
                </w:rPr>
                <w:t>C</w:t>
              </w:r>
            </w:hyperlink>
            <w:hyperlink r:id="rId3">
              <w:r>
                <w:rPr>
                  <w:rStyle w:val="InternetLink"/>
                  <w:rFonts w:ascii="Times New Roman;serif" w:hAnsi="Times New Roman;serif"/>
                  <w:b w:val="false"/>
                  <w:color w:val="000080"/>
                  <w:sz w:val="18"/>
                  <w:u w:val="single"/>
                </w:rPr>
                <w:t>ertificate of Designations of Series C Convertible Preferred Stock of L</w:t>
              </w:r>
            </w:hyperlink>
            <w:hyperlink r:id="rId4">
              <w:r>
                <w:rPr>
                  <w:rStyle w:val="InternetLink"/>
                  <w:rFonts w:ascii="Times New Roman;serif" w:hAnsi="Times New Roman;serif"/>
                  <w:b w:val="false"/>
                  <w:color w:val="000080"/>
                  <w:sz w:val="18"/>
                  <w:u w:val="single"/>
                </w:rPr>
                <w:t>ucid Group, Inc.</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29, 2026</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18"/>
                  <w:u w:val="single"/>
                </w:rPr>
                <w:t>O</w:t>
              </w:r>
            </w:hyperlink>
            <w:hyperlink r:id="rId6">
              <w:r>
                <w:rPr>
                  <w:rStyle w:val="InternetLink"/>
                  <w:rFonts w:ascii="Times New Roman;serif" w:hAnsi="Times New Roman;serif"/>
                  <w:b w:val="false"/>
                  <w:color w:val="000080"/>
                  <w:sz w:val="18"/>
                  <w:u w:val="single"/>
                </w:rPr>
                <w:t xml:space="preserve">ffer </w:t>
              </w:r>
            </w:hyperlink>
            <w:hyperlink r:id="rId7">
              <w:r>
                <w:rPr>
                  <w:rStyle w:val="InternetLink"/>
                  <w:rFonts w:ascii="Times New Roman;serif" w:hAnsi="Times New Roman;serif"/>
                  <w:b w:val="false"/>
                  <w:color w:val="000080"/>
                  <w:sz w:val="18"/>
                  <w:u w:val="single"/>
                </w:rPr>
                <w:t xml:space="preserve">Letter Amendment for </w:t>
              </w:r>
            </w:hyperlink>
            <w:hyperlink r:id="rId8">
              <w:r>
                <w:rPr>
                  <w:rStyle w:val="InternetLink"/>
                  <w:rFonts w:ascii="Times New Roman;serif" w:hAnsi="Times New Roman;serif"/>
                  <w:b w:val="false"/>
                  <w:color w:val="000080"/>
                  <w:sz w:val="18"/>
                  <w:u w:val="single"/>
                </w:rPr>
                <w:t>Taoufiq Boussaid, dated January 20, 2026</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January 23,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Subscription Agreement, dated April 14, 2026, between Lucid Group, Inc. and Ayar Third Investment Company (including form of Certificate of Designations related to the Series C Convertible Preferred Stock and form of Amendment No. 7 to the Investor Rights Agreement by and among Lucid Group, Inc., Ayar Third Investment Company,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Subscription Agreement, dated April 14, 2026, by and between Lucid Group, Inc. and SMB Holding 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Vehicle Production Agreement, dated April 14, 2026, by and between Lucid Group, Inc. and Uber Technologies,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Amendment No. 2 to Credit Agreement, dated April 14, 2026, among Lucid Group, Inc., and Ayar Third Investment Company, as the sole lender and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Underwriting Agreement, dated April 14, 2026, between Lucid Group, Inc., and BofA Securities,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14,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18"/>
                  <w:u w:val="single"/>
                </w:rPr>
                <w:t xml:space="preserve">Amendment No. 7 to the Investor Rights Agreement, dated April 28, 2026, between Lucid Group, Inc., Ayar Third Investment Company and the other </w:t>
              </w:r>
            </w:hyperlink>
            <w:hyperlink r:id="rId15">
              <w:r>
                <w:rPr>
                  <w:rStyle w:val="InternetLink"/>
                  <w:rFonts w:ascii="Times New Roman;serif" w:hAnsi="Times New Roman;serif"/>
                  <w:b w:val="false"/>
                  <w:color w:val="000080"/>
                  <w:sz w:val="18"/>
                  <w:u w:val="single"/>
                </w:rPr>
                <w:t>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April 29,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610q-ex311.htm">
              <w:r>
                <w:rPr>
                  <w:rStyle w:val="InternetLink"/>
                  <w:rFonts w:ascii="Times New Roman;serif" w:hAnsi="Times New Roman;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610q-ex312.htm">
              <w:r>
                <w:rPr>
                  <w:rStyle w:val="InternetLink"/>
                  <w:rFonts w:ascii="Times New Roman;serif" w:hAnsi="Times New Roman;serif"/>
                  <w:b w:val="false"/>
                  <w:color w:val="0000FF"/>
                  <w:sz w:val="18"/>
                  <w:u w:val="single"/>
                </w:rPr>
                <w:t>Certification of Principal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610q-e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610q-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Schedules and certain portions of this exhibit have been redacted in accordance with Items 601(a)(5) and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567" w:type="dxa"/>
        <w:jc w:val="left"/>
        <w:tblInd w:w="0" w:type="dxa"/>
        <w:tblLayout w:type="fixed"/>
        <w:tblCellMar>
          <w:top w:w="28" w:type="dxa"/>
          <w:left w:w="28" w:type="dxa"/>
          <w:bottom w:w="28" w:type="dxa"/>
          <w:right w:w="28" w:type="dxa"/>
        </w:tblCellMar>
      </w:tblPr>
      <w:tblGrid>
        <w:gridCol w:w="591"/>
        <w:gridCol w:w="520"/>
        <w:gridCol w:w="523"/>
        <w:gridCol w:w="308"/>
        <w:gridCol w:w="308"/>
        <w:gridCol w:w="308"/>
        <w:gridCol w:w="587"/>
        <w:gridCol w:w="587"/>
        <w:gridCol w:w="83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Marc Winterhoff,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6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90"/>
        <w:gridCol w:w="790"/>
        <w:gridCol w:w="112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Taoufiq Boussaid,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76"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07"/>
        <w:gridCol w:w="707"/>
        <w:gridCol w:w="100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Marc Winterhoff, Interim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Quarterly Report on Form 10-Q of the Company for the fiscal quarter ended March 31, 2026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66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90"/>
        <w:gridCol w:w="790"/>
        <w:gridCol w:w="112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Taoufiq Boussaid,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Quarterly Report on Form 10-Q of the Company for the fiscal quarter ended March 31, 2026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376"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07"/>
        <w:gridCol w:w="707"/>
        <w:gridCol w:w="100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6051606/tm2611666d6_ex3-1.htm" TargetMode="External"/><Relationship Id="rId3" Type="http://schemas.openxmlformats.org/officeDocument/2006/relationships/hyperlink" Target="https://www.sec.gov/Archives/edgar/data/1811210/000110465926051606/tm2611666d6_ex3-1.htm" TargetMode="External"/><Relationship Id="rId4" Type="http://schemas.openxmlformats.org/officeDocument/2006/relationships/hyperlink" Target="https://www.sec.gov/Archives/edgar/data/1811210/000110465926051606/tm2611666d6_ex3-1.htm" TargetMode="External"/><Relationship Id="rId5" Type="http://schemas.openxmlformats.org/officeDocument/2006/relationships/hyperlink" Target="https://www.sec.gov/Archives/edgar/data/1811210/000162828026003278/ex101-offerletteramendment.htm" TargetMode="External"/><Relationship Id="rId6" Type="http://schemas.openxmlformats.org/officeDocument/2006/relationships/hyperlink" Target="https://www.sec.gov/Archives/edgar/data/1811210/000162828026003278/ex101-offerletteramendment.htm" TargetMode="External"/><Relationship Id="rId7" Type="http://schemas.openxmlformats.org/officeDocument/2006/relationships/hyperlink" Target="https://www.sec.gov/Archives/edgar/data/1811210/000162828026003278/ex101-offerletteramendment.htm" TargetMode="External"/><Relationship Id="rId8" Type="http://schemas.openxmlformats.org/officeDocument/2006/relationships/hyperlink" Target="https://www.sec.gov/Archives/edgar/data/1811210/000162828026003278/ex101-offerletteramendment.htm" TargetMode="External"/><Relationship Id="rId9" Type="http://schemas.openxmlformats.org/officeDocument/2006/relationships/hyperlink" Target="https://www.sec.gov/Archives/edgar/data/1811210/000110465926042847/tm2611666d2_ex10-1.htm" TargetMode="External"/><Relationship Id="rId10" Type="http://schemas.openxmlformats.org/officeDocument/2006/relationships/hyperlink" Target="https://www.sec.gov/Archives/edgar/data/1811210/000110465926042847/tm2611666d2_ex10-2.htm" TargetMode="External"/><Relationship Id="rId11" Type="http://schemas.openxmlformats.org/officeDocument/2006/relationships/hyperlink" Target="https://www.sec.gov/Archives/edgar/data/1811210/000110465926042847/tm2611666d2_ex10-3.htm" TargetMode="External"/><Relationship Id="rId12" Type="http://schemas.openxmlformats.org/officeDocument/2006/relationships/hyperlink" Target="https://www.sec.gov/Archives/edgar/data/1811210/000110465926042847/tm2611666d2_ex10-4.htm" TargetMode="External"/><Relationship Id="rId13" Type="http://schemas.openxmlformats.org/officeDocument/2006/relationships/hyperlink" Target="https://www.sec.gov/Archives/edgar/data/1811210/000110465926042873/tm2611666d3_ex1-1.htm" TargetMode="External"/><Relationship Id="rId14" Type="http://schemas.openxmlformats.org/officeDocument/2006/relationships/hyperlink" Target="https://www.sec.gov/Archives/edgar/data/1811210/000110465926051606/tm2611666d6_ex10-1.htm" TargetMode="External"/><Relationship Id="rId15" Type="http://schemas.openxmlformats.org/officeDocument/2006/relationships/hyperlink" Target="https://www.sec.gov/Archives/edgar/data/1811210/000110465926051606/tm2611666d6_ex10-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86318</Words>
  <Characters>485103</Characters>
  <CharactersWithSpaces>569328</CharactersWithSpaces>
  <Paragraphs>3147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