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p192775_4-lindenberg.xml.htm"/>
      <w:bookmarkStart w:id="1" w:name="ksdp192775_4lindenberg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43"/>
        <w:gridCol w:w="1930"/>
        <w:gridCol w:w="6099"/>
        <w:gridCol w:w="2033"/>
      </w:tblGrid>
      <w:tr>
        <w:trPr/>
        <w:tc>
          <w:tcPr>
            <w:tcW w:w="2073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6099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33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13"/>
            </w:tblGrid>
            <w:tr>
              <w:trPr/>
              <w:tc>
                <w:tcPr>
                  <w:tcW w:w="1913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3"/>
                    <w:gridCol w:w="684"/>
                  </w:tblGrid>
                  <w:tr>
                    <w:trPr/>
                    <w:tc>
                      <w:tcPr>
                        <w:tcW w:w="117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4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57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4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13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13"/>
            </w:tblGrid>
            <w:tr>
              <w:trPr/>
              <w:tc>
                <w:tcPr>
                  <w:tcW w:w="1913" w:type="dxa"/>
                  <w:tcBorders>
                    <w:top w:val="single" w:sz="6" w:space="0" w:color="808080"/>
                    <w:left w:val="single" w:sz="6" w:space="0" w:color="808080"/>
                    <w:bottom w:val="single" w:sz="6" w:space="0" w:color="808080"/>
                    <w:right w:val="single" w:sz="6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4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3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6099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33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2">
                    <w:r>
                      <w:rPr>
                        <w:rStyle w:val="InternetLink"/>
                      </w:rPr>
                      <w:t>Lindenberg Frank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LUCID GROUP,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7373 GATEWAY BOULEVARD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NEWARK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94560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Lucid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LCID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04/24/2023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tbl>
            <w:tblPr>
              <w:tblW w:w="500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spacing w:before="0" w:after="0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shd w:fill="auto" w:val="clear"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rPr>
                            <w:color w:val="0000FF"/>
                            <w:highlight w:val="white"/>
                          </w:rPr>
                        </w:pPr>
                        <w:r>
                          <w:rPr>
                            <w:color w:val="0000FF"/>
                            <w:highlight w:val="white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04/24/2023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1,058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7.03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19,973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 shares that have been withheld by the Issuer to satisfy income tax withholding and remittance obligations in connection with the vesting of restricted stock units reported on a Form 4 filed on June 13, 2022.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Jonathan Butler, as attorney-in-fact for Frank Lindenberg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04/26/2023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73272" TargetMode="External"/><Relationship Id="rId3" Type="http://schemas.openxmlformats.org/officeDocument/2006/relationships/hyperlink" Target="http://www.sec.gov/cgi-bin/browse-edgar?action=getcompany&amp;CIK=0001811210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598</Words>
  <CharactersWithSpaces>3784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