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568960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594995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15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6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Washington, D.C. 20549</w:t>
      </w:r>
    </w:p>
    <w:p>
      <w:pPr>
        <w:spacing w:after="0" w:line="16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17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231F20"/>
        </w:rPr>
        <w:t>CURRENT REPORT</w:t>
      </w:r>
    </w:p>
    <w:p>
      <w:pPr>
        <w:spacing w:after="0" w:line="3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231F20"/>
        </w:rPr>
        <w:t>Pursuant to Section 13 OR 15(d) of The Securities Exchange Act of 1934</w:t>
      </w:r>
    </w:p>
    <w:p>
      <w:pPr>
        <w:spacing w:after="0" w:line="21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Date of Report (date of earliest event reported): July 1, 2026</w:t>
      </w:r>
    </w:p>
    <w:p>
      <w:pPr>
        <w:spacing w:after="0" w:line="14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Lucid Group, Inc.</w:t>
      </w:r>
    </w:p>
    <w:p>
      <w:pPr>
        <w:spacing w:after="0" w:line="5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(Exact name of registrant as specified in its charter)</w:t>
      </w:r>
    </w:p>
    <w:p>
      <w:pPr>
        <w:spacing w:after="0" w:line="174" w:lineRule="exact"/>
        <w:rPr>
          <w:sz w:val="24"/>
          <w:szCs w:val="24"/>
          <w:color w:val="auto"/>
        </w:rPr>
      </w:pPr>
    </w:p>
    <w:tbl>
      <w:tblPr>
        <w:tblLayout w:type="fixed"/>
        <w:tblInd w:w="400" w:type="dxa"/>
        <w:tblCellMar>
          <w:top w:w="0" w:type="dxa"/>
          <w:left w:w="0" w:type="dxa"/>
          <w:bottom w:w="0" w:type="dxa"/>
          <w:right w:w="0" w:type="dxa"/>
        </w:tblCellMar>
      </w:tblPr>
      <w:tr>
        <w:trPr>
          <w:trHeight w:val="238"/>
        </w:trPr>
        <w:tc>
          <w:tcPr>
            <w:tcW w:w="3740" w:type="dxa"/>
            <w:vAlign w:val="bottom"/>
          </w:tcPr>
          <w:p>
            <w:pPr>
              <w:jc w:val="center"/>
              <w:ind w:right="71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30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001-39408</w:t>
            </w:r>
          </w:p>
        </w:tc>
        <w:tc>
          <w:tcPr>
            <w:tcW w:w="3540" w:type="dxa"/>
            <w:vAlign w:val="bottom"/>
          </w:tcPr>
          <w:p>
            <w:pPr>
              <w:jc w:val="right"/>
              <w:ind w:right="790"/>
              <w:spacing w:after="0"/>
              <w:rPr>
                <w:sz w:val="20"/>
                <w:szCs w:val="20"/>
                <w:color w:val="auto"/>
              </w:rPr>
            </w:pPr>
            <w:r>
              <w:rPr>
                <w:rFonts w:ascii="Times New Roman" w:cs="Times New Roman" w:eastAsia="Times New Roman" w:hAnsi="Times New Roman"/>
                <w:sz w:val="18"/>
                <w:szCs w:val="18"/>
                <w:b w:val="1"/>
                <w:bCs w:val="1"/>
                <w:color w:val="auto"/>
              </w:rPr>
              <w:t>85-0891392</w:t>
            </w:r>
          </w:p>
        </w:tc>
      </w:tr>
      <w:tr>
        <w:trPr>
          <w:trHeight w:val="252"/>
        </w:trPr>
        <w:tc>
          <w:tcPr>
            <w:tcW w:w="3740" w:type="dxa"/>
            <w:vAlign w:val="bottom"/>
          </w:tcPr>
          <w:p>
            <w:pPr>
              <w:jc w:val="center"/>
              <w:ind w:right="750"/>
              <w:spacing w:after="0"/>
              <w:rPr>
                <w:sz w:val="20"/>
                <w:szCs w:val="20"/>
                <w:color w:val="auto"/>
              </w:rPr>
            </w:pPr>
            <w:r>
              <w:rPr>
                <w:rFonts w:ascii="Times New Roman" w:cs="Times New Roman" w:eastAsia="Times New Roman" w:hAnsi="Times New Roman"/>
                <w:sz w:val="18"/>
                <w:szCs w:val="18"/>
                <w:color w:val="auto"/>
              </w:rPr>
              <w:t>(State or other jurisdiction of</w:t>
            </w:r>
          </w:p>
        </w:tc>
        <w:tc>
          <w:tcPr>
            <w:tcW w:w="300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rPr>
              <w:t>(Commission File</w:t>
            </w:r>
          </w:p>
        </w:tc>
        <w:tc>
          <w:tcPr>
            <w:tcW w:w="3540" w:type="dxa"/>
            <w:vAlign w:val="bottom"/>
          </w:tcPr>
          <w:p>
            <w:pPr>
              <w:jc w:val="center"/>
              <w:ind w:left="830"/>
              <w:spacing w:after="0"/>
              <w:rPr>
                <w:sz w:val="20"/>
                <w:szCs w:val="20"/>
                <w:color w:val="auto"/>
              </w:rPr>
            </w:pPr>
            <w:r>
              <w:rPr>
                <w:rFonts w:ascii="Times New Roman" w:cs="Times New Roman" w:eastAsia="Times New Roman" w:hAnsi="Times New Roman"/>
                <w:sz w:val="18"/>
                <w:szCs w:val="18"/>
                <w:color w:val="auto"/>
              </w:rPr>
              <w:t>(I.R.S. Employer Identification No.)</w:t>
            </w:r>
          </w:p>
        </w:tc>
      </w:tr>
      <w:tr>
        <w:trPr>
          <w:trHeight w:val="234"/>
        </w:trPr>
        <w:tc>
          <w:tcPr>
            <w:tcW w:w="3740" w:type="dxa"/>
            <w:vAlign w:val="bottom"/>
          </w:tcPr>
          <w:p>
            <w:pPr>
              <w:jc w:val="center"/>
              <w:ind w:right="710"/>
              <w:spacing w:after="0"/>
              <w:rPr>
                <w:sz w:val="20"/>
                <w:szCs w:val="20"/>
                <w:color w:val="auto"/>
              </w:rPr>
            </w:pPr>
            <w:r>
              <w:rPr>
                <w:rFonts w:ascii="Times New Roman" w:cs="Times New Roman" w:eastAsia="Times New Roman" w:hAnsi="Times New Roman"/>
                <w:sz w:val="18"/>
                <w:szCs w:val="18"/>
                <w:color w:val="auto"/>
              </w:rPr>
              <w:t>incorporation or organization)</w:t>
            </w:r>
          </w:p>
        </w:tc>
        <w:tc>
          <w:tcPr>
            <w:tcW w:w="30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Number)</w:t>
            </w:r>
          </w:p>
        </w:tc>
        <w:tc>
          <w:tcPr>
            <w:tcW w:w="3540" w:type="dxa"/>
            <w:vAlign w:val="bottom"/>
          </w:tcPr>
          <w:p>
            <w:pPr>
              <w:spacing w:after="0"/>
              <w:rPr>
                <w:sz w:val="20"/>
                <w:szCs w:val="20"/>
                <w:color w:val="auto"/>
              </w:rPr>
            </w:pPr>
          </w:p>
        </w:tc>
      </w:tr>
      <w:tr>
        <w:trPr>
          <w:trHeight w:val="410"/>
        </w:trPr>
        <w:tc>
          <w:tcPr>
            <w:tcW w:w="3740" w:type="dxa"/>
            <w:vAlign w:val="bottom"/>
          </w:tcPr>
          <w:p>
            <w:pPr>
              <w:jc w:val="center"/>
              <w:ind w:right="710"/>
              <w:spacing w:after="0"/>
              <w:rPr>
                <w:sz w:val="20"/>
                <w:szCs w:val="20"/>
                <w:color w:val="auto"/>
              </w:rPr>
            </w:pPr>
            <w:r>
              <w:rPr>
                <w:rFonts w:ascii="Times New Roman" w:cs="Times New Roman" w:eastAsia="Times New Roman" w:hAnsi="Times New Roman"/>
                <w:sz w:val="18"/>
                <w:szCs w:val="18"/>
                <w:b w:val="1"/>
                <w:bCs w:val="1"/>
                <w:color w:val="auto"/>
              </w:rPr>
              <w:t>7373 Gateway Boulevard</w:t>
            </w:r>
          </w:p>
        </w:tc>
        <w:tc>
          <w:tcPr>
            <w:tcW w:w="3000" w:type="dxa"/>
            <w:vAlign w:val="bottom"/>
          </w:tcPr>
          <w:p>
            <w:pPr>
              <w:spacing w:after="0"/>
              <w:rPr>
                <w:sz w:val="24"/>
                <w:szCs w:val="24"/>
                <w:color w:val="auto"/>
              </w:rPr>
            </w:pPr>
          </w:p>
        </w:tc>
        <w:tc>
          <w:tcPr>
            <w:tcW w:w="3540" w:type="dxa"/>
            <w:vAlign w:val="bottom"/>
          </w:tcPr>
          <w:p>
            <w:pPr>
              <w:spacing w:after="0"/>
              <w:rPr>
                <w:sz w:val="24"/>
                <w:szCs w:val="24"/>
                <w:color w:val="auto"/>
              </w:rPr>
            </w:pPr>
          </w:p>
        </w:tc>
      </w:tr>
      <w:tr>
        <w:trPr>
          <w:trHeight w:val="238"/>
        </w:trPr>
        <w:tc>
          <w:tcPr>
            <w:tcW w:w="3740" w:type="dxa"/>
            <w:vAlign w:val="bottom"/>
          </w:tcPr>
          <w:p>
            <w:pPr>
              <w:jc w:val="center"/>
              <w:ind w:right="690"/>
              <w:spacing w:after="0"/>
              <w:rPr>
                <w:sz w:val="20"/>
                <w:szCs w:val="20"/>
                <w:color w:val="auto"/>
              </w:rPr>
            </w:pPr>
            <w:r>
              <w:rPr>
                <w:rFonts w:ascii="Times New Roman" w:cs="Times New Roman" w:eastAsia="Times New Roman" w:hAnsi="Times New Roman"/>
                <w:sz w:val="18"/>
                <w:szCs w:val="18"/>
                <w:b w:val="1"/>
                <w:bCs w:val="1"/>
                <w:color w:val="auto"/>
                <w:w w:val="99"/>
              </w:rPr>
              <w:t>Newark, CA</w:t>
            </w:r>
          </w:p>
        </w:tc>
        <w:tc>
          <w:tcPr>
            <w:tcW w:w="3000" w:type="dxa"/>
            <w:vAlign w:val="bottom"/>
          </w:tcPr>
          <w:p>
            <w:pPr>
              <w:spacing w:after="0"/>
              <w:rPr>
                <w:sz w:val="20"/>
                <w:szCs w:val="20"/>
                <w:color w:val="auto"/>
              </w:rPr>
            </w:pPr>
          </w:p>
        </w:tc>
        <w:tc>
          <w:tcPr>
            <w:tcW w:w="3540" w:type="dxa"/>
            <w:vAlign w:val="bottom"/>
          </w:tcPr>
          <w:p>
            <w:pPr>
              <w:jc w:val="right"/>
              <w:ind w:right="1010"/>
              <w:spacing w:after="0"/>
              <w:rPr>
                <w:sz w:val="20"/>
                <w:szCs w:val="20"/>
                <w:color w:val="auto"/>
              </w:rPr>
            </w:pPr>
            <w:r>
              <w:rPr>
                <w:rFonts w:ascii="Times New Roman" w:cs="Times New Roman" w:eastAsia="Times New Roman" w:hAnsi="Times New Roman"/>
                <w:sz w:val="18"/>
                <w:szCs w:val="18"/>
                <w:b w:val="1"/>
                <w:bCs w:val="1"/>
                <w:color w:val="auto"/>
              </w:rPr>
              <w:t>94560</w:t>
            </w:r>
          </w:p>
        </w:tc>
      </w:tr>
      <w:tr>
        <w:trPr>
          <w:trHeight w:val="270"/>
        </w:trPr>
        <w:tc>
          <w:tcPr>
            <w:tcW w:w="3740" w:type="dxa"/>
            <w:vAlign w:val="bottom"/>
          </w:tcPr>
          <w:p>
            <w:pPr>
              <w:jc w:val="center"/>
              <w:ind w:right="710"/>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3000" w:type="dxa"/>
            <w:vAlign w:val="bottom"/>
          </w:tcPr>
          <w:p>
            <w:pPr>
              <w:spacing w:after="0"/>
              <w:rPr>
                <w:sz w:val="23"/>
                <w:szCs w:val="23"/>
                <w:color w:val="auto"/>
              </w:rPr>
            </w:pPr>
          </w:p>
        </w:tc>
        <w:tc>
          <w:tcPr>
            <w:tcW w:w="3540" w:type="dxa"/>
            <w:vAlign w:val="bottom"/>
          </w:tcPr>
          <w:p>
            <w:pPr>
              <w:jc w:val="center"/>
              <w:ind w:left="810"/>
              <w:spacing w:after="0"/>
              <w:rPr>
                <w:sz w:val="20"/>
                <w:szCs w:val="20"/>
                <w:color w:val="auto"/>
              </w:rPr>
            </w:pPr>
            <w:r>
              <w:rPr>
                <w:rFonts w:ascii="Times New Roman" w:cs="Times New Roman" w:eastAsia="Times New Roman" w:hAnsi="Times New Roman"/>
                <w:sz w:val="18"/>
                <w:szCs w:val="18"/>
                <w:color w:val="auto"/>
              </w:rPr>
              <w:t>(Zip Code)</w:t>
            </w:r>
          </w:p>
        </w:tc>
      </w:tr>
    </w:tbl>
    <w:p>
      <w:pPr>
        <w:spacing w:after="0" w:line="24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(510) 648-3553</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231F20"/>
        </w:rPr>
        <w:t>(Former name or former address, if changed since last report.)</w:t>
      </w:r>
    </w:p>
    <w:p>
      <w:pPr>
        <w:spacing w:after="0" w:line="126" w:lineRule="exact"/>
        <w:rPr>
          <w:sz w:val="24"/>
          <w:szCs w:val="24"/>
          <w:color w:val="auto"/>
        </w:rPr>
      </w:pPr>
    </w:p>
    <w:p>
      <w:pPr>
        <w:ind w:right="680"/>
        <w:spacing w:after="0" w:line="258"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5" w:lineRule="exact"/>
        <w:rPr>
          <w:rFonts w:ascii="MS PGothic" w:cs="MS PGothic" w:eastAsia="MS PGothic" w:hAnsi="MS PGothic"/>
          <w:sz w:val="18"/>
          <w:szCs w:val="18"/>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231F20"/>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231F20"/>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231F20"/>
        </w:rPr>
        <w:t>Pre-commencement communications pursuant to Rule 13e-4(c) under the Exchange Act (17 CFR 240.13e-4(c))</w:t>
      </w:r>
    </w:p>
    <w:p>
      <w:pPr>
        <w:spacing w:after="0" w:line="138"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52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17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140" w:type="dxa"/>
            <w:vAlign w:val="bottom"/>
          </w:tcPr>
          <w:p>
            <w:pPr>
              <w:spacing w:after="0"/>
              <w:rPr>
                <w:sz w:val="20"/>
                <w:szCs w:val="20"/>
                <w:color w:val="auto"/>
              </w:rPr>
            </w:pPr>
          </w:p>
        </w:tc>
      </w:tr>
      <w:tr>
        <w:trPr>
          <w:trHeight w:val="378"/>
        </w:trPr>
        <w:tc>
          <w:tcPr>
            <w:tcW w:w="340" w:type="dxa"/>
            <w:vAlign w:val="bottom"/>
          </w:tcPr>
          <w:p>
            <w:pPr>
              <w:spacing w:after="0"/>
              <w:rPr>
                <w:sz w:val="24"/>
                <w:szCs w:val="24"/>
                <w:color w:val="auto"/>
              </w:rPr>
            </w:pPr>
          </w:p>
        </w:tc>
        <w:tc>
          <w:tcPr>
            <w:tcW w:w="49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18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41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7"/>
        </w:trPr>
        <w:tc>
          <w:tcPr>
            <w:tcW w:w="340" w:type="dxa"/>
            <w:vAlign w:val="bottom"/>
          </w:tcPr>
          <w:p>
            <w:pPr>
              <w:spacing w:after="0"/>
              <w:rPr>
                <w:sz w:val="2"/>
                <w:szCs w:val="2"/>
                <w:color w:val="auto"/>
              </w:rPr>
            </w:pPr>
          </w:p>
        </w:tc>
        <w:tc>
          <w:tcPr>
            <w:tcW w:w="4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140" w:type="dxa"/>
            <w:vAlign w:val="bottom"/>
            <w:tcBorders>
              <w:bottom w:val="single" w:sz="8" w:color="auto"/>
            </w:tcBorders>
          </w:tcPr>
          <w:p>
            <w:pPr>
              <w:spacing w:after="0"/>
              <w:rPr>
                <w:sz w:val="2"/>
                <w:szCs w:val="2"/>
                <w:color w:val="auto"/>
              </w:rPr>
            </w:pPr>
          </w:p>
        </w:tc>
      </w:tr>
      <w:tr>
        <w:trPr>
          <w:trHeight w:val="236"/>
        </w:trPr>
        <w:tc>
          <w:tcPr>
            <w:tcW w:w="340" w:type="dxa"/>
            <w:vAlign w:val="bottom"/>
          </w:tcPr>
          <w:p>
            <w:pPr>
              <w:spacing w:after="0"/>
              <w:rPr>
                <w:sz w:val="20"/>
                <w:szCs w:val="20"/>
                <w:color w:val="auto"/>
              </w:rPr>
            </w:pPr>
          </w:p>
        </w:tc>
        <w:tc>
          <w:tcPr>
            <w:tcW w:w="49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Class A Common Stock, $0.0001 par value per share</w:t>
            </w:r>
          </w:p>
        </w:tc>
        <w:tc>
          <w:tcPr>
            <w:tcW w:w="18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LCID</w:t>
            </w:r>
          </w:p>
        </w:tc>
        <w:tc>
          <w:tcPr>
            <w:tcW w:w="4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bl>
    <w:p>
      <w:pPr>
        <w:spacing w:after="0" w:line="252" w:lineRule="exact"/>
        <w:rPr>
          <w:sz w:val="24"/>
          <w:szCs w:val="24"/>
          <w:color w:val="auto"/>
        </w:rPr>
      </w:pPr>
    </w:p>
    <w:p>
      <w:pPr>
        <w:ind w:right="520"/>
        <w:spacing w:after="0" w:line="258"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ind w:left="9060"/>
        <w:spacing w:after="0" w:line="196" w:lineRule="exact"/>
        <w:rPr>
          <w:sz w:val="20"/>
          <w:szCs w:val="20"/>
          <w:color w:val="auto"/>
        </w:rPr>
      </w:pPr>
      <w:r>
        <w:rPr>
          <w:rFonts w:ascii="Times New Roman" w:cs="Times New Roman" w:eastAsia="Times New Roman" w:hAnsi="Times New Roman"/>
          <w:sz w:val="17"/>
          <w:szCs w:val="17"/>
          <w:color w:val="231F20"/>
        </w:rPr>
        <w:t xml:space="preserve">Emerging growth company </w:t>
      </w:r>
      <w:r>
        <w:rPr>
          <w:rFonts w:ascii="MS PGothic" w:cs="MS PGothic" w:eastAsia="MS PGothic" w:hAnsi="MS PGothic"/>
          <w:sz w:val="17"/>
          <w:szCs w:val="17"/>
          <w:color w:val="000000"/>
        </w:rPr>
        <w:t>☐</w:t>
      </w:r>
    </w:p>
    <w:p>
      <w:pPr>
        <w:spacing w:after="0" w:line="156" w:lineRule="exact"/>
        <w:rPr>
          <w:sz w:val="24"/>
          <w:szCs w:val="24"/>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w:t>
      </w:r>
    </w:p>
    <w:p>
      <w:pPr>
        <w:jc w:val="right"/>
        <w:spacing w:after="0" w:line="181" w:lineRule="exact"/>
        <w:rPr>
          <w:sz w:val="20"/>
          <w:szCs w:val="20"/>
          <w:color w:val="auto"/>
        </w:rPr>
      </w:pP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741680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111760</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186"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2.02 Results of Operations and Financial Condition.</w:t>
      </w:r>
    </w:p>
    <w:p>
      <w:pPr>
        <w:spacing w:after="0" w:line="202"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On July 2, 2026, Lucid Group, Inc. (the “Company”) issued a press release announcing its production and delivery totals for the quarter ended June 30, 2026, and several organizational and leadership changes. A copy of the press release is attached as Exhibit 99.1 to this Current Report on Form 8-K and is incorporated by reference herein.</w:t>
      </w:r>
    </w:p>
    <w:p>
      <w:pPr>
        <w:spacing w:after="0" w:line="13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The information contained in this Item 2.02 shall not be deemed “filed” for purposes of Section 18 of the Securities Exchange Act of 1934, as amended (the </w:t>
      </w:r>
      <w:r>
        <w:rPr>
          <w:rFonts w:ascii="Times New Roman" w:cs="Times New Roman" w:eastAsia="Times New Roman" w:hAnsi="Times New Roman"/>
          <w:sz w:val="18"/>
          <w:szCs w:val="18"/>
          <w:b w:val="1"/>
          <w:bCs w:val="1"/>
          <w:i w:val="1"/>
          <w:iCs w:val="1"/>
          <w:color w:val="auto"/>
        </w:rPr>
        <w:t>“Exchange Act”</w:t>
      </w:r>
      <w:r>
        <w:rPr>
          <w:rFonts w:ascii="Times New Roman" w:cs="Times New Roman" w:eastAsia="Times New Roman" w:hAnsi="Times New Roman"/>
          <w:sz w:val="18"/>
          <w:szCs w:val="18"/>
          <w:color w:val="auto"/>
        </w:rPr>
        <w:t>), or otherwise subject to the liabilities of that section, nor shall it be deemed incorporated by reference in any filing under the Securities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Act of 1933, as amended, or the Exchange Act, regardless of any general incorporation language in such filing.</w:t>
      </w:r>
    </w:p>
    <w:p>
      <w:pPr>
        <w:spacing w:after="0" w:line="131" w:lineRule="exact"/>
        <w:rPr>
          <w:sz w:val="20"/>
          <w:szCs w:val="20"/>
          <w:color w:val="auto"/>
        </w:rPr>
      </w:pPr>
    </w:p>
    <w:p>
      <w:pPr>
        <w:ind w:right="300"/>
        <w:spacing w:after="0" w:line="286" w:lineRule="auto"/>
        <w:rPr>
          <w:sz w:val="20"/>
          <w:szCs w:val="20"/>
          <w:color w:val="auto"/>
        </w:rPr>
      </w:pPr>
      <w:r>
        <w:rPr>
          <w:rFonts w:ascii="Times New Roman" w:cs="Times New Roman" w:eastAsia="Times New Roman" w:hAnsi="Times New Roman"/>
          <w:sz w:val="18"/>
          <w:szCs w:val="18"/>
          <w:b w:val="1"/>
          <w:bCs w:val="1"/>
          <w:color w:val="auto"/>
        </w:rPr>
        <w:t>Item 5.02 Departure of Directors or Certain Officers; Election of Directors; Appointment of Certain Officers; Compensatory Arrangements of Certain Officers.</w:t>
      </w:r>
    </w:p>
    <w:p>
      <w:pPr>
        <w:spacing w:after="0" w:line="128"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On July 1, 2026, the Company’s Board of Directors (the “</w:t>
      </w:r>
      <w:r>
        <w:rPr>
          <w:rFonts w:ascii="Times New Roman" w:cs="Times New Roman" w:eastAsia="Times New Roman" w:hAnsi="Times New Roman"/>
          <w:sz w:val="18"/>
          <w:szCs w:val="18"/>
          <w:b w:val="1"/>
          <w:bCs w:val="1"/>
          <w:i w:val="1"/>
          <w:iCs w:val="1"/>
          <w:color w:val="auto"/>
        </w:rPr>
        <w:t>Board</w:t>
      </w:r>
      <w:r>
        <w:rPr>
          <w:rFonts w:ascii="Times New Roman" w:cs="Times New Roman" w:eastAsia="Times New Roman" w:hAnsi="Times New Roman"/>
          <w:sz w:val="18"/>
          <w:szCs w:val="18"/>
          <w:color w:val="auto"/>
        </w:rPr>
        <w:t>”) appointed Alexander De Bock as its incoming Chief Financial Officer. Mr. De Bock is expected to join the Company in the coming weeks (the date he commences his employment with the Company, the “</w:t>
      </w:r>
      <w:r>
        <w:rPr>
          <w:rFonts w:ascii="Times New Roman" w:cs="Times New Roman" w:eastAsia="Times New Roman" w:hAnsi="Times New Roman"/>
          <w:sz w:val="18"/>
          <w:szCs w:val="18"/>
          <w:b w:val="1"/>
          <w:bCs w:val="1"/>
          <w:i w:val="1"/>
          <w:iCs w:val="1"/>
          <w:color w:val="auto"/>
        </w:rPr>
        <w:t>Start Date</w:t>
      </w:r>
      <w:r>
        <w:rPr>
          <w:rFonts w:ascii="Times New Roman" w:cs="Times New Roman" w:eastAsia="Times New Roman" w:hAnsi="Times New Roman"/>
          <w:sz w:val="18"/>
          <w:szCs w:val="18"/>
          <w:color w:val="auto"/>
        </w:rPr>
        <w:t>”) and will report to Silvio Napoli, the Company’s Chief Executive Officer. Taoufiq Boussaid, the Company’s current Chief Financial Officer will leave the Company after a transition period following the Company’s Q2 2026 earnings. Mr. Boussaid's departure is not related to any disagreements with the Company on any matter relating to its operations, policies, or practices (financial or otherwise), or any issues regarding financial disclosures, accounting or legal matters.</w:t>
      </w:r>
    </w:p>
    <w:p>
      <w:pPr>
        <w:spacing w:after="0" w:line="14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Mr. De Bock, age 49, has served as the Chief Financial Officer of Metalsa, a leading manufacturer of automotive components specializing in chassis structures for light and commercial vehicles, since June 2026. Previously, he served as the Chief Financial Officer of TI Automotive, a leading global automotive Tier 1 supplier of safety and performance critical products, from April 2025 to February 2026. Prior to the formation of TI Automotive following ABC Technologies' acquisition of TI Fluid Systems, he served as Chief Financial Officer and Executive Director of TI Fluid Systems, from April 2023 to April 2025 (formerly LON: TIFS). From June 2020 to March 2023, Mr. De Bock served as Chief Financial Officer of the Commercial Vehicle Division of ZF Group, a market leader in safety, efficiency and connectivity solutions for medium and heavy-duty vehicles, and as a member of the board of directors of ZF Commercial Vehicle Control System India Ltd. Prior to ZF Friedrichshafen AG's acquisition of WABCO Holdings Inc., a supplier of commercial vehicle technologies and systems, in May 2020, Mr. De Bock held various finance leadership positions at WABCO Holdings Inc. from July 2007 to May 2020, including Corporate Treasurer and Vice President, Financial Planning &amp; Analysis from June 2018 to May 2020 and Interim Chief Financial Officer from September 2017 to June 2018 (formerly NYSE: WBC). Earlier in his career, Mr. De Bock held internal audit positions with American Standard and Audit &amp; Assurance roles with Arthur Andersen &amp; Co. Mr. De Bock holds an M.A. in Applied Economics from the University of Antwerp, Belgium.</w:t>
      </w:r>
    </w:p>
    <w:p>
      <w:pPr>
        <w:spacing w:after="0" w:line="14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connection with his appointment, Mr. De Bock will receive the following compensation, among other things: (i) an annual base salary of $750,000; (ii) a target incentive bonus opportunity of 150% of his base salary, provided that, for calendar year 2026, such bonus shall be paid out based on the greater of (x) 150% of base salary and (y) actual achievement, in each case, prorated based on the Start Date; (iii) a cash signing bonus in the amount of $1,100,000 to be paid within thirty days of the Start Date; (iv) a cash signing bonus in the amount of $600,000 to be paid in January 2027, subject to his continued employment with the Company; (v) initial equity grants described below; (vi) performance cash bonus described below; (vii) eligibility to participate in the Lucid Group, Inc. Executive Severance Benefit Plan (the “</w:t>
      </w:r>
      <w:r>
        <w:rPr>
          <w:rFonts w:ascii="Times New Roman" w:cs="Times New Roman" w:eastAsia="Times New Roman" w:hAnsi="Times New Roman"/>
          <w:sz w:val="18"/>
          <w:szCs w:val="18"/>
          <w:b w:val="1"/>
          <w:bCs w:val="1"/>
          <w:i w:val="1"/>
          <w:iCs w:val="1"/>
          <w:color w:val="auto"/>
        </w:rPr>
        <w:t>Severance Plan</w:t>
      </w:r>
      <w:r>
        <w:rPr>
          <w:rFonts w:ascii="Times New Roman" w:cs="Times New Roman" w:eastAsia="Times New Roman" w:hAnsi="Times New Roman"/>
          <w:sz w:val="18"/>
          <w:szCs w:val="18"/>
          <w:color w:val="auto"/>
        </w:rPr>
        <w:t>”), and in addition to any severance benefits available under such plan and to the extent not duplicative, if he is terminated without Cause or experiences a Constructive Termination (each as defined in the Severance Plan), subject to satisfaction of the applicable release requirements, he is eligible to receive (x) 75% of his annual target bonus and (y) immediate vesting of one-third of his then-unvested stock awards, with any unvested and unearned performance-based RSUs (“</w:t>
      </w:r>
      <w:r>
        <w:rPr>
          <w:rFonts w:ascii="Times New Roman" w:cs="Times New Roman" w:eastAsia="Times New Roman" w:hAnsi="Times New Roman"/>
          <w:sz w:val="18"/>
          <w:szCs w:val="18"/>
          <w:b w:val="1"/>
          <w:bCs w:val="1"/>
          <w:i w:val="1"/>
          <w:iCs w:val="1"/>
          <w:color w:val="auto"/>
        </w:rPr>
        <w:t>PSUs</w:t>
      </w:r>
      <w:r>
        <w:rPr>
          <w:rFonts w:ascii="Times New Roman" w:cs="Times New Roman" w:eastAsia="Times New Roman" w:hAnsi="Times New Roman"/>
          <w:sz w:val="18"/>
          <w:szCs w:val="18"/>
          <w:color w:val="auto"/>
        </w:rPr>
        <w:t>”) deemed service-vested and payable based on actual achievement of the applicable performance conditions; (viii) reimbursement of up to $15,000 per month for six months for temporary housing expenses, grossed up for taxes; (ix) reimbursement for certain number of flights between the Bay Area and the Detroit metropolitan area between the Start Date and February 1, 2027; and (x) provision of a Company vehicle, tax and financial planning, and relocation support.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1370965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3" w:right="339" w:bottom="1440" w:gutter="0" w:footer="0" w:header="0"/>
        </w:sectPr>
      </w:pPr>
    </w:p>
    <w:bookmarkStart w:id="2" w:name="page3"/>
    <w:bookmarkEnd w:id="2"/>
    <w:p>
      <w:pPr>
        <w:jc w:val="both"/>
        <w:spacing w:after="0" w:line="258" w:lineRule="auto"/>
        <w:rPr>
          <w:sz w:val="20"/>
          <w:szCs w:val="20"/>
          <w:color w:val="auto"/>
        </w:rPr>
      </w:pPr>
      <w:r>
        <w:rPr>
          <w:rFonts w:ascii="Times New Roman" w:cs="Times New Roman" w:eastAsia="Times New Roman" w:hAnsi="Times New Roman"/>
          <w:sz w:val="18"/>
          <w:szCs w:val="18"/>
          <w:color w:val="auto"/>
        </w:rPr>
        <w:t>Mr. De Bock will receive initial equity grants with an aggregate target grant value of $7,500,000, allocated as (i) $2,500,000 in the form of restricted stock units (“</w:t>
      </w:r>
      <w:r>
        <w:rPr>
          <w:rFonts w:ascii="Times New Roman" w:cs="Times New Roman" w:eastAsia="Times New Roman" w:hAnsi="Times New Roman"/>
          <w:sz w:val="18"/>
          <w:szCs w:val="18"/>
          <w:b w:val="1"/>
          <w:bCs w:val="1"/>
          <w:i w:val="1"/>
          <w:iCs w:val="1"/>
          <w:color w:val="auto"/>
        </w:rPr>
        <w:t>RSUs</w:t>
      </w:r>
      <w:r>
        <w:rPr>
          <w:rFonts w:ascii="Times New Roman" w:cs="Times New Roman" w:eastAsia="Times New Roman" w:hAnsi="Times New Roman"/>
          <w:sz w:val="18"/>
          <w:szCs w:val="18"/>
          <w:color w:val="auto"/>
        </w:rPr>
        <w:t>”) that vest over four years, with 25% vesting on a one-year cliff and the remainder vesting quarterly in 12 installments thereafter, and (ii) $5,000,000 in the form of PSUs subject to the terms of the Company’s 2026 PSU program to be established and approved by the Board. Mr. De Bock will be eligible to receive future annual long-term incentive awards, beginning in 2027, with a target grant value of $2,000,000, subject to adjustment in the Board’s discretion.</w:t>
      </w:r>
    </w:p>
    <w:p>
      <w:pPr>
        <w:spacing w:after="0" w:line="152"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262626"/>
        </w:rPr>
        <w:t>Mr. De Bock is also eligible to receive a performance-based cash bonus (“</w:t>
      </w:r>
      <w:r>
        <w:rPr>
          <w:rFonts w:ascii="Times New Roman" w:cs="Times New Roman" w:eastAsia="Times New Roman" w:hAnsi="Times New Roman"/>
          <w:sz w:val="18"/>
          <w:szCs w:val="18"/>
          <w:b w:val="1"/>
          <w:bCs w:val="1"/>
          <w:i w:val="1"/>
          <w:iCs w:val="1"/>
          <w:color w:val="262626"/>
        </w:rPr>
        <w:t>Performance Cash Bonus</w:t>
      </w:r>
      <w:r>
        <w:rPr>
          <w:rFonts w:ascii="Times New Roman" w:cs="Times New Roman" w:eastAsia="Times New Roman" w:hAnsi="Times New Roman"/>
          <w:sz w:val="18"/>
          <w:szCs w:val="18"/>
          <w:color w:val="262626"/>
        </w:rPr>
        <w:t>”), segmented into five equal tranches of $500,000, with a maximum payout opportunity of $2,500,000 if maximum performance is achieved between the Start Date and the fourth anniversary of the Start Date (“</w:t>
      </w:r>
      <w:r>
        <w:rPr>
          <w:rFonts w:ascii="Times New Roman" w:cs="Times New Roman" w:eastAsia="Times New Roman" w:hAnsi="Times New Roman"/>
          <w:sz w:val="18"/>
          <w:szCs w:val="18"/>
          <w:b w:val="1"/>
          <w:bCs w:val="1"/>
          <w:i w:val="1"/>
          <w:iCs w:val="1"/>
          <w:color w:val="262626"/>
        </w:rPr>
        <w:t>Performance Period</w:t>
      </w:r>
      <w:r>
        <w:rPr>
          <w:rFonts w:ascii="Times New Roman" w:cs="Times New Roman" w:eastAsia="Times New Roman" w:hAnsi="Times New Roman"/>
          <w:sz w:val="18"/>
          <w:szCs w:val="18"/>
          <w:color w:val="262626"/>
        </w:rPr>
        <w:t>”) and both time-based and performance-based vesting conditions applicable to such tranche are met. The performance-based vesting condition for each tranche will be satisfied based on achievement of a Market Capitalization Performance Hurdle of $5.0 billion, $7.5 billion, $10.0 billion, $12.5 billion and $17.5 billion, for tranche 1, 2, 3, 4, and 5, respectively.</w:t>
      </w:r>
    </w:p>
    <w:p>
      <w:pPr>
        <w:spacing w:after="0" w:line="13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color w:val="262626"/>
        </w:rPr>
        <w:t>The “</w:t>
      </w:r>
      <w:r>
        <w:rPr>
          <w:rFonts w:ascii="Times New Roman" w:cs="Times New Roman" w:eastAsia="Times New Roman" w:hAnsi="Times New Roman"/>
          <w:sz w:val="18"/>
          <w:szCs w:val="18"/>
          <w:b w:val="1"/>
          <w:bCs w:val="1"/>
          <w:i w:val="1"/>
          <w:iCs w:val="1"/>
          <w:color w:val="262626"/>
        </w:rPr>
        <w:t>Market Capitalization Performance Hurdle</w:t>
      </w:r>
      <w:r>
        <w:rPr>
          <w:rFonts w:ascii="Times New Roman" w:cs="Times New Roman" w:eastAsia="Times New Roman" w:hAnsi="Times New Roman"/>
          <w:sz w:val="18"/>
          <w:szCs w:val="18"/>
          <w:color w:val="262626"/>
        </w:rPr>
        <w:t>” involves achievement of the volume-weighted average of the Company’s market capitalization for 60 consecutive trading days, as defined in, and as calculated in accordance with Mr. De Bock’s offer letter with the Company.</w:t>
      </w:r>
    </w:p>
    <w:p>
      <w:pPr>
        <w:spacing w:after="0" w:line="11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262626"/>
        </w:rPr>
        <w:t>A given tranche vests upon the later of (x) the tranche’s time-based vesting date (which is the second anniversary of the Start Date for tranche 1, third anniversary of the Start Date for tranches 2 and 3 and fourth anniversary of the Start Date for tranches 4 and 5) and (y) certification of achievement of the Market Capitalization Performance Hurdle, in each case, subject to Mr. De Bock’s continued employment with the Company.</w:t>
      </w:r>
    </w:p>
    <w:p>
      <w:pPr>
        <w:spacing w:after="0" w:line="14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There is no arrangement or understanding with any person pursuant to which Mr. De Bock was appointed as Chief Financial Officer, and there are no family relationships between Mr. De Bock and any director or executive officer of the Company. Additionally, there are no transactions between Mr. De Bock and the Company and/or its subsidiaries that would be required to be reported under Item 404(a) of Regulation S-K.</w:t>
      </w:r>
    </w:p>
    <w:p>
      <w:pPr>
        <w:spacing w:after="0" w:line="13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foregoing description of Mr. De Bock's compensation arrangements is qualified in its entirety by reference to the offer letter entered into between the Company and Mr. De Bock, a copy of which will be filed as an exhibit to the Company’s Quarterly Report on Form 10-Q for the fiscal quarter ending September 30, 2026, and is incorporated herein by reference.</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7.01 Regulation FD Disclosure.</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information under Item 2.02 above is incorporated herein by reference.</w:t>
      </w:r>
    </w:p>
    <w:p>
      <w:pPr>
        <w:spacing w:after="0" w:line="185"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The information contained in this Item 7.01 and Exhibit 99.1 attached hereto shall not be deemed “filed” for purposes of Section 18 of the Exchange Act, or otherwise subject to the liabilities of that section, nor shall it be deemed incorporated by reference in any filing under the Securities Act of 1933, as amended, or the Exchange Act, regardless of any general incorporation language in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822325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i w:val="1"/>
          <w:iCs w:val="1"/>
          <w:color w:val="auto"/>
        </w:rPr>
        <w:t>Forward-Looking Statements</w:t>
      </w:r>
    </w:p>
    <w:p>
      <w:pPr>
        <w:spacing w:after="0" w:line="200"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This report includes “forward-looking statements” within the meaning of the “safe harbor” provisions of the United States Private Securities Litigation Reform Act of 1995. Forward-looking statements may be identified by the use of words such as “estimate,” “plan,” “project,” “forecast,” “intend,” “will,” “shall,” “expect,” “anticipate,” “believe,” “seek,” “target,” “continue,” “could,” “may,” “might,” “possible,” “potential,” “predict” or other similar expressions that predict or indicate future events or trends or that are not statements of historical matters. These forward-looking statements include, but are not limited to, statements regarding the employment of Mr. De Bock and Mr. Boussaid and the anticipated timeline and compensation, as well as the other organizational and leadership changes. These forward-looking statements are not intended to serve as, and must not be relied on by any investor as, a guarantee, an assurance, or a definitive statement of fact or probability. Actual events and circumstances are difficult or impossible to predict and may differ from these forward-looking statements. Many actual events and circumstances are beyond the control of the Company. These forward-looking statements are subject to a number of risks and uncertainties, including those factors discussed under the cautionary language and the Risk Factors in our Annual Report on Form 10-K for the year ended December 31, 2025, subsequent Quarterly Reports on Form 10-Q, Current Reports on Form 8-K, and other documents the Company has filed or will file with the Securities and Exchange Commission. If any of these risks materialize or the Company’s assumptions prove incorrect, actual results could differ materially from the results implied by these forward-looking statements. There may be additional risks that the Company currently does not know or that the Company currently believes are immaterial that could also cause actual results to differ from those contained in the forward-looking statements. In addition, forward-looking statements reflect the Company’s expectations, plans or forecasts of future events and views as of the date of this report. The Company anticipates that subsequent events and developments will cause the Company’s assessments to change. However, while the Company may elect to update these forward-looking statements at some point in the future, the Company specifically disclaims any obligation to do so. These forward-looking statements should not be relied upon as representing the Company’s assessments as of any date subsequent to the date of this report. Accordingly, undue reliance should not be placed upon the forward-looking statements.</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(d) Exhibits</w:t>
            </w:r>
          </w:p>
        </w:tc>
        <w:tc>
          <w:tcPr>
            <w:tcW w:w="2860" w:type="dxa"/>
            <w:vAlign w:val="bottom"/>
          </w:tcPr>
          <w:p>
            <w:pPr>
              <w:spacing w:after="0"/>
              <w:rPr>
                <w:sz w:val="20"/>
                <w:szCs w:val="20"/>
                <w:color w:val="auto"/>
              </w:rPr>
            </w:pPr>
          </w:p>
        </w:tc>
        <w:tc>
          <w:tcPr>
            <w:tcW w:w="7140" w:type="dxa"/>
            <w:vAlign w:val="bottom"/>
          </w:tcPr>
          <w:p>
            <w:pPr>
              <w:spacing w:after="0"/>
              <w:rPr>
                <w:sz w:val="20"/>
                <w:szCs w:val="20"/>
                <w:color w:val="auto"/>
              </w:rPr>
            </w:pPr>
          </w:p>
        </w:tc>
      </w:tr>
      <w:tr>
        <w:trPr>
          <w:trHeight w:val="437"/>
        </w:trPr>
        <w:tc>
          <w:tcPr>
            <w:tcW w:w="12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2860" w:type="dxa"/>
            <w:vAlign w:val="bottom"/>
          </w:tcPr>
          <w:p>
            <w:pPr>
              <w:spacing w:after="0"/>
              <w:rPr>
                <w:sz w:val="24"/>
                <w:szCs w:val="24"/>
                <w:color w:val="auto"/>
              </w:rPr>
            </w:pPr>
          </w:p>
        </w:tc>
        <w:tc>
          <w:tcPr>
            <w:tcW w:w="7140" w:type="dxa"/>
            <w:vAlign w:val="bottom"/>
          </w:tcPr>
          <w:p>
            <w:pPr>
              <w:spacing w:after="0"/>
              <w:rPr>
                <w:sz w:val="24"/>
                <w:szCs w:val="24"/>
                <w:color w:val="auto"/>
              </w:rPr>
            </w:pPr>
          </w:p>
        </w:tc>
      </w:tr>
      <w:tr>
        <w:trPr>
          <w:trHeight w:val="252"/>
        </w:trPr>
        <w:tc>
          <w:tcPr>
            <w:tcW w:w="12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No.</w:t>
            </w:r>
          </w:p>
        </w:tc>
        <w:tc>
          <w:tcPr>
            <w:tcW w:w="100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243"/>
        </w:trPr>
        <w:tc>
          <w:tcPr>
            <w:tcW w:w="1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99.1</w:t>
            </w:r>
          </w:p>
        </w:tc>
        <w:tc>
          <w:tcPr>
            <w:tcW w:w="286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9"/>
              </w:rPr>
              <w:t>Lucid Press Release Dated July 2, 2026</w:t>
            </w:r>
          </w:p>
        </w:tc>
        <w:tc>
          <w:tcPr>
            <w:tcW w:w="7140" w:type="dxa"/>
            <w:vAlign w:val="bottom"/>
          </w:tcPr>
          <w:p>
            <w:pPr>
              <w:spacing w:after="0"/>
              <w:rPr>
                <w:sz w:val="21"/>
                <w:szCs w:val="21"/>
                <w:color w:val="auto"/>
              </w:rPr>
            </w:pPr>
          </w:p>
        </w:tc>
      </w:tr>
      <w:tr>
        <w:trPr>
          <w:trHeight w:val="304"/>
        </w:trPr>
        <w:tc>
          <w:tcPr>
            <w:tcW w:w="1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10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1046"/>
        </w:trPr>
        <w:tc>
          <w:tcPr>
            <w:tcW w:w="1240" w:type="dxa"/>
            <w:vAlign w:val="bottom"/>
            <w:tcBorders>
              <w:bottom w:val="single" w:sz="8" w:color="9A9A9A"/>
            </w:tcBorders>
          </w:tcPr>
          <w:p>
            <w:pPr>
              <w:spacing w:after="0"/>
              <w:rPr>
                <w:sz w:val="24"/>
                <w:szCs w:val="24"/>
                <w:color w:val="auto"/>
              </w:rPr>
            </w:pPr>
          </w:p>
        </w:tc>
        <w:tc>
          <w:tcPr>
            <w:tcW w:w="2860" w:type="dxa"/>
            <w:vAlign w:val="bottom"/>
            <w:tcBorders>
              <w:bottom w:val="single" w:sz="8" w:color="9A9A9A"/>
            </w:tcBorders>
          </w:tcPr>
          <w:p>
            <w:pPr>
              <w:spacing w:after="0"/>
              <w:rPr>
                <w:sz w:val="24"/>
                <w:szCs w:val="24"/>
                <w:color w:val="auto"/>
              </w:rPr>
            </w:pPr>
          </w:p>
        </w:tc>
        <w:tc>
          <w:tcPr>
            <w:tcW w:w="71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05" w:right="339" w:bottom="1440" w:gutter="0" w:footer="0" w:header="0"/>
        </w:sectPr>
      </w:pPr>
    </w:p>
    <w:bookmarkStart w:id="4" w:name="page5"/>
    <w:bookmarkEnd w:id="4"/>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0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Current Report on Form 8-K to be signed on its behalf by the undersigned hereunto duly authorized.</w:t>
      </w:r>
    </w:p>
    <w:p>
      <w:pPr>
        <w:spacing w:after="0" w:line="17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Dated: July 2, 2026</w:t>
      </w:r>
    </w:p>
    <w:p>
      <w:pPr>
        <w:spacing w:after="0" w:line="320"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LUCID GROUP, INC.</w:t>
      </w:r>
    </w:p>
    <w:p>
      <w:pPr>
        <w:spacing w:after="0" w:line="333" w:lineRule="exact"/>
        <w:rPr>
          <w:sz w:val="20"/>
          <w:szCs w:val="20"/>
          <w:color w:val="auto"/>
        </w:rPr>
      </w:pPr>
    </w:p>
    <w:p>
      <w:pPr>
        <w:ind w:left="5400"/>
        <w:spacing w:after="0"/>
        <w:tabs>
          <w:tab w:leader="none" w:pos="582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Silvio Napoli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3699510</wp:posOffset>
            </wp:positionH>
            <wp:positionV relativeFrom="paragraph">
              <wp:posOffset>43180</wp:posOffset>
            </wp:positionV>
            <wp:extent cx="342074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420745" cy="8255"/>
                    </a:xfrm>
                    <a:prstGeom prst="rect">
                      <a:avLst/>
                    </a:prstGeom>
                    <a:noFill/>
                  </pic:spPr>
                </pic:pic>
              </a:graphicData>
            </a:graphic>
          </wp:anchor>
        </w:drawing>
      </w:r>
    </w:p>
    <w:p>
      <w:pPr>
        <w:spacing w:after="0" w:line="70"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8"/>
          <w:szCs w:val="18"/>
          <w:color w:val="auto"/>
        </w:rPr>
        <w:t>Name: Silvio Napoli</w:t>
      </w:r>
    </w:p>
    <w:p>
      <w:pPr>
        <w:spacing w:after="0" w:line="77"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8"/>
          <w:szCs w:val="18"/>
          <w:color w:val="auto"/>
        </w:rPr>
        <w:t>Title: Chief Executive Officer</w:t>
      </w:r>
    </w:p>
    <w:p>
      <w:pPr>
        <w:sectPr>
          <w:pgSz w:w="11900" w:h="16838" w:orient="portrait"/>
          <w:cols w:equalWidth="0" w:num="1">
            <w:col w:w="11240"/>
          </w:cols>
          <w:pgMar w:left="320" w:top="1103" w:right="339" w:bottom="1440" w:gutter="0" w:footer="0" w:header="0"/>
        </w:sectPr>
      </w:pPr>
    </w:p>
    <w:bookmarkStart w:id="5" w:name="page6"/>
    <w:bookmarkEnd w:id="5"/>
    <w:p>
      <w:pPr>
        <w:jc w:val="right"/>
        <w:spacing w:after="0"/>
        <w:rPr>
          <w:sz w:val="20"/>
          <w:szCs w:val="20"/>
          <w:color w:val="auto"/>
        </w:rPr>
      </w:pPr>
      <w:r>
        <w:rPr>
          <w:rFonts w:ascii="Times New Roman" w:cs="Times New Roman" w:eastAsia="Times New Roman" w:hAnsi="Times New Roman"/>
          <w:sz w:val="20"/>
          <w:szCs w:val="20"/>
          <w:b w:val="1"/>
          <w:bCs w:val="1"/>
          <w:color w:val="auto"/>
        </w:rPr>
        <w:drawing>
          <wp:anchor simplePos="0" relativeHeight="251657728" behindDoc="1" locked="0" layoutInCell="0" allowOverlap="1">
            <wp:simplePos x="0" y="0"/>
            <wp:positionH relativeFrom="page">
              <wp:posOffset>216535</wp:posOffset>
            </wp:positionH>
            <wp:positionV relativeFrom="page">
              <wp:posOffset>106045</wp:posOffset>
            </wp:positionV>
            <wp:extent cx="1525905" cy="21463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clrChange>
                        <a:clrFrom>
                          <a:srgbClr val="FFFFFF"/>
                        </a:clrFrom>
                        <a:clrTo>
                          <a:srgbClr val="FFFFFF">
                            <a:alpha val="0"/>
                          </a:srgbClr>
                        </a:clrTo>
                      </a:clrChange>
                      <a:extLst>
                        <a:ext uri="{28A0092B-C50C-407E-A947-70E740481C1C}"/>
                      </a:extLst>
                    </a:blip>
                    <a:srcRect/>
                    <a:stretch>
                      <a:fillRect/>
                    </a:stretch>
                  </pic:blipFill>
                  <pic:spPr bwMode="auto">
                    <a:xfrm>
                      <a:off x="0" y="0"/>
                      <a:ext cx="1525905" cy="214630"/>
                    </a:xfrm>
                    <a:prstGeom prst="rect">
                      <a:avLst/>
                    </a:prstGeom>
                    <a:noFill/>
                  </pic:spPr>
                </pic:pic>
              </a:graphicData>
            </a:graphic>
          </wp:anchor>
        </w:drawing>
        <w:t>Exhibit 99.1</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Lucid Announces Q2 Production and Deliveries, Leadership Actions to Improve Execution</w:t>
      </w:r>
    </w:p>
    <w:p>
      <w:pPr>
        <w:spacing w:after="0" w:line="21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9"/>
          <w:szCs w:val="19"/>
          <w:i w:val="1"/>
          <w:iCs w:val="1"/>
          <w:color w:val="auto"/>
        </w:rPr>
        <w:t>Company simplifies leadership structure and appoints key leaders across finance, technology, customer, transformation and digital functions</w:t>
      </w:r>
    </w:p>
    <w:p>
      <w:pPr>
        <w:spacing w:after="0" w:line="241" w:lineRule="exact"/>
        <w:rPr>
          <w:sz w:val="20"/>
          <w:szCs w:val="20"/>
          <w:color w:val="auto"/>
        </w:rPr>
      </w:pPr>
    </w:p>
    <w:p>
      <w:pPr>
        <w:ind w:right="280"/>
        <w:spacing w:after="0" w:line="272" w:lineRule="auto"/>
        <w:rPr>
          <w:sz w:val="20"/>
          <w:szCs w:val="20"/>
          <w:color w:val="auto"/>
        </w:rPr>
      </w:pPr>
      <w:r>
        <w:rPr>
          <w:rFonts w:ascii="Times New Roman" w:cs="Times New Roman" w:eastAsia="Times New Roman" w:hAnsi="Times New Roman"/>
          <w:sz w:val="20"/>
          <w:szCs w:val="20"/>
          <w:b w:val="1"/>
          <w:bCs w:val="1"/>
          <w:color w:val="auto"/>
        </w:rPr>
        <w:t xml:space="preserve">NEWARK, CA — July 2, 2026 </w:t>
      </w:r>
      <w:r>
        <w:rPr>
          <w:rFonts w:ascii="Times New Roman" w:cs="Times New Roman" w:eastAsia="Times New Roman" w:hAnsi="Times New Roman"/>
          <w:sz w:val="20"/>
          <w:szCs w:val="20"/>
          <w:color w:val="auto"/>
        </w:rPr>
        <w:t>— Lucid Group, Inc. (NASDAQ: LCID), maker of the world’s most advanced software-defined vehicles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and technologies, today announced production and delivery totals for the quarter ended June 30, 2026. During this period, the company produced 4,774 vehicles and delivered 3,953 vehicles.</w:t>
      </w:r>
      <w:r>
        <w:rPr>
          <w:rFonts w:ascii="Times New Roman" w:cs="Times New Roman" w:eastAsia="Times New Roman" w:hAnsi="Times New Roman"/>
          <w:sz w:val="25"/>
          <w:szCs w:val="25"/>
          <w:color w:val="auto"/>
          <w:vertAlign w:val="superscript"/>
        </w:rPr>
        <w:t>1</w:t>
      </w:r>
    </w:p>
    <w:p>
      <w:pPr>
        <w:spacing w:after="0" w:line="88" w:lineRule="exact"/>
        <w:rPr>
          <w:sz w:val="20"/>
          <w:szCs w:val="20"/>
          <w:color w:val="auto"/>
        </w:rPr>
      </w:pPr>
    </w:p>
    <w:p>
      <w:pPr>
        <w:ind w:right="40"/>
        <w:spacing w:after="0" w:line="269" w:lineRule="auto"/>
        <w:rPr>
          <w:sz w:val="20"/>
          <w:szCs w:val="20"/>
          <w:color w:val="auto"/>
        </w:rPr>
      </w:pPr>
      <w:r>
        <w:rPr>
          <w:rFonts w:ascii="Times New Roman" w:cs="Times New Roman" w:eastAsia="Times New Roman" w:hAnsi="Times New Roman"/>
          <w:sz w:val="20"/>
          <w:szCs w:val="20"/>
          <w:color w:val="auto"/>
        </w:rPr>
        <w:t>Lucid also announced organizational and leadership changes under CEO Silvio Napoli designed to simplify the company’s structure, sharpen accountability and improve execution. The changes halve the number of direct reports to the CEO.</w:t>
      </w:r>
    </w:p>
    <w:p>
      <w:pPr>
        <w:spacing w:after="0" w:line="173" w:lineRule="exact"/>
        <w:rPr>
          <w:sz w:val="20"/>
          <w:szCs w:val="20"/>
          <w:color w:val="auto"/>
        </w:rPr>
      </w:pPr>
    </w:p>
    <w:p>
      <w:pPr>
        <w:ind w:right="340"/>
        <w:spacing w:after="0" w:line="258" w:lineRule="auto"/>
        <w:rPr>
          <w:sz w:val="20"/>
          <w:szCs w:val="20"/>
          <w:color w:val="auto"/>
        </w:rPr>
      </w:pPr>
      <w:r>
        <w:rPr>
          <w:rFonts w:ascii="Times New Roman" w:cs="Times New Roman" w:eastAsia="Times New Roman" w:hAnsi="Times New Roman"/>
          <w:sz w:val="20"/>
          <w:szCs w:val="20"/>
          <w:color w:val="auto"/>
        </w:rPr>
        <w:t>“We are simplifying the organization, strengthening leadership, enforcing accountability and aligning our structure with the priorities that matter most: customers, quality, and innovation,” said Silvio Napoli, CEO of Lucid. “The caliber of leaders who are joining the Lucid leadership team is a testament to the inherent value of our business and to the exciting prospects ahead of us. We are building a new team who will transform the company.”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following appointments to the Lucid Global Leadership Team were announced today:</w:t>
      </w:r>
    </w:p>
    <w:p>
      <w:pPr>
        <w:spacing w:after="0" w:line="121" w:lineRule="exact"/>
        <w:rPr>
          <w:sz w:val="20"/>
          <w:szCs w:val="20"/>
          <w:color w:val="auto"/>
        </w:rPr>
      </w:pPr>
    </w:p>
    <w:p>
      <w:pPr>
        <w:ind w:left="660" w:right="140" w:hanging="328"/>
        <w:spacing w:after="0" w:line="258" w:lineRule="auto"/>
        <w:tabs>
          <w:tab w:leader="none" w:pos="648"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Alexander De Bock will join Lucid as incoming Chief Financial Officer. He brings more than two decades of automotive finance leadership, including serving as CFO of TI Automotive, where he helped lead a turnaround focused on cost transformation, restructuring and improved financial rigor. De Bock joins Lucid with deep expertise in driving financial discipline and performance in complex global organizations.</w:t>
      </w:r>
    </w:p>
    <w:p>
      <w:pPr>
        <w:spacing w:after="0" w:line="64" w:lineRule="exact"/>
        <w:rPr>
          <w:rFonts w:ascii="Times New Roman" w:cs="Times New Roman" w:eastAsia="Times New Roman" w:hAnsi="Times New Roman"/>
          <w:sz w:val="20"/>
          <w:szCs w:val="20"/>
          <w:color w:val="auto"/>
        </w:rPr>
      </w:pPr>
    </w:p>
    <w:p>
      <w:pPr>
        <w:ind w:left="660" w:right="120" w:hanging="328"/>
        <w:spacing w:after="0" w:line="258" w:lineRule="auto"/>
        <w:tabs>
          <w:tab w:leader="none" w:pos="648"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Raja Ramana Macha will join Lucid as Chief Technology Officer with responsibility for the company’s technology strategy and engineering execution. He most recently served as Executive Vice President and Chief Technology Officer at Eaton, where he led global innovation and technology development across multiple sectors, including automotive. Macha brings extensive experience in scaling innovation and aligning engineering with business outcomes.</w:t>
      </w:r>
    </w:p>
    <w:p>
      <w:pPr>
        <w:spacing w:after="0" w:line="64" w:lineRule="exact"/>
        <w:rPr>
          <w:rFonts w:ascii="Times New Roman" w:cs="Times New Roman" w:eastAsia="Times New Roman" w:hAnsi="Times New Roman"/>
          <w:sz w:val="20"/>
          <w:szCs w:val="20"/>
          <w:color w:val="auto"/>
        </w:rPr>
      </w:pPr>
    </w:p>
    <w:p>
      <w:pPr>
        <w:jc w:val="both"/>
        <w:ind w:left="660" w:right="320" w:hanging="328"/>
        <w:spacing w:after="0" w:line="258" w:lineRule="auto"/>
        <w:tabs>
          <w:tab w:leader="none" w:pos="648"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Billy Hayes will join Lucid’s executive team as Chief Customer Officer, effective immediately, with enterprise accountability for customer experience, including sales, service and marketing, as well as regional P&amp;L responsibility for the U.S., Middle East and Europe. He brings more than 25 years of global automotive experience, including senior leadership roles at Nissan and Stellantis. Hayes is focused on transforming customer experience and driving commercial performance across markets.</w:t>
      </w:r>
    </w:p>
    <w:p>
      <w:pPr>
        <w:spacing w:after="0" w:line="77" w:lineRule="exact"/>
        <w:rPr>
          <w:rFonts w:ascii="Times New Roman" w:cs="Times New Roman" w:eastAsia="Times New Roman" w:hAnsi="Times New Roman"/>
          <w:sz w:val="20"/>
          <w:szCs w:val="20"/>
          <w:color w:val="auto"/>
        </w:rPr>
      </w:pPr>
    </w:p>
    <w:p>
      <w:pPr>
        <w:ind w:left="660" w:right="60" w:hanging="328"/>
        <w:spacing w:after="0" w:line="258" w:lineRule="auto"/>
        <w:tabs>
          <w:tab w:leader="none" w:pos="648"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Hugo Martinho will join Lucid as Chief Transformation Officer, effective August 1, leading enterprise-wide transformation initiatives to accelerate execution and increase accountability. He will oversee the new Lucid Business Process function, focused on building a more integrated and efficient operating model across markets and functions. Martinho brings more than 20 years of global industrial experience from the Schindler Group, where he most recently served as global head of HR.</w:t>
      </w:r>
    </w:p>
    <w:p>
      <w:pPr>
        <w:spacing w:after="0" w:line="64" w:lineRule="exact"/>
        <w:rPr>
          <w:rFonts w:ascii="Times New Roman" w:cs="Times New Roman" w:eastAsia="Times New Roman" w:hAnsi="Times New Roman"/>
          <w:sz w:val="20"/>
          <w:szCs w:val="20"/>
          <w:color w:val="auto"/>
        </w:rPr>
      </w:pPr>
    </w:p>
    <w:p>
      <w:pPr>
        <w:ind w:left="660" w:right="60" w:hanging="328"/>
        <w:spacing w:after="0" w:line="257" w:lineRule="auto"/>
        <w:tabs>
          <w:tab w:leader="none" w:pos="648"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Kay Stepper has been named President of Lucid Technologies and Chief Digital Officer, effective immediately, with accountability for robotaxis, AI, autonomy, ADAS, and enterprise IT. He will lead Lucid Technologies which will become a distinct business unit focused on strategic partnerships and advanced technologies to accelerate shareholder value creation in this high growth, fast changing sector. Stepper brings more than 25 years of experience across the automotive and technology sectors, including leadership roles at Bosch and Qualcomm.</w:t>
      </w:r>
    </w:p>
    <w:p>
      <w:pPr>
        <w:spacing w:after="0" w:line="64" w:lineRule="exact"/>
        <w:rPr>
          <w:rFonts w:ascii="Times New Roman" w:cs="Times New Roman" w:eastAsia="Times New Roman" w:hAnsi="Times New Roman"/>
          <w:sz w:val="20"/>
          <w:szCs w:val="20"/>
          <w:color w:val="auto"/>
        </w:rPr>
      </w:pPr>
    </w:p>
    <w:p>
      <w:pPr>
        <w:ind w:left="660" w:right="100" w:hanging="328"/>
        <w:spacing w:after="0" w:line="258" w:lineRule="auto"/>
        <w:tabs>
          <w:tab w:leader="none" w:pos="648"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Christian Appel has been promoted to Vice President, Program Management, effective immediately, with responsibility for platform program delivery and product portfolio management. Since joining Lucid in April 2025, he has led global production control and planning at Lucid’s AMP-1 manufacturing facility in Arizona. Appel brings more than 15 years of automotive experience and a strong track record in execution and operational coordination.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w:t>
      </w:r>
    </w:p>
    <w:p>
      <w:pPr>
        <w:sectPr>
          <w:pgSz w:w="11900" w:h="16838" w:orient="portrait"/>
          <w:cols w:equalWidth="0" w:num="1">
            <w:col w:w="11220"/>
          </w:cols>
          <w:pgMar w:left="320" w:top="315" w:right="359" w:bottom="1440" w:gutter="0" w:footer="0" w:header="0"/>
        </w:sectPr>
      </w:pPr>
    </w:p>
    <w:bookmarkStart w:id="6" w:name="page7"/>
    <w:bookmarkEnd w:id="6"/>
    <w:p>
      <w:pPr>
        <w:ind w:right="60"/>
        <w:spacing w:after="0" w:line="283" w:lineRule="auto"/>
        <w:rPr>
          <w:sz w:val="20"/>
          <w:szCs w:val="20"/>
          <w:color w:val="auto"/>
        </w:rPr>
      </w:pPr>
      <w:r>
        <w:rPr>
          <w:rFonts w:ascii="Times New Roman" w:cs="Times New Roman" w:eastAsia="Times New Roman" w:hAnsi="Times New Roman"/>
          <w:sz w:val="20"/>
          <w:szCs w:val="20"/>
          <w:color w:val="auto"/>
        </w:rPr>
        <w:t>The new Global Leadership Team will come together at the company’s head offices and manufacturing hubs, with the resolve to foster closer collaboration, faster decision-making and a more integrated operating culture.</w:t>
      </w:r>
    </w:p>
    <w:p>
      <w:pPr>
        <w:spacing w:after="0" w:line="160"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20"/>
          <w:szCs w:val="20"/>
          <w:color w:val="auto"/>
        </w:rPr>
        <w:t>As part of the leadership transition announced today, Taoufiq Boussaid, Chief Financial Officer, will depart Lucid following a handover to his successor and will support the company through its second-quarter results. “We thank Taoufiq for his important contributions and wish him continued success,” said Napoli.</w:t>
      </w:r>
    </w:p>
    <w:p>
      <w:pPr>
        <w:spacing w:after="0" w:line="168" w:lineRule="exact"/>
        <w:rPr>
          <w:sz w:val="20"/>
          <w:szCs w:val="20"/>
          <w:color w:val="auto"/>
        </w:rPr>
      </w:pPr>
    </w:p>
    <w:p>
      <w:pPr>
        <w:ind w:right="680"/>
        <w:spacing w:after="0" w:line="283" w:lineRule="auto"/>
        <w:rPr>
          <w:sz w:val="20"/>
          <w:szCs w:val="20"/>
          <w:color w:val="auto"/>
        </w:rPr>
      </w:pPr>
      <w:r>
        <w:rPr>
          <w:rFonts w:ascii="Times New Roman" w:cs="Times New Roman" w:eastAsia="Times New Roman" w:hAnsi="Times New Roman"/>
          <w:sz w:val="20"/>
          <w:szCs w:val="20"/>
          <w:color w:val="auto"/>
        </w:rPr>
        <w:t>These actions build on measures announced last week to reduce organizational complexity, align manufacturing capacity with market demand and improve overall competitiveness.</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Q2 Conference Call</w:t>
      </w:r>
    </w:p>
    <w:p>
      <w:pPr>
        <w:spacing w:after="0" w:line="22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20"/>
          <w:szCs w:val="20"/>
          <w:color w:val="auto"/>
        </w:rPr>
        <w:t xml:space="preserve">Lucid will host a conference call to discuss its second quarter 2026 financial results on Tuesday, August 4, 2026, at 2:30 pm PT / 5:30 pm ET. Prior to the conference call, the company will issue an earnings press release with a link to the live webcast on its investor relations website, </w:t>
      </w:r>
      <w:r>
        <w:rPr>
          <w:rFonts w:ascii="Times New Roman" w:cs="Times New Roman" w:eastAsia="Times New Roman" w:hAnsi="Times New Roman"/>
          <w:sz w:val="20"/>
          <w:szCs w:val="20"/>
          <w:u w:val="single" w:color="auto"/>
          <w:color w:val="0E32E1"/>
        </w:rPr>
        <w:t>https://ir.lucidmotors.com</w:t>
      </w:r>
      <w:r>
        <w:rPr>
          <w:rFonts w:ascii="Times New Roman" w:cs="Times New Roman" w:eastAsia="Times New Roman" w:hAnsi="Times New Roman"/>
          <w:sz w:val="20"/>
          <w:szCs w:val="20"/>
          <w:color w:val="000000"/>
        </w:rPr>
        <w:t>.</w:t>
      </w:r>
    </w:p>
    <w:p>
      <w:pPr>
        <w:spacing w:after="0" w:line="181" w:lineRule="exact"/>
        <w:rPr>
          <w:sz w:val="20"/>
          <w:szCs w:val="20"/>
          <w:color w:val="auto"/>
        </w:rPr>
      </w:pPr>
    </w:p>
    <w:p>
      <w:pPr>
        <w:ind w:right="300"/>
        <w:spacing w:after="0" w:line="261" w:lineRule="auto"/>
        <w:rPr>
          <w:sz w:val="20"/>
          <w:szCs w:val="20"/>
          <w:color w:val="auto"/>
        </w:rPr>
      </w:pPr>
      <w:r>
        <w:rPr>
          <w:rFonts w:ascii="Times New Roman" w:cs="Times New Roman" w:eastAsia="Times New Roman" w:hAnsi="Times New Roman"/>
          <w:sz w:val="20"/>
          <w:szCs w:val="20"/>
          <w:color w:val="auto"/>
        </w:rPr>
        <w:t>To enhance engagement with the company’s shareholder base and facilitate connections with its investors, Lucid is partnering with Say Technologies to allow retail and institutional shareholders to submit and upvote questions, a selection of which will be answered by Lucid management during the earnings call.</w:t>
      </w:r>
    </w:p>
    <w:p>
      <w:pPr>
        <w:spacing w:after="0" w:line="181" w:lineRule="exact"/>
        <w:rPr>
          <w:sz w:val="20"/>
          <w:szCs w:val="20"/>
          <w:color w:val="auto"/>
        </w:rPr>
      </w:pPr>
    </w:p>
    <w:p>
      <w:pPr>
        <w:ind w:right="360"/>
        <w:spacing w:after="0" w:line="261" w:lineRule="auto"/>
        <w:rPr>
          <w:sz w:val="20"/>
          <w:szCs w:val="20"/>
          <w:color w:val="auto"/>
        </w:rPr>
      </w:pPr>
      <w:r>
        <w:rPr>
          <w:rFonts w:ascii="Times New Roman" w:cs="Times New Roman" w:eastAsia="Times New Roman" w:hAnsi="Times New Roman"/>
          <w:sz w:val="20"/>
          <w:szCs w:val="20"/>
          <w:color w:val="auto"/>
        </w:rPr>
        <w:t xml:space="preserve">Starting on July 20, 2026, at 2:30 pm PT / 5:30 pm ET, all shareholders can submit questions by visiting: </w:t>
      </w:r>
      <w:r>
        <w:rPr>
          <w:rFonts w:ascii="Times New Roman" w:cs="Times New Roman" w:eastAsia="Times New Roman" w:hAnsi="Times New Roman"/>
          <w:sz w:val="20"/>
          <w:szCs w:val="20"/>
          <w:u w:val="single" w:color="auto"/>
          <w:color w:val="0E32E1"/>
        </w:rPr>
        <w:t>https://app.saytechnologies.com/lucid-group-2026-q2</w:t>
      </w:r>
      <w:r>
        <w:rPr>
          <w:rFonts w:ascii="Times New Roman" w:cs="Times New Roman" w:eastAsia="Times New Roman" w:hAnsi="Times New Roman"/>
          <w:sz w:val="20"/>
          <w:szCs w:val="20"/>
          <w:color w:val="000000"/>
        </w:rPr>
        <w:t>. This Q&amp;A platform will remain open until 2:30 pm PT / 5:30 pm ET on August 3,</w:t>
      </w:r>
      <w:r>
        <w:rPr>
          <w:rFonts w:ascii="Times New Roman" w:cs="Times New Roman" w:eastAsia="Times New Roman" w:hAnsi="Times New Roman"/>
          <w:sz w:val="20"/>
          <w:szCs w:val="20"/>
          <w:color w:val="0E32E1"/>
        </w:rPr>
        <w:t xml:space="preserve"> </w:t>
      </w:r>
      <w:r>
        <w:rPr>
          <w:rFonts w:ascii="Times New Roman" w:cs="Times New Roman" w:eastAsia="Times New Roman" w:hAnsi="Times New Roman"/>
          <w:sz w:val="20"/>
          <w:szCs w:val="20"/>
          <w:color w:val="000000"/>
        </w:rPr>
        <w:t xml:space="preserve">2026. Shareholders can email </w:t>
      </w:r>
      <w:r>
        <w:rPr>
          <w:rFonts w:ascii="Times New Roman" w:cs="Times New Roman" w:eastAsia="Times New Roman" w:hAnsi="Times New Roman"/>
          <w:sz w:val="20"/>
          <w:szCs w:val="20"/>
          <w:u w:val="single" w:color="auto"/>
          <w:color w:val="0E32E1"/>
        </w:rPr>
        <w:t>support@saytechnologies.com</w:t>
      </w:r>
      <w:r>
        <w:rPr>
          <w:rFonts w:ascii="Times New Roman" w:cs="Times New Roman" w:eastAsia="Times New Roman" w:hAnsi="Times New Roman"/>
          <w:sz w:val="20"/>
          <w:szCs w:val="20"/>
          <w:color w:val="000000"/>
        </w:rPr>
        <w:t xml:space="preserve"> for any support inquiries.</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Earnings Call Details: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Date: </w:t>
      </w:r>
      <w:r>
        <w:rPr>
          <w:rFonts w:ascii="Times New Roman" w:cs="Times New Roman" w:eastAsia="Times New Roman" w:hAnsi="Times New Roman"/>
          <w:sz w:val="20"/>
          <w:szCs w:val="20"/>
          <w:color w:val="auto"/>
        </w:rPr>
        <w:t>Tuesday, August 4, 2026</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Time: </w:t>
      </w:r>
      <w:r>
        <w:rPr>
          <w:rFonts w:ascii="Times New Roman" w:cs="Times New Roman" w:eastAsia="Times New Roman" w:hAnsi="Times New Roman"/>
          <w:sz w:val="20"/>
          <w:szCs w:val="20"/>
          <w:color w:val="auto"/>
        </w:rPr>
        <w:t>2:30 pm PT / 5:30 pm ET</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Webcast: </w:t>
      </w:r>
      <w:r>
        <w:rPr>
          <w:rFonts w:ascii="Times New Roman" w:cs="Times New Roman" w:eastAsia="Times New Roman" w:hAnsi="Times New Roman"/>
          <w:sz w:val="20"/>
          <w:szCs w:val="20"/>
          <w:u w:val="single" w:color="auto"/>
          <w:color w:val="0E32E1"/>
        </w:rPr>
        <w:t>https://ir.lucidmotors.com</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(live and replay)</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right="180" w:firstLine="8"/>
        <w:spacing w:after="0" w:line="231" w:lineRule="auto"/>
        <w:tabs>
          <w:tab w:leader="none" w:pos="96" w:val="left"/>
        </w:tabs>
        <w:numPr>
          <w:ilvl w:val="0"/>
          <w:numId w:val="3"/>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20"/>
          <w:szCs w:val="20"/>
          <w:color w:val="auto"/>
        </w:rPr>
        <w:t>Lucid’s net income and cash flow results will be announced along with the rest of its financial performance when Lucid announces second quarter earnings. Lucid vehicle production and delivery numbers represent only one measure of the company’s operating performance and should not be relied on as sole indicators of quarterly financial results, which depend on a variety of factors.</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About Lucid Group</w:t>
      </w:r>
    </w:p>
    <w:p>
      <w:pPr>
        <w:spacing w:after="0" w:line="220" w:lineRule="exact"/>
        <w:rPr>
          <w:sz w:val="20"/>
          <w:szCs w:val="20"/>
          <w:color w:val="auto"/>
        </w:rPr>
      </w:pPr>
    </w:p>
    <w:p>
      <w:pPr>
        <w:ind w:right="220"/>
        <w:spacing w:after="0" w:line="257" w:lineRule="auto"/>
        <w:rPr>
          <w:sz w:val="20"/>
          <w:szCs w:val="20"/>
          <w:color w:val="auto"/>
        </w:rPr>
      </w:pPr>
      <w:r>
        <w:rPr>
          <w:rFonts w:ascii="Times New Roman" w:cs="Times New Roman" w:eastAsia="Times New Roman" w:hAnsi="Times New Roman"/>
          <w:sz w:val="20"/>
          <w:szCs w:val="20"/>
          <w:color w:val="auto"/>
        </w:rPr>
        <w:t>Lucid Group, Inc. (NASDAQ: LCID) is a technology company creating exceptional mobility experiences through innovation to drive the world forward. Built on Lucid’s proprietary technology and software defined vehicle architectures, the company’s lineup of award-winning vehicles brings Lucid’s “Compromise Nothing™” approach to premium segments of the global automotive market. Lucid designs and engineers its products in-house and assembles at its vertically integrated facilities in Arizona and Saudi Arabia, enabling continuous innovation across vehicles, software, and advanced driver assistance and autonomy-ready capabilities.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Investor Relations Contact</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0E32E1"/>
        </w:rPr>
        <w:t>investor@lucidmotors.com</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 xml:space="preserve">Sign up for investor email alerts: </w:t>
      </w:r>
      <w:r>
        <w:rPr>
          <w:rFonts w:ascii="Times New Roman" w:cs="Times New Roman" w:eastAsia="Times New Roman" w:hAnsi="Times New Roman"/>
          <w:sz w:val="20"/>
          <w:szCs w:val="20"/>
          <w:u w:val="single" w:color="auto"/>
          <w:color w:val="0E32E1"/>
        </w:rPr>
        <w:t>https://ir.lucidmotors.com/ir-resources/email-alerts</w:t>
      </w:r>
    </w:p>
    <w:p>
      <w:pPr>
        <w:sectPr>
          <w:pgSz w:w="11900" w:h="16838" w:orient="portrait"/>
          <w:cols w:equalWidth="0" w:num="1">
            <w:col w:w="11240"/>
          </w:cols>
          <w:pgMar w:left="320" w:top="131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w:t>
      </w:r>
    </w:p>
    <w:p>
      <w:pPr>
        <w:sectPr>
          <w:pgSz w:w="11900" w:h="16838" w:orient="portrait"/>
          <w:cols w:equalWidth="0" w:num="1">
            <w:col w:w="11240"/>
          </w:cols>
          <w:pgMar w:left="320" w:top="1318" w:right="339" w:bottom="1440" w:gutter="0" w:footer="0" w:header="0"/>
          <w:type w:val="continuous"/>
        </w:sectPr>
      </w:pPr>
    </w:p>
    <w:bookmarkStart w:id="7" w:name="page8"/>
    <w:bookmarkEnd w:id="7"/>
    <w:p>
      <w:pPr>
        <w:spacing w:after="0"/>
        <w:rPr>
          <w:sz w:val="20"/>
          <w:szCs w:val="20"/>
          <w:color w:val="auto"/>
        </w:rPr>
      </w:pPr>
      <w:r>
        <w:rPr>
          <w:rFonts w:ascii="Times New Roman" w:cs="Times New Roman" w:eastAsia="Times New Roman" w:hAnsi="Times New Roman"/>
          <w:sz w:val="20"/>
          <w:szCs w:val="20"/>
          <w:b w:val="1"/>
          <w:bCs w:val="1"/>
          <w:color w:val="auto"/>
        </w:rPr>
        <w:t>Media Contact</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0E32E1"/>
        </w:rPr>
        <w:t>media@lucidmotors.com</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Trademarks</w:t>
      </w:r>
    </w:p>
    <w:p>
      <w:pPr>
        <w:spacing w:after="0" w:line="220" w:lineRule="exact"/>
        <w:rPr>
          <w:sz w:val="20"/>
          <w:szCs w:val="20"/>
          <w:color w:val="auto"/>
        </w:rPr>
      </w:pPr>
    </w:p>
    <w:p>
      <w:pPr>
        <w:ind w:right="480"/>
        <w:spacing w:after="0" w:line="283" w:lineRule="auto"/>
        <w:rPr>
          <w:sz w:val="20"/>
          <w:szCs w:val="20"/>
          <w:color w:val="auto"/>
        </w:rPr>
      </w:pPr>
      <w:r>
        <w:rPr>
          <w:rFonts w:ascii="Times New Roman" w:cs="Times New Roman" w:eastAsia="Times New Roman" w:hAnsi="Times New Roman"/>
          <w:sz w:val="20"/>
          <w:szCs w:val="20"/>
          <w:color w:val="auto"/>
        </w:rPr>
        <w:t>This communication contains trademarks, service marks, trade names and copyrights of Lucid Group, Inc. and its subsidiaries and other companies, which are the property of their respective owners.</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Forward-Looking Statements</w:t>
      </w:r>
    </w:p>
    <w:p>
      <w:pPr>
        <w:spacing w:after="0" w:line="233" w:lineRule="exact"/>
        <w:rPr>
          <w:sz w:val="20"/>
          <w:szCs w:val="20"/>
          <w:color w:val="auto"/>
        </w:rPr>
      </w:pPr>
    </w:p>
    <w:p>
      <w:pPr>
        <w:spacing w:after="0" w:line="248" w:lineRule="auto"/>
        <w:rPr>
          <w:sz w:val="20"/>
          <w:szCs w:val="20"/>
          <w:color w:val="auto"/>
        </w:rPr>
      </w:pPr>
      <w:r>
        <w:rPr>
          <w:rFonts w:ascii="Times New Roman" w:cs="Times New Roman" w:eastAsia="Times New Roman" w:hAnsi="Times New Roman"/>
          <w:sz w:val="20"/>
          <w:szCs w:val="20"/>
          <w:color w:val="auto"/>
        </w:rPr>
        <w:t>This communication includes “forward-looking statements” within the meaning of the “safe harbor” provisions of the United States Private Securities Litigation Reform Act of 1995. Forward-looking statements may be identified by the use of words such as “estimate,” “plan,” “project,” “forecast,” “intend,” “will,” “shall,” “expect,” “anticipate,” “believe,” “seek,” “target,” “continue,” “could,” “may,” “might,” “possible,” “potential,” “predict” or other similar expressions that predict or indicate future events or trends or that are not statements of historical matters. These forward-looking statements include, but are not limited to, statements regarding Lucid's expectations related to production and delivery volume outlook and Lucid's finalized production and delivery totals for the quarter ended June 30, 2026, as well as the announced leadership changes, including anticipated timing and business impacts. These statements are based on various assumptions, whether or not identified in this communication, and on the current expectations of Lucid’s management. These forward-looking statements are not intended to serve as, and must not be relied on by any investor as, a guarantee, an assurance, or a definitive statement of fact or probability. Actual events and circumstances are difficult or impossible to predict and may differ from these forward-looking statements. Many actual events and circumstances are beyond the control of Lucid. These forward-looking statements are subject to a number of risks and uncertainties, including those factors discussed under the headings “Cautionary Note Regarding Forward-looking Statements” and “Risk Factors” in Lucid’s Annual Report on Form 10-K for the year ended December 31, 2025, subsequent Current Reports on Form 8-K, as well as in other documents Lucid has filed or will file with the Securities and Exchange Commission. If any of these risks materialize or Lucid’s assumptions prove incorrect, actual results could differ materially from the results implied by these forward-looking statements. There may be additional risks that Lucid currently does not know or that Lucid currently believes are immaterial that could also cause actual results to differ from those contained in the forward-looking statements. In addition, forward-looking statements reflect Lucid’s expectations, plans or forecasts of future events and views as of the date of this communication. Lucid anticipates that subsequent events and developments will cause Lucid’s assessments to change. However, while Lucid may elect to update these forward-looking statements at some point in the future, Lucid specifically disclaims any obligation to do so. These forward-looking statements should not be relied upon as representing Lucid’s assessments as of any date subsequent to the date of this communication. Accordingly, undue reliance should not be placed upon the forward-looking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3</w:t>
      </w:r>
    </w:p>
    <w:sectPr>
      <w:pgSz w:w="11900" w:h="16838" w:orient="portrait"/>
      <w:cols w:equalWidth="0" w:num="1">
        <w:col w:w="11240"/>
      </w:cols>
      <w:pgMar w:left="320" w:top="131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2026-07-02T08:03:05Z</dcterms:created>
  <dcterms:modified xsi:type="dcterms:W3CDTF">2026-07-02T08:03:05Z</dcterms:modified>
</cp:coreProperties>
</file>