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Alnowaiser Turqi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Lucid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LCID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LUCID GROUP, INC.</w:t>
            </w:r>
          </w:p>
        </w:tc>
        <w:tc>
          <w:tcPr>
            <w:tcW w:w="1340" w:type="dxa"/>
            <w:vAlign w:val="bottom"/>
          </w:tcPr>
          <w:p>
            <w:pPr>
              <w:spacing w:after="0"/>
              <w:rPr>
                <w:sz w:val="19"/>
                <w:szCs w:val="19"/>
                <w:color w:val="auto"/>
              </w:rPr>
            </w:pPr>
          </w:p>
        </w:tc>
        <w:tc>
          <w:tcPr>
            <w:tcW w:w="1560" w:type="dxa"/>
            <w:vAlign w:val="bottom"/>
            <w:gridSpan w:val="6"/>
          </w:tcPr>
          <w:p>
            <w:pPr>
              <w:ind w:left="160"/>
              <w:spacing w:after="0"/>
              <w:rPr>
                <w:sz w:val="20"/>
                <w:szCs w:val="20"/>
                <w:color w:val="auto"/>
              </w:rPr>
            </w:pPr>
            <w:r>
              <w:rPr>
                <w:rFonts w:ascii="Arial" w:cs="Arial" w:eastAsia="Arial" w:hAnsi="Arial"/>
                <w:sz w:val="17"/>
                <w:szCs w:val="17"/>
                <w:color w:val="0000FF"/>
              </w:rPr>
              <w:t>07/23/2021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60" w:type="dxa"/>
            <w:vAlign w:val="bottom"/>
          </w:tcPr>
          <w:p>
            <w:pPr>
              <w:spacing w:after="0"/>
              <w:rPr>
                <w:sz w:val="9"/>
                <w:szCs w:val="9"/>
                <w:color w:val="auto"/>
              </w:rPr>
            </w:pPr>
          </w:p>
        </w:tc>
        <w:tc>
          <w:tcPr>
            <w:tcW w:w="342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80" w:type="dxa"/>
            <w:vAlign w:val="bottom"/>
            <w:gridSpan w:val="8"/>
            <w:vMerge w:val="continue"/>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NEWARK</w:t>
            </w: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222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8"/>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3"/>
            <w:vMerge w:val="restart"/>
          </w:tcPr>
          <w:p>
            <w:pPr>
              <w:jc w:val="right"/>
              <w:ind w:right="171"/>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3"/>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5"/>
          </w:tcPr>
          <w:p>
            <w:pPr>
              <w:ind w:left="820"/>
              <w:spacing w:after="0"/>
              <w:rPr>
                <w:sz w:val="20"/>
                <w:szCs w:val="20"/>
                <w:color w:val="auto"/>
              </w:rPr>
            </w:pPr>
            <w:r>
              <w:rPr>
                <w:rFonts w:ascii="Arial" w:cs="Arial" w:eastAsia="Arial" w:hAnsi="Arial"/>
                <w:sz w:val="17"/>
                <w:szCs w:val="17"/>
                <w:color w:val="0000FF"/>
              </w:rPr>
              <w:t>07/23/2021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73"/>
              <w:spacing w:after="0"/>
              <w:rPr>
                <w:sz w:val="20"/>
                <w:szCs w:val="20"/>
                <w:color w:val="auto"/>
              </w:rPr>
            </w:pPr>
            <w:r>
              <w:rPr>
                <w:rFonts w:ascii="Arial" w:cs="Arial" w:eastAsia="Arial" w:hAnsi="Arial"/>
                <w:sz w:val="13"/>
                <w:szCs w:val="13"/>
                <w:color w:val="0000FF"/>
              </w:rPr>
              <w:t>A</w:t>
            </w:r>
          </w:p>
        </w:tc>
        <w:tc>
          <w:tcPr>
            <w:tcW w:w="106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0000FF"/>
              </w:rPr>
              <w:t>2,070,138</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3"/>
          </w:tcPr>
          <w:p>
            <w:pPr>
              <w:jc w:val="right"/>
              <w:ind w:right="1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2,070,138</w:t>
            </w:r>
          </w:p>
        </w:tc>
        <w:tc>
          <w:tcPr>
            <w:tcW w:w="920" w:type="dxa"/>
            <w:vAlign w:val="bottom"/>
            <w:tcBorders>
              <w:bottom w:val="single" w:sz="8" w:color="2C2C2C"/>
            </w:tcBorders>
          </w:tcPr>
          <w:p>
            <w:pPr>
              <w:ind w:left="20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4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that were issued to the Reporting Person in exchange for shares of common stock of Atieva, Inc., d/b/a Lucid Motors ("Lucid") held by the Reporting Person upon the closing of the business combination transaction pursuant to the Agreement and Plan of Merger, dated February 22, 2021, by and among Churchill Capital Corp IV ("Churchill"), Air Merger Sub, Inc., a direct, wholly-owned subsidiary of Churchill and Lucid.</w:t>
      </w:r>
    </w:p>
    <w:p>
      <w:pPr>
        <w:spacing w:after="0" w:line="25" w:lineRule="exact"/>
        <w:rPr>
          <w:rFonts w:ascii="Arial" w:cs="Arial" w:eastAsia="Arial" w:hAnsi="Arial"/>
          <w:sz w:val="13"/>
          <w:szCs w:val="13"/>
          <w:color w:val="008000"/>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deemed a beneficial owner of 10% of issued and outstanding shares of Class A Common Stock of the Issuer because the Reporting Person has voting power over 1,015,252,523 shares of Class A Common Stock (the "Ayar Shares") beneficially owned by Ayar Third Investment Company ("Ayar"), a wholly-owned subsidiary of The Public Investment Fund ("PIF"), pursuant to authority delegated to him by the sole manager of Ayar. The Reporting Person does not have and disclaims any pecuniary interest in such Ayar Shares.</w:t>
      </w:r>
    </w:p>
    <w:p>
      <w:pPr>
        <w:spacing w:after="0" w:line="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Turqi A. Alnowaiser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07/27/2021</w:t>
            </w:r>
          </w:p>
        </w:tc>
      </w:tr>
      <w:tr>
        <w:trPr>
          <w:trHeight w:val="20"/>
        </w:trPr>
        <w:tc>
          <w:tcPr>
            <w:tcW w:w="1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1"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2021-07-27T16:47:23Z</dcterms:created>
  <dcterms:modified xsi:type="dcterms:W3CDTF">2021-07-27T16:47:23Z</dcterms:modified>
</cp:coreProperties>
</file>