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Winterhoff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LUCID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GATEWAY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12/04/2023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Lucid Group, Inc.</w:t>
              </w:r>
            </w:hyperlink>
            <w:r>
              <w:rPr/>
              <w:t xml:space="preserve"> [ </w:t>
            </w:r>
            <w:r>
              <w:rPr>
                <w:rFonts w:ascii="Times;serif" w:hAnsi="Times;serif"/>
                <w:color w:val="0000FF"/>
                <w:sz w:val="24"/>
                <w:shd w:fill="FFFFFF" w:val="clear"/>
              </w:rPr>
              <w:t>LCID</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Uy, as attorney-in-fact for Marc Winterhoff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right"/>
        <w:rPr>
          <w:rFonts w:ascii="Times New Roman;serif" w:hAnsi="Times New Roman;serif"/>
          <w:b/>
          <w:color w:val="000000"/>
          <w:sz w:val="20"/>
        </w:rPr>
      </w:pPr>
      <w:bookmarkStart w:id="2" w:name="exhibit24.htm"/>
      <w:bookmarkStart w:id="3" w:name="ksexhibit24"/>
      <w:bookmarkEnd w:id="2"/>
      <w:bookmarkEnd w:id="3"/>
      <w:r>
        <w:rPr>
          <w:rFonts w:ascii="Times New Roman;serif" w:hAnsi="Times New Roman;serif"/>
          <w:b/>
          <w:color w:val="000000"/>
          <w:sz w:val="20"/>
        </w:rPr>
        <w:t>Exhibit 24</w:t>
      </w:r>
      <w:r>
        <w:br w:type="page"/>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HorizontalLine"/>
        <w:pBdr>
          <w:bottom w:val="single" w:sz="12" w:space="0" w:color="808080"/>
        </w:pBdr>
        <w:bidi w:val="0"/>
        <w:jc w:val="left"/>
        <w:rPr/>
      </w:pPr>
      <w:r>
        <w:rPr/>
      </w:r>
    </w:p>
    <w:p>
      <w:pPr>
        <w:pStyle w:val="TextBody"/>
        <w:bidi w:val="0"/>
        <w:spacing w:before="0" w:after="240"/>
        <w:ind w:left="0" w:right="0" w:firstLine="720"/>
        <w:jc w:val="both"/>
        <w:rPr>
          <w:rFonts w:ascii="Times New Roman;serif" w:hAnsi="Times New Roman;serif"/>
          <w:color w:val="000000"/>
          <w:sz w:val="20"/>
        </w:rPr>
      </w:pPr>
      <w:r>
        <w:rPr>
          <w:rFonts w:ascii="Times New Roman;serif" w:hAnsi="Times New Roman;serif"/>
          <w:color w:val="000000"/>
          <w:sz w:val="20"/>
        </w:rPr>
        <w:t>Know all by these present, that I, the undersigned officer of Lucid Group, Inc., a Delaware corporation (the “</w:t>
      </w:r>
      <w:r>
        <w:rPr>
          <w:rFonts w:ascii="Times New Roman;serif" w:hAnsi="Times New Roman;serif"/>
          <w:color w:val="000000"/>
          <w:sz w:val="20"/>
          <w:u w:val="single"/>
        </w:rPr>
        <w:t>Company</w:t>
      </w:r>
      <w:r>
        <w:rPr>
          <w:rFonts w:ascii="Times New Roman;serif" w:hAnsi="Times New Roman;serif"/>
          <w:color w:val="000000"/>
          <w:sz w:val="20"/>
        </w:rPr>
        <w:t>”), hereby constitute and appoint Peter Rawlinson (Chief Executive Officer &amp; Chief Technology Officer), Sherry House (Chief Financial Officer), Benjamin Uy (Deputy General Counsel, Corporate and Securities), and the individual serving as General Counsel of the Company, and each of them, my true and lawful attorneys-in-fact and agents, with full power to act, together or each without the other, with full power of substitution and resubstitution, for me and in my name, place and stead, in any and all capacities:</w:t>
      </w:r>
    </w:p>
    <w:p>
      <w:pPr>
        <w:pStyle w:val="Normal"/>
        <w:bidi w:val="0"/>
        <w:spacing w:before="0" w:after="0"/>
        <w:jc w:val="left"/>
        <w:rPr>
          <w:sz w:val="4"/>
          <w:szCs w:val="4"/>
        </w:rPr>
      </w:pPr>
      <w:r>
        <w:rPr>
          <w:sz w:val="4"/>
          <w:szCs w:val="4"/>
        </w:rPr>
      </w:r>
      <w:bookmarkStart w:id="4" w:name="z02f1d42799624db3a6b32091458e5123"/>
      <w:bookmarkStart w:id="5" w:name="z02f1d42799624db3a6b32091458e5123"/>
      <w:bookmarkEnd w:id="5"/>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pPr>
            <w:r>
              <w:rPr/>
            </w:r>
          </w:p>
        </w:tc>
        <w:tc>
          <w:tcPr>
            <w:tcW w:w="169" w:type="dxa"/>
            <w:tcBorders/>
            <w:vAlign w:val="center"/>
          </w:tcPr>
          <w:p>
            <w:pPr>
              <w:pStyle w:val="TableContents"/>
              <w:bidi w:val="0"/>
              <w:spacing w:before="0" w:after="283"/>
              <w:jc w:val="left"/>
              <w:rPr>
                <w:rFonts w:ascii="Times New Roman;serif" w:hAnsi="Times New Roman;serif"/>
              </w:rPr>
            </w:pPr>
            <w:r>
              <w:rPr>
                <w:rFonts w:ascii="Times New Roman;serif" w:hAnsi="Times New Roman;serif"/>
              </w:rPr>
              <w:t>(i)</w:t>
            </w:r>
          </w:p>
        </w:tc>
        <w:tc>
          <w:tcPr>
            <w:tcW w:w="9998" w:type="dxa"/>
            <w:tcBorders/>
            <w:vAlign w:val="center"/>
          </w:tcPr>
          <w:p>
            <w:pPr>
              <w:pStyle w:val="TableContents"/>
              <w:bidi w:val="0"/>
              <w:spacing w:before="0" w:after="0"/>
              <w:jc w:val="both"/>
              <w:rPr>
                <w:rFonts w:ascii="Times New Roman;serif" w:hAnsi="Times New Roman;serif"/>
              </w:rPr>
            </w:pPr>
            <w:r>
              <w:rPr>
                <w:rFonts w:ascii="Times New Roman;serif" w:hAnsi="Times New Roman;serif"/>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w:t>
            </w:r>
            <w:r>
              <w:rPr>
                <w:rFonts w:ascii="Times New Roman;serif" w:hAnsi="Times New Roman;serif"/>
                <w:u w:val="single"/>
              </w:rPr>
              <w:t>SEC</w:t>
            </w:r>
            <w:r>
              <w:rPr>
                <w:rFonts w:ascii="Times New Roman;serif" w:hAnsi="Times New Roman;serif"/>
              </w:rPr>
              <w:t>”) in accordance with Section 16(a) of the Securities Exchange Act of 1934, as amended (the “</w:t>
            </w:r>
            <w:r>
              <w:rPr>
                <w:rFonts w:ascii="Times New Roman;serif" w:hAnsi="Times New Roman;serif"/>
                <w:u w:val="single"/>
              </w:rPr>
              <w:t>Exchange Act</w:t>
            </w:r>
            <w:r>
              <w:rPr>
                <w:rFonts w:ascii="Times New Roman;serif" w:hAnsi="Times New Roman;serif"/>
              </w:rPr>
              <w:t>”), and the rules promulgated thereunder;</w:t>
            </w:r>
          </w:p>
        </w:tc>
      </w:tr>
    </w:tbl>
    <w:p>
      <w:pPr>
        <w:pStyle w:val="Normal"/>
        <w:bidi w:val="0"/>
        <w:spacing w:before="0" w:after="0"/>
        <w:jc w:val="left"/>
        <w:rPr>
          <w:sz w:val="4"/>
          <w:szCs w:val="4"/>
        </w:rPr>
      </w:pPr>
      <w:r>
        <w:rPr>
          <w:sz w:val="4"/>
          <w:szCs w:val="4"/>
        </w:rPr>
      </w:r>
      <w:bookmarkStart w:id="6" w:name="zc502caeba3714bd082cd88298c82737c"/>
      <w:bookmarkStart w:id="7" w:name="zc502caeba3714bd082cd88298c82737c"/>
      <w:bookmarkEnd w:id="7"/>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rFonts w:ascii="Times New Roman;serif" w:hAnsi="Times New Roman;serif"/>
              </w:rPr>
            </w:pPr>
            <w:r>
              <w:rPr>
                <w:rFonts w:ascii="Times New Roman;serif" w:hAnsi="Times New Roman;serif"/>
              </w:rPr>
              <w:t>(ii)</w:t>
            </w:r>
          </w:p>
        </w:tc>
        <w:tc>
          <w:tcPr>
            <w:tcW w:w="9888" w:type="dxa"/>
            <w:tcBorders/>
            <w:vAlign w:val="center"/>
          </w:tcPr>
          <w:p>
            <w:pPr>
              <w:pStyle w:val="TableContents"/>
              <w:bidi w:val="0"/>
              <w:spacing w:before="0" w:after="0"/>
              <w:jc w:val="both"/>
              <w:rPr>
                <w:rFonts w:ascii="Times New Roman;serif" w:hAnsi="Times New Roman;serif"/>
              </w:rPr>
            </w:pPr>
            <w:r>
              <w:rPr>
                <w:rFonts w:ascii="Times New Roman;serif" w:hAnsi="Times New Roman;serif"/>
              </w:rPr>
              <w:t>to execute and file for and on behalf of the undersigned any voluntary filings under Section 16(a) of the Exchange Act;</w:t>
            </w:r>
          </w:p>
        </w:tc>
      </w:tr>
    </w:tbl>
    <w:p>
      <w:pPr>
        <w:pStyle w:val="Normal"/>
        <w:bidi w:val="0"/>
        <w:spacing w:before="0" w:after="0"/>
        <w:jc w:val="left"/>
        <w:rPr>
          <w:sz w:val="4"/>
          <w:szCs w:val="4"/>
        </w:rPr>
      </w:pPr>
      <w:r>
        <w:rPr>
          <w:sz w:val="4"/>
          <w:szCs w:val="4"/>
        </w:rPr>
      </w:r>
      <w:bookmarkStart w:id="8" w:name="z50816cb7287f4c7cb7206e1796e657d7"/>
      <w:bookmarkStart w:id="9" w:name="z50816cb7287f4c7cb7206e1796e657d7"/>
      <w:bookmarkEnd w:id="9"/>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pPr>
            <w:r>
              <w:rPr/>
            </w:r>
          </w:p>
        </w:tc>
        <w:tc>
          <w:tcPr>
            <w:tcW w:w="304" w:type="dxa"/>
            <w:tcBorders/>
            <w:vAlign w:val="center"/>
          </w:tcPr>
          <w:p>
            <w:pPr>
              <w:pStyle w:val="TableContents"/>
              <w:bidi w:val="0"/>
              <w:spacing w:before="0" w:after="283"/>
              <w:jc w:val="left"/>
              <w:rPr>
                <w:rFonts w:ascii="Times New Roman;serif" w:hAnsi="Times New Roman;serif"/>
              </w:rPr>
            </w:pPr>
            <w:r>
              <w:rPr>
                <w:rFonts w:ascii="Times New Roman;serif" w:hAnsi="Times New Roman;serif"/>
              </w:rPr>
              <w:t>(iii)</w:t>
            </w:r>
          </w:p>
        </w:tc>
        <w:tc>
          <w:tcPr>
            <w:tcW w:w="9863" w:type="dxa"/>
            <w:tcBorders/>
            <w:vAlign w:val="center"/>
          </w:tcPr>
          <w:p>
            <w:pPr>
              <w:pStyle w:val="TableContents"/>
              <w:bidi w:val="0"/>
              <w:spacing w:before="0" w:after="0"/>
              <w:jc w:val="both"/>
              <w:rPr>
                <w:rFonts w:ascii="Times New Roman;serif" w:hAnsi="Times New Roman;serif"/>
              </w:rPr>
            </w:pPr>
            <w:r>
              <w:rPr>
                <w:rFonts w:ascii="Times New Roman;serif" w:hAnsi="Times New Roman;serif"/>
              </w:rPr>
              <w:t>to request electronic filing codes from the SEC by filing the Form ID (including amendments thereto) and any other documents necessary or appropriate to obtain codes and passwords enabling the undersigned to file such reports electronically;</w:t>
            </w:r>
          </w:p>
        </w:tc>
      </w:tr>
    </w:tbl>
    <w:p>
      <w:pPr>
        <w:pStyle w:val="Normal"/>
        <w:bidi w:val="0"/>
        <w:spacing w:before="0" w:after="0"/>
        <w:jc w:val="left"/>
        <w:rPr>
          <w:sz w:val="4"/>
          <w:szCs w:val="4"/>
        </w:rPr>
      </w:pPr>
      <w:r>
        <w:rPr>
          <w:sz w:val="4"/>
          <w:szCs w:val="4"/>
        </w:rPr>
      </w:r>
      <w:bookmarkStart w:id="10" w:name="zf92044116e334c0e9649e6d65171ab0c"/>
      <w:bookmarkStart w:id="11" w:name="zf92044116e334c0e9649e6d65171ab0c"/>
      <w:bookmarkEnd w:id="11"/>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pPr>
            <w:r>
              <w:rPr/>
            </w:r>
          </w:p>
        </w:tc>
        <w:tc>
          <w:tcPr>
            <w:tcW w:w="299" w:type="dxa"/>
            <w:tcBorders/>
            <w:vAlign w:val="center"/>
          </w:tcPr>
          <w:p>
            <w:pPr>
              <w:pStyle w:val="TableContents"/>
              <w:bidi w:val="0"/>
              <w:spacing w:before="0" w:after="283"/>
              <w:jc w:val="left"/>
              <w:rPr>
                <w:rFonts w:ascii="Times New Roman;serif" w:hAnsi="Times New Roman;serif"/>
              </w:rPr>
            </w:pPr>
            <w:r>
              <w:rPr>
                <w:rFonts w:ascii="Times New Roman;serif" w:hAnsi="Times New Roman;serif"/>
              </w:rPr>
              <w:t>(iv)</w:t>
            </w:r>
          </w:p>
        </w:tc>
        <w:tc>
          <w:tcPr>
            <w:tcW w:w="9868" w:type="dxa"/>
            <w:tcBorders/>
            <w:vAlign w:val="center"/>
          </w:tcPr>
          <w:p>
            <w:pPr>
              <w:pStyle w:val="TableContents"/>
              <w:bidi w:val="0"/>
              <w:spacing w:before="0" w:after="0"/>
              <w:jc w:val="both"/>
              <w:rPr>
                <w:rFonts w:ascii="Times New Roman;serif" w:hAnsi="Times New Roman;serif"/>
              </w:rPr>
            </w:pPr>
            <w:r>
              <w:rPr>
                <w:rFonts w:ascii="Times New Roman;serif" w:hAnsi="Times New Roman;serif"/>
              </w:rPr>
              <w:t>to prepare, file, and submit any documents or reports that may be required under SEC Rule 144 to permit the undersigned to sell Company common stock without registration under the Securities Act of 1933, as amended (the “</w:t>
            </w:r>
            <w:r>
              <w:rPr>
                <w:rFonts w:ascii="Times New Roman;serif" w:hAnsi="Times New Roman;serif"/>
                <w:u w:val="single"/>
              </w:rPr>
              <w:t>Securities Act</w:t>
            </w:r>
            <w:r>
              <w:rPr>
                <w:rFonts w:ascii="Times New Roman;serif" w:hAnsi="Times New Roman;serif"/>
              </w:rPr>
              <w:t>”) in reliance on Rule 144 as amended from time to time; or</w:t>
            </w:r>
          </w:p>
        </w:tc>
      </w:tr>
    </w:tbl>
    <w:p>
      <w:pPr>
        <w:pStyle w:val="Normal"/>
        <w:bidi w:val="0"/>
        <w:spacing w:before="0" w:after="0"/>
        <w:jc w:val="left"/>
        <w:rPr>
          <w:sz w:val="4"/>
          <w:szCs w:val="4"/>
        </w:rPr>
      </w:pPr>
      <w:r>
        <w:rPr>
          <w:sz w:val="4"/>
          <w:szCs w:val="4"/>
        </w:rPr>
      </w:r>
      <w:bookmarkStart w:id="12" w:name="zbe1e213b4eee44708ba7af33aaaef95e"/>
      <w:bookmarkStart w:id="13" w:name="zbe1e213b4eee44708ba7af33aaaef95e"/>
      <w:bookmarkEnd w:id="13"/>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rFonts w:ascii="Times New Roman;serif" w:hAnsi="Times New Roman;serif"/>
              </w:rPr>
            </w:pPr>
            <w:r>
              <w:rPr>
                <w:rFonts w:ascii="Times New Roman;serif" w:hAnsi="Times New Roman;serif"/>
              </w:rPr>
              <w:t>(v)</w:t>
            </w:r>
          </w:p>
        </w:tc>
        <w:tc>
          <w:tcPr>
            <w:tcW w:w="9939" w:type="dxa"/>
            <w:tcBorders/>
            <w:vAlign w:val="center"/>
          </w:tcPr>
          <w:p>
            <w:pPr>
              <w:pStyle w:val="TableContents"/>
              <w:bidi w:val="0"/>
              <w:spacing w:before="0" w:after="0"/>
              <w:jc w:val="both"/>
              <w:rPr>
                <w:rFonts w:ascii="Times New Roman;serif" w:hAnsi="Times New Roman;serif"/>
              </w:rPr>
            </w:pPr>
            <w:r>
              <w:rPr>
                <w:rFonts w:ascii="Times New Roman;serif" w:hAnsi="Times New Roman;serif"/>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attorney-in-fact’s or attorneys-in-fact’s discretion.</w:t>
            </w:r>
          </w:p>
        </w:tc>
      </w:tr>
    </w:tbl>
    <w:p>
      <w:pPr>
        <w:pStyle w:val="TextBody"/>
        <w:bidi w:val="0"/>
        <w:spacing w:before="0" w:after="240"/>
        <w:ind w:left="0" w:right="0" w:firstLine="720"/>
        <w:jc w:val="both"/>
        <w:rPr>
          <w:color w:val="000000"/>
        </w:rPr>
      </w:pPr>
      <w:r>
        <w:rPr>
          <w:color w:val="000000"/>
        </w:rPr>
        <w:t>      </w:t>
      </w:r>
      <w:r>
        <w:rPr>
          <w:rFonts w:ascii="Times New Roman;serif" w:hAnsi="Times New Roman;serif"/>
          <w:color w:val="000000"/>
          <w:sz w:val="20"/>
        </w:rPr>
        <w:t>The undersigned acknowledges that the foregoing attorneys-in-fact,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w:t>
      </w:r>
    </w:p>
    <w:p>
      <w:pPr>
        <w:pStyle w:val="TextBody"/>
        <w:bidi w:val="0"/>
        <w:spacing w:before="0" w:after="240"/>
        <w:ind w:left="0" w:right="0" w:firstLine="720"/>
        <w:jc w:val="both"/>
        <w:rPr>
          <w:color w:val="000000"/>
        </w:rPr>
      </w:pPr>
      <w:r>
        <w:rPr>
          <w:color w:val="000000"/>
        </w:rPr>
        <w:t>     </w:t>
      </w:r>
      <w:r>
        <w:rPr>
          <w:rFonts w:ascii="Times New Roman;serif" w:hAnsi="Times New Roman;serif"/>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revokes and replaces any prior Power of Attorney executed by the undersigned with respect to the ownership, acquisition, or disposition of securities of the Company.</w:t>
      </w:r>
    </w:p>
    <w:p>
      <w:pPr>
        <w:pStyle w:val="HorizontalLine"/>
        <w:pBdr>
          <w:bottom w:val="single" w:sz="12" w:space="0" w:color="808080"/>
        </w:pBdr>
        <w:bidi w:val="0"/>
        <w:spacing w:before="200" w:after="200"/>
        <w:jc w:val="left"/>
        <w:rPr/>
      </w:pPr>
      <w:r>
        <w:rPr/>
      </w:r>
    </w:p>
    <w:p>
      <w:pPr>
        <w:pStyle w:val="TextBody"/>
        <w:bidi w:val="0"/>
        <w:spacing w:before="0" w:after="240"/>
        <w:jc w:val="both"/>
        <w:rPr>
          <w:color w:val="000000"/>
        </w:rPr>
      </w:pPr>
      <w:r>
        <w:rPr>
          <w:color w:val="000000"/>
        </w:rPr>
        <w:t>                           </w:t>
      </w:r>
      <w:r>
        <w:rPr>
          <w:rFonts w:ascii="Times New Roman;serif" w:hAnsi="Times New Roman;serif"/>
          <w:color w:val="000000"/>
          <w:sz w:val="20"/>
        </w:rPr>
        <w:t>IN WITNESS WHEREOF, the undersigned has caused this Power of Attorney to be executed as of this 4th day of December, 2023.</w:t>
      </w:r>
    </w:p>
    <w:p>
      <w:pPr>
        <w:pStyle w:val="TextBody"/>
        <w:bidi w:val="0"/>
        <w:spacing w:before="0" w:after="0"/>
        <w:ind w:left="4320" w:right="0" w:hanging="0"/>
        <w:jc w:val="both"/>
        <w:rPr>
          <w:rFonts w:ascii="Times New Roman;serif" w:hAnsi="Times New Roman;serif"/>
          <w:color w:val="000000"/>
          <w:sz w:val="22"/>
        </w:rPr>
      </w:pPr>
      <w:r>
        <w:rPr>
          <w:rFonts w:ascii="Times New Roman;serif" w:hAnsi="Times New Roman;serif"/>
          <w:color w:val="000000"/>
          <w:sz w:val="20"/>
          <w:u w:val="single"/>
        </w:rPr>
        <w:t>/s/ Marc Winterhoff</w:t>
      </w:r>
      <w:r>
        <w:rPr>
          <w:rFonts w:ascii="Times New Roman;serif" w:hAnsi="Times New Roman;serif"/>
          <w:color w:val="000000"/>
          <w:sz w:val="22"/>
        </w:rPr>
        <w:t>  </w:t>
      </w:r>
    </w:p>
    <w:p>
      <w:pPr>
        <w:pStyle w:val="TextBody"/>
        <w:bidi w:val="0"/>
        <w:spacing w:before="0" w:after="0"/>
        <w:ind w:left="4320" w:right="0" w:hanging="0"/>
        <w:jc w:val="both"/>
        <w:rPr>
          <w:rFonts w:ascii="Times;serif" w:hAnsi="Times;serif"/>
          <w:color w:val="000000"/>
          <w:sz w:val="20"/>
        </w:rPr>
      </w:pPr>
      <w:r>
        <w:rPr>
          <w:rFonts w:ascii="Times;serif" w:hAnsi="Times;serif"/>
          <w:color w:val="000000"/>
          <w:sz w:val="20"/>
        </w:rPr>
        <w:t>Marc Winterhoff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02891" TargetMode="External"/><Relationship Id="rId3" Type="http://schemas.openxmlformats.org/officeDocument/2006/relationships/hyperlink" Target="http://www.sec.gov/cgi-bin/browse-edgar?action=getcompany&amp;CIK=0001811210"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964</Words>
  <Characters>5194</Characters>
  <CharactersWithSpaces>6138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