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17"/>
          <w:szCs w:val="17"/>
          <w:b w:val="1"/>
          <w:bCs w:val="1"/>
          <w:color w:val="auto"/>
        </w:rPr>
        <w:t>As filed with the U.S. Securities and Exchange Commission on July 27, 2020.</w:t>
      </w:r>
    </w:p>
    <w:p>
      <w:pPr>
        <w:spacing w:after="0" w:line="33"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333-239856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1804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61804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188" w:lineRule="exact"/>
        <w:rPr>
          <w:sz w:val="24"/>
          <w:szCs w:val="24"/>
          <w:color w:val="auto"/>
        </w:rPr>
      </w:pPr>
    </w:p>
    <w:p>
      <w:pPr>
        <w:jc w:val="center"/>
        <w:ind w:right="34"/>
        <w:spacing w:after="0"/>
        <w:rPr>
          <w:sz w:val="20"/>
          <w:szCs w:val="20"/>
          <w:color w:val="auto"/>
        </w:rPr>
      </w:pPr>
      <w:r>
        <w:rPr>
          <w:rFonts w:ascii="Arial" w:cs="Arial" w:eastAsia="Arial" w:hAnsi="Arial"/>
          <w:sz w:val="18"/>
          <w:szCs w:val="18"/>
          <w:b w:val="1"/>
          <w:bCs w:val="1"/>
          <w:color w:val="auto"/>
        </w:rPr>
        <w:t>UNITED STATES</w:t>
      </w:r>
    </w:p>
    <w:p>
      <w:pPr>
        <w:jc w:val="center"/>
        <w:ind w:right="34"/>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ind w:right="-5"/>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2477135</wp:posOffset>
            </wp:positionH>
            <wp:positionV relativeFrom="paragraph">
              <wp:posOffset>55880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8" w:lineRule="exact"/>
        <w:rPr>
          <w:sz w:val="24"/>
          <w:szCs w:val="24"/>
          <w:color w:val="auto"/>
        </w:rPr>
      </w:pPr>
    </w:p>
    <w:p>
      <w:pPr>
        <w:jc w:val="center"/>
        <w:ind w:right="34"/>
        <w:spacing w:after="0"/>
        <w:rPr>
          <w:sz w:val="20"/>
          <w:szCs w:val="20"/>
          <w:color w:val="auto"/>
        </w:rPr>
      </w:pPr>
      <w:r>
        <w:rPr>
          <w:rFonts w:ascii="Arial" w:cs="Arial" w:eastAsia="Arial" w:hAnsi="Arial"/>
          <w:sz w:val="18"/>
          <w:szCs w:val="18"/>
          <w:b w:val="1"/>
          <w:bCs w:val="1"/>
          <w:color w:val="auto"/>
        </w:rPr>
        <w:t>Amendment No. 2 to</w:t>
      </w:r>
    </w:p>
    <w:p>
      <w:pPr>
        <w:jc w:val="center"/>
        <w:ind w:right="34"/>
        <w:spacing w:after="0" w:line="221" w:lineRule="auto"/>
        <w:rPr>
          <w:sz w:val="20"/>
          <w:szCs w:val="20"/>
          <w:color w:val="auto"/>
        </w:rPr>
      </w:pPr>
      <w:r>
        <w:rPr>
          <w:rFonts w:ascii="Arial" w:cs="Arial" w:eastAsia="Arial" w:hAnsi="Arial"/>
          <w:sz w:val="18"/>
          <w:szCs w:val="18"/>
          <w:b w:val="1"/>
          <w:bCs w:val="1"/>
          <w:color w:val="auto"/>
        </w:rPr>
        <w:t>FORM S-1</w:t>
      </w:r>
    </w:p>
    <w:p>
      <w:pPr>
        <w:jc w:val="center"/>
        <w:ind w:right="34"/>
        <w:spacing w:after="0" w:line="219" w:lineRule="auto"/>
        <w:rPr>
          <w:sz w:val="20"/>
          <w:szCs w:val="20"/>
          <w:color w:val="auto"/>
        </w:rPr>
      </w:pPr>
      <w:r>
        <w:rPr>
          <w:rFonts w:ascii="Arial" w:cs="Arial" w:eastAsia="Arial" w:hAnsi="Arial"/>
          <w:sz w:val="18"/>
          <w:szCs w:val="18"/>
          <w:b w:val="1"/>
          <w:bCs w:val="1"/>
          <w:color w:val="auto"/>
        </w:rPr>
        <w:t>REGISTRATION STATEMENT</w:t>
      </w:r>
    </w:p>
    <w:p>
      <w:pPr>
        <w:jc w:val="center"/>
        <w:ind w:right="34"/>
        <w:spacing w:after="0" w:line="219" w:lineRule="auto"/>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2477135</wp:posOffset>
            </wp:positionH>
            <wp:positionV relativeFrom="paragraph">
              <wp:posOffset>47625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77" w:lineRule="exact"/>
        <w:rPr>
          <w:sz w:val="24"/>
          <w:szCs w:val="24"/>
          <w:color w:val="auto"/>
        </w:rPr>
      </w:pPr>
    </w:p>
    <w:p>
      <w:pPr>
        <w:jc w:val="center"/>
        <w:ind w:right="-5"/>
        <w:spacing w:after="0"/>
        <w:rPr>
          <w:sz w:val="20"/>
          <w:szCs w:val="20"/>
          <w:color w:val="auto"/>
        </w:rPr>
      </w:pPr>
      <w:r>
        <w:rPr>
          <w:rFonts w:ascii="Arial" w:cs="Arial" w:eastAsia="Arial" w:hAnsi="Arial"/>
          <w:sz w:val="29"/>
          <w:szCs w:val="29"/>
          <w:b w:val="1"/>
          <w:bCs w:val="1"/>
          <w:color w:val="auto"/>
        </w:rPr>
        <w:t>Churchill Capital Corp IV</w:t>
      </w:r>
    </w:p>
    <w:p>
      <w:pPr>
        <w:spacing w:after="0" w:line="16" w:lineRule="exact"/>
        <w:rPr>
          <w:sz w:val="24"/>
          <w:szCs w:val="24"/>
          <w:color w:val="auto"/>
        </w:rPr>
      </w:pPr>
    </w:p>
    <w:p>
      <w:pPr>
        <w:jc w:val="center"/>
        <w:ind w:right="14"/>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2477135</wp:posOffset>
            </wp:positionH>
            <wp:positionV relativeFrom="paragraph">
              <wp:posOffset>73660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9" w:lineRule="exact"/>
        <w:rPr>
          <w:sz w:val="24"/>
          <w:szCs w:val="24"/>
          <w:color w:val="auto"/>
        </w:rPr>
      </w:pPr>
    </w:p>
    <w:tbl>
      <w:tblPr>
        <w:tblLayout w:type="fixed"/>
        <w:tblInd w:w="666" w:type="dxa"/>
        <w:tblCellMar>
          <w:top w:w="0" w:type="dxa"/>
          <w:left w:w="0" w:type="dxa"/>
          <w:bottom w:w="0" w:type="dxa"/>
          <w:right w:w="0" w:type="dxa"/>
        </w:tblCellMar>
      </w:tblPr>
      <w:tr>
        <w:trPr>
          <w:trHeight w:val="161"/>
        </w:trPr>
        <w:tc>
          <w:tcPr>
            <w:tcW w:w="2560" w:type="dxa"/>
            <w:vAlign w:val="bottom"/>
          </w:tcPr>
          <w:p>
            <w:pPr>
              <w:ind w:left="620"/>
              <w:spacing w:after="0"/>
              <w:rPr>
                <w:sz w:val="20"/>
                <w:szCs w:val="20"/>
                <w:color w:val="auto"/>
              </w:rPr>
            </w:pPr>
            <w:r>
              <w:rPr>
                <w:rFonts w:ascii="Arial" w:cs="Arial" w:eastAsia="Arial" w:hAnsi="Arial"/>
                <w:sz w:val="14"/>
                <w:szCs w:val="14"/>
                <w:b w:val="1"/>
                <w:bCs w:val="1"/>
                <w:color w:val="auto"/>
              </w:rPr>
              <w:t>Delaware</w:t>
            </w:r>
          </w:p>
        </w:tc>
        <w:tc>
          <w:tcPr>
            <w:tcW w:w="3380" w:type="dxa"/>
            <w:vAlign w:val="bottom"/>
          </w:tcPr>
          <w:p>
            <w:pPr>
              <w:jc w:val="right"/>
              <w:ind w:right="1528"/>
              <w:spacing w:after="0"/>
              <w:rPr>
                <w:sz w:val="20"/>
                <w:szCs w:val="20"/>
                <w:color w:val="auto"/>
              </w:rPr>
            </w:pPr>
            <w:r>
              <w:rPr>
                <w:rFonts w:ascii="Arial" w:cs="Arial" w:eastAsia="Arial" w:hAnsi="Arial"/>
                <w:sz w:val="14"/>
                <w:szCs w:val="14"/>
                <w:b w:val="1"/>
                <w:bCs w:val="1"/>
                <w:color w:val="auto"/>
              </w:rPr>
              <w:t>6770</w:t>
            </w:r>
          </w:p>
        </w:tc>
        <w:tc>
          <w:tcPr>
            <w:tcW w:w="2240" w:type="dxa"/>
            <w:vAlign w:val="bottom"/>
          </w:tcPr>
          <w:p>
            <w:pPr>
              <w:jc w:val="right"/>
              <w:ind w:right="288"/>
              <w:spacing w:after="0"/>
              <w:rPr>
                <w:sz w:val="20"/>
                <w:szCs w:val="20"/>
                <w:color w:val="auto"/>
              </w:rPr>
            </w:pPr>
            <w:r>
              <w:rPr>
                <w:rFonts w:ascii="Arial" w:cs="Arial" w:eastAsia="Arial" w:hAnsi="Arial"/>
                <w:sz w:val="14"/>
                <w:szCs w:val="14"/>
                <w:b w:val="1"/>
                <w:bCs w:val="1"/>
                <w:color w:val="auto"/>
              </w:rPr>
              <w:t>85-0891392</w:t>
            </w:r>
          </w:p>
        </w:tc>
      </w:tr>
      <w:tr>
        <w:trPr>
          <w:trHeight w:val="148"/>
        </w:trPr>
        <w:tc>
          <w:tcPr>
            <w:tcW w:w="2560" w:type="dxa"/>
            <w:vAlign w:val="bottom"/>
          </w:tcPr>
          <w:p>
            <w:pPr>
              <w:spacing w:after="0" w:line="149" w:lineRule="exact"/>
              <w:rPr>
                <w:sz w:val="20"/>
                <w:szCs w:val="20"/>
                <w:color w:val="auto"/>
              </w:rPr>
            </w:pPr>
            <w:r>
              <w:rPr>
                <w:rFonts w:ascii="Arial" w:cs="Arial" w:eastAsia="Arial" w:hAnsi="Arial"/>
                <w:sz w:val="14"/>
                <w:szCs w:val="14"/>
                <w:color w:val="auto"/>
              </w:rPr>
              <w:t>(State or other jurisdiction of</w:t>
            </w:r>
          </w:p>
        </w:tc>
        <w:tc>
          <w:tcPr>
            <w:tcW w:w="3380" w:type="dxa"/>
            <w:vAlign w:val="bottom"/>
          </w:tcPr>
          <w:p>
            <w:pPr>
              <w:ind w:left="760"/>
              <w:spacing w:after="0" w:line="149" w:lineRule="exact"/>
              <w:rPr>
                <w:sz w:val="20"/>
                <w:szCs w:val="20"/>
                <w:color w:val="auto"/>
              </w:rPr>
            </w:pPr>
            <w:r>
              <w:rPr>
                <w:rFonts w:ascii="Arial" w:cs="Arial" w:eastAsia="Arial" w:hAnsi="Arial"/>
                <w:sz w:val="14"/>
                <w:szCs w:val="14"/>
                <w:color w:val="auto"/>
              </w:rPr>
              <w:t>(Primary Standard Industrial</w:t>
            </w:r>
          </w:p>
        </w:tc>
        <w:tc>
          <w:tcPr>
            <w:tcW w:w="2240" w:type="dxa"/>
            <w:vAlign w:val="bottom"/>
          </w:tcPr>
          <w:p>
            <w:pPr>
              <w:jc w:val="center"/>
              <w:ind w:left="748"/>
              <w:spacing w:after="0" w:line="149" w:lineRule="exact"/>
              <w:rPr>
                <w:sz w:val="20"/>
                <w:szCs w:val="20"/>
                <w:color w:val="auto"/>
              </w:rPr>
            </w:pPr>
            <w:r>
              <w:rPr>
                <w:rFonts w:ascii="Arial" w:cs="Arial" w:eastAsia="Arial" w:hAnsi="Arial"/>
                <w:sz w:val="14"/>
                <w:szCs w:val="14"/>
                <w:color w:val="auto"/>
                <w:w w:val="99"/>
              </w:rPr>
              <w:t>(I.R.S. Employer</w:t>
            </w:r>
          </w:p>
        </w:tc>
      </w:tr>
      <w:tr>
        <w:trPr>
          <w:trHeight w:val="182"/>
        </w:trPr>
        <w:tc>
          <w:tcPr>
            <w:tcW w:w="2560" w:type="dxa"/>
            <w:vAlign w:val="bottom"/>
          </w:tcPr>
          <w:p>
            <w:pPr>
              <w:spacing w:after="0"/>
              <w:rPr>
                <w:sz w:val="20"/>
                <w:szCs w:val="20"/>
                <w:color w:val="auto"/>
              </w:rPr>
            </w:pPr>
            <w:r>
              <w:rPr>
                <w:rFonts w:ascii="Arial" w:cs="Arial" w:eastAsia="Arial" w:hAnsi="Arial"/>
                <w:sz w:val="14"/>
                <w:szCs w:val="14"/>
                <w:color w:val="auto"/>
              </w:rPr>
              <w:t>incorporation or organization)</w:t>
            </w:r>
          </w:p>
        </w:tc>
        <w:tc>
          <w:tcPr>
            <w:tcW w:w="3380" w:type="dxa"/>
            <w:vAlign w:val="bottom"/>
          </w:tcPr>
          <w:p>
            <w:pPr>
              <w:ind w:left="760"/>
              <w:spacing w:after="0"/>
              <w:rPr>
                <w:sz w:val="20"/>
                <w:szCs w:val="20"/>
                <w:color w:val="auto"/>
              </w:rPr>
            </w:pPr>
            <w:r>
              <w:rPr>
                <w:rFonts w:ascii="Arial" w:cs="Arial" w:eastAsia="Arial" w:hAnsi="Arial"/>
                <w:sz w:val="14"/>
                <w:szCs w:val="14"/>
                <w:color w:val="auto"/>
              </w:rPr>
              <w:t>Classification Code Number)</w:t>
            </w:r>
          </w:p>
        </w:tc>
        <w:tc>
          <w:tcPr>
            <w:tcW w:w="2240" w:type="dxa"/>
            <w:vAlign w:val="bottom"/>
          </w:tcPr>
          <w:p>
            <w:pPr>
              <w:jc w:val="center"/>
              <w:ind w:left="788"/>
              <w:spacing w:after="0"/>
              <w:rPr>
                <w:sz w:val="20"/>
                <w:szCs w:val="20"/>
                <w:color w:val="auto"/>
              </w:rPr>
            </w:pPr>
            <w:r>
              <w:rPr>
                <w:rFonts w:ascii="Arial" w:cs="Arial" w:eastAsia="Arial" w:hAnsi="Arial"/>
                <w:sz w:val="14"/>
                <w:szCs w:val="14"/>
                <w:color w:val="auto"/>
              </w:rPr>
              <w:t>Identification Number)</w:t>
            </w:r>
          </w:p>
        </w:tc>
      </w:tr>
    </w:tbl>
    <w:p>
      <w:pPr>
        <w:ind w:left="4026"/>
        <w:spacing w:after="0" w:line="219" w:lineRule="auto"/>
        <w:rPr>
          <w:sz w:val="20"/>
          <w:szCs w:val="20"/>
          <w:color w:val="auto"/>
        </w:rPr>
      </w:pPr>
      <w:r>
        <w:rPr>
          <w:rFonts w:ascii="Arial" w:cs="Arial" w:eastAsia="Arial" w:hAnsi="Arial"/>
          <w:sz w:val="14"/>
          <w:szCs w:val="14"/>
          <w:b w:val="1"/>
          <w:bCs w:val="1"/>
          <w:color w:val="auto"/>
        </w:rPr>
        <w:t>640 Fifth Avenue, 12</w:t>
      </w:r>
      <w:r>
        <w:rPr>
          <w:rFonts w:ascii="Arial" w:cs="Arial" w:eastAsia="Arial" w:hAnsi="Arial"/>
          <w:sz w:val="21"/>
          <w:szCs w:val="21"/>
          <w:b w:val="1"/>
          <w:bCs w:val="1"/>
          <w:color w:val="auto"/>
          <w:vertAlign w:val="superscript"/>
        </w:rPr>
        <w:t>th</w:t>
      </w:r>
      <w:r>
        <w:rPr>
          <w:rFonts w:ascii="Arial" w:cs="Arial" w:eastAsia="Arial" w:hAnsi="Arial"/>
          <w:sz w:val="14"/>
          <w:szCs w:val="14"/>
          <w:b w:val="1"/>
          <w:bCs w:val="1"/>
          <w:color w:val="auto"/>
        </w:rPr>
        <w:t xml:space="preserve"> Floor</w:t>
      </w:r>
    </w:p>
    <w:p>
      <w:pPr>
        <w:ind w:left="4226"/>
        <w:spacing w:after="0" w:line="222" w:lineRule="auto"/>
        <w:rPr>
          <w:sz w:val="20"/>
          <w:szCs w:val="20"/>
          <w:color w:val="auto"/>
        </w:rPr>
      </w:pPr>
      <w:r>
        <w:rPr>
          <w:rFonts w:ascii="Arial" w:cs="Arial" w:eastAsia="Arial" w:hAnsi="Arial"/>
          <w:sz w:val="14"/>
          <w:szCs w:val="14"/>
          <w:b w:val="1"/>
          <w:bCs w:val="1"/>
          <w:color w:val="auto"/>
        </w:rPr>
        <w:t>New York, NY 10019</w:t>
      </w:r>
    </w:p>
    <w:p>
      <w:pPr>
        <w:jc w:val="center"/>
        <w:ind w:right="34"/>
        <w:spacing w:after="0" w:line="222" w:lineRule="auto"/>
        <w:rPr>
          <w:sz w:val="20"/>
          <w:szCs w:val="20"/>
          <w:color w:val="auto"/>
        </w:rPr>
      </w:pPr>
      <w:r>
        <w:rPr>
          <w:rFonts w:ascii="Arial" w:cs="Arial" w:eastAsia="Arial" w:hAnsi="Arial"/>
          <w:sz w:val="14"/>
          <w:szCs w:val="14"/>
          <w:b w:val="1"/>
          <w:bCs w:val="1"/>
          <w:color w:val="auto"/>
        </w:rPr>
        <w:t>Telephone: (212) 380-7500</w:t>
      </w:r>
    </w:p>
    <w:p>
      <w:pPr>
        <w:jc w:val="center"/>
        <w:ind w:right="14"/>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39" w:lineRule="exact"/>
        <w:rPr>
          <w:sz w:val="24"/>
          <w:szCs w:val="24"/>
          <w:color w:val="auto"/>
        </w:rPr>
      </w:pPr>
    </w:p>
    <w:p>
      <w:pPr>
        <w:jc w:val="center"/>
        <w:ind w:right="34"/>
        <w:spacing w:after="0"/>
        <w:rPr>
          <w:sz w:val="20"/>
          <w:szCs w:val="20"/>
          <w:color w:val="auto"/>
        </w:rPr>
      </w:pPr>
      <w:r>
        <w:rPr>
          <w:rFonts w:ascii="Arial" w:cs="Arial" w:eastAsia="Arial" w:hAnsi="Arial"/>
          <w:sz w:val="14"/>
          <w:szCs w:val="14"/>
          <w:b w:val="1"/>
          <w:bCs w:val="1"/>
          <w:color w:val="auto"/>
        </w:rPr>
        <w:t>Jay Taragin</w:t>
      </w:r>
    </w:p>
    <w:p>
      <w:pPr>
        <w:jc w:val="center"/>
        <w:ind w:right="34"/>
        <w:spacing w:after="0" w:line="226" w:lineRule="auto"/>
        <w:rPr>
          <w:sz w:val="20"/>
          <w:szCs w:val="20"/>
          <w:color w:val="auto"/>
        </w:rPr>
      </w:pPr>
      <w:r>
        <w:rPr>
          <w:rFonts w:ascii="Arial" w:cs="Arial" w:eastAsia="Arial" w:hAnsi="Arial"/>
          <w:sz w:val="14"/>
          <w:szCs w:val="14"/>
          <w:b w:val="1"/>
          <w:bCs w:val="1"/>
          <w:color w:val="auto"/>
        </w:rPr>
        <w:t>c/o Churchill Capital Corp IV</w:t>
      </w:r>
    </w:p>
    <w:p>
      <w:pPr>
        <w:jc w:val="center"/>
        <w:ind w:right="34"/>
        <w:spacing w:after="0" w:line="188" w:lineRule="auto"/>
        <w:rPr>
          <w:sz w:val="20"/>
          <w:szCs w:val="20"/>
          <w:color w:val="auto"/>
        </w:rPr>
      </w:pPr>
      <w:r>
        <w:rPr>
          <w:rFonts w:ascii="Arial" w:cs="Arial" w:eastAsia="Arial" w:hAnsi="Arial"/>
          <w:sz w:val="13"/>
          <w:szCs w:val="13"/>
          <w:b w:val="1"/>
          <w:bCs w:val="1"/>
          <w:color w:val="auto"/>
        </w:rPr>
        <w:t>640 Fifth Avenue, 12</w:t>
      </w:r>
      <w:r>
        <w:rPr>
          <w:rFonts w:ascii="Arial" w:cs="Arial" w:eastAsia="Arial" w:hAnsi="Arial"/>
          <w:sz w:val="18"/>
          <w:szCs w:val="18"/>
          <w:b w:val="1"/>
          <w:bCs w:val="1"/>
          <w:color w:val="auto"/>
          <w:vertAlign w:val="superscript"/>
        </w:rPr>
        <w:t>th</w:t>
      </w:r>
      <w:r>
        <w:rPr>
          <w:rFonts w:ascii="Arial" w:cs="Arial" w:eastAsia="Arial" w:hAnsi="Arial"/>
          <w:sz w:val="13"/>
          <w:szCs w:val="13"/>
          <w:b w:val="1"/>
          <w:bCs w:val="1"/>
          <w:color w:val="auto"/>
        </w:rPr>
        <w:t xml:space="preserve"> Floor</w:t>
      </w:r>
    </w:p>
    <w:p>
      <w:pPr>
        <w:jc w:val="center"/>
        <w:ind w:right="34"/>
        <w:spacing w:after="0" w:line="221" w:lineRule="auto"/>
        <w:rPr>
          <w:sz w:val="20"/>
          <w:szCs w:val="20"/>
          <w:color w:val="auto"/>
        </w:rPr>
      </w:pPr>
      <w:r>
        <w:rPr>
          <w:rFonts w:ascii="Arial" w:cs="Arial" w:eastAsia="Arial" w:hAnsi="Arial"/>
          <w:sz w:val="14"/>
          <w:szCs w:val="14"/>
          <w:b w:val="1"/>
          <w:bCs w:val="1"/>
          <w:color w:val="auto"/>
        </w:rPr>
        <w:t>New York, NY 10019</w:t>
      </w:r>
    </w:p>
    <w:p>
      <w:pPr>
        <w:jc w:val="center"/>
        <w:ind w:right="34"/>
        <w:spacing w:after="0" w:line="222" w:lineRule="auto"/>
        <w:rPr>
          <w:sz w:val="20"/>
          <w:szCs w:val="20"/>
          <w:color w:val="auto"/>
        </w:rPr>
      </w:pPr>
      <w:r>
        <w:rPr>
          <w:rFonts w:ascii="Arial" w:cs="Arial" w:eastAsia="Arial" w:hAnsi="Arial"/>
          <w:sz w:val="14"/>
          <w:szCs w:val="14"/>
          <w:b w:val="1"/>
          <w:bCs w:val="1"/>
          <w:color w:val="auto"/>
        </w:rPr>
        <w:t>Telephone: (212) 380-7500</w:t>
      </w:r>
    </w:p>
    <w:p>
      <w:pPr>
        <w:jc w:val="center"/>
        <w:ind w:right="14"/>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2477135</wp:posOffset>
            </wp:positionH>
            <wp:positionV relativeFrom="paragraph">
              <wp:posOffset>56515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1" w:lineRule="exact"/>
        <w:rPr>
          <w:sz w:val="24"/>
          <w:szCs w:val="24"/>
          <w:color w:val="auto"/>
        </w:rPr>
      </w:pPr>
    </w:p>
    <w:tbl>
      <w:tblPr>
        <w:tblLayout w:type="fixed"/>
        <w:tblInd w:w="946" w:type="dxa"/>
        <w:tblCellMar>
          <w:top w:w="0" w:type="dxa"/>
          <w:left w:w="0" w:type="dxa"/>
          <w:bottom w:w="0" w:type="dxa"/>
          <w:right w:w="0" w:type="dxa"/>
        </w:tblCellMar>
      </w:tblPr>
      <w:tr>
        <w:trPr>
          <w:trHeight w:val="182"/>
        </w:trPr>
        <w:tc>
          <w:tcPr>
            <w:tcW w:w="2960" w:type="dxa"/>
            <w:vAlign w:val="bottom"/>
          </w:tcPr>
          <w:p>
            <w:pPr>
              <w:spacing w:after="0"/>
              <w:rPr>
                <w:sz w:val="15"/>
                <w:szCs w:val="15"/>
                <w:color w:val="auto"/>
              </w:rPr>
            </w:pPr>
          </w:p>
        </w:tc>
        <w:tc>
          <w:tcPr>
            <w:tcW w:w="4280" w:type="dxa"/>
            <w:vAlign w:val="bottom"/>
            <w:gridSpan w:val="2"/>
          </w:tcPr>
          <w:p>
            <w:pPr>
              <w:ind w:left="680"/>
              <w:spacing w:after="0"/>
              <w:rPr>
                <w:sz w:val="20"/>
                <w:szCs w:val="20"/>
                <w:color w:val="auto"/>
              </w:rPr>
            </w:pPr>
            <w:r>
              <w:rPr>
                <w:rFonts w:ascii="Arial" w:cs="Arial" w:eastAsia="Arial" w:hAnsi="Arial"/>
                <w:sz w:val="14"/>
                <w:szCs w:val="14"/>
                <w:b w:val="1"/>
                <w:bCs w:val="1"/>
                <w:i w:val="1"/>
                <w:iCs w:val="1"/>
                <w:color w:val="auto"/>
              </w:rPr>
              <w:t>Copies to:</w:t>
            </w:r>
          </w:p>
        </w:tc>
      </w:tr>
      <w:tr>
        <w:trPr>
          <w:trHeight w:val="246"/>
        </w:trPr>
        <w:tc>
          <w:tcPr>
            <w:tcW w:w="296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Raphael M. Russo, Esq.</w:t>
            </w:r>
          </w:p>
        </w:tc>
        <w:tc>
          <w:tcPr>
            <w:tcW w:w="1940" w:type="dxa"/>
            <w:vAlign w:val="bottom"/>
          </w:tcPr>
          <w:p>
            <w:pPr>
              <w:spacing w:after="0"/>
              <w:rPr>
                <w:sz w:val="21"/>
                <w:szCs w:val="21"/>
                <w:color w:val="auto"/>
              </w:rPr>
            </w:pPr>
          </w:p>
        </w:tc>
        <w:tc>
          <w:tcPr>
            <w:tcW w:w="2340" w:type="dxa"/>
            <w:vAlign w:val="bottom"/>
          </w:tcPr>
          <w:p>
            <w:pPr>
              <w:jc w:val="center"/>
              <w:ind w:left="548"/>
              <w:spacing w:after="0"/>
              <w:rPr>
                <w:sz w:val="20"/>
                <w:szCs w:val="20"/>
                <w:color w:val="auto"/>
              </w:rPr>
            </w:pPr>
            <w:r>
              <w:rPr>
                <w:rFonts w:ascii="Arial" w:cs="Arial" w:eastAsia="Arial" w:hAnsi="Arial"/>
                <w:sz w:val="14"/>
                <w:szCs w:val="14"/>
                <w:b w:val="1"/>
                <w:bCs w:val="1"/>
                <w:color w:val="auto"/>
                <w:w w:val="88"/>
              </w:rPr>
              <w:t>Joel L. Rubinstein, Esq.</w:t>
            </w:r>
          </w:p>
        </w:tc>
      </w:tr>
      <w:tr>
        <w:trPr>
          <w:trHeight w:val="149"/>
        </w:trPr>
        <w:tc>
          <w:tcPr>
            <w:tcW w:w="29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Paul, Weiss, Rifkind, Wharton &amp; Garrison LLP</w:t>
            </w:r>
          </w:p>
        </w:tc>
        <w:tc>
          <w:tcPr>
            <w:tcW w:w="1940" w:type="dxa"/>
            <w:vAlign w:val="bottom"/>
          </w:tcPr>
          <w:p>
            <w:pPr>
              <w:spacing w:after="0"/>
              <w:rPr>
                <w:sz w:val="12"/>
                <w:szCs w:val="12"/>
                <w:color w:val="auto"/>
              </w:rPr>
            </w:pPr>
          </w:p>
        </w:tc>
        <w:tc>
          <w:tcPr>
            <w:tcW w:w="234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87"/>
              </w:rPr>
              <w:t>Daniel E. Nussen, Esq.</w:t>
            </w:r>
          </w:p>
        </w:tc>
      </w:tr>
      <w:tr>
        <w:trPr>
          <w:trHeight w:val="148"/>
        </w:trPr>
        <w:tc>
          <w:tcPr>
            <w:tcW w:w="29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7"/>
              </w:rPr>
              <w:t>1285 Avenue of the Americas</w:t>
            </w:r>
          </w:p>
        </w:tc>
        <w:tc>
          <w:tcPr>
            <w:tcW w:w="1940" w:type="dxa"/>
            <w:vAlign w:val="bottom"/>
          </w:tcPr>
          <w:p>
            <w:pPr>
              <w:spacing w:after="0"/>
              <w:rPr>
                <w:sz w:val="12"/>
                <w:szCs w:val="12"/>
                <w:color w:val="auto"/>
              </w:rPr>
            </w:pPr>
          </w:p>
        </w:tc>
        <w:tc>
          <w:tcPr>
            <w:tcW w:w="234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3"/>
              </w:rPr>
              <w:t>White &amp; Case LLP</w:t>
            </w:r>
          </w:p>
        </w:tc>
      </w:tr>
      <w:tr>
        <w:trPr>
          <w:trHeight w:val="149"/>
        </w:trPr>
        <w:tc>
          <w:tcPr>
            <w:tcW w:w="29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New York, NY 10019</w:t>
            </w:r>
          </w:p>
        </w:tc>
        <w:tc>
          <w:tcPr>
            <w:tcW w:w="1940" w:type="dxa"/>
            <w:vAlign w:val="bottom"/>
          </w:tcPr>
          <w:p>
            <w:pPr>
              <w:spacing w:after="0"/>
              <w:rPr>
                <w:sz w:val="12"/>
                <w:szCs w:val="12"/>
                <w:color w:val="auto"/>
              </w:rPr>
            </w:pPr>
          </w:p>
        </w:tc>
        <w:tc>
          <w:tcPr>
            <w:tcW w:w="234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88"/>
              </w:rPr>
              <w:t>1221 Avenue of the Americas</w:t>
            </w:r>
          </w:p>
        </w:tc>
      </w:tr>
      <w:tr>
        <w:trPr>
          <w:trHeight w:val="148"/>
        </w:trPr>
        <w:tc>
          <w:tcPr>
            <w:tcW w:w="29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(212) 373-3000</w:t>
            </w:r>
          </w:p>
        </w:tc>
        <w:tc>
          <w:tcPr>
            <w:tcW w:w="1940" w:type="dxa"/>
            <w:vAlign w:val="bottom"/>
          </w:tcPr>
          <w:p>
            <w:pPr>
              <w:spacing w:after="0"/>
              <w:rPr>
                <w:sz w:val="12"/>
                <w:szCs w:val="12"/>
                <w:color w:val="auto"/>
              </w:rPr>
            </w:pPr>
          </w:p>
        </w:tc>
        <w:tc>
          <w:tcPr>
            <w:tcW w:w="234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2"/>
              </w:rPr>
              <w:t>New York, NY 10020</w:t>
            </w:r>
          </w:p>
        </w:tc>
      </w:tr>
      <w:tr>
        <w:trPr>
          <w:trHeight w:val="192"/>
        </w:trPr>
        <w:tc>
          <w:tcPr>
            <w:tcW w:w="296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2340" w:type="dxa"/>
            <w:vAlign w:val="bottom"/>
          </w:tcPr>
          <w:p>
            <w:pPr>
              <w:jc w:val="center"/>
              <w:ind w:left="588"/>
              <w:spacing w:after="0"/>
              <w:rPr>
                <w:sz w:val="20"/>
                <w:szCs w:val="20"/>
                <w:color w:val="auto"/>
              </w:rPr>
            </w:pPr>
            <w:r>
              <w:rPr>
                <w:rFonts w:ascii="Arial" w:cs="Arial" w:eastAsia="Arial" w:hAnsi="Arial"/>
                <w:sz w:val="14"/>
                <w:szCs w:val="14"/>
                <w:b w:val="1"/>
                <w:bCs w:val="1"/>
                <w:color w:val="auto"/>
                <w:w w:val="91"/>
              </w:rPr>
              <w:t>(212) 819-8200</w:t>
            </w:r>
          </w:p>
        </w:tc>
      </w:tr>
    </w:tbl>
    <w:p>
      <w:pPr>
        <w:spacing w:after="0" w:line="72" w:lineRule="exact"/>
        <w:rPr>
          <w:sz w:val="24"/>
          <w:szCs w:val="24"/>
          <w:color w:val="auto"/>
        </w:rPr>
      </w:pPr>
    </w:p>
    <w:p>
      <w:pPr>
        <w:ind w:left="686"/>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the effective date of this registration statement.</w:t>
      </w:r>
    </w:p>
    <w:p>
      <w:pPr>
        <w:ind w:left="366"/>
        <w:spacing w:after="0" w:line="232" w:lineRule="auto"/>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w:t>
      </w:r>
    </w:p>
    <w:p>
      <w:pPr>
        <w:ind w:left="6"/>
        <w:spacing w:after="0" w:line="161" w:lineRule="exact"/>
        <w:rPr>
          <w:sz w:val="20"/>
          <w:szCs w:val="20"/>
          <w:color w:val="auto"/>
        </w:rPr>
      </w:pPr>
      <w:r>
        <w:rPr>
          <w:rFonts w:ascii="Arial" w:cs="Arial" w:eastAsia="Arial" w:hAnsi="Arial"/>
          <w:sz w:val="14"/>
          <w:szCs w:val="14"/>
          <w:color w:val="auto"/>
        </w:rPr>
        <w:t xml:space="preserve">1933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6" w:right="200" w:firstLine="360"/>
        <w:spacing w:after="0" w:line="14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6" w:right="400" w:firstLine="360"/>
        <w:spacing w:after="0" w:line="14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6" w:right="400" w:firstLine="360"/>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6" w:right="100" w:firstLine="360"/>
        <w:spacing w:after="0" w:line="21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12b- 2 of the Exchange Act.</w:t>
      </w:r>
    </w:p>
    <w:p>
      <w:pPr>
        <w:spacing w:after="0" w:line="2" w:lineRule="exact"/>
        <w:rPr>
          <w:sz w:val="24"/>
          <w:szCs w:val="24"/>
          <w:color w:val="auto"/>
        </w:rPr>
      </w:pPr>
    </w:p>
    <w:tbl>
      <w:tblPr>
        <w:tblLayout w:type="fixed"/>
        <w:tblInd w:w="366" w:type="dxa"/>
        <w:tblCellMar>
          <w:top w:w="0" w:type="dxa"/>
          <w:left w:w="0" w:type="dxa"/>
          <w:bottom w:w="0" w:type="dxa"/>
          <w:right w:w="0" w:type="dxa"/>
        </w:tblCellMar>
      </w:tblPr>
      <w:tr>
        <w:trPr>
          <w:trHeight w:val="168"/>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7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2280" w:type="dxa"/>
            <w:vAlign w:val="bottom"/>
          </w:tcPr>
          <w:p>
            <w:pPr>
              <w:ind w:left="16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8"/>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7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2280" w:type="dxa"/>
            <w:vAlign w:val="bottom"/>
          </w:tcPr>
          <w:p>
            <w:pPr>
              <w:ind w:left="16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 w:lineRule="exact"/>
        <w:rPr>
          <w:sz w:val="24"/>
          <w:szCs w:val="24"/>
          <w:color w:val="auto"/>
        </w:rPr>
      </w:pPr>
    </w:p>
    <w:p>
      <w:pPr>
        <w:ind w:left="6" w:right="100" w:firstLine="36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2477135</wp:posOffset>
            </wp:positionH>
            <wp:positionV relativeFrom="paragraph">
              <wp:posOffset>49530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6"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6" w:type="dxa"/>
        <w:tblCellMar>
          <w:top w:w="0" w:type="dxa"/>
          <w:left w:w="0" w:type="dxa"/>
          <w:bottom w:w="0" w:type="dxa"/>
          <w:right w:w="0" w:type="dxa"/>
        </w:tblCellMar>
      </w:tblPr>
      <w:tr>
        <w:trPr>
          <w:trHeight w:val="40"/>
        </w:trPr>
        <w:tc>
          <w:tcPr>
            <w:tcW w:w="4300" w:type="dxa"/>
            <w:vAlign w:val="bottom"/>
            <w:tcBorders>
              <w:top w:val="single" w:sz="8" w:color="auto"/>
              <w:bottom w:val="single" w:sz="8" w:color="auto"/>
              <w:right w:val="single" w:sz="8" w:color="auto"/>
            </w:tcBorders>
          </w:tcPr>
          <w:p>
            <w:pPr>
              <w:spacing w:after="0"/>
              <w:rPr>
                <w:sz w:val="3"/>
                <w:szCs w:val="3"/>
                <w:color w:val="auto"/>
              </w:rPr>
            </w:pPr>
          </w:p>
        </w:tc>
        <w:tc>
          <w:tcPr>
            <w:tcW w:w="1460" w:type="dxa"/>
            <w:vAlign w:val="bottom"/>
            <w:tcBorders>
              <w:top w:val="single" w:sz="8" w:color="auto"/>
              <w:bottom w:val="single" w:sz="8" w:color="auto"/>
              <w:right w:val="single" w:sz="8" w:color="auto"/>
            </w:tcBorders>
          </w:tcPr>
          <w:p>
            <w:pPr>
              <w:spacing w:after="0"/>
              <w:rPr>
                <w:sz w:val="3"/>
                <w:szCs w:val="3"/>
                <w:color w:val="auto"/>
              </w:rPr>
            </w:pPr>
          </w:p>
        </w:tc>
        <w:tc>
          <w:tcPr>
            <w:tcW w:w="1440" w:type="dxa"/>
            <w:vAlign w:val="bottom"/>
            <w:tcBorders>
              <w:top w:val="single" w:sz="8" w:color="auto"/>
              <w:bottom w:val="single" w:sz="8" w:color="auto"/>
              <w:right w:val="single" w:sz="8" w:color="auto"/>
            </w:tcBorders>
          </w:tcPr>
          <w:p>
            <w:pPr>
              <w:spacing w:after="0"/>
              <w:rPr>
                <w:sz w:val="3"/>
                <w:szCs w:val="3"/>
                <w:color w:val="auto"/>
              </w:rPr>
            </w:pPr>
          </w:p>
        </w:tc>
        <w:tc>
          <w:tcPr>
            <w:tcW w:w="1460" w:type="dxa"/>
            <w:vAlign w:val="bottom"/>
            <w:tcBorders>
              <w:top w:val="single" w:sz="8" w:color="auto"/>
              <w:bottom w:val="single" w:sz="8" w:color="auto"/>
              <w:right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4300" w:type="dxa"/>
            <w:vAlign w:val="bottom"/>
            <w:tcBorders>
              <w:right w:val="single" w:sz="8" w:color="auto"/>
            </w:tcBorders>
            <w:vMerge w:val="restart"/>
          </w:tcPr>
          <w:p>
            <w:pPr>
              <w:ind w:left="1200"/>
              <w:spacing w:after="0"/>
              <w:rPr>
                <w:sz w:val="20"/>
                <w:szCs w:val="20"/>
                <w:color w:val="auto"/>
              </w:rPr>
            </w:pPr>
            <w:r>
              <w:rPr>
                <w:rFonts w:ascii="Arial" w:cs="Arial" w:eastAsia="Arial" w:hAnsi="Arial"/>
                <w:sz w:val="14"/>
                <w:szCs w:val="14"/>
                <w:b w:val="1"/>
                <w:bCs w:val="1"/>
                <w:color w:val="auto"/>
              </w:rPr>
              <w:t>Title of Each Class of Security</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Amount Being</w:t>
            </w:r>
          </w:p>
        </w:tc>
        <w:tc>
          <w:tcPr>
            <w:tcW w:w="14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Proposed Maximum</w:t>
            </w:r>
          </w:p>
        </w:tc>
        <w:tc>
          <w:tcPr>
            <w:tcW w:w="14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Proposed Maximum</w:t>
            </w:r>
          </w:p>
        </w:tc>
        <w:tc>
          <w:tcPr>
            <w:tcW w:w="10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430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4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00" w:type="dxa"/>
            <w:vAlign w:val="bottom"/>
            <w:tcBorders>
              <w:bottom w:val="single" w:sz="8" w:color="auto"/>
              <w:right w:val="single" w:sz="8" w:color="auto"/>
            </w:tcBorders>
          </w:tcPr>
          <w:p>
            <w:pPr>
              <w:ind w:left="1600"/>
              <w:spacing w:after="0"/>
              <w:rPr>
                <w:sz w:val="20"/>
                <w:szCs w:val="20"/>
                <w:color w:val="auto"/>
              </w:rPr>
            </w:pPr>
            <w:r>
              <w:rPr>
                <w:rFonts w:ascii="Arial" w:cs="Arial" w:eastAsia="Arial" w:hAnsi="Arial"/>
                <w:sz w:val="14"/>
                <w:szCs w:val="14"/>
                <w:b w:val="1"/>
                <w:bCs w:val="1"/>
                <w:color w:val="auto"/>
              </w:rPr>
              <w:t>Being Registered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Registered</w:t>
            </w:r>
          </w:p>
        </w:tc>
        <w:tc>
          <w:tcPr>
            <w:tcW w:w="14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86"/>
              </w:rPr>
              <w:t>per Security</w:t>
            </w:r>
            <w:r>
              <w:rPr>
                <w:rFonts w:ascii="Arial" w:cs="Arial" w:eastAsia="Arial" w:hAnsi="Arial"/>
                <w:sz w:val="20"/>
                <w:szCs w:val="20"/>
                <w:b w:val="1"/>
                <w:bCs w:val="1"/>
                <w:color w:val="auto"/>
                <w:w w:val="86"/>
                <w:vertAlign w:val="superscript"/>
              </w:rPr>
              <w:t>(1)</w:t>
            </w:r>
          </w:p>
        </w:tc>
        <w:tc>
          <w:tcPr>
            <w:tcW w:w="146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88"/>
              </w:rPr>
              <w:t>Offering Price</w:t>
            </w:r>
            <w:r>
              <w:rPr>
                <w:rFonts w:ascii="Arial" w:cs="Arial" w:eastAsia="Arial" w:hAnsi="Arial"/>
                <w:sz w:val="20"/>
                <w:szCs w:val="20"/>
                <w:b w:val="1"/>
                <w:bCs w:val="1"/>
                <w:color w:val="auto"/>
                <w:w w:val="88"/>
                <w:vertAlign w:val="superscript"/>
              </w:rPr>
              <w:t>(1)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Registration Fee</w:t>
            </w:r>
          </w:p>
        </w:tc>
        <w:tc>
          <w:tcPr>
            <w:tcW w:w="0" w:type="dxa"/>
            <w:vAlign w:val="bottom"/>
          </w:tcPr>
          <w:p>
            <w:pPr>
              <w:spacing w:after="0"/>
              <w:rPr>
                <w:sz w:val="1"/>
                <w:szCs w:val="1"/>
                <w:color w:val="auto"/>
              </w:rPr>
            </w:pPr>
          </w:p>
        </w:tc>
      </w:tr>
      <w:tr>
        <w:trPr>
          <w:trHeight w:val="128"/>
        </w:trPr>
        <w:tc>
          <w:tcPr>
            <w:tcW w:w="4300" w:type="dxa"/>
            <w:vAlign w:val="bottom"/>
            <w:tcBorders>
              <w:right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Units, each consisting of one share of Class A common stock,</w:t>
            </w:r>
          </w:p>
        </w:tc>
        <w:tc>
          <w:tcPr>
            <w:tcW w:w="1460" w:type="dxa"/>
            <w:vAlign w:val="bottom"/>
            <w:tcBorders>
              <w:right w:val="single" w:sz="8" w:color="auto"/>
            </w:tcBorders>
            <w:shd w:val="clear" w:color="auto" w:fill="CCEEFF"/>
          </w:tcPr>
          <w:p>
            <w:pPr>
              <w:spacing w:after="0"/>
              <w:rPr>
                <w:sz w:val="11"/>
                <w:szCs w:val="11"/>
                <w:color w:val="auto"/>
              </w:rPr>
            </w:pPr>
          </w:p>
        </w:tc>
        <w:tc>
          <w:tcPr>
            <w:tcW w:w="1440" w:type="dxa"/>
            <w:vAlign w:val="bottom"/>
            <w:tcBorders>
              <w:right w:val="single" w:sz="8" w:color="auto"/>
            </w:tcBorders>
            <w:shd w:val="clear" w:color="auto" w:fill="CCEEFF"/>
          </w:tcPr>
          <w:p>
            <w:pPr>
              <w:spacing w:after="0"/>
              <w:rPr>
                <w:sz w:val="11"/>
                <w:szCs w:val="11"/>
                <w:color w:val="auto"/>
              </w:rPr>
            </w:pPr>
          </w:p>
        </w:tc>
        <w:tc>
          <w:tcPr>
            <w:tcW w:w="1460" w:type="dxa"/>
            <w:vAlign w:val="bottom"/>
            <w:tcBorders>
              <w:right w:val="single" w:sz="8" w:color="auto"/>
            </w:tcBorders>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300" w:type="dxa"/>
            <w:vAlign w:val="bottom"/>
            <w:tcBorders>
              <w:bottom w:val="single" w:sz="8" w:color="auto"/>
              <w:right w:val="single" w:sz="8" w:color="auto"/>
            </w:tcBorders>
            <w:shd w:val="clear" w:color="auto" w:fill="CCEEFF"/>
          </w:tcPr>
          <w:p>
            <w:pPr>
              <w:ind w:left="180"/>
              <w:spacing w:after="0" w:line="203" w:lineRule="exact"/>
              <w:rPr>
                <w:sz w:val="20"/>
                <w:szCs w:val="20"/>
                <w:color w:val="auto"/>
              </w:rPr>
            </w:pPr>
            <w:r>
              <w:rPr>
                <w:rFonts w:ascii="Arial" w:cs="Arial" w:eastAsia="Arial" w:hAnsi="Arial"/>
                <w:sz w:val="14"/>
                <w:szCs w:val="14"/>
                <w:color w:val="auto"/>
              </w:rPr>
              <w:t>$0.0001 par value, and one-fifth of one redeemable warrant</w:t>
            </w:r>
            <w:r>
              <w:rPr>
                <w:rFonts w:ascii="Arial" w:cs="Arial" w:eastAsia="Arial" w:hAnsi="Arial"/>
                <w:sz w:val="21"/>
                <w:szCs w:val="21"/>
                <w:color w:val="auto"/>
                <w:vertAlign w:val="superscript"/>
              </w:rPr>
              <w:t>(2)</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172,500,000 Units</w:t>
            </w:r>
          </w:p>
        </w:tc>
        <w:tc>
          <w:tcPr>
            <w:tcW w:w="1440" w:type="dxa"/>
            <w:vAlign w:val="bottom"/>
            <w:tcBorders>
              <w:bottom w:val="single" w:sz="8" w:color="auto"/>
              <w:right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rPr>
              <w:t>$10.00</w:t>
            </w:r>
          </w:p>
        </w:tc>
        <w:tc>
          <w:tcPr>
            <w:tcW w:w="1460" w:type="dxa"/>
            <w:vAlign w:val="bottom"/>
            <w:tcBorders>
              <w:bottom w:val="single" w:sz="8" w:color="auto"/>
              <w:right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$1,725,000,000</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4"/>
                <w:szCs w:val="14"/>
                <w:color w:val="auto"/>
              </w:rPr>
              <w:t>$223,905</w:t>
            </w:r>
          </w:p>
        </w:tc>
        <w:tc>
          <w:tcPr>
            <w:tcW w:w="0" w:type="dxa"/>
            <w:vAlign w:val="bottom"/>
          </w:tcPr>
          <w:p>
            <w:pPr>
              <w:spacing w:after="0"/>
              <w:rPr>
                <w:sz w:val="1"/>
                <w:szCs w:val="1"/>
                <w:color w:val="auto"/>
              </w:rPr>
            </w:pPr>
          </w:p>
        </w:tc>
      </w:tr>
      <w:tr>
        <w:trPr>
          <w:trHeight w:val="169"/>
        </w:trPr>
        <w:tc>
          <w:tcPr>
            <w:tcW w:w="430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3"/>
                <w:szCs w:val="13"/>
                <w:color w:val="auto"/>
              </w:rPr>
              <w:t>Shares of Class A common stock included as part of the units</w:t>
            </w:r>
            <w:r>
              <w:rPr>
                <w:rFonts w:ascii="Arial" w:cs="Arial" w:eastAsia="Arial" w:hAnsi="Arial"/>
                <w:sz w:val="19"/>
                <w:szCs w:val="19"/>
                <w:color w:val="auto"/>
                <w:vertAlign w:val="superscript"/>
              </w:rPr>
              <w:t>(3)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172,500,000 Shares</w:t>
            </w:r>
          </w:p>
        </w:tc>
        <w:tc>
          <w:tcPr>
            <w:tcW w:w="1440" w:type="dxa"/>
            <w:vAlign w:val="bottom"/>
            <w:tcBorders>
              <w:bottom w:val="single" w:sz="8" w:color="auto"/>
              <w:right w:val="single" w:sz="8" w:color="auto"/>
            </w:tcBorders>
          </w:tcPr>
          <w:p>
            <w:pPr>
              <w:jc w:val="right"/>
              <w:ind w:right="44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169"/>
        </w:trPr>
        <w:tc>
          <w:tcPr>
            <w:tcW w:w="4300" w:type="dxa"/>
            <w:vAlign w:val="bottom"/>
            <w:tcBorders>
              <w:bottom w:val="single" w:sz="8" w:color="auto"/>
              <w:right w:val="single" w:sz="8" w:color="auto"/>
            </w:tcBorders>
            <w:shd w:val="clear" w:color="auto" w:fill="CCEEFF"/>
          </w:tcPr>
          <w:p>
            <w:pPr>
              <w:spacing w:after="0" w:line="169" w:lineRule="exact"/>
              <w:rPr>
                <w:sz w:val="20"/>
                <w:szCs w:val="20"/>
                <w:color w:val="auto"/>
              </w:rPr>
            </w:pPr>
            <w:r>
              <w:rPr>
                <w:rFonts w:ascii="Arial" w:cs="Arial" w:eastAsia="Arial" w:hAnsi="Arial"/>
                <w:sz w:val="13"/>
                <w:szCs w:val="13"/>
                <w:color w:val="auto"/>
              </w:rPr>
              <w:t>Redeemable warrants included as part of the units</w:t>
            </w:r>
            <w:r>
              <w:rPr>
                <w:rFonts w:ascii="Arial" w:cs="Arial" w:eastAsia="Arial" w:hAnsi="Arial"/>
                <w:sz w:val="19"/>
                <w:szCs w:val="19"/>
                <w:color w:val="auto"/>
                <w:vertAlign w:val="superscript"/>
              </w:rPr>
              <w:t>(3)</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34,500,000 Warrants</w:t>
            </w:r>
          </w:p>
        </w:tc>
        <w:tc>
          <w:tcPr>
            <w:tcW w:w="1440" w:type="dxa"/>
            <w:vAlign w:val="bottom"/>
            <w:tcBorders>
              <w:bottom w:val="single" w:sz="8" w:color="auto"/>
              <w:right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30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$1,725,000,000</w:t>
            </w:r>
          </w:p>
        </w:tc>
        <w:tc>
          <w:tcPr>
            <w:tcW w:w="1060" w:type="dxa"/>
            <w:vAlign w:val="bottom"/>
            <w:tcBorders>
              <w:bottom w:val="single" w:sz="8" w:color="auto"/>
            </w:tcBorders>
          </w:tcPr>
          <w:p>
            <w:pPr>
              <w:jc w:val="right"/>
              <w:ind w:right="14"/>
              <w:spacing w:after="0" w:line="156" w:lineRule="exact"/>
              <w:rPr>
                <w:sz w:val="20"/>
                <w:szCs w:val="20"/>
                <w:color w:val="auto"/>
              </w:rPr>
            </w:pPr>
            <w:r>
              <w:rPr>
                <w:rFonts w:ascii="Arial" w:cs="Arial" w:eastAsia="Arial" w:hAnsi="Arial"/>
                <w:sz w:val="13"/>
                <w:szCs w:val="13"/>
                <w:color w:val="auto"/>
              </w:rPr>
              <w:t>$223,905</w:t>
            </w:r>
            <w:r>
              <w:rPr>
                <w:rFonts w:ascii="Arial" w:cs="Arial" w:eastAsia="Arial" w:hAnsi="Arial"/>
                <w:sz w:val="18"/>
                <w:szCs w:val="18"/>
                <w:color w:val="auto"/>
                <w:vertAlign w:val="superscript"/>
              </w:rPr>
              <w:t>(5)</w:t>
            </w: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366" w:hanging="366"/>
        <w:spacing w:after="0"/>
        <w:tabs>
          <w:tab w:leader="none" w:pos="366"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 of 1933, as amended (the “Securities Act”).</w:t>
      </w:r>
    </w:p>
    <w:p>
      <w:pPr>
        <w:spacing w:after="0" w:line="11" w:lineRule="exact"/>
        <w:rPr>
          <w:rFonts w:ascii="Arial" w:cs="Arial" w:eastAsia="Arial" w:hAnsi="Arial"/>
          <w:sz w:val="13"/>
          <w:szCs w:val="13"/>
          <w:color w:val="auto"/>
        </w:rPr>
      </w:pPr>
    </w:p>
    <w:p>
      <w:pPr>
        <w:ind w:left="366" w:right="200" w:hanging="366"/>
        <w:spacing w:after="0" w:line="227" w:lineRule="auto"/>
        <w:tabs>
          <w:tab w:leader="none" w:pos="366"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22,500,000 units, consisting of 22,500,000 shares of Class A common stock and 4,500,000 redeemable warrants, which may be issued upon exercise of a 45-day option granted to the underwriters to cover over-allotments, if any.</w:t>
      </w:r>
    </w:p>
    <w:p>
      <w:pPr>
        <w:ind w:left="366" w:right="100" w:hanging="366"/>
        <w:spacing w:after="0" w:line="237" w:lineRule="auto"/>
        <w:tabs>
          <w:tab w:leader="none" w:pos="366"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under the Securities Act, there are also being registered an indeterminable number of additional securities as may be issued to prevent dilution resulting from stock splits, stock dividends or similar transactions.</w:t>
      </w:r>
    </w:p>
    <w:p>
      <w:pPr>
        <w:ind w:left="366" w:hanging="366"/>
        <w:spacing w:after="0"/>
        <w:tabs>
          <w:tab w:leader="none" w:pos="366" w:val="left"/>
        </w:tabs>
        <w:numPr>
          <w:ilvl w:val="0"/>
          <w:numId w:val="1"/>
        </w:numPr>
        <w:rPr>
          <w:rFonts w:ascii="Arial" w:cs="Arial" w:eastAsia="Arial" w:hAnsi="Arial"/>
          <w:sz w:val="13"/>
          <w:szCs w:val="13"/>
          <w:color w:val="auto"/>
        </w:rPr>
      </w:pPr>
      <w:r>
        <w:rPr>
          <w:rFonts w:ascii="Arial" w:cs="Arial" w:eastAsia="Arial" w:hAnsi="Arial"/>
          <w:sz w:val="13"/>
          <w:szCs w:val="13"/>
          <w:color w:val="auto"/>
        </w:rPr>
        <w:t>No fee pursuant to Rule 457(g) under the Securities Act.</w:t>
      </w:r>
    </w:p>
    <w:p>
      <w:pPr>
        <w:ind w:left="366" w:hanging="366"/>
        <w:spacing w:after="0"/>
        <w:tabs>
          <w:tab w:leader="none" w:pos="366"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12" w:lineRule="exact"/>
        <w:rPr>
          <w:sz w:val="24"/>
          <w:szCs w:val="24"/>
          <w:color w:val="auto"/>
        </w:rPr>
      </w:pPr>
    </w:p>
    <w:p>
      <w:pPr>
        <w:ind w:left="6" w:right="20" w:firstLine="360"/>
        <w:spacing w:after="0" w:line="301"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180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66040</wp:posOffset>
            </wp:positionV>
            <wp:extent cx="61804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0455" cy="26035"/>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340360</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746"/>
          </w:cols>
          <w:pgMar w:left="814" w:top="698" w:right="1339" w:bottom="1440" w:gutter="0" w:footer="0" w:header="0"/>
        </w:sectPr>
      </w:pPr>
    </w:p>
    <w:bookmarkStart w:id="1" w:name="page2"/>
    <w:bookmarkEnd w:id="1"/>
    <w:p>
      <w:pPr>
        <w:jc w:val="center"/>
        <w:ind w:right="519"/>
        <w:spacing w:after="0"/>
        <w:rPr>
          <w:sz w:val="20"/>
          <w:szCs w:val="20"/>
          <w:color w:val="auto"/>
        </w:rPr>
      </w:pPr>
      <w:r>
        <w:rPr>
          <w:rFonts w:ascii="Arial" w:cs="Arial" w:eastAsia="Arial" w:hAnsi="Arial"/>
          <w:sz w:val="18"/>
          <w:szCs w:val="18"/>
          <w:b w:val="1"/>
          <w:bCs w:val="1"/>
          <w:color w:val="auto"/>
        </w:rPr>
        <w:t>EXPLANATORY NOTE</w:t>
      </w:r>
    </w:p>
    <w:p>
      <w:pPr>
        <w:spacing w:after="0" w:line="108" w:lineRule="exact"/>
        <w:rPr>
          <w:sz w:val="20"/>
          <w:szCs w:val="20"/>
          <w:color w:val="auto"/>
        </w:rPr>
      </w:pPr>
    </w:p>
    <w:p>
      <w:pPr>
        <w:ind w:left="140" w:right="699" w:firstLine="360"/>
        <w:spacing w:after="0" w:line="275" w:lineRule="auto"/>
        <w:rPr>
          <w:sz w:val="20"/>
          <w:szCs w:val="20"/>
          <w:color w:val="auto"/>
        </w:rPr>
      </w:pPr>
      <w:r>
        <w:rPr>
          <w:rFonts w:ascii="Arial" w:cs="Arial" w:eastAsia="Arial" w:hAnsi="Arial"/>
          <w:sz w:val="17"/>
          <w:szCs w:val="17"/>
          <w:color w:val="auto"/>
        </w:rPr>
        <w:t>Churchill Capital Corp IV (alternatively, the “Registrant,” “we,” “us,” “our” and other similar terms) is filing this Amendment No. 2 (this “Amendment”) to its Registration Statement on Form S-1 (File No. 333-239856) as an exhibits only filing to file the exhibits attached hereto. Accordingly, this Amendment consists only of the facing page, this explanatory note, Part II of the Registration Statement, the signature pages to the Registration Statement and the filed exhibit. The prospectus is unchanged and has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6713220</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8" w:lineRule="exact"/>
        <w:rPr>
          <w:sz w:val="20"/>
          <w:szCs w:val="20"/>
          <w:color w:val="auto"/>
        </w:rPr>
      </w:pPr>
    </w:p>
    <w:p>
      <w:pPr>
        <w:ind w:left="140" w:right="1059" w:firstLine="360"/>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99"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483,155</w:t>
            </w:r>
          </w:p>
        </w:tc>
      </w:tr>
      <w:tr>
        <w:trPr>
          <w:trHeight w:val="257"/>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57"/>
        </w:trPr>
        <w:tc>
          <w:tcPr>
            <w:tcW w:w="360" w:type="dxa"/>
            <w:vAlign w:val="bottom"/>
          </w:tcPr>
          <w:p>
            <w:pPr>
              <w:spacing w:after="0"/>
              <w:rPr>
                <w:sz w:val="22"/>
                <w:szCs w:val="22"/>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56"/>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Travel and road show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70"/>
        </w:trPr>
        <w:tc>
          <w:tcPr>
            <w:tcW w:w="360" w:type="dxa"/>
            <w:vAlign w:val="bottom"/>
          </w:tcPr>
          <w:p>
            <w:pPr>
              <w:spacing w:after="0"/>
              <w:rPr>
                <w:sz w:val="23"/>
                <w:szCs w:val="23"/>
                <w:color w:val="auto"/>
              </w:rPr>
            </w:pPr>
          </w:p>
        </w:tc>
        <w:tc>
          <w:tcPr>
            <w:tcW w:w="66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Directors and officers insurance premiums</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r>
      <w:tr>
        <w:trPr>
          <w:trHeight w:val="257"/>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57"/>
        </w:trPr>
        <w:tc>
          <w:tcPr>
            <w:tcW w:w="360" w:type="dxa"/>
            <w:vAlign w:val="bottom"/>
          </w:tcPr>
          <w:p>
            <w:pPr>
              <w:spacing w:after="0"/>
              <w:rPr>
                <w:sz w:val="22"/>
                <w:szCs w:val="22"/>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 listing and filing fees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r>
      <w:tr>
        <w:trPr>
          <w:trHeight w:val="263"/>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Miscellaneous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61,845</w:t>
            </w:r>
          </w:p>
        </w:tc>
      </w:tr>
      <w:tr>
        <w:trPr>
          <w:trHeight w:val="277"/>
        </w:trPr>
        <w:tc>
          <w:tcPr>
            <w:tcW w:w="360" w:type="dxa"/>
            <w:vAlign w:val="bottom"/>
          </w:tcPr>
          <w:p>
            <w:pPr>
              <w:spacing w:after="0"/>
              <w:rPr>
                <w:sz w:val="24"/>
                <w:szCs w:val="24"/>
                <w:color w:val="auto"/>
              </w:rPr>
            </w:pPr>
          </w:p>
        </w:tc>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1,350,000</w:t>
            </w:r>
          </w:p>
        </w:tc>
      </w:tr>
      <w:tr>
        <w:trPr>
          <w:trHeight w:val="135"/>
        </w:trPr>
        <w:tc>
          <w:tcPr>
            <w:tcW w:w="3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-290830</wp:posOffset>
            </wp:positionV>
            <wp:extent cx="42259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74" w:lineRule="exact"/>
        <w:rPr>
          <w:sz w:val="20"/>
          <w:szCs w:val="20"/>
          <w:color w:val="auto"/>
        </w:rPr>
      </w:pPr>
    </w:p>
    <w:p>
      <w:pPr>
        <w:ind w:left="500" w:right="939" w:hanging="352"/>
        <w:spacing w:after="0" w:line="248"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amount represents the approximate amount of annual director and officer liability insurance premiums the registrant anticipates paying following the completion of its initial public offering and until it completes a business combination.</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8" w:lineRule="exact"/>
        <w:rPr>
          <w:sz w:val="20"/>
          <w:szCs w:val="20"/>
          <w:color w:val="auto"/>
        </w:rPr>
      </w:pPr>
    </w:p>
    <w:p>
      <w:pPr>
        <w:ind w:left="140" w:right="679" w:firstLine="360"/>
        <w:spacing w:after="0" w:line="279" w:lineRule="auto"/>
        <w:rPr>
          <w:sz w:val="20"/>
          <w:szCs w:val="20"/>
          <w:color w:val="auto"/>
        </w:rPr>
      </w:pPr>
      <w:r>
        <w:rPr>
          <w:rFonts w:ascii="Arial" w:cs="Arial" w:eastAsia="Arial" w:hAnsi="Arial"/>
          <w:sz w:val="17"/>
          <w:szCs w:val="17"/>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 Section 145 of the Delaware General Corporation Law concerning indemnification of officers, directors, employees and agents is set forth below.</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Section 145.  Indemnification of officers, directors, employees and agents; insurance.</w:t>
      </w:r>
    </w:p>
    <w:p>
      <w:pPr>
        <w:spacing w:after="0" w:line="104" w:lineRule="exact"/>
        <w:rPr>
          <w:sz w:val="20"/>
          <w:szCs w:val="20"/>
          <w:color w:val="auto"/>
        </w:rPr>
      </w:pPr>
    </w:p>
    <w:p>
      <w:pPr>
        <w:ind w:left="140" w:right="679" w:firstLine="368"/>
        <w:spacing w:after="0" w:line="252" w:lineRule="auto"/>
        <w:tabs>
          <w:tab w:leader="none" w:pos="846"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87" w:lineRule="exact"/>
        <w:rPr>
          <w:rFonts w:ascii="Arial" w:cs="Arial" w:eastAsia="Arial" w:hAnsi="Arial"/>
          <w:sz w:val="18"/>
          <w:szCs w:val="18"/>
          <w:color w:val="auto"/>
        </w:rPr>
      </w:pPr>
    </w:p>
    <w:p>
      <w:pPr>
        <w:ind w:left="140" w:right="699" w:firstLine="368"/>
        <w:spacing w:after="0" w:line="271" w:lineRule="auto"/>
        <w:tabs>
          <w:tab w:leader="none" w:pos="856" w:val="left"/>
        </w:tabs>
        <w:numPr>
          <w:ilvl w:val="0"/>
          <w:numId w:val="3"/>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w:t>
      </w:r>
    </w:p>
    <w:p>
      <w:pPr>
        <w:spacing w:after="0" w:line="2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3" w:name="page4"/>
    <w:bookmarkEnd w:id="3"/>
    <w:p>
      <w:pPr>
        <w:ind w:left="140" w:right="699"/>
        <w:spacing w:after="0" w:line="275" w:lineRule="auto"/>
        <w:rPr>
          <w:sz w:val="20"/>
          <w:szCs w:val="20"/>
          <w:color w:val="auto"/>
        </w:rPr>
      </w:pPr>
      <w:r>
        <w:rPr>
          <w:rFonts w:ascii="Arial" w:cs="Arial" w:eastAsia="Arial" w:hAnsi="Arial"/>
          <w:sz w:val="17"/>
          <w:szCs w:val="17"/>
          <w:color w:val="auto"/>
        </w:rPr>
        <w:t>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68" w:lineRule="exact"/>
        <w:rPr>
          <w:sz w:val="20"/>
          <w:szCs w:val="20"/>
          <w:color w:val="auto"/>
        </w:rPr>
      </w:pPr>
    </w:p>
    <w:p>
      <w:pPr>
        <w:ind w:left="140" w:right="819" w:firstLine="368"/>
        <w:spacing w:after="0" w:line="257" w:lineRule="auto"/>
        <w:tabs>
          <w:tab w:leader="none" w:pos="853"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79" w:lineRule="exact"/>
        <w:rPr>
          <w:rFonts w:ascii="Arial" w:cs="Arial" w:eastAsia="Arial" w:hAnsi="Arial"/>
          <w:sz w:val="18"/>
          <w:szCs w:val="18"/>
          <w:color w:val="auto"/>
        </w:rPr>
      </w:pPr>
    </w:p>
    <w:p>
      <w:pPr>
        <w:ind w:left="140" w:right="679" w:firstLine="368"/>
        <w:spacing w:after="0" w:line="270" w:lineRule="auto"/>
        <w:tabs>
          <w:tab w:leader="none" w:pos="856"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72" w:lineRule="exact"/>
        <w:rPr>
          <w:rFonts w:ascii="Arial" w:cs="Arial" w:eastAsia="Arial" w:hAnsi="Arial"/>
          <w:sz w:val="17"/>
          <w:szCs w:val="17"/>
          <w:color w:val="auto"/>
        </w:rPr>
      </w:pPr>
    </w:p>
    <w:p>
      <w:pPr>
        <w:ind w:left="140" w:right="819" w:firstLine="368"/>
        <w:spacing w:after="0" w:line="272" w:lineRule="auto"/>
        <w:tabs>
          <w:tab w:leader="none" w:pos="856"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69" w:lineRule="exact"/>
        <w:rPr>
          <w:rFonts w:ascii="Arial" w:cs="Arial" w:eastAsia="Arial" w:hAnsi="Arial"/>
          <w:sz w:val="17"/>
          <w:szCs w:val="17"/>
          <w:color w:val="auto"/>
        </w:rPr>
      </w:pPr>
    </w:p>
    <w:p>
      <w:pPr>
        <w:ind w:left="140" w:right="739" w:firstLine="368"/>
        <w:spacing w:after="0" w:line="269" w:lineRule="auto"/>
        <w:tabs>
          <w:tab w:leader="none" w:pos="83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77" w:lineRule="exact"/>
        <w:rPr>
          <w:rFonts w:ascii="Arial" w:cs="Arial" w:eastAsia="Arial" w:hAnsi="Arial"/>
          <w:sz w:val="17"/>
          <w:szCs w:val="17"/>
          <w:color w:val="auto"/>
        </w:rPr>
      </w:pPr>
    </w:p>
    <w:p>
      <w:pPr>
        <w:ind w:left="140" w:right="679" w:firstLine="368"/>
        <w:spacing w:after="0" w:line="255" w:lineRule="auto"/>
        <w:tabs>
          <w:tab w:leader="none" w:pos="856"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84" w:lineRule="exact"/>
        <w:rPr>
          <w:rFonts w:ascii="Arial" w:cs="Arial" w:eastAsia="Arial" w:hAnsi="Arial"/>
          <w:sz w:val="18"/>
          <w:szCs w:val="18"/>
          <w:color w:val="auto"/>
        </w:rPr>
      </w:pPr>
    </w:p>
    <w:p>
      <w:pPr>
        <w:ind w:left="140" w:right="739" w:firstLine="368"/>
        <w:spacing w:after="0" w:line="253" w:lineRule="auto"/>
        <w:tabs>
          <w:tab w:leader="none" w:pos="866"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26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4" w:name="page5"/>
    <w:bookmarkEnd w:id="4"/>
    <w:p>
      <w:pPr>
        <w:ind w:left="140" w:right="699" w:firstLine="368"/>
        <w:spacing w:after="0" w:line="271" w:lineRule="auto"/>
        <w:tabs>
          <w:tab w:leader="none" w:pos="826"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70" w:lineRule="exact"/>
        <w:rPr>
          <w:rFonts w:ascii="Arial" w:cs="Arial" w:eastAsia="Arial" w:hAnsi="Arial"/>
          <w:sz w:val="17"/>
          <w:szCs w:val="17"/>
          <w:color w:val="auto"/>
        </w:rPr>
      </w:pPr>
    </w:p>
    <w:p>
      <w:pPr>
        <w:jc w:val="both"/>
        <w:ind w:left="140" w:right="719" w:firstLine="368"/>
        <w:spacing w:after="0" w:line="259" w:lineRule="auto"/>
        <w:tabs>
          <w:tab w:leader="none" w:pos="8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78" w:lineRule="exact"/>
        <w:rPr>
          <w:rFonts w:ascii="Arial" w:cs="Arial" w:eastAsia="Arial" w:hAnsi="Arial"/>
          <w:sz w:val="18"/>
          <w:szCs w:val="18"/>
          <w:color w:val="auto"/>
        </w:rPr>
      </w:pPr>
    </w:p>
    <w:p>
      <w:pPr>
        <w:ind w:left="140" w:right="1039" w:firstLine="368"/>
        <w:spacing w:after="0" w:line="279" w:lineRule="auto"/>
        <w:tabs>
          <w:tab w:leader="none" w:pos="86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63" w:lineRule="exact"/>
        <w:rPr>
          <w:sz w:val="20"/>
          <w:szCs w:val="20"/>
          <w:color w:val="auto"/>
        </w:rPr>
      </w:pPr>
    </w:p>
    <w:p>
      <w:pPr>
        <w:ind w:left="140" w:right="759" w:firstLine="360"/>
        <w:spacing w:after="0" w:line="269" w:lineRule="auto"/>
        <w:rPr>
          <w:sz w:val="20"/>
          <w:szCs w:val="20"/>
          <w:color w:val="auto"/>
        </w:rPr>
      </w:pPr>
      <w:r>
        <w:rPr>
          <w:rFonts w:ascii="Arial" w:cs="Arial" w:eastAsia="Arial" w:hAnsi="Arial"/>
          <w:sz w:val="17"/>
          <w:szCs w:val="17"/>
          <w:color w:val="auto"/>
        </w:rPr>
        <w:t>In connection with this registration statement, we have undertaken that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 See Item 17 “Undertakings”.</w:t>
      </w:r>
    </w:p>
    <w:p>
      <w:pPr>
        <w:spacing w:after="0" w:line="74" w:lineRule="exact"/>
        <w:rPr>
          <w:sz w:val="20"/>
          <w:szCs w:val="20"/>
          <w:color w:val="auto"/>
        </w:rPr>
      </w:pPr>
    </w:p>
    <w:p>
      <w:pPr>
        <w:ind w:left="140" w:right="699" w:firstLine="360"/>
        <w:spacing w:after="0" w:line="269" w:lineRule="auto"/>
        <w:rPr>
          <w:sz w:val="20"/>
          <w:szCs w:val="20"/>
          <w:color w:val="auto"/>
        </w:rPr>
      </w:pPr>
      <w:r>
        <w:rPr>
          <w:rFonts w:ascii="Arial" w:cs="Arial" w:eastAsia="Arial" w:hAnsi="Arial"/>
          <w:sz w:val="17"/>
          <w:szCs w:val="17"/>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77" w:lineRule="exact"/>
        <w:rPr>
          <w:sz w:val="20"/>
          <w:szCs w:val="20"/>
          <w:color w:val="auto"/>
        </w:rPr>
      </w:pPr>
    </w:p>
    <w:p>
      <w:pPr>
        <w:ind w:left="140" w:right="679" w:firstLine="360"/>
        <w:spacing w:after="0" w:line="252" w:lineRule="auto"/>
        <w:rPr>
          <w:sz w:val="20"/>
          <w:szCs w:val="20"/>
          <w:color w:val="auto"/>
        </w:rPr>
      </w:pPr>
      <w:r>
        <w:rPr>
          <w:rFonts w:ascii="Arial" w:cs="Arial" w:eastAsia="Arial" w:hAnsi="Arial"/>
          <w:sz w:val="18"/>
          <w:szCs w:val="18"/>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5" w:name="page6"/>
    <w:bookmarkEnd w:id="5"/>
    <w:p>
      <w:pPr>
        <w:ind w:left="140" w:right="799" w:firstLine="360"/>
        <w:spacing w:after="0" w:line="254" w:lineRule="auto"/>
        <w:rPr>
          <w:sz w:val="20"/>
          <w:szCs w:val="20"/>
          <w:color w:val="auto"/>
        </w:rPr>
      </w:pPr>
      <w:r>
        <w:rPr>
          <w:rFonts w:ascii="Arial" w:cs="Arial" w:eastAsia="Arial" w:hAnsi="Arial"/>
          <w:sz w:val="18"/>
          <w:szCs w:val="18"/>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84" w:lineRule="exact"/>
        <w:rPr>
          <w:sz w:val="20"/>
          <w:szCs w:val="20"/>
          <w:color w:val="auto"/>
        </w:rPr>
      </w:pPr>
    </w:p>
    <w:p>
      <w:pPr>
        <w:ind w:left="140" w:right="799" w:firstLine="360"/>
        <w:spacing w:after="0" w:line="259"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79" w:lineRule="exact"/>
        <w:rPr>
          <w:sz w:val="20"/>
          <w:szCs w:val="20"/>
          <w:color w:val="auto"/>
        </w:rPr>
      </w:pPr>
    </w:p>
    <w:p>
      <w:pPr>
        <w:ind w:left="140" w:right="739" w:firstLine="360"/>
        <w:spacing w:after="0" w:line="268"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affecting indemnification rights, whether by our stockholders or by changes in law, or the adoption of any other provisions inconsistent therewith, will (unless otherwise required by applicable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78" w:lineRule="exact"/>
        <w:rPr>
          <w:sz w:val="20"/>
          <w:szCs w:val="20"/>
          <w:color w:val="auto"/>
        </w:rPr>
      </w:pPr>
    </w:p>
    <w:p>
      <w:pPr>
        <w:ind w:left="140" w:right="719" w:firstLine="360"/>
        <w:spacing w:after="0" w:line="271" w:lineRule="auto"/>
        <w:rPr>
          <w:sz w:val="20"/>
          <w:szCs w:val="20"/>
          <w:color w:val="auto"/>
        </w:rPr>
      </w:pPr>
      <w:r>
        <w:rPr>
          <w:rFonts w:ascii="Arial" w:cs="Arial" w:eastAsia="Arial" w:hAnsi="Arial"/>
          <w:sz w:val="17"/>
          <w:szCs w:val="17"/>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70" w:lineRule="exact"/>
        <w:rPr>
          <w:sz w:val="20"/>
          <w:szCs w:val="20"/>
          <w:color w:val="auto"/>
        </w:rPr>
      </w:pPr>
    </w:p>
    <w:p>
      <w:pPr>
        <w:ind w:left="140" w:right="759" w:firstLine="360"/>
        <w:spacing w:after="0" w:line="254"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applicable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87" w:lineRule="exact"/>
        <w:rPr>
          <w:sz w:val="20"/>
          <w:szCs w:val="20"/>
          <w:color w:val="auto"/>
        </w:rPr>
      </w:pPr>
    </w:p>
    <w:p>
      <w:pPr>
        <w:ind w:left="140" w:right="679" w:firstLine="360"/>
        <w:spacing w:after="0" w:line="257" w:lineRule="auto"/>
        <w:rPr>
          <w:sz w:val="20"/>
          <w:szCs w:val="20"/>
          <w:color w:val="auto"/>
        </w:rPr>
      </w:pPr>
      <w:r>
        <w:rPr>
          <w:rFonts w:ascii="Arial" w:cs="Arial" w:eastAsia="Arial" w:hAnsi="Arial"/>
          <w:sz w:val="18"/>
          <w:szCs w:val="18"/>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80" w:lineRule="exact"/>
        <w:rPr>
          <w:sz w:val="20"/>
          <w:szCs w:val="20"/>
          <w:color w:val="auto"/>
        </w:rPr>
      </w:pPr>
    </w:p>
    <w:p>
      <w:pPr>
        <w:ind w:left="140" w:right="739" w:firstLine="360"/>
        <w:spacing w:after="0" w:line="259" w:lineRule="auto"/>
        <w:rPr>
          <w:sz w:val="20"/>
          <w:szCs w:val="20"/>
          <w:color w:val="auto"/>
        </w:rPr>
      </w:pPr>
      <w:r>
        <w:rPr>
          <w:rFonts w:ascii="Arial" w:cs="Arial" w:eastAsia="Arial" w:hAnsi="Arial"/>
          <w:sz w:val="18"/>
          <w:szCs w:val="18"/>
          <w:color w:val="auto"/>
        </w:rPr>
        <w:t>Pursuant to the Underwriting Agreement to be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32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6" w:name="page7"/>
    <w:bookmarkEnd w:id="6"/>
    <w:p>
      <w:pPr>
        <w:ind w:left="14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8" w:lineRule="exact"/>
        <w:rPr>
          <w:sz w:val="20"/>
          <w:szCs w:val="20"/>
          <w:color w:val="auto"/>
        </w:rPr>
      </w:pPr>
    </w:p>
    <w:p>
      <w:pPr>
        <w:ind w:left="140" w:right="759" w:firstLine="360"/>
        <w:spacing w:after="0" w:line="269" w:lineRule="auto"/>
        <w:rPr>
          <w:sz w:val="20"/>
          <w:szCs w:val="20"/>
          <w:color w:val="auto"/>
        </w:rPr>
      </w:pPr>
      <w:r>
        <w:rPr>
          <w:rFonts w:ascii="Arial" w:cs="Arial" w:eastAsia="Arial" w:hAnsi="Arial"/>
          <w:sz w:val="17"/>
          <w:szCs w:val="17"/>
          <w:color w:val="auto"/>
        </w:rPr>
        <w:t>In May 2020, Churchill Sponsor IV LLC, purchased an aggregate of 21,562,500 founder shares, for an aggregate offering price of $25,000 at an average purchase price of approximately $0.001 per share.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 of Class B common stock, resulting in our initial stockholders holding an aggregate of 43,125,000 founder shares. The number of founder shares issued was determined based on the expectation that the founder shares would represent 20% of the outstanding shares of common stock upon completion of this offering. Such securities were issued in connection with our organization pursuant to the exemption from registration contained in Section 4(a)(2) of the Securities Act. Churchill Sponsor IV LLC is an accredited investor for purposes of Rule 501 of Regulation D.</w:t>
      </w:r>
    </w:p>
    <w:p>
      <w:pPr>
        <w:spacing w:after="0" w:line="74" w:lineRule="exact"/>
        <w:rPr>
          <w:sz w:val="20"/>
          <w:szCs w:val="20"/>
          <w:color w:val="auto"/>
        </w:rPr>
      </w:pPr>
    </w:p>
    <w:p>
      <w:pPr>
        <w:ind w:left="140" w:right="739" w:firstLine="360"/>
        <w:spacing w:after="0" w:line="254" w:lineRule="auto"/>
        <w:rPr>
          <w:sz w:val="20"/>
          <w:szCs w:val="20"/>
          <w:color w:val="auto"/>
        </w:rPr>
      </w:pPr>
      <w:r>
        <w:rPr>
          <w:rFonts w:ascii="Arial" w:cs="Arial" w:eastAsia="Arial" w:hAnsi="Arial"/>
          <w:sz w:val="18"/>
          <w:szCs w:val="18"/>
          <w:color w:val="auto"/>
        </w:rPr>
        <w:t>In addition, Churchill Sponsor IV LLC has subscribed to purchase from us an aggregate of 31,350,000 private placement warrants (or 35,850,000 warrants if the underwriters’ option to purchase additional units is exercised in full) at $1.00 per warrant (for an aggregate purchase price of $31,350,000 or $35,850,000 if the underwriters’ option to purchase additional units is exercised in full). This purchase will take place on a private placement basis simultaneously with the completion of our initial public offering. Any such issuances will be made pursuant to the exemption from registration contained in Section 4(a)(2) of the Securities Act.</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8" w:lineRule="exact"/>
        <w:rPr>
          <w:sz w:val="20"/>
          <w:szCs w:val="20"/>
          <w:color w:val="auto"/>
        </w:rPr>
      </w:pPr>
    </w:p>
    <w:p>
      <w:pPr>
        <w:ind w:left="500"/>
        <w:spacing w:after="0"/>
        <w:tabs>
          <w:tab w:leader="none" w:pos="840" w:val="left"/>
          <w:tab w:leader="none" w:pos="1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i w:val="1"/>
          <w:iCs w:val="1"/>
          <w:color w:val="auto"/>
        </w:rPr>
        <w:t>Exhibits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following exhibits are being filed herewith:</w:t>
      </w:r>
    </w:p>
    <w:p>
      <w:pPr>
        <w:spacing w:after="0" w:line="163"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560" w:type="dxa"/>
            <w:vAlign w:val="bottom"/>
            <w:gridSpan w:val="3"/>
          </w:tcPr>
          <w:p>
            <w:pPr>
              <w:ind w:left="150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540" w:type="dxa"/>
            <w:vAlign w:val="bottom"/>
            <w:tcBorders>
              <w:top w:val="single" w:sz="8" w:color="auto"/>
            </w:tcBorders>
          </w:tcPr>
          <w:p>
            <w:pPr>
              <w:jc w:val="right"/>
              <w:spacing w:after="0"/>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1.1**</w:t>
              </w:r>
            </w:hyperlink>
          </w:p>
        </w:tc>
        <w:tc>
          <w:tcPr>
            <w:tcW w:w="220" w:type="dxa"/>
            <w:vAlign w:val="bottom"/>
          </w:tcPr>
          <w:p>
            <w:pPr>
              <w:spacing w:after="0"/>
              <w:rPr>
                <w:sz w:val="21"/>
                <w:szCs w:val="21"/>
                <w:color w:val="auto"/>
              </w:rPr>
            </w:pPr>
          </w:p>
        </w:tc>
        <w:tc>
          <w:tcPr>
            <w:tcW w:w="7460" w:type="dxa"/>
            <w:vAlign w:val="bottom"/>
            <w:tcBorders>
              <w:top w:val="single" w:sz="8" w:color="auto"/>
            </w:tcBorders>
            <w:gridSpan w:val="5"/>
          </w:tcPr>
          <w:p>
            <w:pPr>
              <w:spacing w:after="0"/>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Form of Underwriting Agreement</w:t>
              </w:r>
            </w:hyperlink>
          </w:p>
        </w:tc>
      </w:tr>
      <w:tr>
        <w:trPr>
          <w:trHeight w:val="243"/>
        </w:trPr>
        <w:tc>
          <w:tcPr>
            <w:tcW w:w="540" w:type="dxa"/>
            <w:vAlign w:val="bottom"/>
          </w:tcPr>
          <w:p>
            <w:pPr>
              <w:jc w:val="right"/>
              <w:spacing w:after="0"/>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3.1**</w:t>
              </w:r>
            </w:hyperlink>
          </w:p>
        </w:tc>
        <w:tc>
          <w:tcPr>
            <w:tcW w:w="220" w:type="dxa"/>
            <w:vAlign w:val="bottom"/>
          </w:tcPr>
          <w:p>
            <w:pPr>
              <w:spacing w:after="0"/>
              <w:rPr>
                <w:sz w:val="21"/>
                <w:szCs w:val="21"/>
                <w:color w:val="auto"/>
              </w:rPr>
            </w:pPr>
          </w:p>
        </w:tc>
        <w:tc>
          <w:tcPr>
            <w:tcW w:w="7460" w:type="dxa"/>
            <w:vAlign w:val="bottom"/>
            <w:gridSpan w:val="5"/>
          </w:tcPr>
          <w:p>
            <w:pPr>
              <w:spacing w:after="0"/>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Certificate of Incorporation</w:t>
              </w:r>
            </w:hyperlink>
          </w:p>
        </w:tc>
      </w:tr>
      <w:tr>
        <w:trPr>
          <w:trHeight w:val="243"/>
        </w:trPr>
        <w:tc>
          <w:tcPr>
            <w:tcW w:w="540" w:type="dxa"/>
            <w:vAlign w:val="bottom"/>
          </w:tcPr>
          <w:p>
            <w:pPr>
              <w:jc w:val="right"/>
              <w:spacing w:after="0"/>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3.2**</w:t>
              </w:r>
            </w:hyperlink>
          </w:p>
        </w:tc>
        <w:tc>
          <w:tcPr>
            <w:tcW w:w="220" w:type="dxa"/>
            <w:vAlign w:val="bottom"/>
          </w:tcPr>
          <w:p>
            <w:pPr>
              <w:spacing w:after="0"/>
              <w:rPr>
                <w:sz w:val="21"/>
                <w:szCs w:val="21"/>
                <w:color w:val="auto"/>
              </w:rPr>
            </w:pPr>
          </w:p>
        </w:tc>
        <w:tc>
          <w:tcPr>
            <w:tcW w:w="7460" w:type="dxa"/>
            <w:vAlign w:val="bottom"/>
            <w:gridSpan w:val="5"/>
          </w:tcPr>
          <w:p>
            <w:pPr>
              <w:spacing w:after="0"/>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Amended and Restated Certificate of Incorporation</w:t>
              </w:r>
            </w:hyperlink>
          </w:p>
        </w:tc>
      </w:tr>
      <w:tr>
        <w:trPr>
          <w:trHeight w:val="243"/>
        </w:trPr>
        <w:tc>
          <w:tcPr>
            <w:tcW w:w="540" w:type="dxa"/>
            <w:vAlign w:val="bottom"/>
          </w:tcPr>
          <w:p>
            <w:pPr>
              <w:jc w:val="right"/>
              <w:spacing w:after="0"/>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3.3**</w:t>
              </w:r>
            </w:hyperlink>
          </w:p>
        </w:tc>
        <w:tc>
          <w:tcPr>
            <w:tcW w:w="220" w:type="dxa"/>
            <w:vAlign w:val="bottom"/>
          </w:tcPr>
          <w:p>
            <w:pPr>
              <w:spacing w:after="0"/>
              <w:rPr>
                <w:sz w:val="21"/>
                <w:szCs w:val="21"/>
                <w:color w:val="auto"/>
              </w:rPr>
            </w:pPr>
          </w:p>
        </w:tc>
        <w:tc>
          <w:tcPr>
            <w:tcW w:w="7460" w:type="dxa"/>
            <w:vAlign w:val="bottom"/>
            <w:gridSpan w:val="5"/>
          </w:tcPr>
          <w:p>
            <w:pPr>
              <w:spacing w:after="0"/>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Form of Amended and Restated Bylaws</w:t>
              </w:r>
            </w:hyperlink>
          </w:p>
        </w:tc>
      </w:tr>
      <w:tr>
        <w:trPr>
          <w:trHeight w:val="243"/>
        </w:trPr>
        <w:tc>
          <w:tcPr>
            <w:tcW w:w="540" w:type="dxa"/>
            <w:vAlign w:val="bottom"/>
          </w:tcPr>
          <w:p>
            <w:pPr>
              <w:jc w:val="right"/>
              <w:spacing w:after="0"/>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4.1**</w:t>
              </w:r>
            </w:hyperlink>
          </w:p>
        </w:tc>
        <w:tc>
          <w:tcPr>
            <w:tcW w:w="220" w:type="dxa"/>
            <w:vAlign w:val="bottom"/>
          </w:tcPr>
          <w:p>
            <w:pPr>
              <w:spacing w:after="0"/>
              <w:rPr>
                <w:sz w:val="21"/>
                <w:szCs w:val="21"/>
                <w:color w:val="auto"/>
              </w:rPr>
            </w:pPr>
          </w:p>
        </w:tc>
        <w:tc>
          <w:tcPr>
            <w:tcW w:w="7460" w:type="dxa"/>
            <w:vAlign w:val="bottom"/>
            <w:gridSpan w:val="5"/>
          </w:tcPr>
          <w:p>
            <w:pPr>
              <w:spacing w:after="0"/>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Specimen Unit Certificate</w:t>
              </w:r>
            </w:hyperlink>
          </w:p>
        </w:tc>
      </w:tr>
      <w:tr>
        <w:trPr>
          <w:trHeight w:val="243"/>
        </w:trPr>
        <w:tc>
          <w:tcPr>
            <w:tcW w:w="540" w:type="dxa"/>
            <w:vAlign w:val="bottom"/>
          </w:tcPr>
          <w:p>
            <w:pPr>
              <w:jc w:val="right"/>
              <w:spacing w:after="0"/>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4.2**</w:t>
              </w:r>
            </w:hyperlink>
          </w:p>
        </w:tc>
        <w:tc>
          <w:tcPr>
            <w:tcW w:w="220" w:type="dxa"/>
            <w:vAlign w:val="bottom"/>
          </w:tcPr>
          <w:p>
            <w:pPr>
              <w:spacing w:after="0"/>
              <w:rPr>
                <w:sz w:val="21"/>
                <w:szCs w:val="21"/>
                <w:color w:val="auto"/>
              </w:rPr>
            </w:pPr>
          </w:p>
        </w:tc>
        <w:tc>
          <w:tcPr>
            <w:tcW w:w="7460" w:type="dxa"/>
            <w:vAlign w:val="bottom"/>
            <w:gridSpan w:val="5"/>
          </w:tcPr>
          <w:p>
            <w:pPr>
              <w:spacing w:after="0"/>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Specimen Class A Common Stock Certificate</w:t>
              </w:r>
            </w:hyperlink>
          </w:p>
        </w:tc>
      </w:tr>
      <w:tr>
        <w:trPr>
          <w:trHeight w:val="243"/>
        </w:trPr>
        <w:tc>
          <w:tcPr>
            <w:tcW w:w="540" w:type="dxa"/>
            <w:vAlign w:val="bottom"/>
          </w:tcPr>
          <w:p>
            <w:pPr>
              <w:jc w:val="right"/>
              <w:spacing w:after="0"/>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4.3**</w:t>
              </w:r>
            </w:hyperlink>
          </w:p>
        </w:tc>
        <w:tc>
          <w:tcPr>
            <w:tcW w:w="220" w:type="dxa"/>
            <w:vAlign w:val="bottom"/>
          </w:tcPr>
          <w:p>
            <w:pPr>
              <w:spacing w:after="0"/>
              <w:rPr>
                <w:sz w:val="21"/>
                <w:szCs w:val="21"/>
                <w:color w:val="auto"/>
              </w:rPr>
            </w:pPr>
          </w:p>
        </w:tc>
        <w:tc>
          <w:tcPr>
            <w:tcW w:w="7460" w:type="dxa"/>
            <w:vAlign w:val="bottom"/>
            <w:gridSpan w:val="5"/>
          </w:tcPr>
          <w:p>
            <w:pPr>
              <w:spacing w:after="0"/>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Specimen Warrant Certificate (included in Exhibit 4.4)</w:t>
              </w:r>
            </w:hyperlink>
          </w:p>
        </w:tc>
      </w:tr>
      <w:tr>
        <w:trPr>
          <w:trHeight w:val="243"/>
        </w:trPr>
        <w:tc>
          <w:tcPr>
            <w:tcW w:w="540" w:type="dxa"/>
            <w:vAlign w:val="bottom"/>
          </w:tcPr>
          <w:p>
            <w:pPr>
              <w:jc w:val="right"/>
              <w:spacing w:after="0"/>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4.4**</w:t>
              </w:r>
            </w:hyperlink>
          </w:p>
        </w:tc>
        <w:tc>
          <w:tcPr>
            <w:tcW w:w="220" w:type="dxa"/>
            <w:vAlign w:val="bottom"/>
          </w:tcPr>
          <w:p>
            <w:pPr>
              <w:spacing w:after="0"/>
              <w:rPr>
                <w:sz w:val="21"/>
                <w:szCs w:val="21"/>
                <w:color w:val="auto"/>
              </w:rPr>
            </w:pPr>
          </w:p>
        </w:tc>
        <w:tc>
          <w:tcPr>
            <w:tcW w:w="7460" w:type="dxa"/>
            <w:vAlign w:val="bottom"/>
            <w:gridSpan w:val="5"/>
          </w:tcPr>
          <w:p>
            <w:pPr>
              <w:spacing w:after="0"/>
              <w:rPr>
                <w:rFonts w:ascii="Arial" w:cs="Arial" w:eastAsia="Arial" w:hAnsi="Arial"/>
                <w:sz w:val="18"/>
                <w:szCs w:val="18"/>
                <w:u w:val="single" w:color="auto"/>
                <w:color w:val="0000EE"/>
                <w:w w:val="99"/>
              </w:rPr>
            </w:pPr>
            <w:hyperlink r:id="rId30">
              <w:r>
                <w:rPr>
                  <w:rFonts w:ascii="Arial" w:cs="Arial" w:eastAsia="Arial" w:hAnsi="Arial"/>
                  <w:sz w:val="18"/>
                  <w:szCs w:val="18"/>
                  <w:u w:val="single" w:color="auto"/>
                  <w:color w:val="0000EE"/>
                  <w:w w:val="99"/>
                </w:rPr>
                <w:t>Warrant Agreement between Continental Stock Transfer &amp; Trust Company and the Registrant</w:t>
              </w:r>
            </w:hyperlink>
          </w:p>
        </w:tc>
      </w:tr>
      <w:tr>
        <w:trPr>
          <w:trHeight w:val="243"/>
        </w:trPr>
        <w:tc>
          <w:tcPr>
            <w:tcW w:w="540" w:type="dxa"/>
            <w:vAlign w:val="bottom"/>
          </w:tcPr>
          <w:p>
            <w:pPr>
              <w:jc w:val="right"/>
              <w:spacing w:after="0"/>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5.1**</w:t>
              </w:r>
            </w:hyperlink>
          </w:p>
        </w:tc>
        <w:tc>
          <w:tcPr>
            <w:tcW w:w="220" w:type="dxa"/>
            <w:vAlign w:val="bottom"/>
          </w:tcPr>
          <w:p>
            <w:pPr>
              <w:spacing w:after="0"/>
              <w:rPr>
                <w:sz w:val="21"/>
                <w:szCs w:val="21"/>
                <w:color w:val="auto"/>
              </w:rPr>
            </w:pPr>
          </w:p>
        </w:tc>
        <w:tc>
          <w:tcPr>
            <w:tcW w:w="7460" w:type="dxa"/>
            <w:vAlign w:val="bottom"/>
            <w:gridSpan w:val="5"/>
          </w:tcPr>
          <w:p>
            <w:pPr>
              <w:spacing w:after="0"/>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Opinion of Paul, Weiss, Rifkind, Wharton &amp; Garrison LLP</w:t>
              </w:r>
            </w:hyperlink>
          </w:p>
        </w:tc>
      </w:tr>
      <w:tr>
        <w:trPr>
          <w:trHeight w:val="229"/>
        </w:trPr>
        <w:tc>
          <w:tcPr>
            <w:tcW w:w="540" w:type="dxa"/>
            <w:vAlign w:val="bottom"/>
          </w:tcPr>
          <w:p>
            <w:pPr>
              <w:jc w:val="right"/>
              <w:spacing w:after="0"/>
              <w:rPr>
                <w:rFonts w:ascii="Arial" w:cs="Arial" w:eastAsia="Arial" w:hAnsi="Arial"/>
                <w:sz w:val="18"/>
                <w:szCs w:val="18"/>
                <w:u w:val="single" w:color="auto"/>
                <w:color w:val="0000EE"/>
              </w:rPr>
            </w:pPr>
            <w:hyperlink r:id="rId32">
              <w:r>
                <w:rPr>
                  <w:rFonts w:ascii="Arial" w:cs="Arial" w:eastAsia="Arial" w:hAnsi="Arial"/>
                  <w:sz w:val="18"/>
                  <w:szCs w:val="18"/>
                  <w:u w:val="single" w:color="auto"/>
                  <w:color w:val="0000EE"/>
                </w:rPr>
                <w:t>10.1**</w:t>
              </w:r>
            </w:hyperlink>
          </w:p>
        </w:tc>
        <w:tc>
          <w:tcPr>
            <w:tcW w:w="220" w:type="dxa"/>
            <w:vAlign w:val="bottom"/>
          </w:tcPr>
          <w:p>
            <w:pPr>
              <w:spacing w:after="0"/>
              <w:rPr>
                <w:sz w:val="19"/>
                <w:szCs w:val="19"/>
                <w:color w:val="auto"/>
              </w:rPr>
            </w:pPr>
          </w:p>
        </w:tc>
        <w:tc>
          <w:tcPr>
            <w:tcW w:w="7460" w:type="dxa"/>
            <w:vAlign w:val="bottom"/>
            <w:gridSpan w:val="5"/>
          </w:tcPr>
          <w:p>
            <w:pPr>
              <w:spacing w:after="0"/>
              <w:rPr>
                <w:rFonts w:ascii="Arial" w:cs="Arial" w:eastAsia="Arial" w:hAnsi="Arial"/>
                <w:sz w:val="18"/>
                <w:szCs w:val="18"/>
                <w:u w:val="single" w:color="auto"/>
                <w:color w:val="0000EE"/>
              </w:rPr>
            </w:pPr>
            <w:hyperlink r:id="rId32">
              <w:r>
                <w:rPr>
                  <w:rFonts w:ascii="Arial" w:cs="Arial" w:eastAsia="Arial" w:hAnsi="Arial"/>
                  <w:sz w:val="18"/>
                  <w:szCs w:val="18"/>
                  <w:u w:val="single" w:color="auto"/>
                  <w:color w:val="0000EE"/>
                </w:rPr>
                <w:t>Promissory Note, dated May 13, 2020, issued to the Sponsor</w:t>
              </w:r>
            </w:hyperlink>
          </w:p>
        </w:tc>
      </w:tr>
      <w:tr>
        <w:trPr>
          <w:trHeight w:val="190"/>
        </w:trPr>
        <w:tc>
          <w:tcPr>
            <w:tcW w:w="540" w:type="dxa"/>
            <w:vAlign w:val="bottom"/>
          </w:tcPr>
          <w:p>
            <w:pPr>
              <w:jc w:val="right"/>
              <w:spacing w:after="0" w:line="190" w:lineRule="exact"/>
              <w:rPr>
                <w:rFonts w:ascii="Arial" w:cs="Arial" w:eastAsia="Arial" w:hAnsi="Arial"/>
                <w:sz w:val="18"/>
                <w:szCs w:val="18"/>
                <w:u w:val="single" w:color="auto"/>
                <w:color w:val="0000EE"/>
              </w:rPr>
            </w:pPr>
            <w:hyperlink r:id="rId33">
              <w:r>
                <w:rPr>
                  <w:rFonts w:ascii="Arial" w:cs="Arial" w:eastAsia="Arial" w:hAnsi="Arial"/>
                  <w:sz w:val="18"/>
                  <w:szCs w:val="18"/>
                  <w:u w:val="single" w:color="auto"/>
                  <w:color w:val="0000EE"/>
                </w:rPr>
                <w:t>10.2**</w:t>
              </w:r>
            </w:hyperlink>
          </w:p>
        </w:tc>
        <w:tc>
          <w:tcPr>
            <w:tcW w:w="220" w:type="dxa"/>
            <w:vAlign w:val="bottom"/>
          </w:tcPr>
          <w:p>
            <w:pPr>
              <w:spacing w:after="0"/>
              <w:rPr>
                <w:sz w:val="16"/>
                <w:szCs w:val="16"/>
                <w:color w:val="auto"/>
              </w:rPr>
            </w:pPr>
          </w:p>
        </w:tc>
        <w:tc>
          <w:tcPr>
            <w:tcW w:w="6800" w:type="dxa"/>
            <w:vAlign w:val="bottom"/>
            <w:tcBorders>
              <w:bottom w:val="single" w:sz="8" w:color="0000EE"/>
            </w:tcBorders>
            <w:gridSpan w:val="3"/>
          </w:tcPr>
          <w:p>
            <w:pPr>
              <w:spacing w:after="0" w:line="190" w:lineRule="exact"/>
              <w:rPr>
                <w:rFonts w:ascii="Arial" w:cs="Arial" w:eastAsia="Arial" w:hAnsi="Arial"/>
                <w:sz w:val="18"/>
                <w:szCs w:val="18"/>
                <w:color w:val="0000EE"/>
                <w:w w:val="94"/>
              </w:rPr>
            </w:pPr>
            <w:hyperlink r:id="rId33">
              <w:r>
                <w:rPr>
                  <w:rFonts w:ascii="Arial" w:cs="Arial" w:eastAsia="Arial" w:hAnsi="Arial"/>
                  <w:sz w:val="18"/>
                  <w:szCs w:val="18"/>
                  <w:color w:val="0000EE"/>
                  <w:w w:val="94"/>
                </w:rPr>
                <w:t>Letter Agreement among the Registrant and the Registrant’s officers and directors and the</w:t>
              </w:r>
            </w:hyperlink>
          </w:p>
        </w:tc>
        <w:tc>
          <w:tcPr>
            <w:tcW w:w="660" w:type="dxa"/>
            <w:vAlign w:val="bottom"/>
            <w:gridSpan w:val="2"/>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Sponsor and its members</w:t>
              </w:r>
            </w:hyperlink>
          </w:p>
        </w:tc>
        <w:tc>
          <w:tcPr>
            <w:tcW w:w="5560" w:type="dxa"/>
            <w:vAlign w:val="bottom"/>
            <w:gridSpan w:val="3"/>
          </w:tcPr>
          <w:p>
            <w:pPr>
              <w:spacing w:after="0"/>
              <w:rPr>
                <w:sz w:val="17"/>
                <w:szCs w:val="17"/>
                <w:color w:val="auto"/>
              </w:rPr>
            </w:pPr>
          </w:p>
        </w:tc>
      </w:tr>
      <w:tr>
        <w:trPr>
          <w:trHeight w:val="237"/>
        </w:trPr>
        <w:tc>
          <w:tcPr>
            <w:tcW w:w="540" w:type="dxa"/>
            <w:vAlign w:val="bottom"/>
          </w:tcPr>
          <w:p>
            <w:pPr>
              <w:jc w:val="right"/>
              <w:spacing w:after="0"/>
              <w:rPr>
                <w:rFonts w:ascii="Arial" w:cs="Arial" w:eastAsia="Arial" w:hAnsi="Arial"/>
                <w:sz w:val="18"/>
                <w:szCs w:val="18"/>
                <w:u w:val="single" w:color="auto"/>
                <w:color w:val="0000EE"/>
              </w:rPr>
            </w:pPr>
            <w:hyperlink r:id="rId34">
              <w:r>
                <w:rPr>
                  <w:rFonts w:ascii="Arial" w:cs="Arial" w:eastAsia="Arial" w:hAnsi="Arial"/>
                  <w:sz w:val="18"/>
                  <w:szCs w:val="18"/>
                  <w:u w:val="single" w:color="auto"/>
                  <w:color w:val="0000EE"/>
                </w:rPr>
                <w:t>10.3**</w:t>
              </w:r>
            </w:hyperlink>
          </w:p>
        </w:tc>
        <w:tc>
          <w:tcPr>
            <w:tcW w:w="220" w:type="dxa"/>
            <w:vAlign w:val="bottom"/>
          </w:tcPr>
          <w:p>
            <w:pPr>
              <w:spacing w:after="0"/>
              <w:rPr>
                <w:sz w:val="20"/>
                <w:szCs w:val="20"/>
                <w:color w:val="auto"/>
              </w:rPr>
            </w:pPr>
          </w:p>
        </w:tc>
        <w:tc>
          <w:tcPr>
            <w:tcW w:w="7460" w:type="dxa"/>
            <w:vAlign w:val="bottom"/>
            <w:gridSpan w:val="5"/>
          </w:tcPr>
          <w:p>
            <w:pPr>
              <w:spacing w:after="0"/>
              <w:rPr>
                <w:rFonts w:ascii="Arial" w:cs="Arial" w:eastAsia="Arial" w:hAnsi="Arial"/>
                <w:sz w:val="18"/>
                <w:szCs w:val="18"/>
                <w:color w:val="0000EE"/>
                <w:w w:val="96"/>
              </w:rPr>
            </w:pPr>
            <w:hyperlink r:id="rId34">
              <w:r>
                <w:rPr>
                  <w:rFonts w:ascii="Arial" w:cs="Arial" w:eastAsia="Arial" w:hAnsi="Arial"/>
                  <w:sz w:val="18"/>
                  <w:szCs w:val="18"/>
                  <w:color w:val="0000EE"/>
                  <w:w w:val="96"/>
                </w:rPr>
                <w:t>Investment Management Trust Agreement between Continental Stock Transfer &amp; Trust Company</w:t>
              </w:r>
            </w:hyperlink>
          </w:p>
        </w:tc>
      </w:tr>
      <w:tr>
        <w:trPr>
          <w:trHeight w:val="196"/>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and the Registrant</w:t>
              </w:r>
            </w:hyperlink>
          </w:p>
        </w:tc>
        <w:tc>
          <w:tcPr>
            <w:tcW w:w="5960" w:type="dxa"/>
            <w:vAlign w:val="bottom"/>
            <w:tcBorders>
              <w:top w:val="single" w:sz="8" w:color="0000EE"/>
            </w:tcBorders>
            <w:gridSpan w:val="3"/>
          </w:tcPr>
          <w:p>
            <w:pPr>
              <w:spacing w:after="0"/>
              <w:rPr>
                <w:sz w:val="17"/>
                <w:szCs w:val="17"/>
                <w:color w:val="auto"/>
              </w:rPr>
            </w:pPr>
          </w:p>
        </w:tc>
        <w:tc>
          <w:tcPr>
            <w:tcW w:w="120" w:type="dxa"/>
            <w:vAlign w:val="bottom"/>
          </w:tcPr>
          <w:p>
            <w:pPr>
              <w:spacing w:after="0"/>
              <w:rPr>
                <w:sz w:val="17"/>
                <w:szCs w:val="17"/>
                <w:color w:val="auto"/>
              </w:rPr>
            </w:pPr>
          </w:p>
        </w:tc>
      </w:tr>
      <w:tr>
        <w:trPr>
          <w:trHeight w:val="304"/>
        </w:trPr>
        <w:tc>
          <w:tcPr>
            <w:tcW w:w="540" w:type="dxa"/>
            <w:vAlign w:val="bottom"/>
          </w:tcPr>
          <w:p>
            <w:pPr>
              <w:jc w:val="right"/>
              <w:spacing w:after="0"/>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10.4**</w:t>
              </w:r>
            </w:hyperlink>
          </w:p>
        </w:tc>
        <w:tc>
          <w:tcPr>
            <w:tcW w:w="220" w:type="dxa"/>
            <w:vAlign w:val="bottom"/>
          </w:tcPr>
          <w:p>
            <w:pPr>
              <w:spacing w:after="0"/>
              <w:rPr>
                <w:sz w:val="24"/>
                <w:szCs w:val="24"/>
                <w:color w:val="auto"/>
              </w:rPr>
            </w:pPr>
          </w:p>
        </w:tc>
        <w:tc>
          <w:tcPr>
            <w:tcW w:w="7460" w:type="dxa"/>
            <w:vAlign w:val="bottom"/>
            <w:gridSpan w:val="5"/>
          </w:tcPr>
          <w:p>
            <w:pPr>
              <w:spacing w:after="0"/>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Registration Rights Agreement between the Registrant and certain security holders</w:t>
              </w:r>
            </w:hyperlink>
          </w:p>
        </w:tc>
      </w:tr>
      <w:tr>
        <w:trPr>
          <w:trHeight w:val="256"/>
        </w:trPr>
        <w:tc>
          <w:tcPr>
            <w:tcW w:w="540" w:type="dxa"/>
            <w:vAlign w:val="bottom"/>
          </w:tcPr>
          <w:p>
            <w:pPr>
              <w:jc w:val="right"/>
              <w:spacing w:after="0"/>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10.5**</w:t>
              </w:r>
            </w:hyperlink>
          </w:p>
        </w:tc>
        <w:tc>
          <w:tcPr>
            <w:tcW w:w="220" w:type="dxa"/>
            <w:vAlign w:val="bottom"/>
          </w:tcPr>
          <w:p>
            <w:pPr>
              <w:spacing w:after="0"/>
              <w:rPr>
                <w:sz w:val="22"/>
                <w:szCs w:val="22"/>
                <w:color w:val="auto"/>
              </w:rPr>
            </w:pPr>
          </w:p>
        </w:tc>
        <w:tc>
          <w:tcPr>
            <w:tcW w:w="7460" w:type="dxa"/>
            <w:vAlign w:val="bottom"/>
            <w:gridSpan w:val="5"/>
          </w:tcPr>
          <w:p>
            <w:pPr>
              <w:spacing w:after="0"/>
              <w:rPr>
                <w:rFonts w:ascii="Arial" w:cs="Arial" w:eastAsia="Arial" w:hAnsi="Arial"/>
                <w:sz w:val="18"/>
                <w:szCs w:val="18"/>
                <w:u w:val="single" w:color="auto"/>
                <w:color w:val="0000EE"/>
                <w:w w:val="95"/>
              </w:rPr>
            </w:pPr>
            <w:hyperlink r:id="rId36">
              <w:r>
                <w:rPr>
                  <w:rFonts w:ascii="Arial" w:cs="Arial" w:eastAsia="Arial" w:hAnsi="Arial"/>
                  <w:sz w:val="18"/>
                  <w:szCs w:val="18"/>
                  <w:u w:val="single" w:color="auto"/>
                  <w:color w:val="0000EE"/>
                  <w:w w:val="95"/>
                </w:rPr>
                <w:t>Securities Subscription Agreement, dated May 13, 2020, between the Registrant and the Sponsor</w:t>
              </w:r>
            </w:hyperlink>
          </w:p>
        </w:tc>
      </w:tr>
      <w:tr>
        <w:trPr>
          <w:trHeight w:val="257"/>
        </w:trPr>
        <w:tc>
          <w:tcPr>
            <w:tcW w:w="540" w:type="dxa"/>
            <w:vAlign w:val="bottom"/>
          </w:tcPr>
          <w:p>
            <w:pPr>
              <w:jc w:val="right"/>
              <w:spacing w:after="0"/>
              <w:rPr>
                <w:rFonts w:ascii="Arial" w:cs="Arial" w:eastAsia="Arial" w:hAnsi="Arial"/>
                <w:sz w:val="18"/>
                <w:szCs w:val="18"/>
                <w:u w:val="single" w:color="auto"/>
                <w:color w:val="0000EE"/>
              </w:rPr>
            </w:pPr>
            <w:hyperlink r:id="rId37">
              <w:r>
                <w:rPr>
                  <w:rFonts w:ascii="Arial" w:cs="Arial" w:eastAsia="Arial" w:hAnsi="Arial"/>
                  <w:sz w:val="18"/>
                  <w:szCs w:val="18"/>
                  <w:u w:val="single" w:color="auto"/>
                  <w:color w:val="0000EE"/>
                </w:rPr>
                <w:t>10.6**</w:t>
              </w:r>
            </w:hyperlink>
          </w:p>
        </w:tc>
        <w:tc>
          <w:tcPr>
            <w:tcW w:w="220" w:type="dxa"/>
            <w:vAlign w:val="bottom"/>
          </w:tcPr>
          <w:p>
            <w:pPr>
              <w:spacing w:after="0"/>
              <w:rPr>
                <w:sz w:val="22"/>
                <w:szCs w:val="22"/>
                <w:color w:val="auto"/>
              </w:rPr>
            </w:pPr>
          </w:p>
        </w:tc>
        <w:tc>
          <w:tcPr>
            <w:tcW w:w="7460" w:type="dxa"/>
            <w:vAlign w:val="bottom"/>
            <w:gridSpan w:val="5"/>
          </w:tcPr>
          <w:p>
            <w:pPr>
              <w:spacing w:after="0"/>
              <w:rPr>
                <w:rFonts w:ascii="Arial" w:cs="Arial" w:eastAsia="Arial" w:hAnsi="Arial"/>
                <w:sz w:val="18"/>
                <w:szCs w:val="18"/>
                <w:u w:val="single" w:color="auto"/>
                <w:color w:val="0000EE"/>
              </w:rPr>
            </w:pPr>
            <w:hyperlink r:id="rId37">
              <w:r>
                <w:rPr>
                  <w:rFonts w:ascii="Arial" w:cs="Arial" w:eastAsia="Arial" w:hAnsi="Arial"/>
                  <w:sz w:val="18"/>
                  <w:szCs w:val="18"/>
                  <w:u w:val="single" w:color="auto"/>
                  <w:color w:val="0000EE"/>
                </w:rPr>
                <w:t>Private Placement Warrants Purchase Agreement between the Registrant and the Sponsor</w:t>
              </w:r>
            </w:hyperlink>
          </w:p>
        </w:tc>
      </w:tr>
      <w:tr>
        <w:trPr>
          <w:trHeight w:val="256"/>
        </w:trPr>
        <w:tc>
          <w:tcPr>
            <w:tcW w:w="540" w:type="dxa"/>
            <w:vAlign w:val="bottom"/>
          </w:tcPr>
          <w:p>
            <w:pPr>
              <w:jc w:val="right"/>
              <w:spacing w:after="0"/>
              <w:rPr>
                <w:rFonts w:ascii="Arial" w:cs="Arial" w:eastAsia="Arial" w:hAnsi="Arial"/>
                <w:sz w:val="18"/>
                <w:szCs w:val="18"/>
                <w:u w:val="single" w:color="auto"/>
                <w:color w:val="0000EE"/>
              </w:rPr>
            </w:pPr>
            <w:hyperlink r:id="rId38">
              <w:r>
                <w:rPr>
                  <w:rFonts w:ascii="Arial" w:cs="Arial" w:eastAsia="Arial" w:hAnsi="Arial"/>
                  <w:sz w:val="18"/>
                  <w:szCs w:val="18"/>
                  <w:u w:val="single" w:color="auto"/>
                  <w:color w:val="0000EE"/>
                </w:rPr>
                <w:t>10.7**</w:t>
              </w:r>
            </w:hyperlink>
          </w:p>
        </w:tc>
        <w:tc>
          <w:tcPr>
            <w:tcW w:w="220" w:type="dxa"/>
            <w:vAlign w:val="bottom"/>
          </w:tcPr>
          <w:p>
            <w:pPr>
              <w:spacing w:after="0"/>
              <w:rPr>
                <w:sz w:val="22"/>
                <w:szCs w:val="22"/>
                <w:color w:val="auto"/>
              </w:rPr>
            </w:pPr>
          </w:p>
        </w:tc>
        <w:tc>
          <w:tcPr>
            <w:tcW w:w="7460" w:type="dxa"/>
            <w:vAlign w:val="bottom"/>
            <w:gridSpan w:val="5"/>
          </w:tcPr>
          <w:p>
            <w:pPr>
              <w:spacing w:after="0"/>
              <w:rPr>
                <w:rFonts w:ascii="Arial" w:cs="Arial" w:eastAsia="Arial" w:hAnsi="Arial"/>
                <w:sz w:val="18"/>
                <w:szCs w:val="18"/>
                <w:u w:val="single" w:color="auto"/>
                <w:color w:val="0000EE"/>
              </w:rPr>
            </w:pPr>
            <w:hyperlink r:id="rId38">
              <w:r>
                <w:rPr>
                  <w:rFonts w:ascii="Arial" w:cs="Arial" w:eastAsia="Arial" w:hAnsi="Arial"/>
                  <w:sz w:val="18"/>
                  <w:szCs w:val="18"/>
                  <w:u w:val="single" w:color="auto"/>
                  <w:color w:val="0000EE"/>
                </w:rPr>
                <w:t>Indemnity Agreement</w:t>
              </w:r>
            </w:hyperlink>
          </w:p>
        </w:tc>
      </w:tr>
      <w:tr>
        <w:trPr>
          <w:trHeight w:val="230"/>
        </w:trPr>
        <w:tc>
          <w:tcPr>
            <w:tcW w:w="540" w:type="dxa"/>
            <w:vAlign w:val="bottom"/>
          </w:tcPr>
          <w:p>
            <w:pPr>
              <w:jc w:val="right"/>
              <w:spacing w:after="0"/>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10.8**</w:t>
              </w:r>
            </w:hyperlink>
          </w:p>
        </w:tc>
        <w:tc>
          <w:tcPr>
            <w:tcW w:w="220" w:type="dxa"/>
            <w:vAlign w:val="bottom"/>
          </w:tcPr>
          <w:p>
            <w:pPr>
              <w:spacing w:after="0"/>
              <w:rPr>
                <w:sz w:val="20"/>
                <w:szCs w:val="20"/>
                <w:color w:val="auto"/>
              </w:rPr>
            </w:pPr>
          </w:p>
        </w:tc>
        <w:tc>
          <w:tcPr>
            <w:tcW w:w="7460" w:type="dxa"/>
            <w:vAlign w:val="bottom"/>
            <w:gridSpan w:val="5"/>
          </w:tcPr>
          <w:p>
            <w:pPr>
              <w:spacing w:after="0"/>
              <w:rPr>
                <w:rFonts w:ascii="Arial" w:cs="Arial" w:eastAsia="Arial" w:hAnsi="Arial"/>
                <w:sz w:val="18"/>
                <w:szCs w:val="18"/>
                <w:u w:val="single" w:color="auto"/>
                <w:color w:val="0000EE"/>
                <w:w w:val="95"/>
              </w:rPr>
            </w:pPr>
            <w:hyperlink r:id="rId39">
              <w:r>
                <w:rPr>
                  <w:rFonts w:ascii="Arial" w:cs="Arial" w:eastAsia="Arial" w:hAnsi="Arial"/>
                  <w:sz w:val="18"/>
                  <w:szCs w:val="18"/>
                  <w:u w:val="single" w:color="auto"/>
                  <w:color w:val="0000EE"/>
                  <w:w w:val="95"/>
                </w:rPr>
                <w:t>Administrative Services Agreement, by and between the Registrant and an affiliate of the Sponsor</w:t>
              </w:r>
            </w:hyperlink>
          </w:p>
        </w:tc>
      </w:tr>
      <w:tr>
        <w:trPr>
          <w:trHeight w:val="284"/>
        </w:trPr>
        <w:tc>
          <w:tcPr>
            <w:tcW w:w="540" w:type="dxa"/>
            <w:vAlign w:val="bottom"/>
          </w:tcPr>
          <w:p>
            <w:pPr>
              <w:jc w:val="right"/>
              <w:ind w:right="31"/>
              <w:spacing w:after="0"/>
              <w:rPr>
                <w:rFonts w:ascii="Arial" w:cs="Arial" w:eastAsia="Arial" w:hAnsi="Arial"/>
                <w:sz w:val="18"/>
                <w:szCs w:val="18"/>
                <w:u w:val="single" w:color="auto"/>
                <w:color w:val="0000EE"/>
                <w:w w:val="95"/>
              </w:rPr>
            </w:pPr>
            <w:hyperlink w:anchor="page11">
              <w:r>
                <w:rPr>
                  <w:rFonts w:ascii="Arial" w:cs="Arial" w:eastAsia="Arial" w:hAnsi="Arial"/>
                  <w:sz w:val="18"/>
                  <w:szCs w:val="18"/>
                  <w:u w:val="single" w:color="auto"/>
                  <w:color w:val="0000EE"/>
                  <w:w w:val="95"/>
                </w:rPr>
                <w:t>23.1*</w:t>
              </w:r>
            </w:hyperlink>
          </w:p>
        </w:tc>
        <w:tc>
          <w:tcPr>
            <w:tcW w:w="220" w:type="dxa"/>
            <w:vAlign w:val="bottom"/>
          </w:tcPr>
          <w:p>
            <w:pPr>
              <w:spacing w:after="0"/>
              <w:rPr>
                <w:sz w:val="24"/>
                <w:szCs w:val="24"/>
                <w:color w:val="auto"/>
              </w:rPr>
            </w:pPr>
          </w:p>
        </w:tc>
        <w:tc>
          <w:tcPr>
            <w:tcW w:w="7460" w:type="dxa"/>
            <w:vAlign w:val="bottom"/>
            <w:gridSpan w:val="5"/>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Consent of Marcum LLP</w:t>
              </w:r>
            </w:hyperlink>
          </w:p>
        </w:tc>
      </w:tr>
      <w:tr>
        <w:trPr>
          <w:trHeight w:val="256"/>
        </w:trPr>
        <w:tc>
          <w:tcPr>
            <w:tcW w:w="540" w:type="dxa"/>
            <w:vAlign w:val="bottom"/>
          </w:tcPr>
          <w:p>
            <w:pPr>
              <w:jc w:val="right"/>
              <w:spacing w:after="0"/>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23.2**</w:t>
              </w:r>
            </w:hyperlink>
          </w:p>
        </w:tc>
        <w:tc>
          <w:tcPr>
            <w:tcW w:w="220" w:type="dxa"/>
            <w:vAlign w:val="bottom"/>
          </w:tcPr>
          <w:p>
            <w:pPr>
              <w:spacing w:after="0"/>
              <w:rPr>
                <w:sz w:val="22"/>
                <w:szCs w:val="22"/>
                <w:color w:val="auto"/>
              </w:rPr>
            </w:pPr>
          </w:p>
        </w:tc>
        <w:tc>
          <w:tcPr>
            <w:tcW w:w="7460" w:type="dxa"/>
            <w:vAlign w:val="bottom"/>
            <w:gridSpan w:val="5"/>
          </w:tcPr>
          <w:p>
            <w:pPr>
              <w:spacing w:after="0"/>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Consent of Paul, Weiss, Rifkind, Wharton &amp; Garrison LLP (included in Exhibit 5.1)</w:t>
              </w:r>
            </w:hyperlink>
          </w:p>
        </w:tc>
      </w:tr>
      <w:tr>
        <w:trPr>
          <w:trHeight w:val="257"/>
        </w:trPr>
        <w:tc>
          <w:tcPr>
            <w:tcW w:w="540" w:type="dxa"/>
            <w:vAlign w:val="bottom"/>
          </w:tcPr>
          <w:p>
            <w:pPr>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24**</w:t>
              </w:r>
            </w:hyperlink>
          </w:p>
        </w:tc>
        <w:tc>
          <w:tcPr>
            <w:tcW w:w="220" w:type="dxa"/>
            <w:vAlign w:val="bottom"/>
          </w:tcPr>
          <w:p>
            <w:pPr>
              <w:spacing w:after="0"/>
              <w:rPr>
                <w:sz w:val="22"/>
                <w:szCs w:val="22"/>
                <w:color w:val="auto"/>
              </w:rPr>
            </w:pPr>
          </w:p>
        </w:tc>
        <w:tc>
          <w:tcPr>
            <w:tcW w:w="7460" w:type="dxa"/>
            <w:vAlign w:val="bottom"/>
            <w:gridSpan w:val="5"/>
          </w:tcPr>
          <w:p>
            <w:pPr>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Power of Attorney (included on signature page of this Registration Statement)</w:t>
              </w:r>
            </w:hyperlink>
          </w:p>
        </w:tc>
      </w:tr>
      <w:tr>
        <w:trPr>
          <w:trHeight w:val="256"/>
        </w:trPr>
        <w:tc>
          <w:tcPr>
            <w:tcW w:w="540" w:type="dxa"/>
            <w:vAlign w:val="bottom"/>
          </w:tcPr>
          <w:p>
            <w:pPr>
              <w:jc w:val="right"/>
              <w:spacing w:after="0"/>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99.1**</w:t>
              </w:r>
            </w:hyperlink>
          </w:p>
        </w:tc>
        <w:tc>
          <w:tcPr>
            <w:tcW w:w="220" w:type="dxa"/>
            <w:vAlign w:val="bottom"/>
          </w:tcPr>
          <w:p>
            <w:pPr>
              <w:spacing w:after="0"/>
              <w:rPr>
                <w:sz w:val="22"/>
                <w:szCs w:val="22"/>
                <w:color w:val="auto"/>
              </w:rPr>
            </w:pPr>
          </w:p>
        </w:tc>
        <w:tc>
          <w:tcPr>
            <w:tcW w:w="7460" w:type="dxa"/>
            <w:vAlign w:val="bottom"/>
            <w:gridSpan w:val="5"/>
          </w:tcPr>
          <w:p>
            <w:pPr>
              <w:spacing w:after="0"/>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Consent of Glenn R. August</w:t>
              </w:r>
            </w:hyperlink>
          </w:p>
        </w:tc>
      </w:tr>
      <w:tr>
        <w:trPr>
          <w:trHeight w:val="256"/>
        </w:trPr>
        <w:tc>
          <w:tcPr>
            <w:tcW w:w="540" w:type="dxa"/>
            <w:vAlign w:val="bottom"/>
          </w:tcPr>
          <w:p>
            <w:pPr>
              <w:jc w:val="right"/>
              <w:spacing w:after="0"/>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99.2**</w:t>
              </w:r>
            </w:hyperlink>
          </w:p>
        </w:tc>
        <w:tc>
          <w:tcPr>
            <w:tcW w:w="220" w:type="dxa"/>
            <w:vAlign w:val="bottom"/>
          </w:tcPr>
          <w:p>
            <w:pPr>
              <w:spacing w:after="0"/>
              <w:rPr>
                <w:sz w:val="22"/>
                <w:szCs w:val="22"/>
                <w:color w:val="auto"/>
              </w:rPr>
            </w:pPr>
          </w:p>
        </w:tc>
        <w:tc>
          <w:tcPr>
            <w:tcW w:w="7460" w:type="dxa"/>
            <w:vAlign w:val="bottom"/>
            <w:gridSpan w:val="5"/>
          </w:tcPr>
          <w:p>
            <w:pPr>
              <w:spacing w:after="0"/>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Consent of William J. Bynum</w:t>
              </w:r>
            </w:hyperlink>
          </w:p>
        </w:tc>
      </w:tr>
    </w:tbl>
    <w:p>
      <w:pPr>
        <w:spacing w:after="0" w:line="26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7" w:name="page8"/>
    <w:bookmarkEnd w:id="7"/>
    <w:tbl>
      <w:tblPr>
        <w:tblLayout w:type="fixed"/>
        <w:tblInd w:w="140" w:type="dxa"/>
        <w:tblCellMar>
          <w:top w:w="0" w:type="dxa"/>
          <w:left w:w="0" w:type="dxa"/>
          <w:bottom w:w="0" w:type="dxa"/>
          <w:right w:w="0" w:type="dxa"/>
        </w:tblCellMar>
      </w:tblPr>
      <w:tr>
        <w:trPr>
          <w:trHeight w:val="192"/>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460" w:type="dxa"/>
            <w:vAlign w:val="bottom"/>
          </w:tcPr>
          <w:p>
            <w:pPr>
              <w:ind w:left="3400"/>
              <w:spacing w:after="0"/>
              <w:rPr>
                <w:sz w:val="20"/>
                <w:szCs w:val="20"/>
                <w:color w:val="auto"/>
              </w:rPr>
            </w:pPr>
            <w:r>
              <w:rPr>
                <w:rFonts w:ascii="Arial" w:cs="Arial" w:eastAsia="Arial" w:hAnsi="Arial"/>
                <w:sz w:val="14"/>
                <w:szCs w:val="14"/>
                <w:b w:val="1"/>
                <w:bCs w:val="1"/>
                <w:color w:val="auto"/>
              </w:rPr>
              <w:t>Description</w:t>
            </w:r>
          </w:p>
        </w:tc>
      </w:tr>
      <w:tr>
        <w:trPr>
          <w:trHeight w:val="242"/>
        </w:trPr>
        <w:tc>
          <w:tcPr>
            <w:tcW w:w="540" w:type="dxa"/>
            <w:vAlign w:val="bottom"/>
            <w:tcBorders>
              <w:top w:val="single" w:sz="8" w:color="auto"/>
            </w:tcBorders>
          </w:tcPr>
          <w:p>
            <w:pPr>
              <w:spacing w:after="0"/>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99.3**</w:t>
              </w:r>
            </w:hyperlink>
          </w:p>
        </w:tc>
        <w:tc>
          <w:tcPr>
            <w:tcW w:w="220" w:type="dxa"/>
            <w:vAlign w:val="bottom"/>
          </w:tcPr>
          <w:p>
            <w:pPr>
              <w:spacing w:after="0"/>
              <w:rPr>
                <w:sz w:val="21"/>
                <w:szCs w:val="21"/>
                <w:color w:val="auto"/>
              </w:rPr>
            </w:pPr>
          </w:p>
        </w:tc>
        <w:tc>
          <w:tcPr>
            <w:tcW w:w="7460" w:type="dxa"/>
            <w:vAlign w:val="bottom"/>
            <w:tcBorders>
              <w:top w:val="single" w:sz="8" w:color="auto"/>
            </w:tcBorders>
          </w:tcPr>
          <w:p>
            <w:pPr>
              <w:spacing w:after="0"/>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Consent of Bonnie Jonas</w:t>
              </w:r>
            </w:hyperlink>
          </w:p>
        </w:tc>
      </w:tr>
      <w:tr>
        <w:trPr>
          <w:trHeight w:val="229"/>
        </w:trPr>
        <w:tc>
          <w:tcPr>
            <w:tcW w:w="540" w:type="dxa"/>
            <w:vAlign w:val="bottom"/>
          </w:tcPr>
          <w:p>
            <w:pPr>
              <w:spacing w:after="0"/>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99.4**</w:t>
              </w:r>
            </w:hyperlink>
          </w:p>
        </w:tc>
        <w:tc>
          <w:tcPr>
            <w:tcW w:w="220" w:type="dxa"/>
            <w:vAlign w:val="bottom"/>
          </w:tcPr>
          <w:p>
            <w:pPr>
              <w:spacing w:after="0"/>
              <w:rPr>
                <w:sz w:val="19"/>
                <w:szCs w:val="19"/>
                <w:color w:val="auto"/>
              </w:rPr>
            </w:pPr>
          </w:p>
        </w:tc>
        <w:tc>
          <w:tcPr>
            <w:tcW w:w="7460" w:type="dxa"/>
            <w:vAlign w:val="bottom"/>
          </w:tcPr>
          <w:p>
            <w:pPr>
              <w:spacing w:after="0"/>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Consent of Mark Klein</w:t>
              </w:r>
            </w:hyperlink>
          </w:p>
        </w:tc>
      </w:tr>
      <w:tr>
        <w:trPr>
          <w:trHeight w:val="230"/>
        </w:trPr>
        <w:tc>
          <w:tcPr>
            <w:tcW w:w="540" w:type="dxa"/>
            <w:vAlign w:val="bottom"/>
          </w:tcPr>
          <w:p>
            <w:pPr>
              <w:spacing w:after="0"/>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99.5**</w:t>
              </w:r>
            </w:hyperlink>
          </w:p>
        </w:tc>
        <w:tc>
          <w:tcPr>
            <w:tcW w:w="220" w:type="dxa"/>
            <w:vAlign w:val="bottom"/>
          </w:tcPr>
          <w:p>
            <w:pPr>
              <w:spacing w:after="0"/>
              <w:rPr>
                <w:sz w:val="20"/>
                <w:szCs w:val="20"/>
                <w:color w:val="auto"/>
              </w:rPr>
            </w:pPr>
          </w:p>
        </w:tc>
        <w:tc>
          <w:tcPr>
            <w:tcW w:w="7460" w:type="dxa"/>
            <w:vAlign w:val="bottom"/>
          </w:tcPr>
          <w:p>
            <w:pPr>
              <w:spacing w:after="0"/>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Consent of Malcolm S. McDermid</w:t>
              </w:r>
            </w:hyperlink>
          </w:p>
        </w:tc>
      </w:tr>
      <w:tr>
        <w:trPr>
          <w:trHeight w:val="243"/>
        </w:trPr>
        <w:tc>
          <w:tcPr>
            <w:tcW w:w="540" w:type="dxa"/>
            <w:vAlign w:val="bottom"/>
          </w:tcPr>
          <w:p>
            <w:pPr>
              <w:spacing w:after="0"/>
              <w:rPr>
                <w:rFonts w:ascii="Arial" w:cs="Arial" w:eastAsia="Arial" w:hAnsi="Arial"/>
                <w:sz w:val="18"/>
                <w:szCs w:val="18"/>
                <w:u w:val="single" w:color="auto"/>
                <w:color w:val="0000EE"/>
              </w:rPr>
            </w:pPr>
            <w:hyperlink r:id="rId47">
              <w:r>
                <w:rPr>
                  <w:rFonts w:ascii="Arial" w:cs="Arial" w:eastAsia="Arial" w:hAnsi="Arial"/>
                  <w:sz w:val="18"/>
                  <w:szCs w:val="18"/>
                  <w:u w:val="single" w:color="auto"/>
                  <w:color w:val="0000EE"/>
                </w:rPr>
                <w:t>99.6**</w:t>
              </w:r>
            </w:hyperlink>
          </w:p>
        </w:tc>
        <w:tc>
          <w:tcPr>
            <w:tcW w:w="220" w:type="dxa"/>
            <w:vAlign w:val="bottom"/>
          </w:tcPr>
          <w:p>
            <w:pPr>
              <w:spacing w:after="0"/>
              <w:rPr>
                <w:sz w:val="21"/>
                <w:szCs w:val="21"/>
                <w:color w:val="auto"/>
              </w:rPr>
            </w:pPr>
          </w:p>
        </w:tc>
        <w:tc>
          <w:tcPr>
            <w:tcW w:w="7460" w:type="dxa"/>
            <w:vAlign w:val="bottom"/>
          </w:tcPr>
          <w:p>
            <w:pPr>
              <w:spacing w:after="0"/>
              <w:rPr>
                <w:rFonts w:ascii="Arial" w:cs="Arial" w:eastAsia="Arial" w:hAnsi="Arial"/>
                <w:sz w:val="18"/>
                <w:szCs w:val="18"/>
                <w:u w:val="single" w:color="auto"/>
                <w:color w:val="0000EE"/>
              </w:rPr>
            </w:pPr>
            <w:hyperlink r:id="rId47">
              <w:r>
                <w:rPr>
                  <w:rFonts w:ascii="Arial" w:cs="Arial" w:eastAsia="Arial" w:hAnsi="Arial"/>
                  <w:sz w:val="18"/>
                  <w:szCs w:val="18"/>
                  <w:u w:val="single" w:color="auto"/>
                  <w:color w:val="0000EE"/>
                </w:rPr>
                <w:t>Consent of Karen G. Mills</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163195</wp:posOffset>
            </wp:positionV>
            <wp:extent cx="12344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00" w:hanging="35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ind w:left="500" w:hanging="35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17" w:lineRule="exact"/>
        <w:rPr>
          <w:rFonts w:ascii="Arial" w:cs="Arial" w:eastAsia="Arial" w:hAnsi="Arial"/>
          <w:sz w:val="18"/>
          <w:szCs w:val="18"/>
          <w:color w:val="auto"/>
        </w:rPr>
      </w:pPr>
    </w:p>
    <w:p>
      <w:pPr>
        <w:ind w:left="140" w:right="1279" w:firstLine="368"/>
        <w:spacing w:after="0" w:line="277" w:lineRule="auto"/>
        <w:tabs>
          <w:tab w:leader="none" w:pos="866"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registration statement.</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17. Undertakings.</w:t>
      </w:r>
    </w:p>
    <w:p>
      <w:pPr>
        <w:spacing w:after="0" w:line="81" w:lineRule="exact"/>
        <w:rPr>
          <w:sz w:val="20"/>
          <w:szCs w:val="20"/>
          <w:color w:val="auto"/>
        </w:rPr>
      </w:pPr>
    </w:p>
    <w:p>
      <w:pPr>
        <w:jc w:val="both"/>
        <w:ind w:left="140" w:right="699" w:firstLine="368"/>
        <w:spacing w:after="0" w:line="248" w:lineRule="auto"/>
        <w:tabs>
          <w:tab w:leader="none" w:pos="85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46" w:lineRule="exact"/>
        <w:rPr>
          <w:rFonts w:ascii="Arial" w:cs="Arial" w:eastAsia="Arial" w:hAnsi="Arial"/>
          <w:sz w:val="18"/>
          <w:szCs w:val="18"/>
          <w:color w:val="auto"/>
        </w:rPr>
      </w:pPr>
    </w:p>
    <w:p>
      <w:pPr>
        <w:ind w:left="140" w:right="719" w:firstLine="368"/>
        <w:spacing w:after="0" w:line="237" w:lineRule="auto"/>
        <w:tabs>
          <w:tab w:leader="none" w:pos="86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60" w:lineRule="exact"/>
        <w:rPr>
          <w:rFonts w:ascii="Arial" w:cs="Arial" w:eastAsia="Arial" w:hAnsi="Arial"/>
          <w:sz w:val="18"/>
          <w:szCs w:val="18"/>
          <w:color w:val="auto"/>
        </w:rPr>
      </w:pPr>
    </w:p>
    <w:p>
      <w:pPr>
        <w:ind w:left="860" w:hanging="35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76" w:lineRule="exact"/>
        <w:rPr>
          <w:rFonts w:ascii="Arial" w:cs="Arial" w:eastAsia="Arial" w:hAnsi="Arial"/>
          <w:sz w:val="18"/>
          <w:szCs w:val="18"/>
          <w:color w:val="auto"/>
        </w:rPr>
      </w:pPr>
    </w:p>
    <w:p>
      <w:pPr>
        <w:ind w:left="1220" w:right="939" w:hanging="352"/>
        <w:spacing w:after="0" w:line="259" w:lineRule="auto"/>
        <w:tabs>
          <w:tab w:leader="none" w:pos="1220" w:val="left"/>
        </w:tabs>
        <w:numPr>
          <w:ilvl w:val="1"/>
          <w:numId w:val="8"/>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38" w:lineRule="exact"/>
        <w:rPr>
          <w:rFonts w:ascii="Arial" w:cs="Arial" w:eastAsia="Arial" w:hAnsi="Arial"/>
          <w:sz w:val="17"/>
          <w:szCs w:val="17"/>
          <w:color w:val="auto"/>
        </w:rPr>
      </w:pPr>
    </w:p>
    <w:p>
      <w:pPr>
        <w:ind w:left="1220" w:right="1119" w:hanging="352"/>
        <w:spacing w:after="0" w:line="262" w:lineRule="auto"/>
        <w:tabs>
          <w:tab w:leader="none" w:pos="1220" w:val="left"/>
        </w:tabs>
        <w:numPr>
          <w:ilvl w:val="1"/>
          <w:numId w:val="8"/>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7" w:lineRule="exact"/>
        <w:rPr>
          <w:rFonts w:ascii="Arial" w:cs="Arial" w:eastAsia="Arial" w:hAnsi="Arial"/>
          <w:sz w:val="17"/>
          <w:szCs w:val="17"/>
          <w:color w:val="auto"/>
        </w:rPr>
      </w:pPr>
    </w:p>
    <w:p>
      <w:pPr>
        <w:ind w:left="1220" w:right="699" w:hanging="352"/>
        <w:spacing w:after="0" w:line="252" w:lineRule="auto"/>
        <w:tabs>
          <w:tab w:leader="none" w:pos="1220" w:val="left"/>
        </w:tabs>
        <w:numPr>
          <w:ilvl w:val="1"/>
          <w:numId w:val="8"/>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48" w:lineRule="exact"/>
        <w:rPr>
          <w:rFonts w:ascii="Arial" w:cs="Arial" w:eastAsia="Arial" w:hAnsi="Arial"/>
          <w:sz w:val="17"/>
          <w:szCs w:val="17"/>
          <w:color w:val="auto"/>
        </w:rPr>
      </w:pPr>
    </w:p>
    <w:p>
      <w:pPr>
        <w:ind w:left="1220" w:right="659" w:hanging="352"/>
        <w:spacing w:after="0" w:line="262" w:lineRule="auto"/>
        <w:tabs>
          <w:tab w:leader="none" w:pos="1220" w:val="left"/>
        </w:tabs>
        <w:numPr>
          <w:ilvl w:val="1"/>
          <w:numId w:val="8"/>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w:t>
      </w:r>
    </w:p>
    <w:p>
      <w:pPr>
        <w:spacing w:after="0" w:line="24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8" w:name="page9"/>
    <w:bookmarkEnd w:id="8"/>
    <w:p>
      <w:pPr>
        <w:jc w:val="both"/>
        <w:ind w:left="1220" w:right="959"/>
        <w:spacing w:after="0" w:line="248" w:lineRule="auto"/>
        <w:rPr>
          <w:sz w:val="20"/>
          <w:szCs w:val="20"/>
          <w:color w:val="auto"/>
        </w:rPr>
      </w:pPr>
      <w:r>
        <w:rPr>
          <w:rFonts w:ascii="Arial" w:cs="Arial" w:eastAsia="Arial" w:hAnsi="Arial"/>
          <w:sz w:val="18"/>
          <w:szCs w:val="18"/>
          <w:color w:val="auto"/>
        </w:rPr>
        <w:t>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1" w:lineRule="exact"/>
        <w:rPr>
          <w:sz w:val="20"/>
          <w:szCs w:val="20"/>
          <w:color w:val="auto"/>
        </w:rPr>
      </w:pPr>
    </w:p>
    <w:p>
      <w:pPr>
        <w:ind w:left="1580" w:right="959" w:hanging="352"/>
        <w:spacing w:after="0" w:line="261" w:lineRule="auto"/>
        <w:tabs>
          <w:tab w:leader="none" w:pos="1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9" w:lineRule="exact"/>
        <w:rPr>
          <w:rFonts w:ascii="Arial" w:cs="Arial" w:eastAsia="Arial" w:hAnsi="Arial"/>
          <w:sz w:val="18"/>
          <w:szCs w:val="18"/>
          <w:color w:val="auto"/>
        </w:rPr>
      </w:pPr>
    </w:p>
    <w:p>
      <w:pPr>
        <w:ind w:left="1580" w:right="1179" w:hanging="352"/>
        <w:spacing w:after="0" w:line="261" w:lineRule="auto"/>
        <w:tabs>
          <w:tab w:leader="none" w:pos="1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89" w:lineRule="exact"/>
        <w:rPr>
          <w:rFonts w:ascii="Arial" w:cs="Arial" w:eastAsia="Arial" w:hAnsi="Arial"/>
          <w:sz w:val="18"/>
          <w:szCs w:val="18"/>
          <w:color w:val="auto"/>
        </w:rPr>
      </w:pPr>
    </w:p>
    <w:p>
      <w:pPr>
        <w:ind w:left="1580" w:right="799" w:hanging="352"/>
        <w:spacing w:after="0" w:line="248" w:lineRule="auto"/>
        <w:tabs>
          <w:tab w:leader="none" w:pos="1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0" w:lineRule="exact"/>
        <w:rPr>
          <w:rFonts w:ascii="Arial" w:cs="Arial" w:eastAsia="Arial" w:hAnsi="Arial"/>
          <w:sz w:val="18"/>
          <w:szCs w:val="18"/>
          <w:color w:val="auto"/>
        </w:rPr>
      </w:pPr>
    </w:p>
    <w:p>
      <w:pPr>
        <w:ind w:left="1580" w:right="1259" w:hanging="352"/>
        <w:spacing w:after="0" w:line="261" w:lineRule="auto"/>
        <w:tabs>
          <w:tab w:leader="none" w:pos="1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9" w:name="page10"/>
    <w:bookmarkEnd w:id="9"/>
    <w:p>
      <w:pPr>
        <w:ind w:left="3700"/>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left="140" w:right="67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the 27th of July, 2020.</w:t>
      </w:r>
    </w:p>
    <w:p>
      <w:pPr>
        <w:spacing w:after="0" w:line="20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CHURCHILL CAPITAL CORP IV</w:t>
      </w:r>
    </w:p>
    <w:p>
      <w:pPr>
        <w:spacing w:after="0" w:line="243" w:lineRule="exact"/>
        <w:rPr>
          <w:sz w:val="20"/>
          <w:szCs w:val="20"/>
          <w:color w:val="auto"/>
        </w:rPr>
      </w:pPr>
    </w:p>
    <w:p>
      <w:pPr>
        <w:ind w:left="4080"/>
        <w:spacing w:after="0"/>
        <w:tabs>
          <w:tab w:leader="none" w:pos="4560" w:val="left"/>
        </w:tabs>
        <w:rPr>
          <w:sz w:val="20"/>
          <w:szCs w:val="20"/>
          <w:color w:val="auto"/>
        </w:rPr>
      </w:pPr>
      <w:r>
        <w:rPr>
          <w:rFonts w:ascii="Arial" w:cs="Arial" w:eastAsia="Arial" w:hAnsi="Arial"/>
          <w:sz w:val="18"/>
          <w:szCs w:val="18"/>
          <w:color w:val="auto"/>
        </w:rPr>
        <w:t>By:</w:t>
        <w:tab/>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48895</wp:posOffset>
            </wp:positionV>
            <wp:extent cx="24003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Chief Financial Officer</w:t>
      </w:r>
    </w:p>
    <w:p>
      <w:pPr>
        <w:spacing w:after="0" w:line="26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POWER OF ATTORNEY</w:t>
      </w:r>
    </w:p>
    <w:p>
      <w:pPr>
        <w:spacing w:after="0" w:line="108" w:lineRule="exact"/>
        <w:rPr>
          <w:sz w:val="20"/>
          <w:szCs w:val="20"/>
          <w:color w:val="auto"/>
        </w:rPr>
      </w:pPr>
    </w:p>
    <w:p>
      <w:pPr>
        <w:ind w:left="140" w:right="81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81"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20" w:type="dxa"/>
            <w:vAlign w:val="bottom"/>
          </w:tcPr>
          <w:p>
            <w:pPr>
              <w:spacing w:after="0"/>
              <w:rPr>
                <w:sz w:val="16"/>
                <w:szCs w:val="16"/>
                <w:color w:val="auto"/>
              </w:rPr>
            </w:pPr>
          </w:p>
        </w:tc>
        <w:tc>
          <w:tcPr>
            <w:tcW w:w="3020" w:type="dxa"/>
            <w:vAlign w:val="bottom"/>
            <w:gridSpan w:val="2"/>
          </w:tcPr>
          <w:p>
            <w:pPr>
              <w:ind w:left="1260"/>
              <w:spacing w:after="0"/>
              <w:rPr>
                <w:sz w:val="20"/>
                <w:szCs w:val="20"/>
                <w:color w:val="auto"/>
              </w:rPr>
            </w:pPr>
            <w:r>
              <w:rPr>
                <w:rFonts w:ascii="Arial" w:cs="Arial" w:eastAsia="Arial" w:hAnsi="Arial"/>
                <w:sz w:val="14"/>
                <w:szCs w:val="14"/>
                <w:b w:val="1"/>
                <w:bCs w:val="1"/>
                <w:color w:val="auto"/>
              </w:rPr>
              <w:t>Title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6"/>
        </w:trPr>
        <w:tc>
          <w:tcPr>
            <w:tcW w:w="3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3140" w:type="dxa"/>
            <w:vAlign w:val="bottom"/>
          </w:tcPr>
          <w:p>
            <w:pPr>
              <w:jc w:val="center"/>
              <w:spacing w:after="0"/>
              <w:rPr>
                <w:sz w:val="20"/>
                <w:szCs w:val="20"/>
                <w:color w:val="auto"/>
              </w:rPr>
            </w:pPr>
            <w:r>
              <w:rPr>
                <w:rFonts w:ascii="Arial" w:cs="Arial" w:eastAsia="Arial" w:hAnsi="Arial"/>
                <w:sz w:val="18"/>
                <w:szCs w:val="18"/>
                <w:color w:val="auto"/>
                <w:w w:val="99"/>
              </w:rPr>
              <w:t>/s/ Michael Klein</w:t>
            </w:r>
          </w:p>
        </w:tc>
        <w:tc>
          <w:tcPr>
            <w:tcW w:w="2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Chief Executive Officer, Chairman</w:t>
            </w: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July 27, 2020</w:t>
            </w:r>
          </w:p>
        </w:tc>
        <w:tc>
          <w:tcPr>
            <w:tcW w:w="0" w:type="dxa"/>
            <w:vAlign w:val="bottom"/>
          </w:tcPr>
          <w:p>
            <w:pPr>
              <w:spacing w:after="0"/>
              <w:rPr>
                <w:sz w:val="1"/>
                <w:szCs w:val="1"/>
                <w:color w:val="auto"/>
              </w:rPr>
            </w:pPr>
          </w:p>
        </w:tc>
      </w:tr>
      <w:tr>
        <w:trPr>
          <w:trHeight w:val="55"/>
        </w:trPr>
        <w:tc>
          <w:tcPr>
            <w:tcW w:w="31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of the Board of Directors and</w:t>
            </w: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3140" w:type="dxa"/>
            <w:vAlign w:val="bottom"/>
            <w:vMerge w:val="restart"/>
          </w:tcPr>
          <w:p>
            <w:pPr>
              <w:jc w:val="center"/>
              <w:spacing w:after="0"/>
              <w:rPr>
                <w:sz w:val="20"/>
                <w:szCs w:val="20"/>
                <w:color w:val="auto"/>
              </w:rPr>
            </w:pPr>
            <w:r>
              <w:rPr>
                <w:rFonts w:ascii="Arial" w:cs="Arial" w:eastAsia="Arial" w:hAnsi="Arial"/>
                <w:sz w:val="18"/>
                <w:szCs w:val="18"/>
                <w:color w:val="auto"/>
              </w:rPr>
              <w:t>Michael Klein</w:t>
            </w:r>
          </w:p>
        </w:tc>
        <w:tc>
          <w:tcPr>
            <w:tcW w:w="220" w:type="dxa"/>
            <w:vAlign w:val="bottom"/>
            <w:vMerge w:val="continue"/>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Director (Principal Executive</w:t>
            </w: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2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140" w:type="dxa"/>
            <w:vAlign w:val="bottom"/>
          </w:tcPr>
          <w:p>
            <w:pPr>
              <w:jc w:val="center"/>
              <w:spacing w:after="0"/>
              <w:rPr>
                <w:sz w:val="20"/>
                <w:szCs w:val="20"/>
                <w:color w:val="auto"/>
              </w:rPr>
            </w:pPr>
            <w:r>
              <w:rPr>
                <w:rFonts w:ascii="Arial" w:cs="Arial" w:eastAsia="Arial" w:hAnsi="Arial"/>
                <w:sz w:val="18"/>
                <w:szCs w:val="18"/>
                <w:color w:val="auto"/>
                <w:w w:val="93"/>
              </w:rPr>
              <w:t>/s/ Jay Taragin</w:t>
            </w:r>
          </w:p>
        </w:tc>
        <w:tc>
          <w:tcPr>
            <w:tcW w:w="2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Chief Financial Officer (Principal</w:t>
            </w: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July 27, 2020</w:t>
            </w:r>
          </w:p>
        </w:tc>
        <w:tc>
          <w:tcPr>
            <w:tcW w:w="0" w:type="dxa"/>
            <w:vAlign w:val="bottom"/>
          </w:tcPr>
          <w:p>
            <w:pPr>
              <w:spacing w:after="0"/>
              <w:rPr>
                <w:sz w:val="1"/>
                <w:szCs w:val="1"/>
                <w:color w:val="auto"/>
              </w:rPr>
            </w:pPr>
          </w:p>
        </w:tc>
      </w:tr>
      <w:tr>
        <w:trPr>
          <w:trHeight w:val="55"/>
        </w:trPr>
        <w:tc>
          <w:tcPr>
            <w:tcW w:w="31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Accounting Officer and Financial</w:t>
            </w: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3140" w:type="dxa"/>
            <w:vAlign w:val="bottom"/>
            <w:vMerge w:val="restart"/>
          </w:tcPr>
          <w:p>
            <w:pPr>
              <w:jc w:val="center"/>
              <w:spacing w:after="0"/>
              <w:rPr>
                <w:sz w:val="20"/>
                <w:szCs w:val="20"/>
                <w:color w:val="auto"/>
              </w:rPr>
            </w:pPr>
            <w:r>
              <w:rPr>
                <w:rFonts w:ascii="Arial" w:cs="Arial" w:eastAsia="Arial" w:hAnsi="Arial"/>
                <w:sz w:val="18"/>
                <w:szCs w:val="18"/>
                <w:color w:val="auto"/>
                <w:w w:val="91"/>
              </w:rPr>
              <w:t>Jay Taragin</w:t>
            </w:r>
          </w:p>
        </w:tc>
        <w:tc>
          <w:tcPr>
            <w:tcW w:w="220" w:type="dxa"/>
            <w:vAlign w:val="bottom"/>
            <w:vMerge w:val="continue"/>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Officer)</w:t>
            </w: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20" w:type="dxa"/>
            <w:vAlign w:val="bottom"/>
            <w:gridSpan w:val="2"/>
            <w:vMerge w:val="continue"/>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inclusion in this Registration Statement of Churchill Capital Corp IV on Amendment No. 1 to Form S-1, File No. 333-239856, of our report dated July 27, 2020, which includes an explanatory paragraph as to the Company’s ability to continue as a going concern, with respect to our audit of the financial statements of Churchill Capital Corp IV (formerly known as Annetta Acquisition Corp) as of May 22, 2020 and for the period from April 30, 2020 (inception) through May 22, 2020, which report appears in the Prospectus, which is part of this Registration Statement. We also consent to the reference to our Firm under the heading “Experts” in such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ARCUM</w:t>
      </w:r>
      <w:r>
        <w:rPr>
          <w:rFonts w:ascii="Arial" w:cs="Arial" w:eastAsia="Arial" w:hAnsi="Arial"/>
          <w:sz w:val="18"/>
          <w:szCs w:val="18"/>
          <w:color w:val="auto"/>
        </w:rPr>
        <w:t xml:space="preserv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3"/>
    </w:lvl>
  </w:abstractNum>
  <w:abstractNum w:abstractNumId="4">
    <w:nsid w:val="41B71EFB"/>
    <w:multiLevelType w:val="hybridMultilevel"/>
    <w:lvl w:ilvl="0">
      <w:lvlJc w:val="left"/>
      <w:lvlText w:val="(%1)"/>
      <w:numFmt w:val="lowerLetter"/>
      <w:start w:val="9"/>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2)"/>
      <w:numFmt w:val="lowerLetter"/>
      <w:start w:val="2"/>
    </w:lvl>
  </w:abstractNum>
  <w:abstractNum w:abstractNumId="7">
    <w:nsid w:val="515F007C"/>
    <w:multiLevelType w:val="hybridMultilevel"/>
    <w:lvl w:ilvl="0">
      <w:lvlJc w:val="left"/>
      <w:lvlText w:val="(%1)"/>
      <w:numFmt w:val="lowerLetter"/>
      <w:start w:val="1"/>
    </w:lvl>
    <w:lvl w:ilvl="1">
      <w:lvlJc w:val="left"/>
      <w:lvlText w:val="(%2)"/>
      <w:numFmt w:val="decimal"/>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43" Type="http://schemas.openxmlformats.org/officeDocument/2006/relationships/image" Target="media/image17.png"/><Relationship Id="rId48" Type="http://schemas.openxmlformats.org/officeDocument/2006/relationships/image" Target="media/image18.png"/><Relationship Id="rId49" Type="http://schemas.openxmlformats.org/officeDocument/2006/relationships/image" Target="media/image19.png"/><Relationship Id="rId50" Type="http://schemas.openxmlformats.org/officeDocument/2006/relationships/image" Target="media/image20.png"/><Relationship Id="rId51" Type="http://schemas.openxmlformats.org/officeDocument/2006/relationships/image" Target="media/image21.png"/><Relationship Id="rId52" Type="http://schemas.openxmlformats.org/officeDocument/2006/relationships/image" Target="media/image22.png"/><Relationship Id="rId53" Type="http://schemas.openxmlformats.org/officeDocument/2006/relationships/image" Target="media/image23.png"/><Relationship Id="rId24" Type="http://schemas.openxmlformats.org/officeDocument/2006/relationships/hyperlink" Target="http://www.sec.gov/Archives/edgar/data/1811210/000110465920083464/tm2020647d7_ex1-1.htm" TargetMode="External"/><Relationship Id="rId25" Type="http://schemas.openxmlformats.org/officeDocument/2006/relationships/hyperlink" Target="http://www.sec.gov/Archives/edgar/data/1811210/000110465920083464/tm2020647d7_ex3-1.htm" TargetMode="External"/><Relationship Id="rId26" Type="http://schemas.openxmlformats.org/officeDocument/2006/relationships/hyperlink" Target="http://www.sec.gov/Archives/edgar/data/1811210/000110465920083464/tm2020647d7_ex3-2.htm" TargetMode="External"/><Relationship Id="rId27" Type="http://schemas.openxmlformats.org/officeDocument/2006/relationships/hyperlink" Target="http://www.sec.gov/Archives/edgar/data/1811210/000110465920083464/tm2020647d7_ex3-3.htm" TargetMode="External"/><Relationship Id="rId28" Type="http://schemas.openxmlformats.org/officeDocument/2006/relationships/hyperlink" Target="http://www.sec.gov/Archives/edgar/data/1811210/000110465920083464/tm2020647d7_ex4-1.htm" TargetMode="External"/><Relationship Id="rId29" Type="http://schemas.openxmlformats.org/officeDocument/2006/relationships/hyperlink" Target="http://www.sec.gov/Archives/edgar/data/1811210/000110465920083464/tm2020647d7_ex4-2.htm" TargetMode="External"/><Relationship Id="rId30" Type="http://schemas.openxmlformats.org/officeDocument/2006/relationships/hyperlink" Target="http://www.sec.gov/Archives/edgar/data/1811210/000110465920083464/tm2020647d7_ex4-4.htm" TargetMode="External"/><Relationship Id="rId31" Type="http://schemas.openxmlformats.org/officeDocument/2006/relationships/hyperlink" Target="https://www.sec.gov/Archives/edgar/data/1811210/000110465920086708/tm2020647d9_ex5-1.htm" TargetMode="External"/><Relationship Id="rId32" Type="http://schemas.openxmlformats.org/officeDocument/2006/relationships/hyperlink" Target="http://www.sec.gov/Archives/edgar/data/1811210/000110465920083464/tm2020647d7_ex10-1.htm" TargetMode="External"/><Relationship Id="rId33" Type="http://schemas.openxmlformats.org/officeDocument/2006/relationships/hyperlink" Target="http://www.sec.gov/Archives/edgar/data/1811210/000110465920083464/tm2020647d7_ex10-2.htm" TargetMode="External"/><Relationship Id="rId34" Type="http://schemas.openxmlformats.org/officeDocument/2006/relationships/hyperlink" Target="http://www.sec.gov/Archives/edgar/data/1811210/000110465920083464/tm2020647d7_ex10-3.htm" TargetMode="External"/><Relationship Id="rId35" Type="http://schemas.openxmlformats.org/officeDocument/2006/relationships/hyperlink" Target="http://www.sec.gov/Archives/edgar/data/1811210/000110465920083464/tm2020647d7_ex10-4.htm" TargetMode="External"/><Relationship Id="rId36" Type="http://schemas.openxmlformats.org/officeDocument/2006/relationships/hyperlink" Target="http://www.sec.gov/Archives/edgar/data/1811210/000110465920083464/tm2020647d7_ex10-5.htm" TargetMode="External"/><Relationship Id="rId37" Type="http://schemas.openxmlformats.org/officeDocument/2006/relationships/hyperlink" Target="http://www.sec.gov/Archives/edgar/data/1811210/000110465920083464/tm2020647d7_ex10-6.htm" TargetMode="External"/><Relationship Id="rId38" Type="http://schemas.openxmlformats.org/officeDocument/2006/relationships/hyperlink" Target="http://www.sec.gov/Archives/edgar/data/1811210/000110465920083464/tm2020647d7_ex10-7.htm" TargetMode="External"/><Relationship Id="rId39" Type="http://schemas.openxmlformats.org/officeDocument/2006/relationships/hyperlink" Target="http://www.sec.gov/Archives/edgar/data/1811210/000110465920083464/tm2020647d7_ex10-8.htm" TargetMode="External"/><Relationship Id="rId40" Type="http://schemas.openxmlformats.org/officeDocument/2006/relationships/hyperlink" Target="http://www.sec.gov/Archives/edgar/data/1811210/000110465920083464/tm2020647-6_s1.htm#POA" TargetMode="External"/><Relationship Id="rId41" Type="http://schemas.openxmlformats.org/officeDocument/2006/relationships/hyperlink" Target="http://www.sec.gov/Archives/edgar/data/1811210/000110465920083464/tm2020647d7_ex99-1.htm" TargetMode="External"/><Relationship Id="rId42" Type="http://schemas.openxmlformats.org/officeDocument/2006/relationships/hyperlink" Target="https://www.sec.gov/Archives/edgar/data/1811210/000110465920086708/tm2020647d8_ex99-2.htm" TargetMode="External"/><Relationship Id="rId44" Type="http://schemas.openxmlformats.org/officeDocument/2006/relationships/hyperlink" Target="https://www.sec.gov/Archives/edgar/data/1811210/000110465920086708/tm2020647d8_ex99-3.htm" TargetMode="External"/><Relationship Id="rId45" Type="http://schemas.openxmlformats.org/officeDocument/2006/relationships/hyperlink" Target="https://www.sec.gov/Archives/edgar/data/1811210/000110465920086708/tm2020647d8_ex99-4.htm" TargetMode="External"/><Relationship Id="rId46" Type="http://schemas.openxmlformats.org/officeDocument/2006/relationships/hyperlink" Target="https://www.sec.gov/Archives/edgar/data/1811210/000110465920086708/tm2020647d8_ex99-5.htm" TargetMode="External"/><Relationship Id="rId47" Type="http://schemas.openxmlformats.org/officeDocument/2006/relationships/hyperlink" Target="https://www.sec.gov/Archives/edgar/data/1811210/000110465920086708/tm2020647d8_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2020-07-27T16:25:05Z</dcterms:created>
  <dcterms:modified xsi:type="dcterms:W3CDTF">2020-07-27T16:25:05Z</dcterms:modified>
</cp:coreProperties>
</file>