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157480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August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168910</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Churchill Capital Corp IV</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240"/>
          </w:cols>
          <w:pgMar w:left="320" w:top="540" w:right="339" w:bottom="113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i w:val="1"/>
          <w:i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i w:val="1"/>
          <w:i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ind w:left="1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(Commission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i w:val="1"/>
          <w:i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540" w:right="339" w:bottom="1130" w:gutter="0" w:footer="0" w:header="0"/>
          <w:type w:val="continuous"/>
        </w:sectPr>
      </w:pPr>
    </w:p>
    <w:p>
      <w:pPr>
        <w:spacing w:after="0" w:line="1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540" w:right="339" w:bottom="113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380-7500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480" w:hanging="3552"/>
        <w:spacing w:after="0" w:line="560" w:lineRule="auto"/>
        <w:tabs>
          <w:tab w:leader="none" w:pos="66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1"/>
        </w:trPr>
        <w:tc>
          <w:tcPr>
            <w:tcW w:w="3940" w:type="dxa"/>
            <w:vAlign w:val="bottom"/>
            <w:tcBorders>
              <w:top w:val="single" w:sz="8" w:color="auto"/>
            </w:tcBorders>
          </w:tcPr>
          <w:p>
            <w:pPr>
              <w:ind w:left="520"/>
              <w:spacing w:after="0" w:line="191" w:lineRule="exact"/>
              <w:rPr>
                <w:sz w:val="20"/>
                <w:szCs w:val="20"/>
                <w:color w:val="auto"/>
              </w:rPr>
            </w:pPr>
            <w:r>
              <w:rPr>
                <w:rFonts w:ascii="Arial" w:cs="Arial" w:eastAsia="Arial" w:hAnsi="Arial"/>
                <w:sz w:val="18"/>
                <w:szCs w:val="18"/>
                <w:b w:val="1"/>
                <w:bCs w:val="1"/>
                <w:color w:val="auto"/>
              </w:rPr>
              <w:t>Units, each consisting of one share of</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CCIV.U</w:t>
            </w:r>
          </w:p>
        </w:tc>
        <w:tc>
          <w:tcPr>
            <w:tcW w:w="220" w:type="dxa"/>
            <w:vAlign w:val="bottom"/>
          </w:tcPr>
          <w:p>
            <w:pPr>
              <w:spacing w:after="0"/>
              <w:rPr>
                <w:sz w:val="16"/>
                <w:szCs w:val="16"/>
                <w:color w:val="auto"/>
              </w:rPr>
            </w:pPr>
          </w:p>
        </w:tc>
        <w:tc>
          <w:tcPr>
            <w:tcW w:w="4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r>
      <w:tr>
        <w:trPr>
          <w:trHeight w:val="216"/>
        </w:trPr>
        <w:tc>
          <w:tcPr>
            <w:tcW w:w="4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Class A common stock,</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16"/>
        </w:trPr>
        <w:tc>
          <w:tcPr>
            <w:tcW w:w="4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$0.0001 par value, and one-fifth of one</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34"/>
        </w:trPr>
        <w:tc>
          <w:tcPr>
            <w:tcW w:w="4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warrant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32"/>
        </w:trPr>
        <w:tc>
          <w:tcPr>
            <w:tcW w:w="4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of Class A common stock</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CCIV</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432"/>
        </w:trPr>
        <w:tc>
          <w:tcPr>
            <w:tcW w:w="4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Warrants included as part of the units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CCIV WS</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13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3, 2020, Churchill Capital Corp IV (the “</w:t>
      </w:r>
      <w:r>
        <w:rPr>
          <w:rFonts w:ascii="Arial" w:cs="Arial" w:eastAsia="Arial" w:hAnsi="Arial"/>
          <w:sz w:val="17"/>
          <w:szCs w:val="17"/>
          <w:u w:val="single" w:color="auto"/>
          <w:color w:val="auto"/>
        </w:rPr>
        <w:t>Company</w:t>
      </w:r>
      <w:r>
        <w:rPr>
          <w:rFonts w:ascii="Arial" w:cs="Arial" w:eastAsia="Arial" w:hAnsi="Arial"/>
          <w:sz w:val="17"/>
          <w:szCs w:val="17"/>
          <w:color w:val="auto"/>
        </w:rPr>
        <w:t>”) consummated its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of 207,000,000 units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Units</w:t>
      </w:r>
      <w:r>
        <w:rPr>
          <w:rFonts w:ascii="Arial" w:cs="Arial" w:eastAsia="Arial" w:hAnsi="Arial"/>
          <w:sz w:val="16"/>
          <w:szCs w:val="16"/>
          <w:color w:val="auto"/>
        </w:rPr>
        <w:t>”), including the issuance of 27,000,000 Units as a result of the underwriters’ exercise of their over-allotment option. Each Unit consists of one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Class A common stock, par value $0.0001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and one-fifth of one warrant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Warrants</w:t>
      </w:r>
      <w:r>
        <w:rPr>
          <w:rFonts w:ascii="Arial" w:cs="Arial" w:eastAsia="Arial" w:hAnsi="Arial"/>
          <w:sz w:val="16"/>
          <w:szCs w:val="16"/>
          <w:color w:val="auto"/>
        </w:rPr>
        <w:t>”), each whole warrant entitling the holder thereof to purchase one whole share of Class A Common Stock at a price of $11.50 per share,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adjustment as provided in the Company’s registration statement on Form S-1, initially filed with the Securities and Exchange Commission on July 14,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2020 (File No. 333-239856). The Units were sold at a price of $10.00 per unit, generating gross proceeds to the Company of $2,070,000,000.</w:t>
      </w:r>
    </w:p>
    <w:p>
      <w:pPr>
        <w:spacing w:after="0" w:line="22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Simultaneously with the closing of the IPO, the Company completed the private sale (the “</w:t>
      </w:r>
      <w:r>
        <w:rPr>
          <w:rFonts w:ascii="Arial" w:cs="Arial" w:eastAsia="Arial" w:hAnsi="Arial"/>
          <w:sz w:val="17"/>
          <w:szCs w:val="17"/>
          <w:u w:val="single" w:color="auto"/>
          <w:color w:val="auto"/>
        </w:rPr>
        <w:t>Private Placement</w:t>
      </w:r>
      <w:r>
        <w:rPr>
          <w:rFonts w:ascii="Arial" w:cs="Arial" w:eastAsia="Arial" w:hAnsi="Arial"/>
          <w:sz w:val="17"/>
          <w:szCs w:val="17"/>
          <w:color w:val="auto"/>
        </w:rPr>
        <w:t>”) of an aggregate of 42,850,000 warrants (the “</w:t>
      </w:r>
      <w:r>
        <w:rPr>
          <w:rFonts w:ascii="Arial" w:cs="Arial" w:eastAsia="Arial" w:hAnsi="Arial"/>
          <w:sz w:val="17"/>
          <w:szCs w:val="17"/>
          <w:u w:val="single" w:color="auto"/>
          <w:color w:val="auto"/>
        </w:rPr>
        <w:t>Private Placement Warrants</w:t>
      </w:r>
      <w:r>
        <w:rPr>
          <w:rFonts w:ascii="Arial" w:cs="Arial" w:eastAsia="Arial" w:hAnsi="Arial"/>
          <w:sz w:val="17"/>
          <w:szCs w:val="17"/>
          <w:color w:val="auto"/>
        </w:rPr>
        <w:t>”) at a purchase price of $1.00 per Private Placement Warrant, to the Company’s sponsor,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generating gross proceeds to the Company of $42,850,000. The Private Placement Warrants are identical to the warrants sold as part of the Units in the IPO, except that the Sponsor has agreed not to transfer, assign or sell any of the Private Placement Warrants (except to certain permitted transferees) until 30 days after the completion of the Company’s initial business combination. The Private Placement Warrants are also not redeemable by the Company so long as they are held by the Sponsor or its permitted transferees.</w:t>
      </w:r>
    </w:p>
    <w:p>
      <w:pPr>
        <w:spacing w:after="0" w:line="17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A total of $2,070,000,000 was placed in a U.S.-based trust account with Continental Stock Transfer &amp; Trust Company, acting as trustee. Except with respect to interest earned on the funds in the trust account that may be released to the Company to fund the Company’s working capital requirements, subject to an annual limit of $1,000,000, and to pay its taxes, the proceeds from the IPO will not be released from the trust account until the earliest of</w:t>
      </w:r>
    </w:p>
    <w:p>
      <w:pPr>
        <w:spacing w:after="0" w:line="2" w:lineRule="exact"/>
        <w:rPr>
          <w:sz w:val="20"/>
          <w:szCs w:val="20"/>
          <w:color w:val="auto"/>
        </w:rPr>
      </w:pPr>
    </w:p>
    <w:p>
      <w:pPr>
        <w:ind w:right="160" w:firstLine="8"/>
        <w:spacing w:after="0" w:line="252"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completion of the Company’s initial business combination, (ii) the redemption of any public shares properly tendered in connection with a shareholder vote to amend the Company’s amended and restated certificate of incorporation to modify the substance or timing of its obligation to redeem 100% of its public shares if the Company does not complete its initial business combination within 24 months from the closing of the IPO (or 27 months from the closing of the IPO if the Company has executed a letter of intent, agreement in principle or definitive agreement for an initial business combination within 24 months from the closing of the IPO), and (iii) the redemption of all of the Company’s public shares if it is unable to complete its business combination within 24 months (or 27 months upon the satisfaction of the conditions set forth in (ii)) from the closing of the IPO, subject to applicable law.</w:t>
      </w:r>
    </w:p>
    <w:p>
      <w:pPr>
        <w:spacing w:after="0" w:line="19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connection with the IPO, the Company entered into the following agreements previously filed as exhibits to the Company’s Registration Statement:</w:t>
      </w:r>
    </w:p>
    <w:p>
      <w:pPr>
        <w:spacing w:after="0" w:line="170" w:lineRule="exact"/>
        <w:rPr>
          <w:sz w:val="20"/>
          <w:szCs w:val="20"/>
          <w:color w:val="auto"/>
        </w:rPr>
      </w:pPr>
    </w:p>
    <w:p>
      <w:pPr>
        <w:ind w:left="980" w:right="7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Underwriting Agreement, dated July 29, 2020, among the Company and Citigroup Global Markets Inc., as representative of the underwriters.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Warrant Agreement, dated July 29, 2020, between the Company and Continental Stock Transfer &amp; Trust Company, as warrant agent.</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Letter Agreement, dated July 29, 2020, among the Company, its officers and directors and the Sponsor.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ind w:left="324" w:hanging="324"/>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Investment Management Trust Agreement, dated July 29, 2020, between the Company and Continental Stock Transfer &amp; Trust Company, as trustee.</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Registration Rights Agreement, dated July 29, 2020, among the Company and certain other security holders named therein.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Private Placement Warrant Purchase Agreement, dated July 29, 2020, between the Company and the Sponsor.</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Indemnity Agreement, dated July 29, 2020, between the Company and Michael Klein.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Indemnity Agreement, dated July 29, 2020, between the Company and Jay Taragin.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Indemnity Agreement, dated July 29, 2020, between the Company and Glenn R. August.</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Indemnity Agreement, dated July 29, 2020, between the Company and William J. Bynum.</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Indemnity Agreement, dated July 29, 2020, between the Company and Bonnie Jonas.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Indemnity Agreement, dated July 29, 2020, between the Company and Mark Klein.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Indemnity Agreement, dated July 29, 2020, between the Company and Malcolm S. McDermid.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Indemnity Agreement, dated July 29, 2020, between the Company and Karen G. Mills.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Administrative Services Agreement, dated July 29, 2020, between the Company and an affiliate of the Sponsor.</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4"/>
          </w:cols>
          <w:pgMar w:left="976" w:top="908" w:right="41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129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following exhibits are filed with this Form 8-K:</w:t>
      </w: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440" w:right="380" w:hanging="633"/>
        <w:spacing w:after="0" w:line="276" w:lineRule="auto"/>
        <w:tabs>
          <w:tab w:leader="none" w:pos="1420" w:val="left"/>
        </w:tabs>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1.1</w:t>
        </w:r>
      </w:hyperlink>
      <w:r>
        <w:rPr>
          <w:rFonts w:ascii="Arial" w:cs="Arial" w:eastAsia="Arial" w:hAnsi="Arial"/>
          <w:sz w:val="18"/>
          <w:szCs w:val="18"/>
          <w:u w:val="single" w:color="auto"/>
          <w:color w:val="0000EE"/>
        </w:rPr>
        <w:tab/>
      </w:r>
      <w:hyperlink w:anchor="page6">
        <w:r>
          <w:rPr>
            <w:rFonts w:ascii="Arial" w:cs="Arial" w:eastAsia="Arial" w:hAnsi="Arial"/>
            <w:sz w:val="18"/>
            <w:szCs w:val="18"/>
            <w:u w:val="single" w:color="auto"/>
            <w:color w:val="0000EE"/>
          </w:rPr>
          <w:t>Underwriting Agreement, dated July 29, 2020, among the Company and Citigroup Global Markets Inc., as representative of the</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underwriters.</w:t>
        </w:r>
      </w:hyperlink>
    </w:p>
    <w:p>
      <w:pPr>
        <w:spacing w:after="0" w:line="171" w:lineRule="exact"/>
        <w:rPr>
          <w:rFonts w:ascii="Arial" w:cs="Arial" w:eastAsia="Arial" w:hAnsi="Arial"/>
          <w:sz w:val="18"/>
          <w:szCs w:val="18"/>
          <w:u w:val="single" w:color="auto"/>
          <w:color w:val="0000EE"/>
        </w:rPr>
      </w:pPr>
    </w:p>
    <w:p>
      <w:pPr>
        <w:ind w:left="800"/>
        <w:spacing w:after="0"/>
        <w:tabs>
          <w:tab w:leader="none" w:pos="1420" w:val="left"/>
        </w:tabs>
        <w:rPr>
          <w:rFonts w:ascii="Arial" w:cs="Arial" w:eastAsia="Arial" w:hAnsi="Arial"/>
          <w:sz w:val="16"/>
          <w:szCs w:val="16"/>
          <w:u w:val="single" w:color="auto"/>
          <w:color w:val="0000EE"/>
        </w:rPr>
      </w:pPr>
      <w:hyperlink w:anchor="page36">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36">
        <w:r>
          <w:rPr>
            <w:rFonts w:ascii="Arial" w:cs="Arial" w:eastAsia="Arial" w:hAnsi="Arial"/>
            <w:sz w:val="16"/>
            <w:szCs w:val="16"/>
            <w:u w:val="single" w:color="auto"/>
            <w:color w:val="0000EE"/>
          </w:rPr>
          <w:t>Warrant Agreement, dated July 29, 2020, between the Company and Continental Stock Transfer &amp; Trust Company, as warrant agent.</w:t>
        </w:r>
      </w:hyperlink>
    </w:p>
    <w:p>
      <w:pPr>
        <w:spacing w:after="0" w:line="225" w:lineRule="exact"/>
        <w:rPr>
          <w:sz w:val="20"/>
          <w:szCs w:val="20"/>
          <w:color w:val="auto"/>
        </w:rPr>
      </w:pPr>
    </w:p>
    <w:p>
      <w:pPr>
        <w:ind w:left="720"/>
        <w:spacing w:after="0"/>
        <w:tabs>
          <w:tab w:leader="none" w:pos="1420" w:val="left"/>
        </w:tabs>
        <w:rPr>
          <w:rFonts w:ascii="Arial" w:cs="Arial" w:eastAsia="Arial" w:hAnsi="Arial"/>
          <w:sz w:val="16"/>
          <w:szCs w:val="16"/>
          <w:u w:val="single" w:color="auto"/>
          <w:color w:val="0000EE"/>
        </w:rPr>
      </w:pPr>
      <w:hyperlink w:anchor="page66">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66">
        <w:r>
          <w:rPr>
            <w:rFonts w:ascii="Arial" w:cs="Arial" w:eastAsia="Arial" w:hAnsi="Arial"/>
            <w:sz w:val="16"/>
            <w:szCs w:val="16"/>
            <w:u w:val="single" w:color="auto"/>
            <w:color w:val="0000EE"/>
          </w:rPr>
          <w:t>Letter Agreement, dated July 29, 2020, among the Company, its officers and directors and the Sponsor.</w:t>
        </w:r>
      </w:hyperlink>
    </w:p>
    <w:p>
      <w:pPr>
        <w:spacing w:after="0" w:line="225" w:lineRule="exact"/>
        <w:rPr>
          <w:sz w:val="20"/>
          <w:szCs w:val="20"/>
          <w:color w:val="auto"/>
        </w:rPr>
      </w:pPr>
    </w:p>
    <w:p>
      <w:pPr>
        <w:ind w:left="1440" w:right="420" w:hanging="723"/>
        <w:spacing w:after="0" w:line="277" w:lineRule="auto"/>
        <w:tabs>
          <w:tab w:leader="none" w:pos="1420" w:val="left"/>
        </w:tabs>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w:anchor="page84">
        <w:r>
          <w:rPr>
            <w:rFonts w:ascii="Arial" w:cs="Arial" w:eastAsia="Arial" w:hAnsi="Arial"/>
            <w:sz w:val="18"/>
            <w:szCs w:val="18"/>
            <w:u w:val="single" w:color="auto"/>
            <w:color w:val="0000EE"/>
          </w:rPr>
          <w:t>Investment Management Trust Agreement, dated July 29, 2020, between the Company and Continental Stock Transfer &amp; Trust</w:t>
        </w:r>
      </w:hyperlink>
      <w:r>
        <w:rPr>
          <w:rFonts w:ascii="Arial" w:cs="Arial" w:eastAsia="Arial" w:hAnsi="Arial"/>
          <w:sz w:val="18"/>
          <w:szCs w:val="18"/>
          <w:u w:val="single" w:color="auto"/>
          <w:color w:val="0000EE"/>
        </w:rPr>
        <w:t xml:space="preserve"> </w:t>
      </w:r>
      <w:hyperlink w:anchor="page84">
        <w:r>
          <w:rPr>
            <w:rFonts w:ascii="Arial" w:cs="Arial" w:eastAsia="Arial" w:hAnsi="Arial"/>
            <w:sz w:val="18"/>
            <w:szCs w:val="18"/>
            <w:u w:val="single" w:color="auto"/>
            <w:color w:val="0000EE"/>
          </w:rPr>
          <w:t>Company, as trustee.</w:t>
        </w:r>
      </w:hyperlink>
    </w:p>
    <w:p>
      <w:pPr>
        <w:spacing w:after="0" w:line="170" w:lineRule="exact"/>
        <w:rPr>
          <w:rFonts w:ascii="Arial" w:cs="Arial" w:eastAsia="Arial" w:hAnsi="Arial"/>
          <w:sz w:val="18"/>
          <w:szCs w:val="18"/>
          <w:u w:val="single" w:color="auto"/>
          <w:color w:val="0000EE"/>
        </w:rPr>
      </w:pPr>
    </w:p>
    <w:p>
      <w:pPr>
        <w:ind w:left="720"/>
        <w:spacing w:after="0"/>
        <w:tabs>
          <w:tab w:leader="none" w:pos="1420" w:val="left"/>
        </w:tabs>
        <w:rPr>
          <w:rFonts w:ascii="Arial" w:cs="Arial" w:eastAsia="Arial" w:hAnsi="Arial"/>
          <w:sz w:val="16"/>
          <w:szCs w:val="16"/>
          <w:u w:val="single" w:color="auto"/>
          <w:color w:val="0000EE"/>
        </w:rPr>
      </w:pPr>
      <w:hyperlink w:anchor="page102">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w:anchor="page102">
        <w:r>
          <w:rPr>
            <w:rFonts w:ascii="Arial" w:cs="Arial" w:eastAsia="Arial" w:hAnsi="Arial"/>
            <w:sz w:val="16"/>
            <w:szCs w:val="16"/>
            <w:u w:val="single" w:color="auto"/>
            <w:color w:val="0000EE"/>
          </w:rPr>
          <w:t>Registration Rights Agreement, dated July 29, 2020, among the Company and certain other security holders named therein.</w:t>
        </w:r>
      </w:hyperlink>
    </w:p>
    <w:p>
      <w:pPr>
        <w:spacing w:after="0" w:line="225" w:lineRule="exact"/>
        <w:rPr>
          <w:sz w:val="20"/>
          <w:szCs w:val="20"/>
          <w:color w:val="auto"/>
        </w:rPr>
      </w:pPr>
    </w:p>
    <w:p>
      <w:pPr>
        <w:ind w:left="720"/>
        <w:spacing w:after="0"/>
        <w:tabs>
          <w:tab w:leader="none" w:pos="1420" w:val="left"/>
        </w:tabs>
        <w:rPr>
          <w:rFonts w:ascii="Arial" w:cs="Arial" w:eastAsia="Arial" w:hAnsi="Arial"/>
          <w:sz w:val="16"/>
          <w:szCs w:val="16"/>
          <w:u w:val="single" w:color="auto"/>
          <w:color w:val="0000EE"/>
        </w:rPr>
      </w:pPr>
      <w:hyperlink w:anchor="page121">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w:anchor="page121">
        <w:r>
          <w:rPr>
            <w:rFonts w:ascii="Arial" w:cs="Arial" w:eastAsia="Arial" w:hAnsi="Arial"/>
            <w:sz w:val="16"/>
            <w:szCs w:val="16"/>
            <w:u w:val="single" w:color="auto"/>
            <w:color w:val="0000EE"/>
          </w:rPr>
          <w:t>Private Placement Warrant Purchase Agreement, July 29, 2020, between the Company and the Sponsor.</w:t>
        </w:r>
      </w:hyperlink>
    </w:p>
    <w:p>
      <w:pPr>
        <w:spacing w:after="0" w:line="225" w:lineRule="exact"/>
        <w:rPr>
          <w:sz w:val="20"/>
          <w:szCs w:val="20"/>
          <w:color w:val="auto"/>
        </w:rPr>
      </w:pPr>
    </w:p>
    <w:p>
      <w:pPr>
        <w:ind w:left="720"/>
        <w:spacing w:after="0"/>
        <w:tabs>
          <w:tab w:leader="none" w:pos="1420" w:val="left"/>
        </w:tabs>
        <w:rPr>
          <w:rFonts w:ascii="Arial" w:cs="Arial" w:eastAsia="Arial" w:hAnsi="Arial"/>
          <w:sz w:val="16"/>
          <w:szCs w:val="16"/>
          <w:u w:val="single" w:color="auto"/>
          <w:color w:val="0000EE"/>
        </w:rPr>
      </w:pPr>
      <w:hyperlink w:anchor="page128">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w:anchor="page128">
        <w:r>
          <w:rPr>
            <w:rFonts w:ascii="Arial" w:cs="Arial" w:eastAsia="Arial" w:hAnsi="Arial"/>
            <w:sz w:val="16"/>
            <w:szCs w:val="16"/>
            <w:u w:val="single" w:color="auto"/>
            <w:color w:val="0000EE"/>
          </w:rPr>
          <w:t>Indemnity Agreement, dated July 29, 2020, between the Company and Michael Klein.</w:t>
        </w:r>
      </w:hyperlink>
    </w:p>
    <w:p>
      <w:pPr>
        <w:spacing w:after="0" w:line="225" w:lineRule="exact"/>
        <w:rPr>
          <w:sz w:val="20"/>
          <w:szCs w:val="20"/>
          <w:color w:val="auto"/>
        </w:rPr>
      </w:pPr>
    </w:p>
    <w:p>
      <w:pPr>
        <w:ind w:left="720"/>
        <w:spacing w:after="0"/>
        <w:tabs>
          <w:tab w:leader="none" w:pos="1420" w:val="left"/>
        </w:tabs>
        <w:rPr>
          <w:rFonts w:ascii="Arial" w:cs="Arial" w:eastAsia="Arial" w:hAnsi="Arial"/>
          <w:sz w:val="16"/>
          <w:szCs w:val="16"/>
          <w:u w:val="single" w:color="auto"/>
          <w:color w:val="0000EE"/>
        </w:rPr>
      </w:pPr>
      <w:hyperlink w:anchor="page148">
        <w:r>
          <w:rPr>
            <w:rFonts w:ascii="Arial" w:cs="Arial" w:eastAsia="Arial" w:hAnsi="Arial"/>
            <w:sz w:val="18"/>
            <w:szCs w:val="18"/>
            <w:u w:val="single" w:color="auto"/>
            <w:color w:val="0000EE"/>
          </w:rPr>
          <w:t>10.6</w:t>
        </w:r>
      </w:hyperlink>
      <w:r>
        <w:rPr>
          <w:rFonts w:ascii="Arial" w:cs="Arial" w:eastAsia="Arial" w:hAnsi="Arial"/>
          <w:sz w:val="18"/>
          <w:szCs w:val="18"/>
          <w:u w:val="single" w:color="auto"/>
          <w:color w:val="0000EE"/>
        </w:rPr>
        <w:tab/>
      </w:r>
      <w:hyperlink w:anchor="page148">
        <w:r>
          <w:rPr>
            <w:rFonts w:ascii="Arial" w:cs="Arial" w:eastAsia="Arial" w:hAnsi="Arial"/>
            <w:sz w:val="16"/>
            <w:szCs w:val="16"/>
            <w:u w:val="single" w:color="auto"/>
            <w:color w:val="0000EE"/>
          </w:rPr>
          <w:t>Indemnity Agreement, July 29, 2020, between the Company and Jay Taragin.</w:t>
        </w:r>
      </w:hyperlink>
    </w:p>
    <w:p>
      <w:pPr>
        <w:spacing w:after="0" w:line="225" w:lineRule="exact"/>
        <w:rPr>
          <w:sz w:val="20"/>
          <w:szCs w:val="20"/>
          <w:color w:val="auto"/>
        </w:rPr>
      </w:pPr>
    </w:p>
    <w:p>
      <w:pPr>
        <w:ind w:left="720"/>
        <w:spacing w:after="0"/>
        <w:tabs>
          <w:tab w:leader="none" w:pos="1420" w:val="left"/>
        </w:tabs>
        <w:rPr>
          <w:rFonts w:ascii="Arial" w:cs="Arial" w:eastAsia="Arial" w:hAnsi="Arial"/>
          <w:sz w:val="16"/>
          <w:szCs w:val="16"/>
          <w:u w:val="single" w:color="auto"/>
          <w:color w:val="0000EE"/>
        </w:rPr>
      </w:pPr>
      <w:hyperlink w:anchor="page168">
        <w:r>
          <w:rPr>
            <w:rFonts w:ascii="Arial" w:cs="Arial" w:eastAsia="Arial" w:hAnsi="Arial"/>
            <w:sz w:val="18"/>
            <w:szCs w:val="18"/>
            <w:u w:val="single" w:color="auto"/>
            <w:color w:val="0000EE"/>
          </w:rPr>
          <w:t>10.7</w:t>
        </w:r>
      </w:hyperlink>
      <w:r>
        <w:rPr>
          <w:rFonts w:ascii="Arial" w:cs="Arial" w:eastAsia="Arial" w:hAnsi="Arial"/>
          <w:sz w:val="18"/>
          <w:szCs w:val="18"/>
          <w:u w:val="single" w:color="auto"/>
          <w:color w:val="0000EE"/>
        </w:rPr>
        <w:tab/>
      </w:r>
      <w:hyperlink w:anchor="page168">
        <w:r>
          <w:rPr>
            <w:rFonts w:ascii="Arial" w:cs="Arial" w:eastAsia="Arial" w:hAnsi="Arial"/>
            <w:sz w:val="16"/>
            <w:szCs w:val="16"/>
            <w:u w:val="single" w:color="auto"/>
            <w:color w:val="0000EE"/>
          </w:rPr>
          <w:t>Indemnity Agreement, dated July 29, 2020, between the Company and Glenn R. August.</w:t>
        </w:r>
      </w:hyperlink>
    </w:p>
    <w:p>
      <w:pPr>
        <w:spacing w:after="0" w:line="225" w:lineRule="exact"/>
        <w:rPr>
          <w:sz w:val="20"/>
          <w:szCs w:val="20"/>
          <w:color w:val="auto"/>
        </w:rPr>
      </w:pPr>
    </w:p>
    <w:p>
      <w:pPr>
        <w:ind w:left="720"/>
        <w:spacing w:after="0"/>
        <w:tabs>
          <w:tab w:leader="none" w:pos="1420" w:val="left"/>
        </w:tabs>
        <w:rPr>
          <w:rFonts w:ascii="Arial" w:cs="Arial" w:eastAsia="Arial" w:hAnsi="Arial"/>
          <w:sz w:val="16"/>
          <w:szCs w:val="16"/>
          <w:u w:val="single" w:color="auto"/>
          <w:color w:val="0000EE"/>
        </w:rPr>
      </w:pPr>
      <w:hyperlink w:anchor="page188">
        <w:r>
          <w:rPr>
            <w:rFonts w:ascii="Arial" w:cs="Arial" w:eastAsia="Arial" w:hAnsi="Arial"/>
            <w:sz w:val="18"/>
            <w:szCs w:val="18"/>
            <w:u w:val="single" w:color="auto"/>
            <w:color w:val="0000EE"/>
          </w:rPr>
          <w:t>10.8</w:t>
        </w:r>
      </w:hyperlink>
      <w:r>
        <w:rPr>
          <w:rFonts w:ascii="Arial" w:cs="Arial" w:eastAsia="Arial" w:hAnsi="Arial"/>
          <w:sz w:val="18"/>
          <w:szCs w:val="18"/>
          <w:color w:val="0000EE"/>
        </w:rPr>
        <w:tab/>
      </w:r>
      <w:hyperlink w:anchor="page188">
        <w:r>
          <w:rPr>
            <w:rFonts w:ascii="Arial" w:cs="Arial" w:eastAsia="Arial" w:hAnsi="Arial"/>
            <w:sz w:val="16"/>
            <w:szCs w:val="16"/>
            <w:u w:val="single" w:color="auto"/>
            <w:color w:val="0000EE"/>
          </w:rPr>
          <w:t>Indemnity Agreement, dated July 29, between the Company and William J. Bynum</w:t>
        </w:r>
        <w:r>
          <w:rPr>
            <w:rFonts w:ascii="Arial" w:cs="Arial" w:eastAsia="Arial" w:hAnsi="Arial"/>
            <w:sz w:val="16"/>
            <w:szCs w:val="16"/>
            <w:color w:val="0000EE"/>
          </w:rPr>
          <w:t>.</w:t>
        </w:r>
      </w:hyperlink>
    </w:p>
    <w:p>
      <w:pPr>
        <w:spacing w:after="0" w:line="225" w:lineRule="exact"/>
        <w:rPr>
          <w:sz w:val="20"/>
          <w:szCs w:val="20"/>
          <w:color w:val="auto"/>
        </w:rPr>
      </w:pPr>
    </w:p>
    <w:p>
      <w:pPr>
        <w:ind w:left="720"/>
        <w:spacing w:after="0"/>
        <w:tabs>
          <w:tab w:leader="none" w:pos="1420" w:val="left"/>
        </w:tabs>
        <w:rPr>
          <w:rFonts w:ascii="Arial" w:cs="Arial" w:eastAsia="Arial" w:hAnsi="Arial"/>
          <w:sz w:val="16"/>
          <w:szCs w:val="16"/>
          <w:u w:val="single" w:color="auto"/>
          <w:color w:val="0000EE"/>
        </w:rPr>
      </w:pPr>
      <w:hyperlink w:anchor="page208">
        <w:r>
          <w:rPr>
            <w:rFonts w:ascii="Arial" w:cs="Arial" w:eastAsia="Arial" w:hAnsi="Arial"/>
            <w:sz w:val="18"/>
            <w:szCs w:val="18"/>
            <w:u w:val="single" w:color="auto"/>
            <w:color w:val="0000EE"/>
          </w:rPr>
          <w:t>10.9</w:t>
        </w:r>
      </w:hyperlink>
      <w:r>
        <w:rPr>
          <w:rFonts w:ascii="Arial" w:cs="Arial" w:eastAsia="Arial" w:hAnsi="Arial"/>
          <w:sz w:val="18"/>
          <w:szCs w:val="18"/>
          <w:u w:val="single" w:color="auto"/>
          <w:color w:val="0000EE"/>
        </w:rPr>
        <w:tab/>
      </w:r>
      <w:hyperlink w:anchor="page208">
        <w:r>
          <w:rPr>
            <w:rFonts w:ascii="Arial" w:cs="Arial" w:eastAsia="Arial" w:hAnsi="Arial"/>
            <w:sz w:val="16"/>
            <w:szCs w:val="16"/>
            <w:u w:val="single" w:color="auto"/>
            <w:color w:val="0000EE"/>
          </w:rPr>
          <w:t>Indemnity Agreement, dated July 29, 2020, between the Company and Bonnie Jonas.</w:t>
        </w:r>
      </w:hyperlink>
    </w:p>
    <w:p>
      <w:pPr>
        <w:spacing w:after="0" w:line="225" w:lineRule="exact"/>
        <w:rPr>
          <w:sz w:val="20"/>
          <w:szCs w:val="20"/>
          <w:color w:val="auto"/>
        </w:rPr>
      </w:pPr>
    </w:p>
    <w:p>
      <w:pPr>
        <w:ind w:left="620"/>
        <w:spacing w:after="0"/>
        <w:tabs>
          <w:tab w:leader="none" w:pos="1420" w:val="left"/>
        </w:tabs>
        <w:rPr>
          <w:rFonts w:ascii="Arial" w:cs="Arial" w:eastAsia="Arial" w:hAnsi="Arial"/>
          <w:sz w:val="16"/>
          <w:szCs w:val="16"/>
          <w:u w:val="single" w:color="auto"/>
          <w:color w:val="0000EE"/>
        </w:rPr>
      </w:pPr>
      <w:hyperlink w:anchor="page228">
        <w:r>
          <w:rPr>
            <w:rFonts w:ascii="Arial" w:cs="Arial" w:eastAsia="Arial" w:hAnsi="Arial"/>
            <w:sz w:val="18"/>
            <w:szCs w:val="18"/>
            <w:u w:val="single" w:color="auto"/>
            <w:color w:val="0000EE"/>
          </w:rPr>
          <w:t>10.10</w:t>
        </w:r>
      </w:hyperlink>
      <w:r>
        <w:rPr>
          <w:rFonts w:ascii="Arial" w:cs="Arial" w:eastAsia="Arial" w:hAnsi="Arial"/>
          <w:sz w:val="18"/>
          <w:szCs w:val="18"/>
          <w:u w:val="single" w:color="auto"/>
          <w:color w:val="0000EE"/>
        </w:rPr>
        <w:tab/>
      </w:r>
      <w:hyperlink w:anchor="page228">
        <w:r>
          <w:rPr>
            <w:rFonts w:ascii="Arial" w:cs="Arial" w:eastAsia="Arial" w:hAnsi="Arial"/>
            <w:sz w:val="16"/>
            <w:szCs w:val="16"/>
            <w:u w:val="single" w:color="auto"/>
            <w:color w:val="0000EE"/>
          </w:rPr>
          <w:t>Indemnity Agreement, dated July 29, 2020, between the Company and Mark Klein.</w:t>
        </w:r>
      </w:hyperlink>
    </w:p>
    <w:p>
      <w:pPr>
        <w:spacing w:after="0" w:line="225" w:lineRule="exact"/>
        <w:rPr>
          <w:sz w:val="20"/>
          <w:szCs w:val="20"/>
          <w:color w:val="auto"/>
        </w:rPr>
      </w:pPr>
    </w:p>
    <w:p>
      <w:pPr>
        <w:ind w:left="620"/>
        <w:spacing w:after="0"/>
        <w:tabs>
          <w:tab w:leader="none" w:pos="1420" w:val="left"/>
        </w:tabs>
        <w:rPr>
          <w:rFonts w:ascii="Arial" w:cs="Arial" w:eastAsia="Arial" w:hAnsi="Arial"/>
          <w:sz w:val="16"/>
          <w:szCs w:val="16"/>
          <w:u w:val="single" w:color="auto"/>
          <w:color w:val="0000EE"/>
        </w:rPr>
      </w:pPr>
      <w:hyperlink w:anchor="page248">
        <w:r>
          <w:rPr>
            <w:rFonts w:ascii="Arial" w:cs="Arial" w:eastAsia="Arial" w:hAnsi="Arial"/>
            <w:sz w:val="18"/>
            <w:szCs w:val="18"/>
            <w:u w:val="single" w:color="auto"/>
            <w:color w:val="0000EE"/>
          </w:rPr>
          <w:t>10.11</w:t>
        </w:r>
      </w:hyperlink>
      <w:r>
        <w:rPr>
          <w:rFonts w:ascii="Arial" w:cs="Arial" w:eastAsia="Arial" w:hAnsi="Arial"/>
          <w:sz w:val="18"/>
          <w:szCs w:val="18"/>
          <w:u w:val="single" w:color="auto"/>
          <w:color w:val="0000EE"/>
        </w:rPr>
        <w:tab/>
      </w:r>
      <w:hyperlink w:anchor="page248">
        <w:r>
          <w:rPr>
            <w:rFonts w:ascii="Arial" w:cs="Arial" w:eastAsia="Arial" w:hAnsi="Arial"/>
            <w:sz w:val="16"/>
            <w:szCs w:val="16"/>
            <w:u w:val="single" w:color="auto"/>
            <w:color w:val="0000EE"/>
          </w:rPr>
          <w:t>Indemnity Agreement, dated July 29, 2020, between the Company and Malcolm S. McDermid.</w:t>
        </w:r>
      </w:hyperlink>
    </w:p>
    <w:p>
      <w:pPr>
        <w:spacing w:after="0" w:line="225" w:lineRule="exact"/>
        <w:rPr>
          <w:sz w:val="20"/>
          <w:szCs w:val="20"/>
          <w:color w:val="auto"/>
        </w:rPr>
      </w:pPr>
    </w:p>
    <w:p>
      <w:pPr>
        <w:ind w:left="620"/>
        <w:spacing w:after="0"/>
        <w:tabs>
          <w:tab w:leader="none" w:pos="1420" w:val="left"/>
        </w:tabs>
        <w:rPr>
          <w:rFonts w:ascii="Arial" w:cs="Arial" w:eastAsia="Arial" w:hAnsi="Arial"/>
          <w:sz w:val="16"/>
          <w:szCs w:val="16"/>
          <w:u w:val="single" w:color="auto"/>
          <w:color w:val="0000EE"/>
        </w:rPr>
      </w:pPr>
      <w:hyperlink w:anchor="page268">
        <w:r>
          <w:rPr>
            <w:rFonts w:ascii="Arial" w:cs="Arial" w:eastAsia="Arial" w:hAnsi="Arial"/>
            <w:sz w:val="18"/>
            <w:szCs w:val="18"/>
            <w:u w:val="single" w:color="auto"/>
            <w:color w:val="0000EE"/>
          </w:rPr>
          <w:t>10.12</w:t>
        </w:r>
      </w:hyperlink>
      <w:r>
        <w:rPr>
          <w:rFonts w:ascii="Arial" w:cs="Arial" w:eastAsia="Arial" w:hAnsi="Arial"/>
          <w:sz w:val="18"/>
          <w:szCs w:val="18"/>
          <w:color w:val="0000EE"/>
        </w:rPr>
        <w:tab/>
      </w:r>
      <w:hyperlink w:anchor="page268">
        <w:r>
          <w:rPr>
            <w:rFonts w:ascii="Arial" w:cs="Arial" w:eastAsia="Arial" w:hAnsi="Arial"/>
            <w:sz w:val="16"/>
            <w:szCs w:val="16"/>
            <w:u w:val="single" w:color="auto"/>
            <w:color w:val="0000EE"/>
          </w:rPr>
          <w:t>Indemnity Agreement, dated July 29, 2020, between the Company and Karen G. Mills</w:t>
        </w:r>
        <w:r>
          <w:rPr>
            <w:rFonts w:ascii="Arial" w:cs="Arial" w:eastAsia="Arial" w:hAnsi="Arial"/>
            <w:sz w:val="16"/>
            <w:szCs w:val="16"/>
            <w:color w:val="0000EE"/>
          </w:rPr>
          <w:t>.</w:t>
        </w:r>
      </w:hyperlink>
    </w:p>
    <w:p>
      <w:pPr>
        <w:spacing w:after="0" w:line="225" w:lineRule="exact"/>
        <w:rPr>
          <w:sz w:val="20"/>
          <w:szCs w:val="20"/>
          <w:color w:val="auto"/>
        </w:rPr>
      </w:pPr>
    </w:p>
    <w:p>
      <w:pPr>
        <w:ind w:left="620"/>
        <w:spacing w:after="0"/>
        <w:tabs>
          <w:tab w:leader="none" w:pos="1420" w:val="left"/>
        </w:tabs>
        <w:rPr>
          <w:rFonts w:ascii="Arial" w:cs="Arial" w:eastAsia="Arial" w:hAnsi="Arial"/>
          <w:sz w:val="16"/>
          <w:szCs w:val="16"/>
          <w:u w:val="single" w:color="auto"/>
          <w:color w:val="0000EE"/>
        </w:rPr>
      </w:pPr>
      <w:hyperlink w:anchor="page288">
        <w:r>
          <w:rPr>
            <w:rFonts w:ascii="Arial" w:cs="Arial" w:eastAsia="Arial" w:hAnsi="Arial"/>
            <w:sz w:val="18"/>
            <w:szCs w:val="18"/>
            <w:u w:val="single" w:color="auto"/>
            <w:color w:val="0000EE"/>
          </w:rPr>
          <w:t>10.13</w:t>
        </w:r>
      </w:hyperlink>
      <w:r>
        <w:rPr>
          <w:rFonts w:ascii="Arial" w:cs="Arial" w:eastAsia="Arial" w:hAnsi="Arial"/>
          <w:sz w:val="18"/>
          <w:szCs w:val="18"/>
          <w:u w:val="single" w:color="auto"/>
          <w:color w:val="0000EE"/>
        </w:rPr>
        <w:tab/>
      </w:r>
      <w:hyperlink w:anchor="page288">
        <w:r>
          <w:rPr>
            <w:rFonts w:ascii="Arial" w:cs="Arial" w:eastAsia="Arial" w:hAnsi="Arial"/>
            <w:sz w:val="16"/>
            <w:szCs w:val="16"/>
            <w:u w:val="single" w:color="auto"/>
            <w:color w:val="0000EE"/>
          </w:rPr>
          <w:t>Administrative Services Agreement, dated July 29, 2020, between the Company and an affiliate of the Sponsor.</w:t>
        </w:r>
      </w:hyperlink>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Churchill Capital Corp IV</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August 4, 2020</w:t>
            </w: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By: /s/ Jay Taragin</w:t>
            </w:r>
          </w:p>
        </w:tc>
      </w:tr>
      <w:tr>
        <w:trPr>
          <w:trHeight w:val="195"/>
        </w:trPr>
        <w:tc>
          <w:tcPr>
            <w:tcW w:w="3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Jay Taragin</w:t>
            </w:r>
          </w:p>
        </w:tc>
      </w:tr>
      <w:tr>
        <w:trPr>
          <w:trHeight w:val="230"/>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648"/>
        </w:trPr>
        <w:tc>
          <w:tcPr>
            <w:tcW w:w="3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Churchill Capital Corp IV</w:t>
      </w:r>
    </w:p>
    <w:p>
      <w:pPr>
        <w:ind w:left="4900"/>
        <w:spacing w:after="0" w:line="202" w:lineRule="auto"/>
        <w:rPr>
          <w:sz w:val="20"/>
          <w:szCs w:val="20"/>
          <w:color w:val="auto"/>
        </w:rPr>
      </w:pPr>
      <w:r>
        <w:rPr>
          <w:rFonts w:ascii="Arial" w:cs="Arial" w:eastAsia="Arial" w:hAnsi="Arial"/>
          <w:sz w:val="18"/>
          <w:szCs w:val="18"/>
          <w:color w:val="auto"/>
        </w:rPr>
        <w:t>180,000,000 Units</w:t>
      </w:r>
      <w:r>
        <w:rPr>
          <w:rFonts w:ascii="Arial" w:cs="Arial" w:eastAsia="Arial" w:hAnsi="Arial"/>
          <w:sz w:val="29"/>
          <w:szCs w:val="29"/>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0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29,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I 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Churchill Capital Corp IV,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to issue and sell to the several underwriters named in Schedule I 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 for whom Citigroup Global Markets Inc. is acting as Representative (the “</w:t>
      </w:r>
      <w:r>
        <w:rPr>
          <w:rFonts w:ascii="Arial" w:cs="Arial" w:eastAsia="Arial" w:hAnsi="Arial"/>
          <w:sz w:val="18"/>
          <w:szCs w:val="18"/>
          <w:u w:val="single" w:color="auto"/>
          <w:color w:val="auto"/>
        </w:rPr>
        <w:t>Representative</w:t>
      </w:r>
      <w:r>
        <w:rPr>
          <w:rFonts w:ascii="Arial" w:cs="Arial" w:eastAsia="Arial" w:hAnsi="Arial"/>
          <w:sz w:val="18"/>
          <w:szCs w:val="18"/>
          <w:color w:val="auto"/>
        </w:rPr>
        <w:t>”), an aggregate of 180,000,000 units (the “</w:t>
      </w:r>
      <w:r>
        <w:rPr>
          <w:rFonts w:ascii="Arial" w:cs="Arial" w:eastAsia="Arial" w:hAnsi="Arial"/>
          <w:sz w:val="18"/>
          <w:szCs w:val="18"/>
          <w:u w:val="single" w:color="auto"/>
          <w:color w:val="auto"/>
        </w:rPr>
        <w:t>Units</w:t>
      </w:r>
      <w:r>
        <w:rPr>
          <w:rFonts w:ascii="Arial" w:cs="Arial" w:eastAsia="Arial" w:hAnsi="Arial"/>
          <w:sz w:val="18"/>
          <w:szCs w:val="18"/>
          <w:color w:val="auto"/>
        </w:rPr>
        <w:t>”) of the Company (said Units to be issued and sold by the Company being hereinafter called the “</w:t>
      </w:r>
      <w:r>
        <w:rPr>
          <w:rFonts w:ascii="Arial" w:cs="Arial" w:eastAsia="Arial" w:hAnsi="Arial"/>
          <w:sz w:val="18"/>
          <w:szCs w:val="18"/>
          <w:u w:val="single" w:color="auto"/>
          <w:color w:val="auto"/>
        </w:rPr>
        <w:t>Underwritten Securities</w:t>
      </w:r>
      <w:r>
        <w:rPr>
          <w:rFonts w:ascii="Arial" w:cs="Arial" w:eastAsia="Arial" w:hAnsi="Arial"/>
          <w:sz w:val="18"/>
          <w:szCs w:val="18"/>
          <w:color w:val="auto"/>
        </w:rPr>
        <w:t>”) (the “</w:t>
      </w:r>
      <w:r>
        <w:rPr>
          <w:rFonts w:ascii="Arial" w:cs="Arial" w:eastAsia="Arial" w:hAnsi="Arial"/>
          <w:sz w:val="18"/>
          <w:szCs w:val="18"/>
          <w:u w:val="single" w:color="auto"/>
          <w:color w:val="auto"/>
        </w:rPr>
        <w:t>Offering</w:t>
      </w:r>
      <w:r>
        <w:rPr>
          <w:rFonts w:ascii="Arial" w:cs="Arial" w:eastAsia="Arial" w:hAnsi="Arial"/>
          <w:sz w:val="18"/>
          <w:szCs w:val="18"/>
          <w:color w:val="auto"/>
        </w:rPr>
        <w:t>”). The Company also proposes to grant to the Underwriters an option to purchase up to 27,000,000 additional Units to cover over-allotments (the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Securities</w:t>
      </w:r>
      <w:r>
        <w:rPr>
          <w:rFonts w:ascii="Arial" w:cs="Arial" w:eastAsia="Arial" w:hAnsi="Arial"/>
          <w:sz w:val="18"/>
          <w:szCs w:val="18"/>
          <w:color w:val="auto"/>
        </w:rPr>
        <w:t>”; the Option Securities, together with the Underwritten Securities, being hereinafter called the “</w:t>
      </w:r>
      <w:r>
        <w:rPr>
          <w:rFonts w:ascii="Arial" w:cs="Arial" w:eastAsia="Arial" w:hAnsi="Arial"/>
          <w:sz w:val="18"/>
          <w:szCs w:val="18"/>
          <w:u w:val="single" w:color="auto"/>
          <w:color w:val="auto"/>
        </w:rPr>
        <w:t>Securities</w:t>
      </w:r>
      <w:r>
        <w:rPr>
          <w:rFonts w:ascii="Arial" w:cs="Arial" w:eastAsia="Arial" w:hAnsi="Arial"/>
          <w:sz w:val="18"/>
          <w:szCs w:val="18"/>
          <w:color w:val="auto"/>
        </w:rPr>
        <w:t>”). To the extent there are no additional Underwriters listed on Schedule I other than you, the term Representative as used herein shall mean you, as Underwriter, and the term Underwriter shall mean either the singular or plural as the context requires. Certain capitalized terms used in this Agreement and not otherwise defined are defined in Section 22 hereof.</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Each Unit consists of one share of Class A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the Company and one-fifth of one warrant, where each whole warrant entitles the holder to purchase one share of Common Stock (the “</w:t>
      </w:r>
      <w:r>
        <w:rPr>
          <w:rFonts w:ascii="Arial" w:cs="Arial" w:eastAsia="Arial" w:hAnsi="Arial"/>
          <w:sz w:val="16"/>
          <w:szCs w:val="16"/>
          <w:u w:val="single" w:color="auto"/>
          <w:color w:val="auto"/>
        </w:rPr>
        <w:t>Warrant(s)</w:t>
      </w:r>
      <w:r>
        <w:rPr>
          <w:rFonts w:ascii="Arial" w:cs="Arial" w:eastAsia="Arial" w:hAnsi="Arial"/>
          <w:sz w:val="16"/>
          <w:szCs w:val="16"/>
          <w:color w:val="auto"/>
        </w:rPr>
        <w:t>”). The Common Stock and the Warrants included in the Units will not trade separately until the 52nd day following the date of the Prospectus (as defined herein) unless the Representative informs the Company of its decision to allow earlier separate trading, subject to (a) the preparation of an audited balance sheet of the Company reflecting receipt by the Company of the proceeds of the Offering, (b) the filing by the Company of such audited balance sheet with the Commission on a Current Report on Form 8-K (the “</w:t>
      </w:r>
      <w:r>
        <w:rPr>
          <w:rFonts w:ascii="Arial" w:cs="Arial" w:eastAsia="Arial" w:hAnsi="Arial"/>
          <w:sz w:val="16"/>
          <w:szCs w:val="16"/>
          <w:u w:val="single" w:color="auto"/>
          <w:color w:val="auto"/>
        </w:rPr>
        <w:t>Closing Form 8-K</w:t>
      </w:r>
      <w:r>
        <w:rPr>
          <w:rFonts w:ascii="Arial" w:cs="Arial" w:eastAsia="Arial" w:hAnsi="Arial"/>
          <w:sz w:val="16"/>
          <w:szCs w:val="16"/>
          <w:color w:val="auto"/>
        </w:rPr>
        <w:t>”) and (c) the issuance by the Company of a press release announcing when such separate trading will begin. Each whole Warrant entitles its holder, upon exercise, to purchase one share of Common Stock for $11.50, subject to certain adjustments, during the period commencing on the later of thirty (30) days after the completion by the Company of its Initial Business Combination (as defined below) and twelve (12) months from the date of the consummation of the Offering and terminating on the five-year anniversary of the completion by the Company of its Initial Business Combination or earlier upon redemption or liquidation of the Trust Account (as defined herein). As used herein, the term “</w:t>
      </w:r>
      <w:r>
        <w:rPr>
          <w:rFonts w:ascii="Arial" w:cs="Arial" w:eastAsia="Arial" w:hAnsi="Arial"/>
          <w:sz w:val="16"/>
          <w:szCs w:val="16"/>
          <w:u w:val="single" w:color="auto"/>
          <w:color w:val="auto"/>
        </w:rPr>
        <w:t>Initial 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w:t>
      </w:r>
      <w:r>
        <w:rPr>
          <w:rFonts w:ascii="Arial" w:cs="Arial" w:eastAsia="Arial" w:hAnsi="Arial"/>
          <w:sz w:val="16"/>
          <w:szCs w:val="16"/>
          <w:color w:val="auto"/>
        </w:rPr>
        <w:t>” (as described more fully in the Registration Statement (as defined herein)) shall mean any merger, capital stock exchange, asset acquisition, stock purchase, reorganization or other similar business combination with one or more businesses or entities (collectively, a “</w:t>
      </w:r>
      <w:r>
        <w:rPr>
          <w:rFonts w:ascii="Arial" w:cs="Arial" w:eastAsia="Arial" w:hAnsi="Arial"/>
          <w:sz w:val="16"/>
          <w:szCs w:val="16"/>
          <w:u w:val="single" w:color="auto"/>
          <w:color w:val="auto"/>
        </w:rPr>
        <w:t>Target Business</w:t>
      </w:r>
      <w:r>
        <w:rPr>
          <w:rFonts w:ascii="Arial" w:cs="Arial" w:eastAsia="Arial" w:hAnsi="Arial"/>
          <w:sz w:val="16"/>
          <w:szCs w:val="16"/>
          <w:color w:val="auto"/>
        </w:rPr>
        <w:t>”).</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the Securities Subscription Agreement, dated May 22, 2020 (the “</w:t>
      </w:r>
      <w:r>
        <w:rPr>
          <w:rFonts w:ascii="Arial" w:cs="Arial" w:eastAsia="Arial" w:hAnsi="Arial"/>
          <w:sz w:val="17"/>
          <w:szCs w:val="17"/>
          <w:u w:val="single" w:color="auto"/>
          <w:color w:val="auto"/>
        </w:rPr>
        <w:t>Securities Subscription Agreement</w:t>
      </w:r>
      <w:r>
        <w:rPr>
          <w:rFonts w:ascii="Arial" w:cs="Arial" w:eastAsia="Arial" w:hAnsi="Arial"/>
          <w:sz w:val="17"/>
          <w:szCs w:val="17"/>
          <w:color w:val="auto"/>
        </w:rPr>
        <w:t>”), the Company issued to Churchill Sponsor IV LLC (f/k/a Annetta Sponsor LLC) (the “</w:t>
      </w:r>
      <w:r>
        <w:rPr>
          <w:rFonts w:ascii="Arial" w:cs="Arial" w:eastAsia="Arial" w:hAnsi="Arial"/>
          <w:sz w:val="17"/>
          <w:szCs w:val="17"/>
          <w:u w:val="single" w:color="auto"/>
          <w:color w:val="auto"/>
        </w:rPr>
        <w:t>Sponsor</w:t>
      </w:r>
      <w:r>
        <w:rPr>
          <w:rFonts w:ascii="Arial" w:cs="Arial" w:eastAsia="Arial" w:hAnsi="Arial"/>
          <w:sz w:val="17"/>
          <w:szCs w:val="17"/>
          <w:color w:val="auto"/>
        </w:rPr>
        <w:t>”) an aggregate of 21,562,500 shares of Class B common stock, par value $0.0001 per share (such shares, as well as the shares of Common Stock issuable upon conversion thereof, where applicable, the “</w:t>
      </w:r>
      <w:r>
        <w:rPr>
          <w:rFonts w:ascii="Arial" w:cs="Arial" w:eastAsia="Arial" w:hAnsi="Arial"/>
          <w:sz w:val="17"/>
          <w:szCs w:val="17"/>
          <w:u w:val="single" w:color="auto"/>
          <w:color w:val="auto"/>
        </w:rPr>
        <w:t>Founder Shares</w:t>
      </w:r>
      <w:r>
        <w:rPr>
          <w:rFonts w:ascii="Arial" w:cs="Arial" w:eastAsia="Arial" w:hAnsi="Arial"/>
          <w:sz w:val="17"/>
          <w:szCs w:val="17"/>
          <w:color w:val="auto"/>
        </w:rPr>
        <w:t>”) in a private placement for an aggregate purchase price of $25,000 in cash. On July 14, 2020, the Company effected a stock dividend of one-third of a Founder Share for each outstanding Founder Share, resulting in the Sponsor holding an aggregate of 28,750,000 Founder Shares. On July 27, 2020, the Company effected a stock dividend of 0.50 of a Founder Share for each outstanding Founder Share, resulting in the Sponsor holding an aggregate of 43,125,000 Founder Shares. On July 29, 2020, the Company effected a stock dividend of 0.20 of a Founder Share for each outstanding Founder Share, resulting in the Sponsor holding 51,750,000 Founder Shares. Up to 6,750,000 of the Founder Shares are subject to forfeiture to the extent the Underwriters do not exercise their over-allotment option.</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entered into a Private Placement Warrants Purchase Agreement, dated as of the date hereof (the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with the Sponsor, a form of which is filed as an exhibit to the Registration Statement, pursuant to which the Sponsor has agreed to purchase from the Company an aggregate of 37,450,000 warrants (or up to 42,850,000 warrants depending on the extent to which the Underwriters exercise their right to purchase Option Securities), each entitling the holder to purchase one share of Common Stock (the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at a price of $1.00 per warrant ($37,450,000 in the aggregate, or $42,850,000 in the aggregate if the Underwriters exercise their right to purchase Option Securities in full) in a private placement that will occur simultaneously with the consummation of the Offering. The Private Placement Warrants are substantially similar to the Warrants included in the Units, except as described in the Statutory Prospectus, Registration Statement and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3" w:lineRule="exact"/>
        <w:rPr>
          <w:sz w:val="20"/>
          <w:szCs w:val="20"/>
          <w:color w:val="auto"/>
        </w:rPr>
      </w:pPr>
    </w:p>
    <w:p>
      <w:pPr>
        <w:ind w:left="120" w:hanging="112"/>
        <w:spacing w:after="0"/>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Plus an option to purchase from the Company up to 27,000,000 additional Units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both"/>
        <w:ind w:firstLine="648"/>
        <w:spacing w:after="0" w:line="255" w:lineRule="auto"/>
        <w:rPr>
          <w:sz w:val="20"/>
          <w:szCs w:val="20"/>
          <w:color w:val="auto"/>
        </w:rPr>
      </w:pPr>
      <w:r>
        <w:rPr>
          <w:rFonts w:ascii="Arial" w:cs="Arial" w:eastAsia="Arial" w:hAnsi="Arial"/>
          <w:sz w:val="18"/>
          <w:szCs w:val="18"/>
          <w:color w:val="auto"/>
        </w:rPr>
        <w:t>The Company has entered into a Warrant Agreement, dated as of the date hereof, with respect to the Warrants, the Private Placement Warrants and certain warrants that may be issued to the Company’s executive officers or directors, the Sponsor or their permitted transferees or affiliates upon conversion of working capital loans made to the Company (the “</w:t>
      </w:r>
      <w:r>
        <w:rPr>
          <w:rFonts w:ascii="Arial" w:cs="Arial" w:eastAsia="Arial" w:hAnsi="Arial"/>
          <w:sz w:val="18"/>
          <w:szCs w:val="18"/>
          <w:u w:val="single" w:color="auto"/>
          <w:color w:val="auto"/>
        </w:rPr>
        <w:t>Working Capital Warrants</w:t>
      </w:r>
      <w:r>
        <w:rPr>
          <w:rFonts w:ascii="Arial" w:cs="Arial" w:eastAsia="Arial" w:hAnsi="Arial"/>
          <w:sz w:val="18"/>
          <w:szCs w:val="18"/>
          <w:color w:val="auto"/>
        </w:rPr>
        <w:t>”) with Continental Stock Transfer &amp; Trust Company, as warrant agent, in substantially the form filed as an exhibit to the Registration Statement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pursuant to which Continental Stock Transfer &amp; Trust Company will act as warrant agent in connection with the issuance, registration, transfer, exchange, redemption and exercise of the Warrants, Private Placement Warrants and Working Capital Warrants.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entered into an Investment Management Trust Agreement, dated as of the date hereof, with Continental Stock Transfer &amp; Trust Company,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in substantially the form filed as an exhibit to the Registration Statement (the “</w:t>
      </w:r>
      <w:r>
        <w:rPr>
          <w:rFonts w:ascii="Arial" w:cs="Arial" w:eastAsia="Arial" w:hAnsi="Arial"/>
          <w:sz w:val="18"/>
          <w:szCs w:val="18"/>
          <w:u w:val="single" w:color="auto"/>
          <w:color w:val="auto"/>
        </w:rPr>
        <w:t>Trust Agreement</w:t>
      </w:r>
      <w:r>
        <w:rPr>
          <w:rFonts w:ascii="Arial" w:cs="Arial" w:eastAsia="Arial" w:hAnsi="Arial"/>
          <w:sz w:val="18"/>
          <w:szCs w:val="18"/>
          <w:color w:val="auto"/>
        </w:rPr>
        <w:t>”), pursuant to which the proceeds from the sale of the Private Placement Warrants and certain proceeds of the Offering will be deposited and held in a trust account (the “</w:t>
      </w:r>
      <w:r>
        <w:rPr>
          <w:rFonts w:ascii="Arial" w:cs="Arial" w:eastAsia="Arial" w:hAnsi="Arial"/>
          <w:sz w:val="18"/>
          <w:szCs w:val="18"/>
          <w:u w:val="single" w:color="auto"/>
          <w:color w:val="auto"/>
        </w:rPr>
        <w:t>Trust</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w:t>
      </w:r>
      <w:r>
        <w:rPr>
          <w:rFonts w:ascii="Arial" w:cs="Arial" w:eastAsia="Arial" w:hAnsi="Arial"/>
          <w:sz w:val="18"/>
          <w:szCs w:val="18"/>
          <w:color w:val="auto"/>
        </w:rPr>
        <w:t>”) for the benefit of the Company, the Underwriters and holders of the Securities.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issued a non-interest bearing, unsecured promissory note for an aggregate amount of $600,000 to the Sponsor in substantially the form filed as an exhibit to the Registration Statement (the “</w:t>
      </w:r>
      <w:r>
        <w:rPr>
          <w:rFonts w:ascii="Arial" w:cs="Arial" w:eastAsia="Arial" w:hAnsi="Arial"/>
          <w:sz w:val="18"/>
          <w:szCs w:val="18"/>
          <w:u w:val="single" w:color="auto"/>
          <w:color w:val="auto"/>
        </w:rPr>
        <w:t>Promissory Note</w:t>
      </w:r>
      <w:r>
        <w:rPr>
          <w:rFonts w:ascii="Arial" w:cs="Arial" w:eastAsia="Arial" w:hAnsi="Arial"/>
          <w:sz w:val="18"/>
          <w:szCs w:val="18"/>
          <w:color w:val="auto"/>
        </w:rPr>
        <w:t>”), in exchange for the payment of the equivalent amount by the Sponsor to the Company. These monies have been used to cover expenses relating to the Offering. The Promissory Note will be payable on the earlier to occur of December 31, 2020, the date of the consummation of the Offering or the abandonment of the Offering.</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a Registration Rights Agreement, dated as of the date hereof, in substantially the form filed as an exhibit to the Registration Statement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pursuant to which the Company has granted certain registration rights in respect of the Founder Shares, the Private Placement Warrants and the Working Capital Warrants (and any shares of Common Stock issuable upon exercise of the Private Placement Warrants or the Working Capital Warrants and upon the conversion of the Founder Shares).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caused the Sponsor and each of the Company’s directors, director nominees, and executive officers to enter into a letter agreement, in substantially the form filed as an exhibit to the Registration Statement (the “</w:t>
      </w:r>
      <w:r>
        <w:rPr>
          <w:rFonts w:ascii="Arial" w:cs="Arial" w:eastAsia="Arial" w:hAnsi="Arial"/>
          <w:sz w:val="18"/>
          <w:szCs w:val="18"/>
          <w:u w:val="single" w:color="auto"/>
          <w:color w:val="auto"/>
        </w:rPr>
        <w:t>Insider Letter</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entered into an Administrative Services Agreement, dated as of the date hereof, with an affiliate of the Sponsor, in substantially the form filed as an exhibit to the Registration Statement (the “</w:t>
      </w:r>
      <w:r>
        <w:rPr>
          <w:rFonts w:ascii="Arial" w:cs="Arial" w:eastAsia="Arial" w:hAnsi="Arial"/>
          <w:sz w:val="16"/>
          <w:szCs w:val="16"/>
          <w:u w:val="single" w:color="auto"/>
          <w:color w:val="auto"/>
        </w:rPr>
        <w:t>Administrative Services Agreement</w:t>
      </w:r>
      <w:r>
        <w:rPr>
          <w:rFonts w:ascii="Arial" w:cs="Arial" w:eastAsia="Arial" w:hAnsi="Arial"/>
          <w:sz w:val="16"/>
          <w:szCs w:val="16"/>
          <w:color w:val="auto"/>
        </w:rPr>
        <w:t>”), pursuant to which the Company will pay to such affiliate of the Sponsor an aggregate monthly fee of $50,000 for certain office space, utilities and secretarial and administrative support from the date that the Units are first listed on the NYSE until the earlier of the consummation of an initial Business Combination and the Company’s liquidation.</w:t>
      </w:r>
    </w:p>
    <w:p>
      <w:pPr>
        <w:spacing w:after="0" w:line="157" w:lineRule="exact"/>
        <w:rPr>
          <w:sz w:val="20"/>
          <w:szCs w:val="20"/>
          <w:color w:val="auto"/>
        </w:rPr>
      </w:pPr>
    </w:p>
    <w:p>
      <w:pPr>
        <w:ind w:left="1340" w:hanging="684"/>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Underwriter as set forth below in this Section 1(a).</w:t>
      </w:r>
    </w:p>
    <w:p>
      <w:pPr>
        <w:spacing w:after="0" w:line="225" w:lineRule="exact"/>
        <w:rPr>
          <w:rFonts w:ascii="Arial" w:cs="Arial" w:eastAsia="Arial" w:hAnsi="Arial"/>
          <w:sz w:val="18"/>
          <w:szCs w:val="18"/>
          <w:color w:val="auto"/>
        </w:rPr>
      </w:pPr>
    </w:p>
    <w:p>
      <w:pPr>
        <w:jc w:val="both"/>
        <w:ind w:left="660" w:firstLine="1292"/>
        <w:spacing w:after="0" w:line="269" w:lineRule="auto"/>
        <w:tabs>
          <w:tab w:leader="none" w:pos="2251" w:val="left"/>
        </w:tabs>
        <w:numPr>
          <w:ilvl w:val="2"/>
          <w:numId w:val="7"/>
        </w:numPr>
        <w:rPr>
          <w:rFonts w:ascii="Arial" w:cs="Arial" w:eastAsia="Arial" w:hAnsi="Arial"/>
          <w:sz w:val="17"/>
          <w:szCs w:val="17"/>
          <w:color w:val="auto"/>
        </w:rPr>
      </w:pPr>
      <w:r>
        <w:rPr>
          <w:rFonts w:ascii="Arial" w:cs="Arial" w:eastAsia="Arial" w:hAnsi="Arial"/>
          <w:sz w:val="17"/>
          <w:szCs w:val="17"/>
          <w:u w:val="single" w:color="auto"/>
          <w:color w:val="auto"/>
        </w:rPr>
        <w:t>Effectiveness of Registration Statement</w:t>
      </w:r>
      <w:r>
        <w:rPr>
          <w:rFonts w:ascii="Arial" w:cs="Arial" w:eastAsia="Arial" w:hAnsi="Arial"/>
          <w:sz w:val="17"/>
          <w:szCs w:val="17"/>
          <w:color w:val="auto"/>
        </w:rPr>
        <w:t>. The Company has prepared and filed with the Commission the Registration Statement (file number 333-239856) on Form S-1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including the related Preliminary Prospectus, for registration under the Act of the offering and sale of the Securities. Such Registration Statement, including any amendments thereto filed prior to the Execution Time, has become effective. The Company may have filed one or more amendments thereto, including the related Preliminary Prospectus, each of which has previously been furnished to the Representative. The Company will file with the Commission the Prospectus in accordance with Rule 424(b). As filed, such Prospectus shall contain all information required by the Act and, except to the extent the Representative shall agree in writing to a modification, shall be in all substantive respects in the form furnished to the Representative prior to the Execution Time or, to the extent not completed at the Execution Time, shall contain only such specific additional information and other changes (beyond that contained in the Statutory Prospectus) as the Company has advised the Representative, prior to the Execution Time, will be included or made therein. The Company has complied to the Commission’s satisfaction with all requests of the Commission for additional or supplemental information.</w:t>
      </w:r>
    </w:p>
    <w:p>
      <w:pPr>
        <w:spacing w:after="0" w:line="181" w:lineRule="exact"/>
        <w:rPr>
          <w:rFonts w:ascii="Arial" w:cs="Arial" w:eastAsia="Arial" w:hAnsi="Arial"/>
          <w:sz w:val="17"/>
          <w:szCs w:val="17"/>
          <w:color w:val="auto"/>
        </w:rPr>
      </w:pPr>
    </w:p>
    <w:p>
      <w:pPr>
        <w:jc w:val="both"/>
        <w:ind w:left="660" w:firstLine="1292"/>
        <w:spacing w:after="0" w:line="287" w:lineRule="auto"/>
        <w:tabs>
          <w:tab w:leader="none" w:pos="2224" w:val="left"/>
        </w:tabs>
        <w:numPr>
          <w:ilvl w:val="2"/>
          <w:numId w:val="7"/>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On the Effective Date, the Registration Statement did, and when the Prospectus is first filed in accordance with Rule 424(b) and on the Closing Date (as defined herein) and on any date on which Option Securities are purchased, if such date is not the Closing Date (a “</w:t>
      </w:r>
      <w:r>
        <w:rPr>
          <w:rFonts w:ascii="Arial" w:cs="Arial" w:eastAsia="Arial" w:hAnsi="Arial"/>
          <w:sz w:val="16"/>
          <w:szCs w:val="16"/>
          <w:u w:val="single" w:color="auto"/>
          <w:color w:val="auto"/>
        </w:rPr>
        <w:t>settlement date</w:t>
      </w:r>
      <w:r>
        <w:rPr>
          <w:rFonts w:ascii="Arial" w:cs="Arial" w:eastAsia="Arial" w:hAnsi="Arial"/>
          <w:sz w:val="16"/>
          <w:szCs w:val="16"/>
          <w:color w:val="auto"/>
        </w:rPr>
        <w:t xml:space="preserve">”), the Prospectus (and any supplements thereto) will, comply in all material respects with the applicable requirements of the Act; on the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 specifically for inclusion in the Registration Statement or the Prospectus (or any supplement thereto), it being understood and agreed that the only such information furnished by any Underwriter consists of the information described as such in Section 8 hereof.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left="-460" w:firstLine="1292"/>
        <w:spacing w:after="0" w:line="271" w:lineRule="auto"/>
        <w:tabs>
          <w:tab w:leader="none" w:pos="1091"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Execution Time</w:t>
      </w:r>
      <w:r>
        <w:rPr>
          <w:rFonts w:ascii="Arial" w:cs="Arial" w:eastAsia="Arial" w:hAnsi="Arial"/>
          <w:sz w:val="17"/>
          <w:szCs w:val="17"/>
          <w:color w:val="auto"/>
        </w:rPr>
        <w:t xml:space="preserve">. At the Execution Time, the Statutory Prospectus, each road show when taken together as a whole with the Statutory Prospectus, and any individual Written Testing-the-Waters Communication (as defined below), when taken together as a whole with the Statutory Prospectus, does not contain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makes no representations or warranties as to the information contained in or omitted from the Statutory Prospectus in reliance upon and in conformity with information furnished in writing to the Company by or on behalf of any Underwriter through the Representative specifically for inclusion in the Statutory Prospectus, it being understood and agreed that the only such information furnished by or on behalf of any Underwriter consists of the information described as such in Section 8(b) hereof.</w:t>
      </w:r>
    </w:p>
    <w:p>
      <w:pPr>
        <w:spacing w:after="0" w:line="178" w:lineRule="exact"/>
        <w:rPr>
          <w:rFonts w:ascii="Arial" w:cs="Arial" w:eastAsia="Arial" w:hAnsi="Arial"/>
          <w:sz w:val="17"/>
          <w:szCs w:val="17"/>
          <w:color w:val="auto"/>
        </w:rPr>
      </w:pPr>
    </w:p>
    <w:p>
      <w:pPr>
        <w:jc w:val="both"/>
        <w:ind w:left="-460" w:firstLine="1292"/>
        <w:spacing w:after="0" w:line="255" w:lineRule="auto"/>
        <w:tabs>
          <w:tab w:leader="none" w:pos="111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Compliance with Exchange Act</w:t>
      </w:r>
      <w:r>
        <w:rPr>
          <w:rFonts w:ascii="Arial" w:cs="Arial" w:eastAsia="Arial" w:hAnsi="Arial"/>
          <w:sz w:val="18"/>
          <w:szCs w:val="18"/>
          <w:color w:val="auto"/>
        </w:rPr>
        <w:t>. The Company has filed with the Commission a Form 8-A (file number 001-39408) providing for the registration under the Exchange Act of the Securities, the Common Stock included as part of the Securities and the Warrants included as part of the Securities. The registration of such securities under the Exchange Act has been declared effective by the Commission on or prior to the date of this Agreement. The Securities have been authorized for listing, subject to official notice of issuance and evidence of satisfactory distribution, on the New York Stock Exchange, and the Company knows of no reason or set of facts that is likely to adversely affect such authorization.</w:t>
      </w:r>
    </w:p>
    <w:p>
      <w:pPr>
        <w:spacing w:after="0" w:line="192" w:lineRule="exact"/>
        <w:rPr>
          <w:rFonts w:ascii="Arial" w:cs="Arial" w:eastAsia="Arial" w:hAnsi="Arial"/>
          <w:sz w:val="18"/>
          <w:szCs w:val="18"/>
          <w:color w:val="auto"/>
        </w:rPr>
      </w:pPr>
    </w:p>
    <w:p>
      <w:pPr>
        <w:jc w:val="both"/>
        <w:ind w:left="-460" w:firstLine="1292"/>
        <w:spacing w:after="0" w:line="259" w:lineRule="auto"/>
        <w:tabs>
          <w:tab w:leader="none" w:pos="110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Stop Orders, Etc</w:t>
      </w:r>
      <w:r>
        <w:rPr>
          <w:rFonts w:ascii="Arial" w:cs="Arial" w:eastAsia="Arial" w:hAnsi="Arial"/>
          <w:sz w:val="18"/>
          <w:szCs w:val="18"/>
          <w:color w:val="auto"/>
        </w:rPr>
        <w:t>. Neither the Commission nor, to the Company’s knowledge, any state regulatory authority has issued any order or threatened to issue any order preventing or suspending the effectiveness of the Registration Statement or the use of any Preliminary Prospectus, the Prospectus or any part thereof, or has instituted or, to the Company’s knowledge, threatened to institute any proceedings with respect to such an order including, without limitation, pursuant to Section 8A of the Act.</w:t>
      </w:r>
    </w:p>
    <w:p>
      <w:pPr>
        <w:spacing w:after="0" w:line="186" w:lineRule="exact"/>
        <w:rPr>
          <w:rFonts w:ascii="Arial" w:cs="Arial" w:eastAsia="Arial" w:hAnsi="Arial"/>
          <w:sz w:val="18"/>
          <w:szCs w:val="18"/>
          <w:color w:val="auto"/>
        </w:rPr>
      </w:pPr>
    </w:p>
    <w:p>
      <w:pPr>
        <w:jc w:val="both"/>
        <w:ind w:left="-460" w:firstLine="1292"/>
        <w:spacing w:after="0" w:line="269" w:lineRule="auto"/>
        <w:tabs>
          <w:tab w:leader="none" w:pos="1091"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Disclosure of Agreements</w:t>
      </w:r>
      <w:r>
        <w:rPr>
          <w:rFonts w:ascii="Arial" w:cs="Arial" w:eastAsia="Arial" w:hAnsi="Arial"/>
          <w:sz w:val="17"/>
          <w:szCs w:val="17"/>
          <w:color w:val="auto"/>
        </w:rPr>
        <w:t>. The agreements and documents described in the Statutory Prospectus, the Registration Statement and the Prospectus conform in all material respects to the descriptions thereof contained therein. There is no franchise, contract or other document of a character required to be described in the Registration Statement, the Statutory Prospectus or the Prospectus, or to be filed as an exhibit to the Registration Statement, which is not described or filed as required (and the Statutory Prospectus contains in all material respects the same description of the foregoing matters contained in the Prospectus); and the statements in the Statutory Prospectus and the Prospectus under the headings “Principal Stockholders,” “Certain Relationships and Related Party Transactions,” and “Description of Securities,” insofar as such statements summarize legal matters, agreements, documents or proceedings discussed therein, are in all material respects accurate and fair summaries of such legal matters, agreements, documents or proceedings. There are no business relationships or related party transactions involving the Company or any other person required by the Act to be described in the Registration Statement or Prospectus that have not been described as required.</w:t>
      </w:r>
    </w:p>
    <w:p>
      <w:pPr>
        <w:spacing w:after="0" w:line="185" w:lineRule="exact"/>
        <w:rPr>
          <w:rFonts w:ascii="Arial" w:cs="Arial" w:eastAsia="Arial" w:hAnsi="Arial"/>
          <w:sz w:val="17"/>
          <w:szCs w:val="17"/>
          <w:color w:val="auto"/>
        </w:rPr>
      </w:pPr>
    </w:p>
    <w:p>
      <w:pPr>
        <w:jc w:val="both"/>
        <w:ind w:left="-460" w:firstLine="1292"/>
        <w:spacing w:after="0" w:line="263" w:lineRule="auto"/>
        <w:tabs>
          <w:tab w:leader="none" w:pos="110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Company’s authorized equity capitalization is as set forth in the Statutory Prospectus, the Registration Statement and the Prospectus. The share capital of the Company conforms in all material respects to the description thereof contained in the Statutory Prospectus, the Registration Statement and the Prospectus.</w:t>
      </w:r>
    </w:p>
    <w:p>
      <w:pPr>
        <w:spacing w:after="0" w:line="183" w:lineRule="exact"/>
        <w:rPr>
          <w:rFonts w:ascii="Arial" w:cs="Arial" w:eastAsia="Arial" w:hAnsi="Arial"/>
          <w:sz w:val="18"/>
          <w:szCs w:val="18"/>
          <w:color w:val="auto"/>
        </w:rPr>
      </w:pPr>
    </w:p>
    <w:p>
      <w:pPr>
        <w:jc w:val="both"/>
        <w:ind w:left="-460" w:firstLine="1292"/>
        <w:spacing w:after="0" w:line="269" w:lineRule="auto"/>
        <w:tabs>
          <w:tab w:leader="none" w:pos="1104"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Outstanding Securities</w:t>
      </w:r>
      <w:r>
        <w:rPr>
          <w:rFonts w:ascii="Arial" w:cs="Arial" w:eastAsia="Arial" w:hAnsi="Arial"/>
          <w:sz w:val="17"/>
          <w:szCs w:val="17"/>
          <w:color w:val="auto"/>
        </w:rPr>
        <w:t>. All issued and outstanding securities of the Company have been duly and validly authorized and issued and are fully paid and non-assessable; and none of such securities were issued in violation of the preemptive rights of any holders of any security of the Company or similar contractual rights granted by the Company. The offers and sales of the outstanding shares of Common Stock and Warrants were at all relevant times either registered under the Act, the applicable state securities and blue sky laws or, based in part on the representations and warranties of the purchasers of such shares of Common Stock and Warrants, exempt from such registration requirements. The holders of outstanding securities of the Company are not entitled to preemptive or other rights to subscribe for the Securities arising by operation of law or under the Company’s Amended and Restated Certificate of Incorporation (as amended from time to time, the “</w:t>
      </w:r>
      <w:r>
        <w:rPr>
          <w:rFonts w:ascii="Arial" w:cs="Arial" w:eastAsia="Arial" w:hAnsi="Arial"/>
          <w:sz w:val="17"/>
          <w:szCs w:val="17"/>
          <w:u w:val="single" w:color="auto"/>
          <w:color w:val="auto"/>
        </w:rPr>
        <w:t>Amended and Restated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and, except as set forth in the Registration Statement, the Statutory Prospectus and the Prospectus, no options, warrants or other rights to purchase, agreements or other obligations to issue, or rights to convert any obligations into or exchange any securities for, shares or other ownership interests in the Company are outstanding.</w:t>
      </w: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 w:name="page9"/>
    <w:bookmarkEnd w:id="8"/>
    <w:p>
      <w:pPr>
        <w:ind w:left="1540" w:hanging="248"/>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Securities Sold Pursuant to this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20" w:firstLine="1300"/>
        <w:spacing w:after="0" w:line="277" w:lineRule="auto"/>
        <w:tabs>
          <w:tab w:leader="none" w:pos="2205"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Securities have been duly authorized and when issued and delivered against payment therefor by the Underwriters pursuant to this Agreement, will be validly issued.</w:t>
      </w:r>
    </w:p>
    <w:p>
      <w:pPr>
        <w:spacing w:after="0" w:line="170" w:lineRule="exact"/>
        <w:rPr>
          <w:rFonts w:ascii="Arial" w:cs="Arial" w:eastAsia="Arial" w:hAnsi="Arial"/>
          <w:sz w:val="18"/>
          <w:szCs w:val="18"/>
          <w:color w:val="auto"/>
        </w:rPr>
      </w:pPr>
    </w:p>
    <w:p>
      <w:pPr>
        <w:jc w:val="both"/>
        <w:ind w:left="640" w:firstLine="1300"/>
        <w:spacing w:after="0" w:line="301" w:lineRule="auto"/>
        <w:tabs>
          <w:tab w:leader="none" w:pos="2201"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shares of Common Stock included in the Securities have been duly authorized and, when issued and delivered against payment for the Securities by the Underwriters pursuant to this Agreement, will be validly issued, fully paid and non-assessable. The holders of such shares of Common Stock are not and will not be subject to personal liability by reason of being such holders; such shares of Common Stock are not and will not be subject to any preemptive or other similar contractual rights granted by the Company.</w:t>
      </w:r>
    </w:p>
    <w:p>
      <w:pPr>
        <w:spacing w:after="0" w:line="157" w:lineRule="exact"/>
        <w:rPr>
          <w:rFonts w:ascii="Arial" w:cs="Arial" w:eastAsia="Arial" w:hAnsi="Arial"/>
          <w:sz w:val="16"/>
          <w:szCs w:val="16"/>
          <w:color w:val="auto"/>
        </w:rPr>
      </w:pPr>
    </w:p>
    <w:p>
      <w:pPr>
        <w:jc w:val="both"/>
        <w:ind w:left="640" w:firstLine="1300"/>
        <w:spacing w:after="0" w:line="257" w:lineRule="auto"/>
        <w:tabs>
          <w:tab w:leader="none" w:pos="2251"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Warrants included in the Securities have been duly authorized and, when issued and delivered in the manner set forth in the Warrant Agreement against payment for the Securities by the Underwriters pursuant to this Agreement,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87" w:lineRule="exact"/>
        <w:rPr>
          <w:rFonts w:ascii="Arial" w:cs="Arial" w:eastAsia="Arial" w:hAnsi="Arial"/>
          <w:sz w:val="18"/>
          <w:szCs w:val="18"/>
          <w:color w:val="auto"/>
        </w:rPr>
      </w:pPr>
    </w:p>
    <w:p>
      <w:pPr>
        <w:jc w:val="both"/>
        <w:ind w:left="640" w:firstLine="1300"/>
        <w:spacing w:after="0" w:line="257" w:lineRule="auto"/>
        <w:tabs>
          <w:tab w:leader="none" w:pos="225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shares of Common Stock issuable upon exercise of the Warrants included in the Securities have been duly authorized and reserved for issuance and, when issued and delivered against payment therefor pursuant to the Warrants and the Warrant Agreement, will be validly issued, fully paid and non-assessable. The holders of such shares of Common Stock are not and will not be subject to personal liability by reason of being such holders; such Shares of Common Stock are not and will not be subject to any preemptive or other similar contractual rights granted by the Company.</w:t>
      </w:r>
    </w:p>
    <w:p>
      <w:pPr>
        <w:spacing w:after="0" w:line="187" w:lineRule="exact"/>
        <w:rPr>
          <w:rFonts w:ascii="Arial" w:cs="Arial" w:eastAsia="Arial" w:hAnsi="Arial"/>
          <w:sz w:val="18"/>
          <w:szCs w:val="18"/>
          <w:color w:val="auto"/>
        </w:rPr>
      </w:pPr>
    </w:p>
    <w:p>
      <w:pPr>
        <w:jc w:val="both"/>
        <w:ind w:firstLine="1292"/>
        <w:spacing w:after="0" w:line="259" w:lineRule="auto"/>
        <w:tabs>
          <w:tab w:leader="none" w:pos="166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Statutory Prospectus and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86" w:lineRule="exact"/>
        <w:rPr>
          <w:rFonts w:ascii="Arial" w:cs="Arial" w:eastAsia="Arial" w:hAnsi="Arial"/>
          <w:sz w:val="18"/>
          <w:szCs w:val="18"/>
          <w:color w:val="auto"/>
        </w:rPr>
      </w:pPr>
    </w:p>
    <w:p>
      <w:pPr>
        <w:ind w:left="1640" w:hanging="348"/>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Prior Securities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right="20" w:firstLine="1300"/>
        <w:spacing w:after="0" w:line="263" w:lineRule="auto"/>
        <w:tabs>
          <w:tab w:leader="none" w:pos="2151"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securities of the Company have been sold by the Company or by or on behalf of, or for the benefit of, any person or persons controlling, controlled by, or under common control with the Company from its inception through and including the date hereof, except as disclosed in the Registration Statement, the Statutory Prospectus or the Prospectus.</w:t>
      </w:r>
    </w:p>
    <w:p>
      <w:pPr>
        <w:spacing w:after="0" w:line="183" w:lineRule="exact"/>
        <w:rPr>
          <w:rFonts w:ascii="Arial" w:cs="Arial" w:eastAsia="Arial" w:hAnsi="Arial"/>
          <w:sz w:val="18"/>
          <w:szCs w:val="18"/>
          <w:color w:val="auto"/>
        </w:rPr>
      </w:pPr>
    </w:p>
    <w:p>
      <w:pPr>
        <w:ind w:left="640" w:right="20" w:firstLine="1300"/>
        <w:spacing w:after="0" w:line="342" w:lineRule="auto"/>
        <w:tabs>
          <w:tab w:leader="none" w:pos="2201" w:val="left"/>
        </w:tabs>
        <w:numPr>
          <w:ilvl w:val="1"/>
          <w:numId w:val="9"/>
        </w:numPr>
        <w:rPr>
          <w:rFonts w:ascii="Arial" w:cs="Arial" w:eastAsia="Arial" w:hAnsi="Arial"/>
          <w:sz w:val="16"/>
          <w:szCs w:val="16"/>
          <w:color w:val="auto"/>
        </w:rPr>
      </w:pPr>
      <w:r>
        <w:rPr>
          <w:rFonts w:ascii="Arial" w:cs="Arial" w:eastAsia="Arial" w:hAnsi="Arial"/>
          <w:sz w:val="16"/>
          <w:szCs w:val="16"/>
          <w:color w:val="auto"/>
        </w:rPr>
        <w:t>Neither the Company nor any of its affiliates has, prior to the date hereof, made any offer or sale of any securities that are required to be “integrated” pursuant to the Act with the offer and sale of the Securities pursuant to the Registration Statement.</w:t>
      </w:r>
    </w:p>
    <w:p>
      <w:pPr>
        <w:spacing w:after="0" w:line="123" w:lineRule="exact"/>
        <w:rPr>
          <w:rFonts w:ascii="Arial" w:cs="Arial" w:eastAsia="Arial" w:hAnsi="Arial"/>
          <w:sz w:val="16"/>
          <w:szCs w:val="16"/>
          <w:color w:val="auto"/>
        </w:rPr>
      </w:pPr>
    </w:p>
    <w:p>
      <w:pPr>
        <w:jc w:val="both"/>
        <w:ind w:firstLine="1292"/>
        <w:spacing w:after="0" w:line="270" w:lineRule="auto"/>
        <w:tabs>
          <w:tab w:leader="none" w:pos="1641"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Securities Sold to Founders, Sponsor and Insiders</w:t>
      </w:r>
      <w:r>
        <w:rPr>
          <w:rFonts w:ascii="Arial" w:cs="Arial" w:eastAsia="Arial" w:hAnsi="Arial"/>
          <w:sz w:val="17"/>
          <w:szCs w:val="17"/>
          <w:color w:val="auto"/>
        </w:rPr>
        <w:t>. The Founder Shares have been duly authorized and are validly issued, fully paid and, except with respect to the forfeiture of certain Founder Shares as described in the Registration Statement upon the failure by the Underwriters to purchase any or all of the Option Securities, non-assessable. The Private Placement Warrants have been duly authorized and, when delivered upon the consummation of the Offering,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 The shares of Common Stock issuable upon exercise of the Private Placement Warrants have been duly authorized and reserved for issuance and, when issued and delivered against payment therefor pursuant to the Private Placement Warrants Purchase Agreement, the Private Placement Warrants, and the Warrant Agreement will be validly issued, fully paid and non-assessable.</w:t>
      </w:r>
    </w:p>
    <w:p>
      <w:pPr>
        <w:spacing w:after="0" w:line="181"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Each of the Sponsor and the Company’s executive officers and directors have agreed to: (a) waive their redemption rights with respect to any Founder Shares and shares of Common Stock sold as part of the Units in the Offering (the “</w:t>
      </w:r>
      <w:r>
        <w:rPr>
          <w:rFonts w:ascii="Arial" w:cs="Arial" w:eastAsia="Arial" w:hAnsi="Arial"/>
          <w:sz w:val="16"/>
          <w:szCs w:val="16"/>
          <w:u w:val="single" w:color="auto"/>
          <w:color w:val="auto"/>
        </w:rPr>
        <w:t>Public Shares</w:t>
      </w:r>
      <w:r>
        <w:rPr>
          <w:rFonts w:ascii="Arial" w:cs="Arial" w:eastAsia="Arial" w:hAnsi="Arial"/>
          <w:sz w:val="16"/>
          <w:szCs w:val="16"/>
          <w:color w:val="auto"/>
        </w:rPr>
        <w:t>”) held by them in connection with the completion of an Initial Business Combination, (b) waive their redemption rights with respect to any Founder Shares and Public Shares held by them in connection with a stockholder vote to approve an amendment to the Amended and Restated Certificate of Incorporation to modify the substance or timing of the Company’s obligation to provide for the redemption of the Public Shares in connection with an Initial Business Combination or to redeem 100% of its Public Shares if the Company has not consummated an Initial Business Combination within the time period set forth in the Amended and Restated Certificate of Incorporation; (c) waive their rights to liquidating distributions from the Trust Account with respect to any Founder Shares held by them if the Company fails to complete an Initial Business Combination within the time period set forth in the Amended and Restated Certificate of Incorporation (although they will be entitled to liquidating distributions from the Trust Account with respect to any Public Shares held by them if the Company fails to complete an Initial Business Combination within the time period set forth in the Amended and Restated Certificate of Incorporation); and (d) vote any Founder Shares and any Public Shares held by them in favor of an initial Business Combination if the Company submits an Initial Business Combination to its public stockholders for a vote.</w:t>
      </w:r>
    </w:p>
    <w:p>
      <w:pPr>
        <w:spacing w:after="0" w:line="3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9" w:name="page10"/>
    <w:bookmarkEnd w:id="9"/>
    <w:p>
      <w:pPr>
        <w:jc w:val="both"/>
        <w:ind w:left="-460" w:firstLine="1292"/>
        <w:spacing w:after="0" w:line="263" w:lineRule="auto"/>
        <w:tabs>
          <w:tab w:leader="none" w:pos="118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Due Incorporation; Power and Authority</w:t>
      </w:r>
      <w:r>
        <w:rPr>
          <w:rFonts w:ascii="Arial" w:cs="Arial" w:eastAsia="Arial" w:hAnsi="Arial"/>
          <w:sz w:val="18"/>
          <w:szCs w:val="18"/>
          <w:color w:val="auto"/>
        </w:rPr>
        <w:t>. The Company has been duly incorporated and is validly existing as a corporation in good standing under the laws of Delaware with full corporate power and authority to own or lease, as the case may be, and to operate its properties and conduct its business as described in the Statutory Prospectus and the Prospectus.</w:t>
      </w:r>
    </w:p>
    <w:p>
      <w:pPr>
        <w:spacing w:after="0" w:line="183" w:lineRule="exact"/>
        <w:rPr>
          <w:rFonts w:ascii="Arial" w:cs="Arial" w:eastAsia="Arial" w:hAnsi="Arial"/>
          <w:sz w:val="18"/>
          <w:szCs w:val="18"/>
          <w:color w:val="auto"/>
        </w:rPr>
      </w:pPr>
    </w:p>
    <w:p>
      <w:pPr>
        <w:ind w:left="1180" w:hanging="348"/>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Validity and Binding Effect of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right="20" w:firstLine="1300"/>
        <w:spacing w:after="0" w:line="259" w:lineRule="auto"/>
        <w:tabs>
          <w:tab w:leader="none" w:pos="17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180" w:firstLine="1300"/>
        <w:spacing w:after="0" w:line="259" w:lineRule="auto"/>
        <w:tabs>
          <w:tab w:leader="none" w:pos="1741"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Trust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180" w:firstLine="1300"/>
        <w:spacing w:after="0" w:line="259" w:lineRule="auto"/>
        <w:tabs>
          <w:tab w:leader="none" w:pos="18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180" w:firstLine="1300"/>
        <w:spacing w:after="0" w:line="275" w:lineRule="auto"/>
        <w:tabs>
          <w:tab w:leader="none" w:pos="179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Private Placement Warrants Purchase Agreement has been duly authorized, executed and delivered by the Company and, to the Company’s knowledge, the Sponsor, and is a valid and binding agreement of the Company and, to the Company’s knowledge, the Sponsor, enforceable against the Company and, to the Company’s knowledge,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6" w:lineRule="exact"/>
        <w:rPr>
          <w:rFonts w:ascii="Arial" w:cs="Arial" w:eastAsia="Arial" w:hAnsi="Arial"/>
          <w:sz w:val="17"/>
          <w:szCs w:val="17"/>
          <w:color w:val="auto"/>
        </w:rPr>
      </w:pPr>
    </w:p>
    <w:p>
      <w:pPr>
        <w:jc w:val="both"/>
        <w:ind w:left="180" w:firstLine="1300"/>
        <w:spacing w:after="0" w:line="257" w:lineRule="auto"/>
        <w:tabs>
          <w:tab w:leader="none" w:pos="1731"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Registration Rights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 and except that the indemnification and contribution provisions of the Registration Rights Agreement may be unenforceable.</w:t>
      </w:r>
    </w:p>
    <w:p>
      <w:pPr>
        <w:spacing w:after="0" w:line="187" w:lineRule="exact"/>
        <w:rPr>
          <w:rFonts w:ascii="Arial" w:cs="Arial" w:eastAsia="Arial" w:hAnsi="Arial"/>
          <w:sz w:val="18"/>
          <w:szCs w:val="18"/>
          <w:color w:val="auto"/>
        </w:rPr>
      </w:pPr>
    </w:p>
    <w:p>
      <w:pPr>
        <w:jc w:val="both"/>
        <w:ind w:left="180" w:firstLine="1300"/>
        <w:spacing w:after="0" w:line="259" w:lineRule="auto"/>
        <w:tabs>
          <w:tab w:leader="none" w:pos="1781"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Administrative Services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180" w:firstLine="1300"/>
        <w:spacing w:after="0" w:line="255" w:lineRule="auto"/>
        <w:tabs>
          <w:tab w:leader="none" w:pos="18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the knowledge of the Company, the Insider Letter has been duly authorized, executed and delivered by the Sponsor and each of the Company’s directors and executive officers, respectively, and is a valid and binding agreement of the Sponsor and each of the Company’s directors and executive officers respectively, enforceable against the Sponsor and each of the Company’s directors and executive officers,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644" w:firstLine="1300"/>
        <w:spacing w:after="0" w:line="259" w:lineRule="auto"/>
        <w:tabs>
          <w:tab w:leader="none" w:pos="2345"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Securities Subscription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4" w:firstLine="1292"/>
        <w:spacing w:after="0" w:line="273" w:lineRule="auto"/>
        <w:tabs>
          <w:tab w:leader="none" w:pos="1645"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Consents, Approvals, Etc</w:t>
      </w:r>
      <w:r>
        <w:rPr>
          <w:rFonts w:ascii="Arial" w:cs="Arial" w:eastAsia="Arial" w:hAnsi="Arial"/>
          <w:sz w:val="17"/>
          <w:szCs w:val="17"/>
          <w:color w:val="auto"/>
        </w:rPr>
        <w:t>. No consent, approval, authorization, filing with or order of any court or governmental agency or body is required in connection with the transactions contemplated herein or in the Trust Agreement, the Warrant Agreement, the Securities Subscription Agreement, the Private Placement Warrants Purchase Agreement, the Registration Rights Agreement, or the Insider Letter, except for the registration under the Act and the Exchange Act of the Securities, and such as may be required under the state securities or blue sky laws of any jurisdiction in connection with the purchase and distribution of the Securities by the Underwriters in the manner contemplated herein and in the Registration Statement, Statutory Prospectus and the Prospectus.</w:t>
      </w:r>
    </w:p>
    <w:p>
      <w:pPr>
        <w:spacing w:after="0" w:line="177" w:lineRule="exact"/>
        <w:rPr>
          <w:rFonts w:ascii="Arial" w:cs="Arial" w:eastAsia="Arial" w:hAnsi="Arial"/>
          <w:sz w:val="17"/>
          <w:szCs w:val="17"/>
          <w:color w:val="auto"/>
        </w:rPr>
      </w:pPr>
    </w:p>
    <w:p>
      <w:pPr>
        <w:jc w:val="both"/>
        <w:ind w:left="4" w:firstLine="1292"/>
        <w:spacing w:after="0" w:line="286" w:lineRule="auto"/>
        <w:tabs>
          <w:tab w:leader="none" w:pos="1645"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No Breach or Violation</w:t>
      </w:r>
      <w:r>
        <w:rPr>
          <w:rFonts w:ascii="Arial" w:cs="Arial" w:eastAsia="Arial" w:hAnsi="Arial"/>
          <w:sz w:val="16"/>
          <w:szCs w:val="16"/>
          <w:color w:val="auto"/>
        </w:rPr>
        <w:t>. Neither the issue and sale of the Securities nor the consummation of any other of the transactions herein contemplated nor the fulfillment of the terms hereof or of the Trust Agreement, the Warrant Agreement, the Securities Subscription Agreement, the Private Placement Warrants Purchase Agreement, the Registration Rights Agreement, Administrative Services Agreement, or the Insider Letter will conflict with, result in a breach or violation of, or imposition of any lien, charge or encumbrance upon any property or assets of the Company pursuant to (i) the Amended and Restated Certificate of Incorporation, (ii) the Company’s bylaws (the “</w:t>
      </w:r>
      <w:r>
        <w:rPr>
          <w:rFonts w:ascii="Arial" w:cs="Arial" w:eastAsia="Arial" w:hAnsi="Arial"/>
          <w:sz w:val="16"/>
          <w:szCs w:val="16"/>
          <w:u w:val="single" w:color="auto"/>
          <w:color w:val="auto"/>
        </w:rPr>
        <w:t>Bylaws</w:t>
      </w:r>
      <w:r>
        <w:rPr>
          <w:rFonts w:ascii="Arial" w:cs="Arial" w:eastAsia="Arial" w:hAnsi="Arial"/>
          <w:sz w:val="16"/>
          <w:szCs w:val="16"/>
          <w:color w:val="auto"/>
        </w:rPr>
        <w:t>”) (iii) the terms of any indenture, contract, lease, mortgage, deed of trust, note agreement, loan agreement or other agreement, obligation, condition, covenant or instrument to which the Company is a party or bound or to which its property is subject, or (iv) any statute, law, rule, regulation, judgment, order or decree applicable to the Company of any court, regulatory body, administrative agency, governmental body, arbitrator or other authority having jurisdiction over the Company or any of its properties; except in the case of clauses (iii) and (iv) above for any such conflict, breach or violation that would not, individually or in the aggregate, be reasonably expected to have a material adverse effect on the condition (financial or otherwise), prospects, earnings, business or properties of the Company, taken as a whole, whether or not arising from transactions in the ordinary course of business (a “Material Adverse Effect”) and that would not, individually or in the aggregate, have a material adverse effect on the ability of the Underwriters to consummate the transactions contemplated by this Agreement.</w:t>
      </w:r>
    </w:p>
    <w:p>
      <w:pPr>
        <w:spacing w:after="0" w:line="173" w:lineRule="exact"/>
        <w:rPr>
          <w:rFonts w:ascii="Arial" w:cs="Arial" w:eastAsia="Arial" w:hAnsi="Arial"/>
          <w:sz w:val="16"/>
          <w:szCs w:val="16"/>
          <w:color w:val="auto"/>
        </w:rPr>
      </w:pPr>
    </w:p>
    <w:p>
      <w:pPr>
        <w:jc w:val="both"/>
        <w:ind w:left="4" w:firstLine="1292"/>
        <w:spacing w:after="0" w:line="287" w:lineRule="auto"/>
        <w:tabs>
          <w:tab w:leader="none" w:pos="1645"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No Conflicts, Etc</w:t>
      </w:r>
      <w:r>
        <w:rPr>
          <w:rFonts w:ascii="Arial" w:cs="Arial" w:eastAsia="Arial" w:hAnsi="Arial"/>
          <w:sz w:val="16"/>
          <w:szCs w:val="16"/>
          <w:color w:val="auto"/>
        </w:rPr>
        <w:t>. The Company is not in violation or default of (i) any provision of its Amended and Restated Certificate of Incorporation, (ii) any provision of its Bylaws, (iii) the terms of any indenture, contract, lease, mortgage, deed of trust, note agreement, loan agreement or other agreement, obligation, condition, covenant or instrument to which it is a party or bound or to which its property is subject, or</w:t>
      </w:r>
    </w:p>
    <w:p>
      <w:pPr>
        <w:spacing w:after="0" w:line="2" w:lineRule="exact"/>
        <w:rPr>
          <w:rFonts w:ascii="Arial" w:cs="Arial" w:eastAsia="Arial" w:hAnsi="Arial"/>
          <w:sz w:val="16"/>
          <w:szCs w:val="16"/>
          <w:color w:val="auto"/>
        </w:rPr>
      </w:pPr>
    </w:p>
    <w:p>
      <w:pPr>
        <w:jc w:val="both"/>
        <w:ind w:left="4" w:hanging="4"/>
        <w:spacing w:after="0" w:line="277" w:lineRule="auto"/>
        <w:tabs>
          <w:tab w:leader="none" w:pos="3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statute, law, rule, regulation, or judgment, order or decree of any court, regulatory body, administrative agency, governmental body, arbitrator or other authority having jurisdiction over the Company; except in the case of clauses (iii) and (iv) above for any such conflict, breach or violation that would not, individually or in the aggregate, be reasonably expected to have a Material Adverse Effect.</w:t>
      </w:r>
    </w:p>
    <w:p>
      <w:pPr>
        <w:spacing w:after="0" w:line="172" w:lineRule="exact"/>
        <w:rPr>
          <w:rFonts w:ascii="Arial" w:cs="Arial" w:eastAsia="Arial" w:hAnsi="Arial"/>
          <w:sz w:val="17"/>
          <w:szCs w:val="17"/>
          <w:color w:val="auto"/>
        </w:rPr>
      </w:pPr>
    </w:p>
    <w:p>
      <w:pPr>
        <w:jc w:val="both"/>
        <w:ind w:left="4" w:firstLine="1292"/>
        <w:spacing w:after="0" w:line="311" w:lineRule="auto"/>
        <w:tabs>
          <w:tab w:leader="none" w:pos="1645"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is not and, after giving effect to the Offering and the application of the proceeds thereof as described in the Statutory Prospectus and the Prospectus, will not be required to register as an “investment company” as defined in the Investment Company Act of 1940, as amended (the “</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 and the rules and regulations of the Commission thereunder.</w:t>
      </w:r>
    </w:p>
    <w:p>
      <w:pPr>
        <w:spacing w:after="0" w:line="148" w:lineRule="exact"/>
        <w:rPr>
          <w:rFonts w:ascii="Arial" w:cs="Arial" w:eastAsia="Arial" w:hAnsi="Arial"/>
          <w:sz w:val="16"/>
          <w:szCs w:val="16"/>
          <w:color w:val="auto"/>
        </w:rPr>
      </w:pPr>
    </w:p>
    <w:p>
      <w:pPr>
        <w:jc w:val="both"/>
        <w:ind w:left="4" w:firstLine="1292"/>
        <w:spacing w:after="0" w:line="254" w:lineRule="auto"/>
        <w:tabs>
          <w:tab w:leader="none" w:pos="1672"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financial statements, including the notes thereto and the supporting schedules, if any, of the Company included in the Statutory Prospectus, the Prospectus and the Registration Statement present fairly the financial condition, results of operations and cash flows of the Company as of the dates and for the periods indicated, comply as to form with the applicable accounting requirements of the Act and have been prepared in conformity with generally accepted accounting principles applied on a consistent basis throughout the periods involved (except as otherwise noted therein). There are no pro forma or as adjusted financial statements that are required to be included in the Statutory Prospectus, the Prospectus and the Registration Statement in accordance with Regulation S-X that have not been included as so required.</w:t>
      </w:r>
    </w:p>
    <w:p>
      <w:pPr>
        <w:spacing w:after="0" w:line="194" w:lineRule="exact"/>
        <w:rPr>
          <w:rFonts w:ascii="Arial" w:cs="Arial" w:eastAsia="Arial" w:hAnsi="Arial"/>
          <w:sz w:val="18"/>
          <w:szCs w:val="18"/>
          <w:color w:val="auto"/>
        </w:rPr>
      </w:pPr>
    </w:p>
    <w:p>
      <w:pPr>
        <w:jc w:val="both"/>
        <w:ind w:left="4" w:firstLine="1292"/>
        <w:spacing w:after="0" w:line="259" w:lineRule="auto"/>
        <w:tabs>
          <w:tab w:leader="none" w:pos="1699"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The Company is not party to any off-balance sheet transactions, arrangements, obligations (including contingent obligations), or other relationships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w:t>
      </w:r>
    </w:p>
    <w:p>
      <w:pPr>
        <w:spacing w:after="0" w:line="186" w:lineRule="exact"/>
        <w:rPr>
          <w:rFonts w:ascii="Arial" w:cs="Arial" w:eastAsia="Arial" w:hAnsi="Arial"/>
          <w:sz w:val="18"/>
          <w:szCs w:val="18"/>
          <w:color w:val="auto"/>
        </w:rPr>
      </w:pPr>
    </w:p>
    <w:p>
      <w:pPr>
        <w:jc w:val="both"/>
        <w:ind w:left="4" w:firstLine="1292"/>
        <w:spacing w:after="0" w:line="263" w:lineRule="auto"/>
        <w:tabs>
          <w:tab w:leader="none" w:pos="1658"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Other Data</w:t>
      </w:r>
      <w:r>
        <w:rPr>
          <w:rFonts w:ascii="Arial" w:cs="Arial" w:eastAsia="Arial" w:hAnsi="Arial"/>
          <w:sz w:val="18"/>
          <w:szCs w:val="18"/>
          <w:color w:val="auto"/>
        </w:rPr>
        <w:t>. The statistical, industry-related and market-related data included in the Registration Statement, the Statutory Prospectus and the Prospectus, if any, are based on or derived from sources that the Company reasonably and in good faith believes are reliable and accurate, and such data agree with the sources from which they are derived.</w:t>
      </w:r>
    </w:p>
    <w:p>
      <w:pPr>
        <w:spacing w:after="0" w:line="40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 w:name="page12"/>
    <w:bookmarkEnd w:id="11"/>
    <w:p>
      <w:pPr>
        <w:jc w:val="both"/>
        <w:ind w:firstLine="1292"/>
        <w:spacing w:after="0" w:line="257" w:lineRule="auto"/>
        <w:tabs>
          <w:tab w:leader="none" w:pos="166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Marcum LLP (“</w:t>
      </w:r>
      <w:r>
        <w:rPr>
          <w:rFonts w:ascii="Arial" w:cs="Arial" w:eastAsia="Arial" w:hAnsi="Arial"/>
          <w:sz w:val="18"/>
          <w:szCs w:val="18"/>
          <w:u w:val="single" w:color="auto"/>
          <w:color w:val="auto"/>
        </w:rPr>
        <w:t>Marcum</w:t>
      </w:r>
      <w:r>
        <w:rPr>
          <w:rFonts w:ascii="Arial" w:cs="Arial" w:eastAsia="Arial" w:hAnsi="Arial"/>
          <w:sz w:val="18"/>
          <w:szCs w:val="18"/>
          <w:color w:val="auto"/>
        </w:rPr>
        <w:t>”) are independent public accountants with respect to the Company within the meaning of the Act and the applicable published rules and regulations thereunder and the Public Company Accounting Oversight Board (including the rules and regulations promulgated by such entity). Marcum has not, during the periods covered by the financial statements included in the Statutory Prospectus, the Prospectus and the Registration Statement, provided to the Company any non-audit services, as such term is used in Section 10A(g) of the Exchange Act.</w:t>
      </w:r>
    </w:p>
    <w:p>
      <w:pPr>
        <w:spacing w:after="0" w:line="187" w:lineRule="exact"/>
        <w:rPr>
          <w:rFonts w:ascii="Arial" w:cs="Arial" w:eastAsia="Arial" w:hAnsi="Arial"/>
          <w:sz w:val="18"/>
          <w:szCs w:val="18"/>
          <w:color w:val="auto"/>
        </w:rPr>
      </w:pPr>
    </w:p>
    <w:p>
      <w:pPr>
        <w:ind w:firstLine="1292"/>
        <w:spacing w:after="0" w:line="277" w:lineRule="auto"/>
        <w:tabs>
          <w:tab w:leader="none" w:pos="165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maintains effective “disclosure controls and procedures” (as defined under Rule 13a-15(e) under the Exchange Act) to the extent required by such rule.</w:t>
      </w:r>
    </w:p>
    <w:p>
      <w:pPr>
        <w:spacing w:after="0" w:line="170" w:lineRule="exact"/>
        <w:rPr>
          <w:rFonts w:ascii="Arial" w:cs="Arial" w:eastAsia="Arial" w:hAnsi="Arial"/>
          <w:sz w:val="18"/>
          <w:szCs w:val="18"/>
          <w:color w:val="auto"/>
        </w:rPr>
      </w:pPr>
    </w:p>
    <w:p>
      <w:pPr>
        <w:jc w:val="both"/>
        <w:ind w:firstLine="1292"/>
        <w:spacing w:after="0" w:line="255" w:lineRule="auto"/>
        <w:tabs>
          <w:tab w:leader="none" w:pos="166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Solely to the extent that the Sarbanes-Oxley Act of 2002, as amended, and the rules and regulations promulgated by the Commission thereunder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have been applicable to the Company, there is and has been no failure on the part of the Company to comply with any applicable provision of the Sarbanes-Oxley Act. The Company has taken all necessary actions to ensure that it is in compliance with all provisions of the Sarbanes-Oxley Act that are in effect and with which the Company is required to comply and is making commercially reasonable efforts to ensure that it will be in compliance with other provisions of the Sarbanes-Oxley Act not currently in effect or which will become applicable to the Company.</w:t>
      </w:r>
    </w:p>
    <w:p>
      <w:pPr>
        <w:spacing w:after="0" w:line="192" w:lineRule="exact"/>
        <w:rPr>
          <w:rFonts w:ascii="Arial" w:cs="Arial" w:eastAsia="Arial" w:hAnsi="Arial"/>
          <w:sz w:val="18"/>
          <w:szCs w:val="18"/>
          <w:color w:val="auto"/>
        </w:rPr>
      </w:pPr>
    </w:p>
    <w:p>
      <w:pPr>
        <w:jc w:val="both"/>
        <w:ind w:firstLine="1292"/>
        <w:spacing w:after="0" w:line="286" w:lineRule="auto"/>
        <w:tabs>
          <w:tab w:leader="none" w:pos="164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There are no transfer, stamp, issue, registration, documentary or other similar taxes,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Securities.</w:t>
      </w:r>
    </w:p>
    <w:p>
      <w:pPr>
        <w:spacing w:after="0" w:line="165" w:lineRule="exact"/>
        <w:rPr>
          <w:rFonts w:ascii="Arial" w:cs="Arial" w:eastAsia="Arial" w:hAnsi="Arial"/>
          <w:sz w:val="17"/>
          <w:szCs w:val="17"/>
          <w:color w:val="auto"/>
        </w:rPr>
      </w:pPr>
    </w:p>
    <w:p>
      <w:pPr>
        <w:ind w:left="1640" w:hanging="348"/>
        <w:spacing w:after="0"/>
        <w:tabs>
          <w:tab w:leader="none" w:pos="164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Ownership</w:t>
      </w:r>
      <w:r>
        <w:rPr>
          <w:rFonts w:ascii="Arial" w:cs="Arial" w:eastAsia="Arial" w:hAnsi="Arial"/>
          <w:sz w:val="16"/>
          <w:szCs w:val="16"/>
          <w:color w:val="auto"/>
        </w:rPr>
        <w:t>. The Company owns or leases all such properties as are necessary to the conduct of its operations as presently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conducted.</w:t>
      </w:r>
    </w:p>
    <w:p>
      <w:pPr>
        <w:spacing w:after="0" w:line="210" w:lineRule="exact"/>
        <w:rPr>
          <w:rFonts w:ascii="Arial" w:cs="Arial" w:eastAsia="Arial" w:hAnsi="Arial"/>
          <w:sz w:val="16"/>
          <w:szCs w:val="16"/>
          <w:color w:val="auto"/>
        </w:rPr>
      </w:pPr>
    </w:p>
    <w:p>
      <w:pPr>
        <w:jc w:val="both"/>
        <w:ind w:firstLine="1292"/>
        <w:spacing w:after="0" w:line="255" w:lineRule="auto"/>
        <w:tabs>
          <w:tab w:leader="none" w:pos="168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Litigation; Government Proceedings</w:t>
      </w:r>
      <w:r>
        <w:rPr>
          <w:rFonts w:ascii="Arial" w:cs="Arial" w:eastAsia="Arial" w:hAnsi="Arial"/>
          <w:sz w:val="18"/>
          <w:szCs w:val="18"/>
          <w:color w:val="auto"/>
        </w:rPr>
        <w:t>. No action, suit or proceeding by or before any court or governmental agency, authority or body or any arbitrator involving the Company, or to the Company’s knowledge, the Sponsor, or any executive officer or director of the Company, or its or their property is pending or, to the knowledge of the Company, threatened that (i) would reasonably be expected to have a material adverse effect on the performance of this Agreement or the consummation of any of the transactions contemplated hereby or (ii) would reasonably be expected to have a Material Adverse Effect, except as set forth in or contemplated in the Statutory Prospectus and the Prospectus (exclusive of any supplement thereto).</w:t>
      </w:r>
    </w:p>
    <w:p>
      <w:pPr>
        <w:spacing w:after="0" w:line="192" w:lineRule="exact"/>
        <w:rPr>
          <w:rFonts w:ascii="Arial" w:cs="Arial" w:eastAsia="Arial" w:hAnsi="Arial"/>
          <w:sz w:val="18"/>
          <w:szCs w:val="18"/>
          <w:color w:val="auto"/>
        </w:rPr>
      </w:pPr>
    </w:p>
    <w:p>
      <w:pPr>
        <w:jc w:val="both"/>
        <w:ind w:firstLine="1292"/>
        <w:spacing w:after="0" w:line="259" w:lineRule="auto"/>
        <w:tabs>
          <w:tab w:leader="none" w:pos="164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Tax Returns</w:t>
      </w:r>
      <w:r>
        <w:rPr>
          <w:rFonts w:ascii="Arial" w:cs="Arial" w:eastAsia="Arial" w:hAnsi="Arial"/>
          <w:sz w:val="18"/>
          <w:szCs w:val="18"/>
          <w:color w:val="auto"/>
        </w:rPr>
        <w:t>. The Company has filed all U.S. federal, state, local and non-U.S. tax returns required to be filed through the date hereof and has paid all taxes required to be paid thereon, and no tax deficiency has been determined adversely to the Company (nor does the Company have any notice or knowledge of any tax deficiency which could reasonably be expected to be determined adversely to the Company), except in each case as would not reasonably be expected to have a Material Adverse Effect.</w:t>
      </w:r>
    </w:p>
    <w:p>
      <w:pPr>
        <w:spacing w:after="0" w:line="186" w:lineRule="exact"/>
        <w:rPr>
          <w:rFonts w:ascii="Arial" w:cs="Arial" w:eastAsia="Arial" w:hAnsi="Arial"/>
          <w:sz w:val="18"/>
          <w:szCs w:val="18"/>
          <w:color w:val="auto"/>
        </w:rPr>
      </w:pPr>
    </w:p>
    <w:p>
      <w:pPr>
        <w:jc w:val="both"/>
        <w:ind w:firstLine="1292"/>
        <w:spacing w:after="0" w:line="296" w:lineRule="auto"/>
        <w:tabs>
          <w:tab w:leader="none" w:pos="166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Licenses and Permits</w:t>
      </w:r>
      <w:r>
        <w:rPr>
          <w:rFonts w:ascii="Arial" w:cs="Arial" w:eastAsia="Arial" w:hAnsi="Arial"/>
          <w:sz w:val="16"/>
          <w:szCs w:val="16"/>
          <w:color w:val="auto"/>
        </w:rPr>
        <w:t>. The Company possesses all licenses, certificates, permits and other authorizations issued by the appropriate U.S. federal, state or foreign regulatory authorities necessary to conduct its business, and the Company has not received any notice of proceedings relating to the revocation or modification of any such license, certificate, authorization or permit which, singly or in the aggregate, would reasonably be expected to have a Material Adverse Effect, whether or not arising from transactions in the ordinary course of business, except as set forth in or contemplated in the Statutory Prospectus and the Prospectus (exclusive of any supplement thereto).</w:t>
      </w:r>
    </w:p>
    <w:p>
      <w:pPr>
        <w:spacing w:after="0" w:line="161" w:lineRule="exact"/>
        <w:rPr>
          <w:rFonts w:ascii="Arial" w:cs="Arial" w:eastAsia="Arial" w:hAnsi="Arial"/>
          <w:sz w:val="16"/>
          <w:szCs w:val="16"/>
          <w:color w:val="auto"/>
        </w:rPr>
      </w:pPr>
    </w:p>
    <w:p>
      <w:pPr>
        <w:jc w:val="both"/>
        <w:ind w:firstLine="1292"/>
        <w:spacing w:after="0" w:line="263" w:lineRule="auto"/>
        <w:tabs>
          <w:tab w:leader="none" w:pos="165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Stabilization</w:t>
      </w:r>
      <w:r>
        <w:rPr>
          <w:rFonts w:ascii="Arial" w:cs="Arial" w:eastAsia="Arial" w:hAnsi="Arial"/>
          <w:sz w:val="18"/>
          <w:szCs w:val="18"/>
          <w:color w:val="auto"/>
        </w:rPr>
        <w:t>. 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ind w:left="1640" w:hanging="348"/>
        <w:spacing w:after="0"/>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Certain Regulatory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1300"/>
        <w:spacing w:after="0" w:line="254" w:lineRule="auto"/>
        <w:tabs>
          <w:tab w:leader="none" w:pos="2178"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Neither the Company, the Sponsor, nor, to the knowledge of the Company, any director, director nominee, executive officer, agent, employee, affiliate or other person acting on behalf of the Company or the Sponsor is aware of or has taken any action, directly or indirectly, that could result in a violation or a sanction for violation by such persons of the Foreign Corrupt Practices Act of 1977 or the U.K. Bribery Act 2010, each as may be amended, or similar law of any other relevant jurisdiction, or the rules or regulations thereunder; and the Company has instituted and maintains policies and procedures to ensure compliance therewith. No part of the proceeds of the Offering will be used, directly or indirectly, in violation of the Foreign Corrupt Practices Act of 1977 or the U.K. Bribery Act 2010, each as may be amended, or similar law of any other relevant jurisdiction, or the rules or regulations thereunder.</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 w:name="page13"/>
    <w:bookmarkEnd w:id="12"/>
    <w:p>
      <w:pPr>
        <w:jc w:val="both"/>
        <w:ind w:left="180" w:firstLine="1300"/>
        <w:spacing w:after="0" w:line="255" w:lineRule="auto"/>
        <w:tabs>
          <w:tab w:leader="none" w:pos="1741"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Company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92" w:lineRule="exact"/>
        <w:rPr>
          <w:rFonts w:ascii="Arial" w:cs="Arial" w:eastAsia="Arial" w:hAnsi="Arial"/>
          <w:sz w:val="18"/>
          <w:szCs w:val="18"/>
          <w:color w:val="auto"/>
        </w:rPr>
      </w:pPr>
    </w:p>
    <w:p>
      <w:pPr>
        <w:jc w:val="both"/>
        <w:ind w:left="180" w:firstLine="1300"/>
        <w:spacing w:after="0" w:line="268" w:lineRule="auto"/>
        <w:tabs>
          <w:tab w:leader="none" w:pos="1791" w:val="left"/>
        </w:tabs>
        <w:numPr>
          <w:ilvl w:val="2"/>
          <w:numId w:val="15"/>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Neither the Company nor, to the knowledge of the Company, any Sponsor, any director, director nominee, executive officer, agent, employee or affiliate of the Company or any director, officer, agent, employee or affiliate of the Sponsor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and such persons, “</w:t>
      </w:r>
      <w:r>
        <w:rPr>
          <w:rFonts w:ascii="Arial" w:cs="Arial" w:eastAsia="Arial" w:hAnsi="Arial"/>
          <w:sz w:val="17"/>
          <w:szCs w:val="17"/>
          <w:u w:val="single" w:color="auto"/>
          <w:color w:val="auto"/>
        </w:rPr>
        <w:t>Sanctioned Persons</w:t>
      </w:r>
      <w:r>
        <w:rPr>
          <w:rFonts w:ascii="Arial" w:cs="Arial" w:eastAsia="Arial" w:hAnsi="Arial"/>
          <w:sz w:val="17"/>
          <w:szCs w:val="17"/>
          <w:color w:val="auto"/>
        </w:rPr>
        <w:t>” and each such person, a “</w:t>
      </w:r>
      <w:r>
        <w:rPr>
          <w:rFonts w:ascii="Arial" w:cs="Arial" w:eastAsia="Arial" w:hAnsi="Arial"/>
          <w:sz w:val="17"/>
          <w:szCs w:val="17"/>
          <w:u w:val="single" w:color="auto"/>
          <w:color w:val="auto"/>
        </w:rPr>
        <w:t>Sanctioned Person</w:t>
      </w:r>
      <w:r>
        <w:rPr>
          <w:rFonts w:ascii="Arial" w:cs="Arial" w:eastAsia="Arial" w:hAnsi="Arial"/>
          <w:sz w:val="17"/>
          <w:szCs w:val="17"/>
          <w:color w:val="auto"/>
        </w:rPr>
        <w:t>”), (ii) is located, organized or resident in a country or territory that is, or whose government is, the subject of Sanctions that broadly prohibit dealings with that country or territory (collectively, “</w:t>
      </w:r>
      <w:r>
        <w:rPr>
          <w:rFonts w:ascii="Arial" w:cs="Arial" w:eastAsia="Arial" w:hAnsi="Arial"/>
          <w:sz w:val="17"/>
          <w:szCs w:val="17"/>
          <w:u w:val="single" w:color="auto"/>
          <w:color w:val="auto"/>
        </w:rPr>
        <w:t>Sanctioned Countries</w:t>
      </w:r>
      <w:r>
        <w:rPr>
          <w:rFonts w:ascii="Arial" w:cs="Arial" w:eastAsia="Arial" w:hAnsi="Arial"/>
          <w:sz w:val="17"/>
          <w:szCs w:val="17"/>
          <w:color w:val="auto"/>
        </w:rPr>
        <w:t>” and each,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or (iii) will (either directly or through the Trust Account), directly or indirectly, use the proceeds of the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84" w:lineRule="exact"/>
        <w:rPr>
          <w:rFonts w:ascii="Arial" w:cs="Arial" w:eastAsia="Arial" w:hAnsi="Arial"/>
          <w:sz w:val="17"/>
          <w:szCs w:val="17"/>
          <w:color w:val="auto"/>
        </w:rPr>
      </w:pPr>
    </w:p>
    <w:p>
      <w:pPr>
        <w:jc w:val="both"/>
        <w:ind w:left="180" w:firstLine="1300"/>
        <w:spacing w:after="0" w:line="270" w:lineRule="auto"/>
        <w:tabs>
          <w:tab w:leader="none" w:pos="1808" w:val="left"/>
        </w:tabs>
        <w:numPr>
          <w:ilvl w:val="2"/>
          <w:numId w:val="15"/>
        </w:numPr>
        <w:rPr>
          <w:rFonts w:ascii="Arial" w:cs="Arial" w:eastAsia="Arial" w:hAnsi="Arial"/>
          <w:sz w:val="17"/>
          <w:szCs w:val="17"/>
          <w:color w:val="auto"/>
        </w:rPr>
      </w:pPr>
      <w:r>
        <w:rPr>
          <w:rFonts w:ascii="Arial" w:cs="Arial" w:eastAsia="Arial" w:hAnsi="Arial"/>
          <w:sz w:val="17"/>
          <w:szCs w:val="17"/>
          <w:u w:val="single" w:color="auto"/>
          <w:color w:val="auto"/>
        </w:rPr>
        <w:t>Sanctions</w:t>
      </w:r>
      <w:r>
        <w:rPr>
          <w:rFonts w:ascii="Arial" w:cs="Arial" w:eastAsia="Arial" w:hAnsi="Arial"/>
          <w:sz w:val="17"/>
          <w:szCs w:val="17"/>
          <w:color w:val="auto"/>
        </w:rPr>
        <w:t>. None of the Company or, to the knowledge of the Company, any Sponsor or any director, director nominee, executive officer, agent, employee or affiliate of the Company is a person that is, or is 50% or more owned or otherwise controlled by a person that is: (i) a Sanctioned Person; or (ii) located in, organized under the laws of or resident in a country or territory that is, or whose government is, the subject of Sanctions that broadly prohibit dealings with that country or territory (including, without limitation, the Crimea region, Cuba, Iran, North Korea, Sudan, and Syria). In the preceding three years, except as has been disclosed to the Underwriters or is not material to the analysis under any Sanctions, neither the Company nor any Sponsor has engaged in any dealings or transactions with or for the benefit of a Sanctioned Person, or with or in a Sanctioned Country, in the preceding 3 years, nor does the Company or any Sponsor have any plans to engage in dealings or transactions with or for the benefit of a Sanctioned Person, or with or in a Sanctioned Country.</w:t>
      </w:r>
    </w:p>
    <w:p>
      <w:pPr>
        <w:spacing w:after="0" w:line="180" w:lineRule="exact"/>
        <w:rPr>
          <w:rFonts w:ascii="Arial" w:cs="Arial" w:eastAsia="Arial" w:hAnsi="Arial"/>
          <w:sz w:val="17"/>
          <w:szCs w:val="17"/>
          <w:color w:val="auto"/>
        </w:rPr>
      </w:pPr>
    </w:p>
    <w:p>
      <w:pPr>
        <w:jc w:val="both"/>
        <w:ind w:left="180" w:firstLine="1300"/>
        <w:spacing w:after="0" w:line="291" w:lineRule="auto"/>
        <w:tabs>
          <w:tab w:leader="none" w:pos="1744"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Bank Secrecy Act; Money Laundering; Patriot Act</w:t>
      </w:r>
      <w:r>
        <w:rPr>
          <w:rFonts w:ascii="Arial" w:cs="Arial" w:eastAsia="Arial" w:hAnsi="Arial"/>
          <w:sz w:val="16"/>
          <w:szCs w:val="16"/>
          <w:color w:val="auto"/>
        </w:rPr>
        <w:t>. None of the Company, the Sponsor or any executive officer, director or director nominee of the Company has violated: (a) the Bank Secrecy Act, as amended, (b) the Money Laundering Laws, or</w:t>
      </w:r>
    </w:p>
    <w:p>
      <w:pPr>
        <w:ind w:left="180" w:firstLine="4"/>
        <w:spacing w:after="0" w:line="260" w:lineRule="auto"/>
        <w:tabs>
          <w:tab w:leader="none" w:pos="4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Uniting and Strengthening of America by Providing Appropriate Tools Required to Intercept and Obstruct Terrorism (USA PATRIOT ACT) Act of 2001, and/or the rules and regulations promulgated under any such law, or any successor law.</w:t>
      </w:r>
    </w:p>
    <w:p>
      <w:pPr>
        <w:spacing w:after="0" w:line="185" w:lineRule="exact"/>
        <w:rPr>
          <w:rFonts w:ascii="Arial" w:cs="Arial" w:eastAsia="Arial" w:hAnsi="Arial"/>
          <w:sz w:val="18"/>
          <w:szCs w:val="18"/>
          <w:color w:val="auto"/>
        </w:rPr>
      </w:pPr>
    </w:p>
    <w:p>
      <w:pPr>
        <w:jc w:val="both"/>
        <w:ind w:left="-460" w:firstLine="1292"/>
        <w:spacing w:after="0" w:line="301" w:lineRule="auto"/>
        <w:tabs>
          <w:tab w:leader="none" w:pos="1181"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D&amp;O Questionnaires</w:t>
      </w:r>
      <w:r>
        <w:rPr>
          <w:rFonts w:ascii="Arial" w:cs="Arial" w:eastAsia="Arial" w:hAnsi="Arial"/>
          <w:sz w:val="16"/>
          <w:szCs w:val="16"/>
          <w:color w:val="auto"/>
        </w:rPr>
        <w:t>. To the Company’s knowledge, all information contained in the questionnaires (the “</w:t>
      </w:r>
      <w:r>
        <w:rPr>
          <w:rFonts w:ascii="Arial" w:cs="Arial" w:eastAsia="Arial" w:hAnsi="Arial"/>
          <w:sz w:val="16"/>
          <w:szCs w:val="16"/>
          <w:u w:val="single" w:color="auto"/>
          <w:color w:val="auto"/>
        </w:rPr>
        <w:t>Questionnaires</w:t>
      </w:r>
      <w:r>
        <w:rPr>
          <w:rFonts w:ascii="Arial" w:cs="Arial" w:eastAsia="Arial" w:hAnsi="Arial"/>
          <w:sz w:val="16"/>
          <w:szCs w:val="16"/>
          <w:color w:val="auto"/>
        </w:rPr>
        <w:t>”) completed by each of the Company’s executive officers, director nominees and directors and provided to the Underwriters is true and correct in all material respects and the Company has not become aware of any information which would cause the information disclosed in the Questionnaires completed by the Company’s executive officers, director nominees or directors to become inaccurate and incorrect in any material respect.</w:t>
      </w:r>
    </w:p>
    <w:p>
      <w:pPr>
        <w:spacing w:after="0" w:line="157" w:lineRule="exact"/>
        <w:rPr>
          <w:rFonts w:ascii="Arial" w:cs="Arial" w:eastAsia="Arial" w:hAnsi="Arial"/>
          <w:sz w:val="16"/>
          <w:szCs w:val="16"/>
          <w:color w:val="auto"/>
        </w:rPr>
      </w:pPr>
    </w:p>
    <w:p>
      <w:pPr>
        <w:jc w:val="both"/>
        <w:ind w:left="-460" w:firstLine="1292"/>
        <w:spacing w:after="0" w:line="263" w:lineRule="auto"/>
        <w:tabs>
          <w:tab w:leader="none" w:pos="1221"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Initial Business Combination</w:t>
      </w:r>
      <w:r>
        <w:rPr>
          <w:rFonts w:ascii="Arial" w:cs="Arial" w:eastAsia="Arial" w:hAnsi="Arial"/>
          <w:sz w:val="18"/>
          <w:szCs w:val="18"/>
          <w:color w:val="auto"/>
        </w:rPr>
        <w:t>. Except as disclosed in the Registration Statement, the Statutory Prospectus and the Prospectus, prior to the date hereof, the Company has not identified any business combination target and it has not, nor has anyone on its behalf, initiated any substantive discussions, directly or indirectly, with any business combination target.</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ind w:left="1180" w:hanging="348"/>
        <w:spacing w:after="0"/>
        <w:tabs>
          <w:tab w:leader="none" w:pos="118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1300"/>
        <w:spacing w:after="0" w:line="293" w:lineRule="auto"/>
        <w:tabs>
          <w:tab w:leader="none" w:pos="1704" w:val="left"/>
        </w:tabs>
        <w:numPr>
          <w:ilvl w:val="2"/>
          <w:numId w:val="17"/>
        </w:numPr>
        <w:rPr>
          <w:rFonts w:ascii="Arial" w:cs="Arial" w:eastAsia="Arial" w:hAnsi="Arial"/>
          <w:sz w:val="16"/>
          <w:szCs w:val="16"/>
          <w:color w:val="auto"/>
        </w:rPr>
      </w:pPr>
      <w:r>
        <w:rPr>
          <w:rFonts w:ascii="Arial" w:cs="Arial" w:eastAsia="Arial" w:hAnsi="Arial"/>
          <w:sz w:val="16"/>
          <w:szCs w:val="16"/>
          <w:color w:val="auto"/>
        </w:rPr>
        <w:t>Except as described in the Statutory Prospectus and the Prospectus, there are no claims, payments, arrangements, contracts, agreements or understandings relating to the payment of a brokerage commission or finder’s, consulting, origination or similar fee by the Company, the Sponsor or any executive officer, director nominee or director of the Company, or their respective affiliates, with respect to the sale of the Securities hereunder or any other arrangements, agreements or understandings of the Company or, to the knowledge of the Company, the Sponsor or any executive officer, director nominee or director of the Company, or their respective affiliates, that may affect the Underwriters’ compensation, as determined by the Financial Industry Regulatory Authority (“</w:t>
      </w:r>
      <w:r>
        <w:rPr>
          <w:rFonts w:ascii="Arial" w:cs="Arial" w:eastAsia="Arial" w:hAnsi="Arial"/>
          <w:sz w:val="16"/>
          <w:szCs w:val="16"/>
          <w:u w:val="single" w:color="auto"/>
          <w:color w:val="auto"/>
        </w:rPr>
        <w:t>FINRA</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left="180" w:firstLine="1300"/>
        <w:spacing w:after="0" w:line="287" w:lineRule="auto"/>
        <w:tabs>
          <w:tab w:leader="none" w:pos="1754"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Company has not made any direct or indirect payments (in cash, securities or any other “item of value” as defined in Rule 5110(c)(3) of FINRA’s Conduct Rules) to: (i) any person, as a finder’s fee, consulting fee or otherwise, in consideration of such person raising capital for the Company or introducing to the Company persons who raised or provided capital to the Company;</w:t>
      </w:r>
    </w:p>
    <w:p>
      <w:pPr>
        <w:spacing w:after="0" w:line="2" w:lineRule="exact"/>
        <w:rPr>
          <w:rFonts w:ascii="Arial" w:cs="Arial" w:eastAsia="Arial" w:hAnsi="Arial"/>
          <w:sz w:val="16"/>
          <w:szCs w:val="16"/>
          <w:color w:val="auto"/>
        </w:rPr>
      </w:pPr>
    </w:p>
    <w:p>
      <w:pPr>
        <w:jc w:val="both"/>
        <w:ind w:left="180" w:firstLine="4"/>
        <w:spacing w:after="0" w:line="277" w:lineRule="auto"/>
        <w:tabs>
          <w:tab w:leader="none" w:pos="44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any person that, to the Company’s knowledge, has been accepted by FINRA as a member of FINRA (a “</w:t>
      </w:r>
      <w:r>
        <w:rPr>
          <w:rFonts w:ascii="Arial" w:cs="Arial" w:eastAsia="Arial" w:hAnsi="Arial"/>
          <w:sz w:val="17"/>
          <w:szCs w:val="17"/>
          <w:u w:val="single" w:color="auto"/>
          <w:color w:val="auto"/>
        </w:rPr>
        <w:t>Member</w:t>
      </w:r>
      <w:r>
        <w:rPr>
          <w:rFonts w:ascii="Arial" w:cs="Arial" w:eastAsia="Arial" w:hAnsi="Arial"/>
          <w:sz w:val="17"/>
          <w:szCs w:val="17"/>
          <w:color w:val="auto"/>
        </w:rPr>
        <w:t>”); or (iii) to any person or entity that, to the Company’s knowledge, has any direct or indirect affiliation or association with any Member, within the twelve months prior to the Effective Date, other than payments to the Underwriters pursuant to this Agreement.</w:t>
      </w:r>
    </w:p>
    <w:p>
      <w:pPr>
        <w:spacing w:after="0" w:line="172" w:lineRule="exact"/>
        <w:rPr>
          <w:rFonts w:ascii="Arial" w:cs="Arial" w:eastAsia="Arial" w:hAnsi="Arial"/>
          <w:sz w:val="17"/>
          <w:szCs w:val="17"/>
          <w:color w:val="auto"/>
        </w:rPr>
      </w:pPr>
    </w:p>
    <w:p>
      <w:pPr>
        <w:jc w:val="both"/>
        <w:ind w:left="180" w:firstLine="1300"/>
        <w:spacing w:after="0" w:line="286" w:lineRule="auto"/>
        <w:tabs>
          <w:tab w:leader="none" w:pos="1791" w:val="left"/>
        </w:tabs>
        <w:numPr>
          <w:ilvl w:val="2"/>
          <w:numId w:val="18"/>
        </w:numPr>
        <w:rPr>
          <w:rFonts w:ascii="Arial" w:cs="Arial" w:eastAsia="Arial" w:hAnsi="Arial"/>
          <w:sz w:val="17"/>
          <w:szCs w:val="17"/>
          <w:color w:val="auto"/>
        </w:rPr>
      </w:pPr>
      <w:r>
        <w:rPr>
          <w:rFonts w:ascii="Arial" w:cs="Arial" w:eastAsia="Arial" w:hAnsi="Arial"/>
          <w:sz w:val="17"/>
          <w:szCs w:val="17"/>
          <w:color w:val="auto"/>
        </w:rPr>
        <w:t>Except as described in the Statutory Prospectus and the Prospectus, during the period beginning 180 days prior to the initial filing of the Registration Statement and ending on the Effective Date, no Member and/or any person associated or affiliated with a Member has provided any investment banking, financial advisory and/or consulting services to the Company.</w:t>
      </w:r>
    </w:p>
    <w:p>
      <w:pPr>
        <w:spacing w:after="0" w:line="165" w:lineRule="exact"/>
        <w:rPr>
          <w:rFonts w:ascii="Arial" w:cs="Arial" w:eastAsia="Arial" w:hAnsi="Arial"/>
          <w:sz w:val="17"/>
          <w:szCs w:val="17"/>
          <w:color w:val="auto"/>
        </w:rPr>
      </w:pPr>
    </w:p>
    <w:p>
      <w:pPr>
        <w:jc w:val="both"/>
        <w:ind w:left="180" w:firstLine="1300"/>
        <w:spacing w:after="0" w:line="259" w:lineRule="auto"/>
        <w:tabs>
          <w:tab w:leader="none" w:pos="1781" w:val="left"/>
        </w:tabs>
        <w:numPr>
          <w:ilvl w:val="2"/>
          <w:numId w:val="18"/>
        </w:numPr>
        <w:rPr>
          <w:rFonts w:ascii="Arial" w:cs="Arial" w:eastAsia="Arial" w:hAnsi="Arial"/>
          <w:sz w:val="18"/>
          <w:szCs w:val="18"/>
          <w:color w:val="auto"/>
        </w:rPr>
      </w:pPr>
      <w:r>
        <w:rPr>
          <w:rFonts w:ascii="Arial" w:cs="Arial" w:eastAsia="Arial" w:hAnsi="Arial"/>
          <w:sz w:val="18"/>
          <w:szCs w:val="18"/>
          <w:color w:val="auto"/>
        </w:rPr>
        <w:t>Except as disclosed in the FINRA questionnaires provided to the Representative, to the Company’s knowledge, no executive officer, director,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8"/>
          <w:szCs w:val="18"/>
          <w:u w:val="single" w:color="auto"/>
          <w:color w:val="auto"/>
        </w:rPr>
        <w:t>Company Affiliate</w:t>
      </w:r>
      <w:r>
        <w:rPr>
          <w:rFonts w:ascii="Arial" w:cs="Arial" w:eastAsia="Arial" w:hAnsi="Arial"/>
          <w:sz w:val="18"/>
          <w:szCs w:val="18"/>
          <w:color w:val="auto"/>
        </w:rPr>
        <w:t>”) is a Member or a person associated or affiliated with a Member.</w:t>
      </w:r>
    </w:p>
    <w:p>
      <w:pPr>
        <w:spacing w:after="0" w:line="186" w:lineRule="exact"/>
        <w:rPr>
          <w:rFonts w:ascii="Arial" w:cs="Arial" w:eastAsia="Arial" w:hAnsi="Arial"/>
          <w:sz w:val="18"/>
          <w:szCs w:val="18"/>
          <w:color w:val="auto"/>
        </w:rPr>
      </w:pPr>
    </w:p>
    <w:p>
      <w:pPr>
        <w:ind w:left="180" w:firstLine="1300"/>
        <w:spacing w:after="0" w:line="308" w:lineRule="auto"/>
        <w:tabs>
          <w:tab w:leader="none" w:pos="1731" w:val="left"/>
        </w:tabs>
        <w:numPr>
          <w:ilvl w:val="2"/>
          <w:numId w:val="18"/>
        </w:numPr>
        <w:rPr>
          <w:rFonts w:ascii="Arial" w:cs="Arial" w:eastAsia="Arial" w:hAnsi="Arial"/>
          <w:sz w:val="17"/>
          <w:szCs w:val="17"/>
          <w:color w:val="auto"/>
        </w:rPr>
      </w:pPr>
      <w:r>
        <w:rPr>
          <w:rFonts w:ascii="Arial" w:cs="Arial" w:eastAsia="Arial" w:hAnsi="Arial"/>
          <w:sz w:val="17"/>
          <w:szCs w:val="17"/>
          <w:color w:val="auto"/>
        </w:rPr>
        <w:t>Except as disclosed in the FINRA questionnaires provided to the Representative, to the Company’s knowledge, no Company Affiliate is an owner of stock or other securities of any Member (other than securities purchased on the open market).</w:t>
      </w:r>
    </w:p>
    <w:p>
      <w:pPr>
        <w:spacing w:after="0" w:line="146" w:lineRule="exact"/>
        <w:rPr>
          <w:rFonts w:ascii="Arial" w:cs="Arial" w:eastAsia="Arial" w:hAnsi="Arial"/>
          <w:sz w:val="17"/>
          <w:szCs w:val="17"/>
          <w:color w:val="auto"/>
        </w:rPr>
      </w:pPr>
    </w:p>
    <w:p>
      <w:pPr>
        <w:ind w:left="1800" w:hanging="320"/>
        <w:spacing w:after="0"/>
        <w:tabs>
          <w:tab w:leader="none" w:pos="1800" w:val="left"/>
        </w:tabs>
        <w:numPr>
          <w:ilvl w:val="2"/>
          <w:numId w:val="18"/>
        </w:numPr>
        <w:rPr>
          <w:rFonts w:ascii="Arial" w:cs="Arial" w:eastAsia="Arial" w:hAnsi="Arial"/>
          <w:sz w:val="16"/>
          <w:szCs w:val="16"/>
          <w:color w:val="auto"/>
        </w:rPr>
      </w:pPr>
      <w:r>
        <w:rPr>
          <w:rFonts w:ascii="Arial" w:cs="Arial" w:eastAsia="Arial" w:hAnsi="Arial"/>
          <w:sz w:val="16"/>
          <w:szCs w:val="16"/>
          <w:color w:val="auto"/>
        </w:rPr>
        <w:t>To the knowledge of the Company after due inquiry, no Company Affiliate has made a subordinated loan to any</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Member.</w:t>
      </w:r>
    </w:p>
    <w:p>
      <w:pPr>
        <w:spacing w:after="0" w:line="210" w:lineRule="exact"/>
        <w:rPr>
          <w:rFonts w:ascii="Arial" w:cs="Arial" w:eastAsia="Arial" w:hAnsi="Arial"/>
          <w:sz w:val="16"/>
          <w:szCs w:val="16"/>
          <w:color w:val="auto"/>
        </w:rPr>
      </w:pPr>
    </w:p>
    <w:p>
      <w:pPr>
        <w:jc w:val="both"/>
        <w:ind w:left="180" w:firstLine="1300"/>
        <w:spacing w:after="0" w:line="311" w:lineRule="auto"/>
        <w:tabs>
          <w:tab w:leader="none" w:pos="1831" w:val="left"/>
        </w:tabs>
        <w:numPr>
          <w:ilvl w:val="2"/>
          <w:numId w:val="18"/>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Statutory Prospectus and the Prospectus, no proceeds from the sale of the Securities (excluding underwriting compensation as disclosed in the Registration Statement, Statutory Prospectus and the Prospectus) will be paid by the Company to any Member, or any persons associated or affiliated with a Member.</w:t>
      </w:r>
    </w:p>
    <w:p>
      <w:pPr>
        <w:spacing w:after="0" w:line="148" w:lineRule="exact"/>
        <w:rPr>
          <w:rFonts w:ascii="Arial" w:cs="Arial" w:eastAsia="Arial" w:hAnsi="Arial"/>
          <w:sz w:val="16"/>
          <w:szCs w:val="16"/>
          <w:color w:val="auto"/>
        </w:rPr>
      </w:pPr>
    </w:p>
    <w:p>
      <w:pPr>
        <w:jc w:val="both"/>
        <w:ind w:left="180" w:firstLine="1300"/>
        <w:spacing w:after="0" w:line="263" w:lineRule="auto"/>
        <w:tabs>
          <w:tab w:leader="none" w:pos="1894"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3" w:lineRule="exact"/>
        <w:rPr>
          <w:rFonts w:ascii="Arial" w:cs="Arial" w:eastAsia="Arial" w:hAnsi="Arial"/>
          <w:sz w:val="18"/>
          <w:szCs w:val="18"/>
          <w:color w:val="auto"/>
        </w:rPr>
      </w:pPr>
    </w:p>
    <w:p>
      <w:pPr>
        <w:jc w:val="both"/>
        <w:ind w:left="180" w:right="20" w:firstLine="1300"/>
        <w:spacing w:after="0" w:line="263" w:lineRule="auto"/>
        <w:tabs>
          <w:tab w:leader="none" w:pos="1794" w:val="left"/>
        </w:tabs>
        <w:numPr>
          <w:ilvl w:val="2"/>
          <w:numId w:val="18"/>
        </w:numPr>
        <w:rPr>
          <w:rFonts w:ascii="Arial" w:cs="Arial" w:eastAsia="Arial" w:hAnsi="Arial"/>
          <w:sz w:val="18"/>
          <w:szCs w:val="18"/>
          <w:color w:val="auto"/>
        </w:rPr>
      </w:pPr>
      <w:r>
        <w:rPr>
          <w:rFonts w:ascii="Arial" w:cs="Arial" w:eastAsia="Arial" w:hAnsi="Arial"/>
          <w:sz w:val="18"/>
          <w:szCs w:val="18"/>
          <w:color w:val="auto"/>
        </w:rPr>
        <w:t>No person to whom securities of the Company have been privately issued within the 180-day period prior to the initial filing date of the Registration Statement has, to the Company’s knowledge, any relationship or affiliation or association with any Member intending to participate in the Offering.</w:t>
      </w:r>
    </w:p>
    <w:p>
      <w:pPr>
        <w:spacing w:after="0" w:line="183" w:lineRule="exact"/>
        <w:rPr>
          <w:rFonts w:ascii="Arial" w:cs="Arial" w:eastAsia="Arial" w:hAnsi="Arial"/>
          <w:sz w:val="18"/>
          <w:szCs w:val="18"/>
          <w:color w:val="auto"/>
        </w:rPr>
      </w:pPr>
    </w:p>
    <w:p>
      <w:pPr>
        <w:jc w:val="both"/>
        <w:ind w:left="180" w:firstLine="1300"/>
        <w:spacing w:after="0" w:line="253" w:lineRule="auto"/>
        <w:tabs>
          <w:tab w:leader="none" w:pos="1731" w:val="left"/>
        </w:tabs>
        <w:numPr>
          <w:ilvl w:val="2"/>
          <w:numId w:val="18"/>
        </w:numPr>
        <w:rPr>
          <w:rFonts w:ascii="Arial" w:cs="Arial" w:eastAsia="Arial" w:hAnsi="Arial"/>
          <w:sz w:val="18"/>
          <w:szCs w:val="18"/>
          <w:color w:val="auto"/>
        </w:rPr>
      </w:pPr>
      <w:r>
        <w:rPr>
          <w:rFonts w:ascii="Arial" w:cs="Arial" w:eastAsia="Arial" w:hAnsi="Arial"/>
          <w:sz w:val="18"/>
          <w:szCs w:val="18"/>
          <w:color w:val="auto"/>
        </w:rPr>
        <w:t>To the Company’s knowledge, no Member intending to participate in the Offering has a conflict of interest with the Company. For this purpose, a “conflict of interest” means, if at the time of the Member’s participation in the Offering, any of the following applies: (A) the securities are to be issued by the Member; (B) the Company controls, is controlled by or is under common control with the Member or the Member’s associated persons; (C) at least 5% of the net offering proceeds, not including underwriting compensation, are intended to be: (i) used to reduce or retire the balance of a loan or credit facility extended by the Member, its affiliates and its associated persons, in the aggregate; or (ii) otherwise directed to the Member, its affiliates and associated persons, in the aggregate; or (D) as a result of the Offering and any transactions contemplated at the time of the Offering: (i) the Member will be an affiliate of the Company; (ii) the Member will become publicly owned; or (iii) the Company will become a Member or form a broker-dealer subsidiary. “Member intending to participate in the Offering” includes any associated person of a Member that is participating in the Offering, any members of such associated person’s immediate family, and any affiliate of a Member that is participating in the Offering.</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jc w:val="both"/>
        <w:ind w:left="660" w:firstLine="1292"/>
        <w:spacing w:after="0" w:line="259" w:lineRule="auto"/>
        <w:tabs>
          <w:tab w:leader="none" w:pos="232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Non-Competition Agreements</w:t>
      </w:r>
      <w:r>
        <w:rPr>
          <w:rFonts w:ascii="Arial" w:cs="Arial" w:eastAsia="Arial" w:hAnsi="Arial"/>
          <w:sz w:val="18"/>
          <w:szCs w:val="18"/>
          <w:color w:val="auto"/>
        </w:rPr>
        <w:t>. Except as described in the Statutory Prospectus and the Prospectus, to the Company’s knowledge, none of the Sponsor, directors or executive officers of the Company is subject to a non-competition agreement or non-solicitation agreement with any employer or prior employer which could materially affect his, her or its ability to be and act in the capacity of stockholder, executive officer or director of the Company, as applicable.</w:t>
      </w:r>
    </w:p>
    <w:p>
      <w:pPr>
        <w:spacing w:after="0" w:line="186" w:lineRule="exact"/>
        <w:rPr>
          <w:rFonts w:ascii="Arial" w:cs="Arial" w:eastAsia="Arial" w:hAnsi="Arial"/>
          <w:sz w:val="18"/>
          <w:szCs w:val="18"/>
          <w:color w:val="auto"/>
        </w:rPr>
      </w:pPr>
    </w:p>
    <w:p>
      <w:pPr>
        <w:ind w:left="660" w:firstLine="1292"/>
        <w:spacing w:after="0" w:line="277" w:lineRule="auto"/>
        <w:tabs>
          <w:tab w:leader="none" w:pos="232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entity.</w:t>
      </w:r>
    </w:p>
    <w:p>
      <w:pPr>
        <w:spacing w:after="0" w:line="170" w:lineRule="exact"/>
        <w:rPr>
          <w:rFonts w:ascii="Arial" w:cs="Arial" w:eastAsia="Arial" w:hAnsi="Arial"/>
          <w:sz w:val="18"/>
          <w:szCs w:val="18"/>
          <w:color w:val="auto"/>
        </w:rPr>
      </w:pPr>
    </w:p>
    <w:p>
      <w:pPr>
        <w:jc w:val="both"/>
        <w:ind w:left="660" w:firstLine="1292"/>
        <w:spacing w:after="0" w:line="290" w:lineRule="auto"/>
        <w:tabs>
          <w:tab w:leader="none" w:pos="2301"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No relationship, direct or indirect, exists between or among any of the Company or any affiliate of the Company, on the one hand, and the Sponsor or any director, director nominee, executive officer, stockholder, special advisor, customer or supplier of the Company or any affiliate of the Company, on the other hand, which is required by the Act or the Exchange Act to be described in the Registration Statement, Statutory Prospectus or the Prospectus which is not described as required. There are no outstanding loans, advances (except normal advances for business expenses in the ordinary course of business) or guarantees of indebtedness by the Company to or for the benefit of any of the executive officers, director nominees or directors of the Company or any of their respective family members, except as disclosed in the Registration Statement, Statutory Prospectus and the Prospectus. The Company has not extended or maintained credit, arranged for the extension of credit, or renewed an extension of credit, in the form of a personal loan to or for any director or officer of the Company.</w:t>
      </w:r>
    </w:p>
    <w:p>
      <w:pPr>
        <w:spacing w:after="0" w:line="165" w:lineRule="exact"/>
        <w:rPr>
          <w:rFonts w:ascii="Arial" w:cs="Arial" w:eastAsia="Arial" w:hAnsi="Arial"/>
          <w:sz w:val="16"/>
          <w:szCs w:val="16"/>
          <w:color w:val="auto"/>
        </w:rPr>
      </w:pPr>
    </w:p>
    <w:p>
      <w:pPr>
        <w:ind w:left="2300" w:hanging="348"/>
        <w:spacing w:after="0"/>
        <w:tabs>
          <w:tab w:leader="none" w:pos="23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Free Writing Prospectus</w:t>
      </w:r>
      <w:r>
        <w:rPr>
          <w:rFonts w:ascii="Arial" w:cs="Arial" w:eastAsia="Arial" w:hAnsi="Arial"/>
          <w:sz w:val="18"/>
          <w:szCs w:val="18"/>
          <w:color w:val="auto"/>
        </w:rPr>
        <w:t>. The Company has not prepared or used a Free Writing Prospectus.</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31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Rule 419</w:t>
      </w:r>
      <w:r>
        <w:rPr>
          <w:rFonts w:ascii="Arial" w:cs="Arial" w:eastAsia="Arial" w:hAnsi="Arial"/>
          <w:sz w:val="18"/>
          <w:szCs w:val="18"/>
          <w:color w:val="auto"/>
        </w:rPr>
        <w:t>. Upon delivery and payment for the Underwritten Securities on the Closing Date and the filing of the Closing Form 8-K, the Company will not be subject to Rule 419 under the Act and none of the Company’s outstanding securities will be deemed to be a “penny stock” as defined in Rule 3a51-1 under the Exchange Act.</w:t>
      </w:r>
    </w:p>
    <w:p>
      <w:pPr>
        <w:spacing w:after="0" w:line="183" w:lineRule="exact"/>
        <w:rPr>
          <w:rFonts w:ascii="Arial" w:cs="Arial" w:eastAsia="Arial" w:hAnsi="Arial"/>
          <w:sz w:val="18"/>
          <w:szCs w:val="18"/>
          <w:color w:val="auto"/>
        </w:rPr>
      </w:pPr>
    </w:p>
    <w:p>
      <w:pPr>
        <w:jc w:val="both"/>
        <w:ind w:left="660" w:firstLine="1292"/>
        <w:spacing w:after="0" w:line="291" w:lineRule="auto"/>
        <w:tabs>
          <w:tab w:leader="none" w:pos="231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New York Stock Exchange’s Listing Standards</w:t>
      </w:r>
      <w:r>
        <w:rPr>
          <w:rFonts w:ascii="Arial" w:cs="Arial" w:eastAsia="Arial" w:hAnsi="Arial"/>
          <w:sz w:val="16"/>
          <w:szCs w:val="16"/>
          <w:color w:val="auto"/>
        </w:rPr>
        <w:t>. There is and has been no failure on the part of the Company or, to the knowledge of the Company, any of the Company’s executive officers or directors, in their capacities as such, to comply with (as and when applicable), and immediately following the Effective Date the Company will be in compliance with, the requirements of Section 303A of the New York Stock Exchange Listed Company Manual. Further, there is and has been no failure on the part of the Company or, to the knowledge of the Company, any of the Company’s executive officers or directors, in their capacities as such, to comply with (as and when applicable), and immediately following the Effective Date the Company will be in compliance with, the phase-in requirements and all other provisions of the New York Stock Exchange corporate governance requirements set forth in the New York Stock Exchange’s Listing Standards.</w:t>
      </w:r>
    </w:p>
    <w:p>
      <w:pPr>
        <w:spacing w:after="0" w:line="166" w:lineRule="exact"/>
        <w:rPr>
          <w:rFonts w:ascii="Arial" w:cs="Arial" w:eastAsia="Arial" w:hAnsi="Arial"/>
          <w:sz w:val="16"/>
          <w:szCs w:val="16"/>
          <w:color w:val="auto"/>
        </w:rPr>
      </w:pPr>
    </w:p>
    <w:p>
      <w:pPr>
        <w:jc w:val="both"/>
        <w:ind w:left="660" w:firstLine="1292"/>
        <w:spacing w:after="0" w:line="257" w:lineRule="auto"/>
        <w:tabs>
          <w:tab w:leader="none" w:pos="232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Emerging Growth Company</w:t>
      </w:r>
      <w:r>
        <w:rPr>
          <w:rFonts w:ascii="Arial" w:cs="Arial" w:eastAsia="Arial" w:hAnsi="Arial"/>
          <w:sz w:val="18"/>
          <w:szCs w:val="18"/>
          <w:color w:val="auto"/>
        </w:rPr>
        <w:t>. From the time of the initial confidential submission of the Registration Statement to the Commission (or, if earlier, the first date on which the Company engaged directly or through any person authorized to act on its behalf in any Testing-the-Waters Communication) through the Execution Time, the Company has been and is an “emerging growth company,” as defined in Section 2(a) of the Act (an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 “Testing-the-Waters Communication” means any oral or written communication with potential investors undertaken in reliance on Section 5(d) or Rule 163B of the Act.</w:t>
      </w:r>
    </w:p>
    <w:p>
      <w:pPr>
        <w:spacing w:after="0" w:line="187" w:lineRule="exact"/>
        <w:rPr>
          <w:rFonts w:ascii="Arial" w:cs="Arial" w:eastAsia="Arial" w:hAnsi="Arial"/>
          <w:sz w:val="18"/>
          <w:szCs w:val="18"/>
          <w:color w:val="auto"/>
        </w:rPr>
      </w:pPr>
    </w:p>
    <w:p>
      <w:pPr>
        <w:jc w:val="both"/>
        <w:ind w:left="660" w:firstLine="1292"/>
        <w:spacing w:after="0" w:line="291" w:lineRule="auto"/>
        <w:tabs>
          <w:tab w:leader="none" w:pos="2301"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Testing-the-Waters</w:t>
      </w:r>
      <w:r>
        <w:rPr>
          <w:rFonts w:ascii="Arial" w:cs="Arial" w:eastAsia="Arial" w:hAnsi="Arial"/>
          <w:sz w:val="16"/>
          <w:szCs w:val="16"/>
          <w:color w:val="auto"/>
        </w:rPr>
        <w:t>. The Company (i) has not alone engaged in any Testing-the-Waters Communication other than Testing-the-Waters Communications with the consent of the Representative with entities that are qualified institutional buyers within the meaning of Rule 144A under the Act or institutions that are accredited investors within the meaning of Rule 501 under the Act and (ii) has not authorized anyone other than the Representative to engage in Testing-the-Waters Communications. The Company reconfirms that the Representative has been authorized to act on its behalf in undertaking Testing-the-Waters Communications. The Company has not distributed any Written Testing-the-Waters Communications other than those listed on Schedule III hereto. “Written Testing-the-Waters Communication” means any Testing-the-Waters Communication that is a written communication within the meaning of Rule 405 under the Act.</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Any certificate signed by any officer of the Company and delivered to the Representative or counsel for the Underwriters in connection with the Offering shall be deemed a representation and warranty by the Company, as to matters covered thereby, to each Underwriter.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1340" w:hanging="684"/>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$9.80 per Unit, the amount of the Underwritten Securities set forth opposite such Underwriter’s name in Schedule I hereto.</w:t>
      </w:r>
    </w:p>
    <w:p>
      <w:pPr>
        <w:spacing w:after="0" w:line="183" w:lineRule="exact"/>
        <w:rPr>
          <w:rFonts w:ascii="Arial" w:cs="Arial" w:eastAsia="Arial" w:hAnsi="Arial"/>
          <w:sz w:val="18"/>
          <w:szCs w:val="18"/>
          <w:color w:val="auto"/>
        </w:rPr>
      </w:pPr>
    </w:p>
    <w:p>
      <w:pPr>
        <w:jc w:val="both"/>
        <w:ind w:firstLine="1304"/>
        <w:spacing w:after="0" w:line="271" w:lineRule="auto"/>
        <w:tabs>
          <w:tab w:leader="none" w:pos="1564" w:val="left"/>
        </w:tabs>
        <w:numPr>
          <w:ilvl w:val="1"/>
          <w:numId w:val="20"/>
        </w:numPr>
        <w:rPr>
          <w:rFonts w:ascii="Arial" w:cs="Arial" w:eastAsia="Arial" w:hAnsi="Arial"/>
          <w:sz w:val="17"/>
          <w:szCs w:val="17"/>
          <w:color w:val="auto"/>
        </w:rPr>
      </w:pPr>
      <w:r>
        <w:rPr>
          <w:rFonts w:ascii="Arial" w:cs="Arial" w:eastAsia="Arial" w:hAnsi="Arial"/>
          <w:sz w:val="17"/>
          <w:szCs w:val="17"/>
          <w:color w:val="auto"/>
        </w:rPr>
        <w:t>Subject to the terms and conditions and in reliance upon the representations and warranties set forth herein, the Company hereby grants an option to the several Underwriters to purchase, severally and not jointly, up to 27,000,000 Option Securities at the same purchase price per Unit as the Underwriters shall pay for the Underwritten Securities. This option may be exercised only to cover over-allotments in the sale of the Underwritten Securities by the Underwriters. This option may be exercised in whole or in part at any time on or before the 45th day after the date of the Prospectus upon written or telegraphic notice by the Representative to the Company setting forth the number of Option Securities as to which the several Underwriters are exercising the option and the settlement date. Each Underwriter shall purchase the same percentage of the total number of Option Securities to be purchased by the several Underwriters as such Underwriter is purchasing of the Underwritten Securities, subject to such adjustments as the Representative in its absolute discretion shall make to eliminate any fractional shares.</w:t>
      </w:r>
    </w:p>
    <w:p>
      <w:pPr>
        <w:spacing w:after="0" w:line="178" w:lineRule="exact"/>
        <w:rPr>
          <w:rFonts w:ascii="Arial" w:cs="Arial" w:eastAsia="Arial" w:hAnsi="Arial"/>
          <w:sz w:val="17"/>
          <w:szCs w:val="17"/>
          <w:color w:val="auto"/>
        </w:rPr>
      </w:pPr>
    </w:p>
    <w:p>
      <w:pPr>
        <w:jc w:val="both"/>
        <w:ind w:firstLine="1304"/>
        <w:spacing w:after="0" w:line="290" w:lineRule="auto"/>
        <w:tabs>
          <w:tab w:leader="none" w:pos="1567"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 addition to the discount from the public offering price represented by the purchase price set forth in the first sentence of Section 2(a) of this Agreement, the Company hereby agrees to pay to the Underwriters a deferred discount of $0.35 per Unit (for both Underwritten Securities and Option Securities) purchased hereunder (the “</w:t>
      </w:r>
      <w:r>
        <w:rPr>
          <w:rFonts w:ascii="Arial" w:cs="Arial" w:eastAsia="Arial" w:hAnsi="Arial"/>
          <w:sz w:val="16"/>
          <w:szCs w:val="16"/>
          <w:u w:val="single" w:color="auto"/>
          <w:color w:val="auto"/>
        </w:rPr>
        <w:t>Deferred Discount</w:t>
      </w:r>
      <w:r>
        <w:rPr>
          <w:rFonts w:ascii="Arial" w:cs="Arial" w:eastAsia="Arial" w:hAnsi="Arial"/>
          <w:sz w:val="16"/>
          <w:szCs w:val="16"/>
          <w:color w:val="auto"/>
        </w:rPr>
        <w:t>”). The Deferred Discount will be paid directly to the Representative, on behalf of the Underwriters, by the Trustee from amounts on deposit in the Trust Account by wire transfer if and when the Company consummates an Initial Business Combination. The Underwriters hereby agree that if no Initial Business Combination is consummated within the time period provided in the Trust Agreement and the funds held under the Trust Agreement are distributed to the holders of the shares of Common Stock included in the Securities sold pursuant to this Agreement (the “</w:t>
      </w:r>
      <w:r>
        <w:rPr>
          <w:rFonts w:ascii="Arial" w:cs="Arial" w:eastAsia="Arial" w:hAnsi="Arial"/>
          <w:sz w:val="16"/>
          <w:szCs w:val="16"/>
          <w:u w:val="single" w:color="auto"/>
          <w:color w:val="auto"/>
        </w:rPr>
        <w:t>Public Stockholders</w:t>
      </w:r>
      <w:r>
        <w:rPr>
          <w:rFonts w:ascii="Arial" w:cs="Arial" w:eastAsia="Arial" w:hAnsi="Arial"/>
          <w:sz w:val="16"/>
          <w:szCs w:val="16"/>
          <w:color w:val="auto"/>
        </w:rPr>
        <w:t>”), (i) the Underwriters will forfeit any rights or claims to the Deferred Discount and (ii) the Trustee under the Trust Agreement is authorized to distribute the Deferred Discount to the Public Stockholders on a pro rata basis.</w:t>
      </w:r>
    </w:p>
    <w:p>
      <w:pPr>
        <w:spacing w:after="0" w:line="165" w:lineRule="exact"/>
        <w:rPr>
          <w:rFonts w:ascii="Arial" w:cs="Arial" w:eastAsia="Arial" w:hAnsi="Arial"/>
          <w:sz w:val="16"/>
          <w:szCs w:val="16"/>
          <w:color w:val="auto"/>
        </w:rPr>
      </w:pPr>
    </w:p>
    <w:p>
      <w:pPr>
        <w:ind w:left="1340" w:hanging="684"/>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3"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Delivery of and payment for the Underwritten Securities and the Option Securities (if the option provided for in Section 2(b) hereof shall have been exercised on or before the second Business Day prior to the Closing Date) shall be made at 10:00 a.m., New York City time, on August 3, 2020, or at such time on such later date at least two Business Days after the foregoing date as the Representative shall designate, which date and time may be postponed by agreement between the Representative and the Company or as provided in Section 9 hereof (such date and time of delivery and payment for the Securities being herein called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Delivery of the Securities shall be made to the Representative for the respective accounts of the several Underwriters against payment by the several Underwriters through the Representative of the purchase price thereof by wire transfer payable in same-day funds to an account specified by the Company and to the Trust Account as described below in this </w:t>
      </w:r>
      <w:r>
        <w:rPr>
          <w:rFonts w:ascii="Arial" w:cs="Arial" w:eastAsia="Arial" w:hAnsi="Arial"/>
          <w:sz w:val="18"/>
          <w:szCs w:val="18"/>
          <w:u w:val="single" w:color="auto"/>
          <w:color w:val="auto"/>
        </w:rPr>
        <w:t>Section 3</w:t>
      </w:r>
      <w:r>
        <w:rPr>
          <w:rFonts w:ascii="Arial" w:cs="Arial" w:eastAsia="Arial" w:hAnsi="Arial"/>
          <w:sz w:val="18"/>
          <w:szCs w:val="18"/>
          <w:color w:val="auto"/>
        </w:rPr>
        <w:t>. Delivery of the Underwritten Securities and the Option Securities shall be made through the facilities of The Depository Trust Company (“DTC”) unless the Representative shall otherwise instruct.</w:t>
      </w:r>
    </w:p>
    <w:p>
      <w:pPr>
        <w:spacing w:after="0" w:line="196" w:lineRule="exact"/>
        <w:rPr>
          <w:rFonts w:ascii="Arial" w:cs="Arial" w:eastAsia="Arial" w:hAnsi="Arial"/>
          <w:sz w:val="18"/>
          <w:szCs w:val="18"/>
          <w:color w:val="auto"/>
        </w:rPr>
      </w:pPr>
    </w:p>
    <w:p>
      <w:pPr>
        <w:jc w:val="both"/>
        <w:ind w:firstLine="1304"/>
        <w:spacing w:after="0" w:line="269" w:lineRule="auto"/>
        <w:tabs>
          <w:tab w:leader="none" w:pos="1551" w:val="left"/>
        </w:tabs>
        <w:numPr>
          <w:ilvl w:val="1"/>
          <w:numId w:val="20"/>
        </w:numPr>
        <w:rPr>
          <w:rFonts w:ascii="Arial" w:cs="Arial" w:eastAsia="Arial" w:hAnsi="Arial"/>
          <w:sz w:val="17"/>
          <w:szCs w:val="17"/>
          <w:color w:val="auto"/>
        </w:rPr>
      </w:pPr>
      <w:r>
        <w:rPr>
          <w:rFonts w:ascii="Arial" w:cs="Arial" w:eastAsia="Arial" w:hAnsi="Arial"/>
          <w:sz w:val="17"/>
          <w:szCs w:val="17"/>
          <w:color w:val="auto"/>
        </w:rPr>
        <w:t>Payment for the Underwritten Securities shall be made as follows: $1,800,000,000 of the proceeds received by the Company for the Underwritten Securities, including $63,000,000 of the Deferred Discount, shall be deposited in the Trust Account pursuant to the terms of the Trust Agreement along with such portion of the gross proceeds of the Private Placement Warrants in order for the Trust Account to equal the product of the number of Units sold and the public offering price per Unit as set forth on the cover of the Prospectus upon delivery to the Representative of the Underwritten Securities through the facilities of DTC or, if the Representative has otherwise instructed, upon delivery to the Representative of certificates (in form and substance satisfactory to the Representative) representing the Underwritten Securities, in each case for the account of the Underwriters. The Underwritten Securities shall be registered in such name or names and in such authorized denominations as the Representative may request in writing at least two Business Days prior to the Closing Date. If delivery is not made through the facilities of DTC, the Company will permit the Representative to examine and package the Underwritten Securities for delivery, at least one Business Day prior to the Closing Date. The Company shall not be obligated to sell or deliver the Underwritten Securities except upon tender of payment by the Representative for all the Underwritten Securities. Payment by the Underwriters for the Underwritten Securities is contingent on the payment by the Sponsor to the Trust Account for the Private Placement Warrants at least one Business Day prior to the Closing Date.</w:t>
      </w:r>
    </w:p>
    <w:p>
      <w:pPr>
        <w:spacing w:after="0" w:line="178" w:lineRule="exact"/>
        <w:rPr>
          <w:rFonts w:ascii="Arial" w:cs="Arial" w:eastAsia="Arial" w:hAnsi="Arial"/>
          <w:sz w:val="17"/>
          <w:szCs w:val="17"/>
          <w:color w:val="auto"/>
        </w:rPr>
      </w:pPr>
    </w:p>
    <w:p>
      <w:pPr>
        <w:jc w:val="both"/>
        <w:ind w:firstLine="1304"/>
        <w:spacing w:after="0" w:line="287" w:lineRule="auto"/>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Payment for the Option Securities shall be made as follows: $9.80 per Option Security (including any Deferred Discount attributable to the Option Securities), shall be deposited in the Trust Account pursuant to the terms of the Trust Agreement along with such portion of the gross proceeds of the Private Placement Warrants in order for the Trust Account to equal the product of the number of Units sold and the public offering price per Unit as set forth on the cover of the Prospectus upon delivery to the Representative of the Option Securities through the facilities of DTC or, if the Representative has otherwise instructed, upon delivery to the Representative of certificates (in form and substance satisfactory to the Representative) representing the Option Securities (or through the facilities of DTC) for the account of the Underwriters. The Option Securities shall be registered in such name or names and in such authorized denominations as the Representative may request in writing at least two Business Days prior to the Closing Date. If delivery is not made through the facilities of DTC, the Company will permit the Representative to examine and package the Option Securities for delivery, at least one Business Day prior to the Closing Date. The Company shall not be obligated to sell or deliver the Option Securities except upon tender of payment by the Representative for all the Option Securities. Payment by the Underwriters for the Option Securities is contingent on the payment by the Sponsor to the Trust Account for the Private Placement Warrants at least one Business Day prior to the applicable settlement 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1304"/>
        <w:spacing w:after="0" w:line="254" w:lineRule="auto"/>
        <w:tabs>
          <w:tab w:leader="none" w:pos="1551" w:val="left"/>
        </w:tabs>
        <w:numPr>
          <w:ilvl w:val="2"/>
          <w:numId w:val="21"/>
        </w:numPr>
        <w:rPr>
          <w:rFonts w:ascii="Arial" w:cs="Arial" w:eastAsia="Arial" w:hAnsi="Arial"/>
          <w:sz w:val="18"/>
          <w:szCs w:val="18"/>
          <w:color w:val="auto"/>
        </w:rPr>
      </w:pPr>
      <w:r>
        <w:rPr>
          <w:rFonts w:ascii="Arial" w:cs="Arial" w:eastAsia="Arial" w:hAnsi="Arial"/>
          <w:sz w:val="18"/>
          <w:szCs w:val="18"/>
          <w:color w:val="auto"/>
        </w:rPr>
        <w:t>If the option provided for in Section 2(b) hereof is exercised after the second Business Day prior to the Closing Date, the Company will deliver the Option Securities (at the expense of the Company) to the Representative, at c/o Citigroup Global Markets Inc., at 388 Greenwich Street, New York, New York, on the date specified by the Representative (which shall be within three Business Days after exercise of said option) for the respective accounts of the several Underwriters, against payment by the several Underwriters through the Representative of the purchase price thereof to the Trust Account as described above in Section 3(c). If settlement for the Option Securities occurs after the Closing Date, the Company will deliver to the Representative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91" w:lineRule="exact"/>
        <w:rPr>
          <w:rFonts w:ascii="Arial" w:cs="Arial" w:eastAsia="Arial" w:hAnsi="Arial"/>
          <w:sz w:val="18"/>
          <w:szCs w:val="18"/>
          <w:color w:val="auto"/>
        </w:rPr>
      </w:pPr>
    </w:p>
    <w:p>
      <w:pPr>
        <w:ind w:left="1380" w:hanging="724"/>
        <w:spacing w:after="0"/>
        <w:tabs>
          <w:tab w:leader="none" w:pos="1380"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Offering by Underwriters</w:t>
      </w:r>
      <w:r>
        <w:rPr>
          <w:rFonts w:ascii="Arial" w:cs="Arial" w:eastAsia="Arial" w:hAnsi="Arial"/>
          <w:sz w:val="16"/>
          <w:szCs w:val="16"/>
          <w:color w:val="auto"/>
        </w:rPr>
        <w:t>. It is understood that the several Underwriters propose to offer the Securities for sale to the public as set forth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the Prospectus.</w:t>
      </w:r>
    </w:p>
    <w:p>
      <w:pPr>
        <w:spacing w:after="0" w:line="210" w:lineRule="exact"/>
        <w:rPr>
          <w:rFonts w:ascii="Arial" w:cs="Arial" w:eastAsia="Arial" w:hAnsi="Arial"/>
          <w:sz w:val="16"/>
          <w:szCs w:val="16"/>
          <w:color w:val="auto"/>
        </w:rPr>
      </w:pPr>
    </w:p>
    <w:p>
      <w:pPr>
        <w:ind w:left="1340" w:hanging="684"/>
        <w:spacing w:after="0"/>
        <w:tabs>
          <w:tab w:leader="none" w:pos="134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1540" w:val="left"/>
        </w:tabs>
        <w:numPr>
          <w:ilvl w:val="2"/>
          <w:numId w:val="22"/>
        </w:numPr>
        <w:rPr>
          <w:rFonts w:ascii="Arial" w:cs="Arial" w:eastAsia="Arial" w:hAnsi="Arial"/>
          <w:sz w:val="16"/>
          <w:szCs w:val="16"/>
          <w:color w:val="auto"/>
        </w:rPr>
      </w:pPr>
      <w:r>
        <w:rPr>
          <w:rFonts w:ascii="Arial" w:cs="Arial" w:eastAsia="Arial" w:hAnsi="Arial"/>
          <w:sz w:val="16"/>
          <w:szCs w:val="16"/>
          <w:u w:val="single" w:color="auto"/>
          <w:color w:val="auto"/>
        </w:rPr>
        <w:t>Filing of Prospectus; Notice to Representative; Stop Orders</w:t>
      </w:r>
      <w:r>
        <w:rPr>
          <w:rFonts w:ascii="Arial" w:cs="Arial" w:eastAsia="Arial" w:hAnsi="Arial"/>
          <w:sz w:val="16"/>
          <w:szCs w:val="16"/>
          <w:color w:val="auto"/>
        </w:rPr>
        <w:t>. Prior to the termination of the Offering, the Company will not file any amendment to the Registration Statement or supplement to the Prospectus or any Rule 462(b) Registration Statement unless the Company has furnished you a copy for your review prior to filing and will not file any such proposed amendment or supplement to which the Representative reasonably objects. The Company will cause the Prospectus, properly completed, and any supplement thereto to be filed in a form approved by the Representative with the Commission pursuant to the applicable paragraph of Rule 424(b) within the time period prescribed and will provide evidence satisfactory to the Representative of such timely filing. The Company will promptly advise the Representative (i) when the Prospectus, and any supplement thereto, shall have been filed (if required) with the Commission pursuant to Rule 424(b) or when any Rule 462(b) Registration Statement or any Written Testing-the-Waters Communication shall have been filed with the Commission, (ii) when, prior to termination of the Offering, any amendment to the Registration Statement shall have been filed or become effective, (iii) of any request by the Commission or its staff for any amendment of the Registration Statement, or any Rule 462(b) Registration Statement, or any Written Testing-the-Waters Communications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Act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173" w:lineRule="exact"/>
        <w:rPr>
          <w:rFonts w:ascii="Arial" w:cs="Arial" w:eastAsia="Arial" w:hAnsi="Arial"/>
          <w:sz w:val="16"/>
          <w:szCs w:val="16"/>
          <w:color w:val="auto"/>
        </w:rPr>
      </w:pPr>
    </w:p>
    <w:p>
      <w:pPr>
        <w:jc w:val="both"/>
        <w:ind w:firstLine="1304"/>
        <w:spacing w:after="0" w:line="293" w:lineRule="auto"/>
        <w:tabs>
          <w:tab w:leader="none" w:pos="1551" w:val="left"/>
        </w:tabs>
        <w:numPr>
          <w:ilvl w:val="2"/>
          <w:numId w:val="22"/>
        </w:numPr>
        <w:rPr>
          <w:rFonts w:ascii="Arial" w:cs="Arial" w:eastAsia="Arial" w:hAnsi="Arial"/>
          <w:sz w:val="16"/>
          <w:szCs w:val="16"/>
          <w:color w:val="auto"/>
        </w:rPr>
      </w:pPr>
      <w:r>
        <w:rPr>
          <w:rFonts w:ascii="Arial" w:cs="Arial" w:eastAsia="Arial" w:hAnsi="Arial"/>
          <w:sz w:val="16"/>
          <w:szCs w:val="16"/>
          <w:u w:val="single" w:color="auto"/>
          <w:color w:val="auto"/>
        </w:rPr>
        <w:t>Statutory Prospectus</w:t>
      </w:r>
      <w:r>
        <w:rPr>
          <w:rFonts w:ascii="Arial" w:cs="Arial" w:eastAsia="Arial" w:hAnsi="Arial"/>
          <w:sz w:val="16"/>
          <w:szCs w:val="16"/>
          <w:color w:val="auto"/>
        </w:rPr>
        <w:t>. If, at any time prior to the filing of the Prospectus pursuant to Rule 424(b), any event occurs as a result of which the Statutory Prospectus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or supplement the Statutory Prospectus to comply with the Act or the rules thereunder, the Company will (i) notify promptly the Representative so that any use of the Statutory Prospectus may cease until it is amended or supplemented; (ii) amend or supplement the Statutory Prospectus to correct such statement or omission; and (iii) supply any amendment or supplement to you in such quantities as you may reasonably request.</w:t>
      </w:r>
    </w:p>
    <w:p>
      <w:pPr>
        <w:spacing w:after="0" w:line="164" w:lineRule="exact"/>
        <w:rPr>
          <w:rFonts w:ascii="Arial" w:cs="Arial" w:eastAsia="Arial" w:hAnsi="Arial"/>
          <w:sz w:val="16"/>
          <w:szCs w:val="16"/>
          <w:color w:val="auto"/>
        </w:rPr>
      </w:pPr>
    </w:p>
    <w:p>
      <w:pPr>
        <w:jc w:val="both"/>
        <w:ind w:firstLine="1304"/>
        <w:spacing w:after="0" w:line="285" w:lineRule="auto"/>
        <w:tabs>
          <w:tab w:leader="none" w:pos="1554" w:val="left"/>
        </w:tabs>
        <w:numPr>
          <w:ilvl w:val="2"/>
          <w:numId w:val="22"/>
        </w:numPr>
        <w:rPr>
          <w:rFonts w:ascii="Arial" w:cs="Arial" w:eastAsia="Arial" w:hAnsi="Arial"/>
          <w:sz w:val="16"/>
          <w:szCs w:val="16"/>
          <w:color w:val="auto"/>
        </w:rPr>
      </w:pPr>
      <w:r>
        <w:rPr>
          <w:rFonts w:ascii="Arial" w:cs="Arial" w:eastAsia="Arial" w:hAnsi="Arial"/>
          <w:sz w:val="16"/>
          <w:szCs w:val="16"/>
          <w:u w:val="single" w:color="auto"/>
          <w:color w:val="auto"/>
        </w:rPr>
        <w:t>Amendment to Prospectus</w:t>
      </w:r>
      <w:r>
        <w:rPr>
          <w:rFonts w:ascii="Arial" w:cs="Arial" w:eastAsia="Arial" w:hAnsi="Arial"/>
          <w:sz w:val="16"/>
          <w:szCs w:val="16"/>
          <w:color w:val="auto"/>
        </w:rPr>
        <w:t>. If, at any time when a prospectus relating to the Securities is required to be delivered under the Act (including in circumstances where such requirement may be satisfied pursuant to Rule 172),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or supplement the Prospectus to comply with the Act or the rules thereunder, the Company promptly will (i) notify the Representative of any such event;</w:t>
      </w:r>
    </w:p>
    <w:p>
      <w:pPr>
        <w:spacing w:after="0" w:line="1" w:lineRule="exact"/>
        <w:rPr>
          <w:rFonts w:ascii="Arial" w:cs="Arial" w:eastAsia="Arial" w:hAnsi="Arial"/>
          <w:sz w:val="16"/>
          <w:szCs w:val="16"/>
          <w:color w:val="auto"/>
        </w:rPr>
      </w:pPr>
    </w:p>
    <w:p>
      <w:pPr>
        <w:jc w:val="both"/>
        <w:ind w:firstLine="8"/>
        <w:spacing w:after="0" w:line="255"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prepare and file with the Commission, subject to the second sentence of paragraph (a) of this Section 5, an amendment or supplement which will correct such statement or omission or effect such compliance; and (iii) supply any supplemented Prospectus to you in such quantities as you may reasonably request.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1304"/>
        <w:spacing w:after="0" w:line="263" w:lineRule="auto"/>
        <w:tabs>
          <w:tab w:leader="none" w:pos="1551"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Delivery of Earnings Statements</w:t>
      </w:r>
      <w:r>
        <w:rPr>
          <w:rFonts w:ascii="Arial" w:cs="Arial" w:eastAsia="Arial" w:hAnsi="Arial"/>
          <w:sz w:val="18"/>
          <w:szCs w:val="18"/>
          <w:color w:val="auto"/>
        </w:rPr>
        <w:t>. As soon as practicable, the Company will make generally available to its security holders and to the Representative an earnings statement or statements of the Company and its subsidiaries which will satisfy the provisions of Section 11(a) of the Act and Rule 158.</w:t>
      </w:r>
    </w:p>
    <w:p>
      <w:pPr>
        <w:spacing w:after="0" w:line="183" w:lineRule="exact"/>
        <w:rPr>
          <w:rFonts w:ascii="Arial" w:cs="Arial" w:eastAsia="Arial" w:hAnsi="Arial"/>
          <w:sz w:val="18"/>
          <w:szCs w:val="18"/>
          <w:color w:val="auto"/>
        </w:rPr>
      </w:pPr>
    </w:p>
    <w:p>
      <w:pPr>
        <w:jc w:val="both"/>
        <w:ind w:firstLine="1304"/>
        <w:spacing w:after="0" w:line="296" w:lineRule="auto"/>
        <w:tabs>
          <w:tab w:leader="none" w:pos="1554"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Delivery of Documents</w:t>
      </w:r>
      <w:r>
        <w:rPr>
          <w:rFonts w:ascii="Arial" w:cs="Arial" w:eastAsia="Arial" w:hAnsi="Arial"/>
          <w:sz w:val="16"/>
          <w:szCs w:val="16"/>
          <w:color w:val="auto"/>
        </w:rPr>
        <w:t>. The Company will furnish to the Representative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Prospectus and any supplement thereto as the Representative may reasonably request. The Company will pay the expenses of printing or other production of all documents s relating to the Offering.</w:t>
      </w:r>
    </w:p>
    <w:p>
      <w:pPr>
        <w:spacing w:after="0" w:line="161" w:lineRule="exact"/>
        <w:rPr>
          <w:rFonts w:ascii="Arial" w:cs="Arial" w:eastAsia="Arial" w:hAnsi="Arial"/>
          <w:sz w:val="16"/>
          <w:szCs w:val="16"/>
          <w:color w:val="auto"/>
        </w:rPr>
      </w:pPr>
    </w:p>
    <w:p>
      <w:pPr>
        <w:jc w:val="both"/>
        <w:ind w:firstLine="1304"/>
        <w:spacing w:after="0" w:line="257" w:lineRule="auto"/>
        <w:tabs>
          <w:tab w:leader="none" w:pos="1521"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Qualification of Securities</w:t>
      </w:r>
      <w:r>
        <w:rPr>
          <w:rFonts w:ascii="Arial" w:cs="Arial" w:eastAsia="Arial" w:hAnsi="Arial"/>
          <w:sz w:val="18"/>
          <w:szCs w:val="18"/>
          <w:color w:val="auto"/>
        </w:rPr>
        <w:t xml:space="preserve">. The Company will arrange, if necessary, for the qualification of the Securities for sale under the laws of such jurisdictions as the Representative may designate and will maintain such qualifications in effect so long as required for the distribution of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187" w:lineRule="exact"/>
        <w:rPr>
          <w:rFonts w:ascii="Arial" w:cs="Arial" w:eastAsia="Arial" w:hAnsi="Arial"/>
          <w:sz w:val="18"/>
          <w:szCs w:val="18"/>
          <w:color w:val="auto"/>
        </w:rPr>
      </w:pPr>
    </w:p>
    <w:p>
      <w:pPr>
        <w:jc w:val="both"/>
        <w:ind w:firstLine="1304"/>
        <w:spacing w:after="0" w:line="284" w:lineRule="auto"/>
        <w:tabs>
          <w:tab w:leader="none" w:pos="1551"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Lock-Up</w:t>
      </w:r>
      <w:r>
        <w:rPr>
          <w:rFonts w:ascii="Arial" w:cs="Arial" w:eastAsia="Arial" w:hAnsi="Arial"/>
          <w:sz w:val="16"/>
          <w:szCs w:val="16"/>
          <w:color w:val="auto"/>
        </w:rPr>
        <w:t>. The Company will not, without the prior written consent of the Representative, offer, sell, contract to sell, pledge, hedge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other Units, shares of Common Stock, Warrants or any securities convertible into, or exercisable, or exchangeable for, shares of Common Stock or publicly announce an intention to effect any such transaction during the period commencing on the date hereof and ending 180 days after the date of this Agreement; provided, however, that the Company may (1) issue and sell the Private Placement Warrants,</w:t>
      </w:r>
    </w:p>
    <w:p>
      <w:pPr>
        <w:jc w:val="both"/>
        <w:ind w:firstLine="8"/>
        <w:spacing w:after="0" w:line="253"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issue and sell the Option Securities on exercise of the option provided for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 (3) issue shares of Common Stock or any securities convertible into, or exchangeable for, shares of Common Stock in connection with a Business Combination, and (4) register with the Commission pursuant to the Registration Rights Agreement, in accordance with the terms of the Registration Rights Agreement, the resale of the Founder Shares, the Private Placement Warrants and the shares of Common Stock issuable upon exercise thereof.</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55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No Stabilization or Manipulation</w:t>
      </w:r>
      <w:r>
        <w:rPr>
          <w:rFonts w:ascii="Arial" w:cs="Arial" w:eastAsia="Arial" w:hAnsi="Arial"/>
          <w:sz w:val="18"/>
          <w:szCs w:val="18"/>
          <w:color w:val="auto"/>
        </w:rPr>
        <w:t>. 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jc w:val="both"/>
        <w:ind w:firstLine="1304"/>
        <w:spacing w:after="0" w:line="268" w:lineRule="auto"/>
        <w:tabs>
          <w:tab w:leader="none" w:pos="1538"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Payment of Expenses</w:t>
      </w:r>
      <w:r>
        <w:rPr>
          <w:rFonts w:ascii="Arial" w:cs="Arial" w:eastAsia="Arial" w:hAnsi="Arial"/>
          <w:sz w:val="17"/>
          <w:szCs w:val="17"/>
          <w:color w:val="auto"/>
        </w:rPr>
        <w:t>. 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amendment or supplement to any of them; (ii) the printing (or reproduction) and delivery (including postage, air freight charges and charges for counting and packaging) of such copies of the Registration Statement, each Preliminary Prospectus, the Prospectus and all amendments or supplements to any of them, as may, in each case, be reasonably requested for use in connection with the offering and sale of the Securities; (iii) the preparation, printing, authentication, issuance and delivery of certificates, if any, for the Securities, including any stamp or transfer taxes in connection with the original issuance and sale of the Securities; (iv) the printing (or reproduction) and delivery of this Agreement, and all other agreements or documents printed (or reproduced) and delivered in connection with the Offering; (v) the registration of the Securities under the Exchange Act and the listing of the Securities on the New York Stock Exchange; (vi) the printing and delivery of a preliminary blue sky memorandum, any registration or qualification of the Securities for offer and sale under the securities or blue sky laws of the several U.S. States (including filing fees and the reasonable and documented fees and expenses of counsel for the Underwriters relating to such registration and qualification); (vii) any filings required to be made with FINRA (including filing fees and up to $20,000 for the reasonable and documented fees and expenses of counsel for the Underwriters relating to such filings); (viii) the transportation and other expenses incurred by the Company and its executive officers (and not the Underwriters) in connection with presentations to prospective purchasers of the Securities; (ix) the fees and expenses of the Company’s accountants and the fees and expenses of counsel (including local and special counsel) for the Company; and (x) all other costs and expenses incident to the performance by the Company of its obligations hereunder.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1304"/>
        <w:spacing w:after="0" w:line="263" w:lineRule="auto"/>
        <w:tabs>
          <w:tab w:leader="none" w:pos="151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The Company agrees that it will not make any offer relating to the Securities that would constitute an Issuer Free Writing Prospectus or that would otherwise constitute a “free writing prospectus” (as defined in Rule 405) required to be filed by the Company with the Commission or retained by the Company under Rule 433.</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551"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Maintenance of Registration</w:t>
      </w:r>
      <w:r>
        <w:rPr>
          <w:rFonts w:ascii="Arial" w:cs="Arial" w:eastAsia="Arial" w:hAnsi="Arial"/>
          <w:sz w:val="17"/>
          <w:szCs w:val="17"/>
          <w:color w:val="auto"/>
        </w:rPr>
        <w:t>. For a period of at least five (5) years from the Effective Date, or until such earlier time upon which the Company is required to be liquidated, the Company will use its best efforts to maintain the registration of the Units, Common Stock and Warrants under the provisions of the Exchange Act, except after giving effect to a going private transaction after the completion of an Initial Business Combination. The Company will not deregister the Units, Common Stock or Warrants under the Exchange Act (except in connection with a going private transaction after the completion of an Initial Business Combination) without the prior consent of the Representative.</w:t>
      </w:r>
    </w:p>
    <w:p>
      <w:pPr>
        <w:spacing w:after="0" w:line="176" w:lineRule="exact"/>
        <w:rPr>
          <w:rFonts w:ascii="Arial" w:cs="Arial" w:eastAsia="Arial" w:hAnsi="Arial"/>
          <w:sz w:val="17"/>
          <w:szCs w:val="17"/>
          <w:color w:val="auto"/>
        </w:rPr>
      </w:pPr>
    </w:p>
    <w:p>
      <w:pPr>
        <w:jc w:val="both"/>
        <w:ind w:firstLine="1304"/>
        <w:spacing w:after="0" w:line="272" w:lineRule="auto"/>
        <w:tabs>
          <w:tab w:leader="none" w:pos="1511"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Form 8-K</w:t>
      </w:r>
      <w:r>
        <w:rPr>
          <w:rFonts w:ascii="Arial" w:cs="Arial" w:eastAsia="Arial" w:hAnsi="Arial"/>
          <w:sz w:val="17"/>
          <w:szCs w:val="17"/>
          <w:color w:val="auto"/>
        </w:rPr>
        <w:t>. The Company shall, on the date hereof, retain its independent registered public accounting firm to audit the balance sheet of the Company as of the Closing Date (the “</w:t>
      </w:r>
      <w:r>
        <w:rPr>
          <w:rFonts w:ascii="Arial" w:cs="Arial" w:eastAsia="Arial" w:hAnsi="Arial"/>
          <w:sz w:val="17"/>
          <w:szCs w:val="17"/>
          <w:u w:val="single" w:color="auto"/>
          <w:color w:val="auto"/>
        </w:rPr>
        <w:t>Audited Balance Sheet</w:t>
      </w:r>
      <w:r>
        <w:rPr>
          <w:rFonts w:ascii="Arial" w:cs="Arial" w:eastAsia="Arial" w:hAnsi="Arial"/>
          <w:sz w:val="17"/>
          <w:szCs w:val="17"/>
          <w:color w:val="auto"/>
        </w:rPr>
        <w:t xml:space="preserve">”) reflecting the receipt by the Company of the proceeds of the Offering on the Closing Date. As soon as the Audited Balance Sheet becomes available, the Company shall promptly, but not later than four Business Days after the Closing Date, file the Closing Form 8-K with the Commission, which shall contain the Company’s Audited Balance Sheet. Additionally, if not disclosed on the Closing Form 8-K, upon the Company’s receipt of the proceeds from the exercise of all or any portion of the option provided for in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hereof, the Company shall promptly, but not later than four Business Days after the receipt of such proceeds, file a Current Report on Form 8-K with the Commission, which report shall disclose the Company’s sale of the Option Securities and its receipt of the proceeds therefrom.</w:t>
      </w:r>
    </w:p>
    <w:p>
      <w:pPr>
        <w:spacing w:after="0" w:line="177" w:lineRule="exact"/>
        <w:rPr>
          <w:rFonts w:ascii="Arial" w:cs="Arial" w:eastAsia="Arial" w:hAnsi="Arial"/>
          <w:sz w:val="17"/>
          <w:szCs w:val="17"/>
          <w:color w:val="auto"/>
        </w:rPr>
      </w:pPr>
    </w:p>
    <w:p>
      <w:pPr>
        <w:jc w:val="both"/>
        <w:ind w:firstLine="1304"/>
        <w:spacing w:after="0" w:line="296" w:lineRule="auto"/>
        <w:tabs>
          <w:tab w:leader="none" w:pos="160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Review of Financial Statements</w:t>
      </w:r>
      <w:r>
        <w:rPr>
          <w:rFonts w:ascii="Arial" w:cs="Arial" w:eastAsia="Arial" w:hAnsi="Arial"/>
          <w:sz w:val="16"/>
          <w:szCs w:val="16"/>
          <w:color w:val="auto"/>
        </w:rPr>
        <w:t>. For a period commencing on the Effective Date and ending at least five (5) years from the date of the consummation of the Initial Business Combination or until such earlier time at which the Company is required to be liquidated or the Common Stock and Warrants cease to be publicly traded, the Company, at its expense, shall cause its regularly engaged independent registered public accounting firm to review (but not audit) the Company’s financial statements for each of the first three fiscal quarters prior to the announcement of quarterly financial information, the filing of the Company’s Form 10-Q quarterly report and the mailing, if any, of quarterly financial information to stockholders.</w:t>
      </w:r>
    </w:p>
    <w:p>
      <w:pPr>
        <w:spacing w:after="0" w:line="161" w:lineRule="exact"/>
        <w:rPr>
          <w:rFonts w:ascii="Arial" w:cs="Arial" w:eastAsia="Arial" w:hAnsi="Arial"/>
          <w:sz w:val="16"/>
          <w:szCs w:val="16"/>
          <w:color w:val="auto"/>
        </w:rPr>
      </w:pPr>
    </w:p>
    <w:p>
      <w:pPr>
        <w:jc w:val="both"/>
        <w:ind w:firstLine="1304"/>
        <w:spacing w:after="0" w:line="255" w:lineRule="auto"/>
        <w:tabs>
          <w:tab w:leader="none" w:pos="155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Publicly Available Statements and Reports</w:t>
      </w:r>
      <w:r>
        <w:rPr>
          <w:rFonts w:ascii="Arial" w:cs="Arial" w:eastAsia="Arial" w:hAnsi="Arial"/>
          <w:sz w:val="18"/>
          <w:szCs w:val="18"/>
          <w:color w:val="auto"/>
        </w:rPr>
        <w:t>. For a period of five (5) years from the Effective Date or until such earlier time that the Company is required to be liquidated or the Common Stock and Warrants cease to be publicly traded, the Company will furnish to the Representative such copies of financial statements and other periodic and special reports as the Company from time to time furnishes generally to holders of any class of its securities and such additional documents and information with respect to the Company as the Representative may from time to time reasonably request. Any financial statements and reports filed on the Commission’s EDGAR website or otherwise available on the Company’s website will be considered furnished for purposes of this section.</w:t>
      </w:r>
    </w:p>
    <w:p>
      <w:pPr>
        <w:spacing w:after="0" w:line="192" w:lineRule="exact"/>
        <w:rPr>
          <w:rFonts w:ascii="Arial" w:cs="Arial" w:eastAsia="Arial" w:hAnsi="Arial"/>
          <w:sz w:val="18"/>
          <w:szCs w:val="18"/>
          <w:color w:val="auto"/>
        </w:rPr>
      </w:pPr>
    </w:p>
    <w:p>
      <w:pPr>
        <w:jc w:val="both"/>
        <w:ind w:firstLine="1304"/>
        <w:spacing w:after="0" w:line="275" w:lineRule="auto"/>
        <w:tabs>
          <w:tab w:leader="none" w:pos="1578"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Affiliate Transactions</w:t>
      </w:r>
      <w:r>
        <w:rPr>
          <w:rFonts w:ascii="Arial" w:cs="Arial" w:eastAsia="Arial" w:hAnsi="Arial"/>
          <w:sz w:val="17"/>
          <w:szCs w:val="17"/>
          <w:color w:val="auto"/>
        </w:rPr>
        <w:t>. Except as disclosed in the Registration Statement, the Company shall not pay the Sponsor, any of the Company’s directors or executive officers, any special advisor, or any of the Company’s or their respective affiliates any fees or compensation of any kind (including finder’s and consulting fees reimbursement, monies in respect of any payment of a loan or other compensation paid by the Company to the Sponsor, the Company’s executive officers, directors or any of their respective affiliates, except as otherwise disclosed in the Registration Statement) for services rendered to the Company prior to, or in connection with, the consummation of the Initial Business Combination.</w:t>
      </w:r>
    </w:p>
    <w:p>
      <w:pPr>
        <w:spacing w:after="0" w:line="176" w:lineRule="exact"/>
        <w:rPr>
          <w:rFonts w:ascii="Arial" w:cs="Arial" w:eastAsia="Arial" w:hAnsi="Arial"/>
          <w:sz w:val="17"/>
          <w:szCs w:val="17"/>
          <w:color w:val="auto"/>
        </w:rPr>
      </w:pPr>
    </w:p>
    <w:p>
      <w:pPr>
        <w:ind w:firstLine="1304"/>
        <w:spacing w:after="0" w:line="342" w:lineRule="auto"/>
        <w:tabs>
          <w:tab w:leader="none" w:pos="155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Net Proceeds</w:t>
      </w:r>
      <w:r>
        <w:rPr>
          <w:rFonts w:ascii="Arial" w:cs="Arial" w:eastAsia="Arial" w:hAnsi="Arial"/>
          <w:sz w:val="16"/>
          <w:szCs w:val="16"/>
          <w:color w:val="auto"/>
        </w:rPr>
        <w:t>. The Company will apply the net proceeds from the Offering and the sale of the Private Placement Warrants received by it in a manner consistent with the applications described under the caption “Use of Proceeds” in the Statutory Prospectus and the Prospectus.</w:t>
      </w:r>
    </w:p>
    <w:p>
      <w:pPr>
        <w:spacing w:after="0" w:line="123" w:lineRule="exact"/>
        <w:rPr>
          <w:rFonts w:ascii="Arial" w:cs="Arial" w:eastAsia="Arial" w:hAnsi="Arial"/>
          <w:sz w:val="16"/>
          <w:szCs w:val="16"/>
          <w:color w:val="auto"/>
        </w:rPr>
      </w:pPr>
    </w:p>
    <w:p>
      <w:pPr>
        <w:ind w:left="1560" w:hanging="256"/>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Notice to FINRA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69" w:lineRule="auto"/>
        <w:tabs>
          <w:tab w:leader="none" w:pos="2211" w:val="left"/>
        </w:tabs>
        <w:numPr>
          <w:ilvl w:val="1"/>
          <w:numId w:val="26"/>
        </w:numPr>
        <w:rPr>
          <w:rFonts w:ascii="Arial" w:cs="Arial" w:eastAsia="Arial" w:hAnsi="Arial"/>
          <w:sz w:val="17"/>
          <w:szCs w:val="17"/>
          <w:color w:val="auto"/>
        </w:rPr>
      </w:pPr>
      <w:r>
        <w:rPr>
          <w:rFonts w:ascii="Arial" w:cs="Arial" w:eastAsia="Arial" w:hAnsi="Arial"/>
          <w:sz w:val="17"/>
          <w:szCs w:val="17"/>
          <w:color w:val="auto"/>
        </w:rPr>
        <w:t>For a period of 90 days following the Effective Date, in 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Initial Business Combination for purposes of offering redemption of shares held by its stockholders or for soliciting stockholder approval, as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660" w:firstLine="1292"/>
        <w:spacing w:after="0" w:line="308" w:lineRule="auto"/>
        <w:tabs>
          <w:tab w:leader="none" w:pos="2211"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Company shall advise FINRA, the Representative and its counsel if it is aware that any 5% or greater stockholder of the Company becomes an affiliate or associated person of a Member participating in the distribution of the Company’s Securities.</w:t>
      </w:r>
    </w:p>
    <w:p>
      <w:pPr>
        <w:spacing w:after="0" w:line="146" w:lineRule="exact"/>
        <w:rPr>
          <w:rFonts w:ascii="Arial" w:cs="Arial" w:eastAsia="Arial" w:hAnsi="Arial"/>
          <w:sz w:val="17"/>
          <w:szCs w:val="17"/>
          <w:color w:val="auto"/>
        </w:rPr>
      </w:pPr>
    </w:p>
    <w:p>
      <w:pPr>
        <w:jc w:val="both"/>
        <w:ind w:firstLine="1304"/>
        <w:spacing w:after="0" w:line="254" w:lineRule="auto"/>
        <w:tabs>
          <w:tab w:leader="none" w:pos="152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shall cause the proceeds of the Offering and the sale of Private Placement Warrants to be held in the Trust Account to be invested only in United States “government securities” within the meaning of Section 2(a)(16) of the Investment Company Act of 1940 having a maturity of 185 days or less or in money market funds meeting certain conditions under Rule 2a-7 promulgated under the Investment Company Act which invest only in direct U.S. government treasury obligations, as set forth in the Trust Agreement and disclosed in the Statutory Prospectus and the Prospectus. The Company will otherwise conduct its business in a manner so that it will not become subject to the Investment Company Act. Furthermore, once the Company consummates the Initial Business Combination, it will be engaged in a business other than that of investing, reinvesting, owning, holding or trading securities.</w:t>
      </w:r>
    </w:p>
    <w:p>
      <w:pPr>
        <w:spacing w:after="0" w:line="194" w:lineRule="exact"/>
        <w:rPr>
          <w:rFonts w:ascii="Arial" w:cs="Arial" w:eastAsia="Arial" w:hAnsi="Arial"/>
          <w:sz w:val="18"/>
          <w:szCs w:val="18"/>
          <w:color w:val="auto"/>
        </w:rPr>
      </w:pPr>
    </w:p>
    <w:p>
      <w:pPr>
        <w:jc w:val="both"/>
        <w:ind w:firstLine="1304"/>
        <w:spacing w:after="0" w:line="263" w:lineRule="auto"/>
        <w:tabs>
          <w:tab w:leader="none" w:pos="153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the exercise of any of the Warrants and the Private Placement Warrants outstanding from time to time and the conversion of the Founder Shares.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3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Prior to the consummation of the Initial Business Combination or the liquidation of the Trust Account, the Company shall not issue any Common Stock, Warrants or any options or other securities convertible into Common Stock, or any shares of preferred stock, in each case, which participate in any manner in the Trust Account or which vote as a class with the shares of Common Stock on an Initial Business Combination.</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6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Independent Director Review of Expenses</w:t>
      </w:r>
      <w:r>
        <w:rPr>
          <w:rFonts w:ascii="Arial" w:cs="Arial" w:eastAsia="Arial" w:hAnsi="Arial"/>
          <w:sz w:val="18"/>
          <w:szCs w:val="18"/>
          <w:color w:val="auto"/>
        </w:rPr>
        <w:t>. Prior to the consummation of the Initial Business Combination or the liquidation of the Trust, the Company shall cause its Board of Directors to review and approve all payments made to the Sponsor, any of the Company’s directors or executive officers, any special advisor, or any of the Company’s or their respective affiliates, with any interested directors abstaining from such review and approval.</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1551"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the Initial Business Combination, including, but not limited to, using its best efforts to prevent any of the Company’s outstanding securities from being deemed to be a “penny stock” as defined in Rule 3a-51-1 under the Exchange Act during such period.</w:t>
      </w:r>
    </w:p>
    <w:p>
      <w:pPr>
        <w:spacing w:after="0" w:line="165" w:lineRule="exact"/>
        <w:rPr>
          <w:rFonts w:ascii="Arial" w:cs="Arial" w:eastAsia="Arial" w:hAnsi="Arial"/>
          <w:sz w:val="17"/>
          <w:szCs w:val="17"/>
          <w:color w:val="auto"/>
        </w:rPr>
      </w:pPr>
    </w:p>
    <w:p>
      <w:pPr>
        <w:jc w:val="both"/>
        <w:ind w:firstLine="1304"/>
        <w:spacing w:after="0" w:line="255" w:lineRule="auto"/>
        <w:tabs>
          <w:tab w:leader="none" w:pos="161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Internal Controls</w:t>
      </w:r>
      <w:r>
        <w:rPr>
          <w:rFonts w:ascii="Arial" w:cs="Arial" w:eastAsia="Arial" w:hAnsi="Arial"/>
          <w:sz w:val="18"/>
          <w:szCs w:val="18"/>
          <w:color w:val="auto"/>
        </w:rPr>
        <w:t>. The Company will maintain “disclosure controls and procedures” (as defined under Rule 13a-15(e) under the Exchange Act) and a system of internal accounting controls sufficient to provide reasonable assurances that: (1) transactions are executed in accordance with management’s general or specific authorization, (2) transactions are recorded as necessary in order to permit preparation of financial statements in accordance with GAAP and to maintain accountability for assets, (3) access to assets is permitted only in accordance with management’s general or specific authorization, and (4) the recorded accountability for assets is compared with existing assets at reasonable intervals and appropriate action is taken with respect to any differences.</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156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Sarbanes-Oxley, New York Stock Exchange Listing Standards</w:t>
      </w:r>
      <w:r>
        <w:rPr>
          <w:rFonts w:ascii="Arial" w:cs="Arial" w:eastAsia="Arial" w:hAnsi="Arial"/>
          <w:sz w:val="18"/>
          <w:szCs w:val="18"/>
          <w:color w:val="auto"/>
        </w:rPr>
        <w:t>. As soon as legally required to do so, the Company and its directors and executive officers, in their capacities as such, shall take all actions necessary to comply with any applicable provision of the Sarbanes-Oxley Act, including Section 402 related to loans and Sections 302 and 906 related to certifications, and to comply with the New York Stock Exchange’s Listing Standards.</w:t>
      </w:r>
    </w:p>
    <w:p>
      <w:pPr>
        <w:spacing w:after="0" w:line="186" w:lineRule="exact"/>
        <w:rPr>
          <w:rFonts w:ascii="Arial" w:cs="Arial" w:eastAsia="Arial" w:hAnsi="Arial"/>
          <w:sz w:val="18"/>
          <w:szCs w:val="18"/>
          <w:color w:val="auto"/>
        </w:rPr>
      </w:pPr>
    </w:p>
    <w:p>
      <w:pPr>
        <w:ind w:firstLine="1304"/>
        <w:spacing w:after="0" w:line="277" w:lineRule="auto"/>
        <w:tabs>
          <w:tab w:leader="none" w:pos="155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Violation of Amended and Restated Certificate of Incorporation</w:t>
      </w:r>
      <w:r>
        <w:rPr>
          <w:rFonts w:ascii="Arial" w:cs="Arial" w:eastAsia="Arial" w:hAnsi="Arial"/>
          <w:sz w:val="18"/>
          <w:szCs w:val="18"/>
          <w:color w:val="auto"/>
        </w:rPr>
        <w:t>. The Company shall not take any action or omit to take any action that would cause the Company to be in breach or violation of its Amended and Restated Certificate of Incorporation.</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Transfer and Warrant Agent.</w:t>
      </w:r>
      <w:r>
        <w:rPr>
          <w:rFonts w:ascii="Arial" w:cs="Arial" w:eastAsia="Arial" w:hAnsi="Arial"/>
          <w:sz w:val="18"/>
          <w:szCs w:val="18"/>
          <w:color w:val="auto"/>
        </w:rPr>
        <w:t xml:space="preserve"> For a period commencing on the Effective Date and ending at least five (5) years from the date of the consummation of the initial Business Combination or until such earlier time at which the company is required to be liquidated or the Common Stock and Warrants cease to be publicly traded, the Company shall retain a transfer and warrant agent.</w:t>
      </w:r>
    </w:p>
    <w:p>
      <w:pPr>
        <w:spacing w:after="0" w:line="184" w:lineRule="exact"/>
        <w:rPr>
          <w:sz w:val="20"/>
          <w:szCs w:val="20"/>
          <w:color w:val="auto"/>
        </w:rPr>
      </w:pPr>
    </w:p>
    <w:p>
      <w:pPr>
        <w:ind w:left="1620" w:hanging="316"/>
        <w:spacing w:after="0"/>
        <w:tabs>
          <w:tab w:leader="none" w:pos="162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Initial Business Combination</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left="660" w:firstLine="1292"/>
        <w:spacing w:after="0" w:line="273" w:lineRule="auto"/>
        <w:tabs>
          <w:tab w:leader="none" w:pos="2251"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Trust Account Waiver Acknowledgment</w:t>
      </w:r>
      <w:r>
        <w:rPr>
          <w:rFonts w:ascii="Arial" w:cs="Arial" w:eastAsia="Arial" w:hAnsi="Arial"/>
          <w:sz w:val="17"/>
          <w:szCs w:val="17"/>
          <w:color w:val="auto"/>
        </w:rPr>
        <w:t>. The Company will seek to have all vendors, service providers (other than independent accountants), prospective target businesses or other entities with which it does business enter into agreements waiving any right, title, interest or claim of any kind in or to any monies held in the Trust Account for the benefit of the Public Stockholders. If a prospective target business or vendors, service providers or third party were to refuse to enter into such a waiver, management will perform an analysis of the alternatives available to it and will only enter into an agreement with a third party that has not executed a waiver if management believes that such third party’s engagement would be significantly more beneficial than any alternative.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left="4" w:firstLine="1292"/>
        <w:spacing w:after="0" w:line="284" w:lineRule="auto"/>
        <w:tabs>
          <w:tab w:leader="none" w:pos="1555"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Initial Business Combination/Distribution Procedure</w:t>
      </w:r>
      <w:r>
        <w:rPr>
          <w:rFonts w:ascii="Arial" w:cs="Arial" w:eastAsia="Arial" w:hAnsi="Arial"/>
          <w:sz w:val="16"/>
          <w:szCs w:val="16"/>
          <w:color w:val="auto"/>
        </w:rPr>
        <w:t>. The Company may consummate the Initial Business Combination and conduct redemptions of Common Stock for cash upon consummation of such Initial Business Combination without a stockholder vote pursuant to Rule 13e-4 and Regulation 14E of the Exchange Act, including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stockholder of the Company with the opportunity prior to the consummation of the Initial Business Combination to redeem the Common Stock held by such stockholder for an amount of cash equal to (A) the aggregate amount then on deposit in the Trust Account as of two Business Days prior to the consummation of the Initial Business Combination representing</w:t>
      </w:r>
    </w:p>
    <w:p>
      <w:pPr>
        <w:spacing w:after="0" w:line="2" w:lineRule="exact"/>
        <w:rPr>
          <w:rFonts w:ascii="Arial" w:cs="Arial" w:eastAsia="Arial" w:hAnsi="Arial"/>
          <w:sz w:val="16"/>
          <w:szCs w:val="16"/>
          <w:color w:val="auto"/>
        </w:rPr>
      </w:pPr>
    </w:p>
    <w:p>
      <w:pPr>
        <w:jc w:val="both"/>
        <w:ind w:left="4" w:hanging="4"/>
        <w:spacing w:after="0" w:line="282" w:lineRule="auto"/>
        <w:tabs>
          <w:tab w:leader="none" w:pos="25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proceeds held in the Trust Account from the Offering and the sale of the Private Placement Warrants and (y) any interest (which shall be net of amounts withdrawn to fund the Company’s working capital requirements, subject to an annual limit of $1,000,000 and/or to pay taxes), divided by (B) the total number of Public Shares then outstanding. In the event the Company conducts redemptions pursuant to the tender offer rules, the Company’s offer to redeem will remain open for at least 20 Business Days, in accordance with Rule 14e-1(a) under the Exchange Act, and the Company will not be permitted to complete the Initial Business Combination until the expiration of the tender offer period. If, however, the Company elects not to file such tender offer documents, a stockholder vote is required by law or stock exchange listing requirement in connection with the Initial Business Combination, or the Company decides to hold a stockholder vote for business or other legal reasons, the Company will submit such Initial Business Combination to the Company’s stockholders for their approval (“</w:t>
      </w:r>
      <w:r>
        <w:rPr>
          <w:rFonts w:ascii="Arial" w:cs="Arial" w:eastAsia="Arial" w:hAnsi="Arial"/>
          <w:sz w:val="16"/>
          <w:szCs w:val="16"/>
          <w:u w:val="single" w:color="auto"/>
          <w:color w:val="auto"/>
        </w:rPr>
        <w:t>Business Combination Vote</w:t>
      </w:r>
      <w:r>
        <w:rPr>
          <w:rFonts w:ascii="Arial" w:cs="Arial" w:eastAsia="Arial" w:hAnsi="Arial"/>
          <w:sz w:val="16"/>
          <w:szCs w:val="16"/>
          <w:color w:val="auto"/>
        </w:rPr>
        <w:t>”). The company will give not less than 10 days nor more than 60 days prior written notice of any such meeting, if required, at which a Business Combination Vote shall be taken. With respect to the Business Combination Vote, the Sponsor and the Company’s initial stockholders, executive officers and directors have agreed to vote all of their Founder Shares and Public Shares in favor of the Company’s initial Business Combination. If the Company seeks stockholder approval of the Initial Business Combination, the Company will offer to each Public Stockholder holding shares of Common Stock the right to have its shares redeemed in conjunction with a proxy solicitation pursuant to the proxy rules of the Commission at a per share redemption price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equal to (I) the aggregate amount then on deposit in the Trust Account as of two Business Days prior to the consummation of the Initial Business Combination representing (1) the proceeds held in the Trust Account from the Offering and the sale of the Private Placement Warrants and (2) any interest, (which shall be net of amounts withdrawn to fund the Company’s working capital requirements, subject to an annual limit of $1,000,000 and/or to pay taxes), divided by (II) the total number of Public Shares then outstanding. The Company may proceed with such Initial Business Combination only if a majority of the shares voted are voted to approve such Initial Business Combination. If, after seeking and receiving such stockholder approval, the Company elects to so proceed, it will redeem shares, at the Redemption Price, from those Public Stockholders who affirmatively requested such redemption. Only Public Stockholders holding Common Stock who properly exercise their redemption rights, in accordance with the applicable tender offer or proxy materials related to such Initial Business Combination, shall be entitled to receive distributions from the Trust Account in connection with an Initial Business Combination, and the Company shall pay no distributions with respect to any other holders or shares of capital stock of the Company in connection therewith. In the event that the Company does not effect an Initial Business Combination within the time period set forth in the Amended and Restated Certificate of Incorporation, the Company will (i) cease all operations except for the purpose of winding up, (ii) as promptly as reasonably possible but not more than ten (10) Business Days thereafter, redeem 100% of the Public Shares, at a per-share price, payable in cash, equal to the aggregate amount then on deposit in the Trust Account, including any interest (which shall be net of amounts withdrawn to fund the Company’s working capital requirements, subject to an annual limit of $1,000,000 and/or to pay taxes and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Only Public Stockholders holding Common Stock included in the Securities shall be entitled to receive such redemption amounts and the Company shall pay no such redemption amounts or any distributions in liquidation with respect to any other shares of capital stock of the Company. The Company will not propose any amendment to the Amended and Restated Certificate of Incorporation to modify the substance or timing of the Company’s obligation to provide for the redemption of the Public Shares in connection with an Initial Business Combination or to redeem 100% of its Public Shares if it does not complete its initial business combination within the time period set forth in the Amended and Restated Certificate of Incorporation, unless it provides its public stockholders with the opportunity to redeem their shares of Class A common stock upon approval of any such amendment, as described in the Statutory Prospectus and Prospectus.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1" w:name="page22"/>
    <w:bookmarkEnd w:id="21"/>
    <w:p>
      <w:pPr>
        <w:jc w:val="both"/>
        <w:ind w:left="660" w:firstLine="1292"/>
        <w:spacing w:after="0" w:line="254" w:lineRule="auto"/>
        <w:tabs>
          <w:tab w:leader="none" w:pos="2211"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event that the Company desires or is required by an applicable law or regulation to cause an announcement (“Business Combination Announcement”) to be placed in The Wall Street Journal, The New York Times or any other news or media publication or outlet or to be made via a public filing with the Commission announcing the consummation of the Initial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194" w:lineRule="exact"/>
        <w:rPr>
          <w:rFonts w:ascii="Arial" w:cs="Arial" w:eastAsia="Arial" w:hAnsi="Arial"/>
          <w:sz w:val="18"/>
          <w:szCs w:val="18"/>
          <w:color w:val="auto"/>
        </w:rPr>
      </w:pPr>
    </w:p>
    <w:p>
      <w:pPr>
        <w:jc w:val="both"/>
        <w:ind w:firstLine="1304"/>
        <w:spacing w:after="0" w:line="272" w:lineRule="auto"/>
        <w:tabs>
          <w:tab w:leader="none" w:pos="164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Deferred Compensation</w:t>
      </w:r>
      <w:r>
        <w:rPr>
          <w:rFonts w:ascii="Arial" w:cs="Arial" w:eastAsia="Arial" w:hAnsi="Arial"/>
          <w:sz w:val="17"/>
          <w:szCs w:val="17"/>
          <w:color w:val="auto"/>
        </w:rPr>
        <w:t>. Upon the consummation of the Initial Business Combination, the Company will cause the Trustee to pay to the Representative, on behalf of the Underwriters, the Deferred Discount. Payment of the Deferred Discount will be made out of the proceeds of the Offering held in the Trust Account. The Underwriters shall have no claim to payment of any interest earned on the portion of the proceeds held in the Trust Account representing the Deferred Discount. If the Company fails to consummate its Initial Business Combination within the time period prescribed in the Amended and Restated Certificate of Incorporation, the Deferred Discount will not be paid to the Representative and will, instead, be included in the liquidation distribution of the proceeds held in the Trust Account made to the Public Stockholders. In connection with any such liquidation distribution, the Underwriters will forfeit any rights or claims to the Deferred Discount.</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will use commercially reasonable efforts to effect and, for a period commencing on the Effective Date and ending at least five (5) years from the date of the consummation of the Initial Business Combination or until such earlier time at which the liquidation occurs or the Common Stock and Warrants cease to be publicly traded, maintain the listing of the Securities, Common Stock and Warrants on the New York Stock Exchange (or another national securities exchange).</w:t>
      </w:r>
    </w:p>
    <w:p>
      <w:pPr>
        <w:spacing w:after="0" w:line="186" w:lineRule="exact"/>
        <w:rPr>
          <w:rFonts w:ascii="Arial" w:cs="Arial" w:eastAsia="Arial" w:hAnsi="Arial"/>
          <w:sz w:val="18"/>
          <w:szCs w:val="18"/>
          <w:color w:val="auto"/>
        </w:rPr>
      </w:pPr>
    </w:p>
    <w:p>
      <w:pPr>
        <w:jc w:val="both"/>
        <w:ind w:firstLine="1304"/>
        <w:spacing w:after="0" w:line="255" w:lineRule="auto"/>
        <w:tabs>
          <w:tab w:leader="none" w:pos="16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to make the statements therein in the light of the circumstances under which they were made at such time not misleading, the Company will (i) notify promptly the Representative so that use of the Written Testing-the-Waters Communication may cease until it is amended or supplemented; (ii) amend or supplement the Written Testing-the-Waters Communication to correct such statement or omission; and (iii) supply any amendment or supplement to the Representative in such quantities as may be reasonably requested.</w:t>
      </w:r>
    </w:p>
    <w:p>
      <w:pPr>
        <w:spacing w:after="0" w:line="192" w:lineRule="exact"/>
        <w:rPr>
          <w:rFonts w:ascii="Arial" w:cs="Arial" w:eastAsia="Arial" w:hAnsi="Arial"/>
          <w:sz w:val="18"/>
          <w:szCs w:val="18"/>
          <w:color w:val="auto"/>
        </w:rPr>
      </w:pPr>
    </w:p>
    <w:p>
      <w:pPr>
        <w:jc w:val="both"/>
        <w:ind w:firstLine="1304"/>
        <w:spacing w:after="0" w:line="286" w:lineRule="auto"/>
        <w:tabs>
          <w:tab w:leader="none" w:pos="1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Company will promptly notify the Representative if the Company ceases to be an Emerging Growth Company at any time prior to the later of (a) completion of the distribution of the Securities within the meaning of the Act and (b) completion of the 180-day restricted period referred to in Section 5(g) hereof.</w:t>
      </w:r>
    </w:p>
    <w:p>
      <w:pPr>
        <w:spacing w:after="0" w:line="165" w:lineRule="exact"/>
        <w:rPr>
          <w:rFonts w:ascii="Arial" w:cs="Arial" w:eastAsia="Arial" w:hAnsi="Arial"/>
          <w:sz w:val="17"/>
          <w:szCs w:val="17"/>
          <w:color w:val="auto"/>
        </w:rPr>
      </w:pPr>
    </w:p>
    <w:p>
      <w:pPr>
        <w:jc w:val="both"/>
        <w:ind w:firstLine="1304"/>
        <w:spacing w:after="0" w:line="301" w:lineRule="auto"/>
        <w:tabs>
          <w:tab w:leader="none" w:pos="1591"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If the Representative, in its sole discretion, agrees to release or waive the transfer restrictions set forth in any Insider Letter for an executive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through a major news service at least two Business Days before the effective date of the release or waiver.</w:t>
      </w:r>
    </w:p>
    <w:p>
      <w:pPr>
        <w:spacing w:after="0" w:line="157" w:lineRule="exact"/>
        <w:rPr>
          <w:rFonts w:ascii="Arial" w:cs="Arial" w:eastAsia="Arial" w:hAnsi="Arial"/>
          <w:sz w:val="16"/>
          <w:szCs w:val="16"/>
          <w:color w:val="auto"/>
        </w:rPr>
      </w:pPr>
    </w:p>
    <w:p>
      <w:pPr>
        <w:jc w:val="both"/>
        <w:ind w:firstLine="1304"/>
        <w:spacing w:after="0" w:line="255" w:lineRule="auto"/>
        <w:tabs>
          <w:tab w:leader="none" w:pos="16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the earlier to occur of the expiration or termination of the Underwriters’ over-allotment option, the Company shall cancel or otherwise effect the forfeiture of Founder Shares from the Sponsor, in an aggregate amount equal to the number of Founder Shares determined by multiplying (a) 6,750,000 by (b) a fraction, (i) the numerator of which is 27,000,000 minus the number of shares of Common Stock purchased by the Underwriters upon the exercise of their over-allotment option, and (ii) the denominator of which is 27,000,000. For the avoidance of doubt, if the Underwriters exercise their over-allotment option in full, the Company shall not cancel or otherwise effect the forfeiture of the Founder Shares pursuant to this subsection.</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6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will deliver to the Representative executed copies of the Trust Agreement, the Warrant Agreement, the Securities Subscription Agreement, the Private Placement Warrants Purchase Agreement, the Administrative Services Agreement, the Registration Rights Agreement and the Insider Letter.</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no event will the amounts payable by the Company under the Administrative Services Agreement be more than $50,000 per month in the aggregate for office space, utilities, secretarial and administrative support until the earlier of the date of the consummation of the Initial Business Combination or until the time that the Company is required to liquidate.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56"/>
        <w:spacing w:after="0" w:line="257" w:lineRule="auto"/>
        <w:tabs>
          <w:tab w:leader="none" w:pos="139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Underwritten Securities and the Option Securities, as the case may be, shall be subject to the accuracy of the representations and warranties on the part of the Company contained herein as of the Execution Time, the Closing Date and any settlement date pursuant to Section 3 hereof, to the accuracy of the statements of the Company made in any certificates pursuant to the provisions hereof, to the performance by the Company of its obligations hereunder and to the following additional conditions:</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Filing of Prospectus; No Stop Order</w:t>
      </w:r>
      <w:r>
        <w:rPr>
          <w:rFonts w:ascii="Arial" w:cs="Arial" w:eastAsia="Arial" w:hAnsi="Arial"/>
          <w:sz w:val="18"/>
          <w:szCs w:val="18"/>
          <w:color w:val="auto"/>
        </w:rPr>
        <w:t>. The Prospectus, and any supplement thereto, have been filed in the manner and within the time period required by Rule 424(b);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of the Act shall have been instituted or threatened.</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51"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Opinion of U.S. Counsel for the Company</w:t>
      </w:r>
      <w:r>
        <w:rPr>
          <w:rFonts w:ascii="Arial" w:cs="Arial" w:eastAsia="Arial" w:hAnsi="Arial"/>
          <w:sz w:val="18"/>
          <w:szCs w:val="18"/>
          <w:color w:val="auto"/>
        </w:rPr>
        <w:t>. The Company shall have requested and caused Paul, Weiss, Rifkind, Wharton &amp; Garrison LLP, counsel for the Company, to have furnished to the Representative its opinions dated the Closing Date and addressed to the Representative in form and substance acceptable to the Representative.</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67"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Opinion of Counsel for the Representative</w:t>
      </w:r>
      <w:r>
        <w:rPr>
          <w:rFonts w:ascii="Arial" w:cs="Arial" w:eastAsia="Arial" w:hAnsi="Arial"/>
          <w:sz w:val="18"/>
          <w:szCs w:val="18"/>
          <w:color w:val="auto"/>
        </w:rPr>
        <w:t>. The Representative shall have received from White &amp; Case LLP, counsel for the Underwriters, such opinion or opinions, dated the Closing Date and addressed to the Representative, with respect to the issuance and sale of the Securities, the Registration Statement, the Statutory Prospectus, the Prospectus (together with any supplement thereto) and other related matters as the Representative may reasonably require, and the Company shall have furnished to such counsel such documents as they request for the purpose of enabling them to pass upon such matters.</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56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Company shall have furnished to the Representative a certificate of the Company, signed by the Chief Executive Officer and the principal financial or accounting officer of the Company, dated the Closing Date, to the effect that the signers of such certificate have carefully examined the Registration Statement, each Preliminary Prospectus, the Prospectus and any amendment or supplement thereto, as well as each electronic road show used in connection with the Offering, and this Agreement and that:</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211"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83" w:lineRule="exact"/>
        <w:rPr>
          <w:rFonts w:ascii="Arial" w:cs="Arial" w:eastAsia="Arial" w:hAnsi="Arial"/>
          <w:sz w:val="18"/>
          <w:szCs w:val="18"/>
          <w:color w:val="auto"/>
        </w:rPr>
      </w:pPr>
    </w:p>
    <w:p>
      <w:pPr>
        <w:ind w:left="660" w:firstLine="1292"/>
        <w:spacing w:after="0" w:line="277" w:lineRule="auto"/>
        <w:tabs>
          <w:tab w:leader="none" w:pos="2224" w:val="left"/>
        </w:tabs>
        <w:numPr>
          <w:ilvl w:val="2"/>
          <w:numId w:val="34"/>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70" w:lineRule="exact"/>
        <w:rPr>
          <w:rFonts w:ascii="Arial" w:cs="Arial" w:eastAsia="Arial" w:hAnsi="Arial"/>
          <w:sz w:val="18"/>
          <w:szCs w:val="18"/>
          <w:color w:val="auto"/>
        </w:rPr>
      </w:pPr>
    </w:p>
    <w:p>
      <w:pPr>
        <w:jc w:val="both"/>
        <w:ind w:left="660" w:firstLine="1292"/>
        <w:spacing w:after="0" w:line="311" w:lineRule="auto"/>
        <w:tabs>
          <w:tab w:leader="none" w:pos="2211" w:val="left"/>
        </w:tabs>
        <w:numPr>
          <w:ilvl w:val="2"/>
          <w:numId w:val="34"/>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included in the Statutory Prospectus and the Prospectus (exclusive of any supplement thereto), there has been no Material Adverse Effect, whether or not arising from transactions in the ordinary course of business, except as set forth in or contemplated in the Statutory Prospectus and the Prospectus (exclusive of any supplement thereto).</w:t>
      </w:r>
    </w:p>
    <w:p>
      <w:pPr>
        <w:spacing w:after="0" w:line="148" w:lineRule="exact"/>
        <w:rPr>
          <w:rFonts w:ascii="Arial" w:cs="Arial" w:eastAsia="Arial" w:hAnsi="Arial"/>
          <w:sz w:val="16"/>
          <w:szCs w:val="16"/>
          <w:color w:val="auto"/>
        </w:rPr>
      </w:pPr>
    </w:p>
    <w:p>
      <w:pPr>
        <w:jc w:val="both"/>
        <w:ind w:firstLine="1304"/>
        <w:spacing w:after="0" w:line="275" w:lineRule="auto"/>
        <w:tabs>
          <w:tab w:leader="none" w:pos="1554"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The Company shall have furnished to the Representative a certificate signed by the Secretary or Assistant Secretary of the Company, dated the Closing Date, certifying (i) that the Amended and Restated Certificate of Incorporation is true and complete, has not been modified and is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executive officers of the Company. The documents referred to in such certificate shall be attached to such certificate.</w:t>
      </w:r>
    </w:p>
    <w:p>
      <w:pPr>
        <w:spacing w:after="0" w:line="176" w:lineRule="exact"/>
        <w:rPr>
          <w:rFonts w:ascii="Arial" w:cs="Arial" w:eastAsia="Arial" w:hAnsi="Arial"/>
          <w:sz w:val="17"/>
          <w:szCs w:val="17"/>
          <w:color w:val="auto"/>
        </w:rPr>
      </w:pPr>
    </w:p>
    <w:p>
      <w:pPr>
        <w:jc w:val="both"/>
        <w:ind w:firstLine="1304"/>
        <w:spacing w:after="0" w:line="293" w:lineRule="auto"/>
        <w:tabs>
          <w:tab w:leader="none" w:pos="1534"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Comfort Letters</w:t>
      </w:r>
      <w:r>
        <w:rPr>
          <w:rFonts w:ascii="Arial" w:cs="Arial" w:eastAsia="Arial" w:hAnsi="Arial"/>
          <w:sz w:val="16"/>
          <w:szCs w:val="16"/>
          <w:color w:val="auto"/>
        </w:rPr>
        <w:t>. The Company shall have requested and caused Marcum to have furnished to the Representative, at the Execution Time and at the Closing Date, letters, dated respectively as of the Execution Time and as of the Closing Date, in form and substance satisfactory to the Representative, confirming that they are a registered public accounting firm that is independent with respect to the Company within the meaning of the Act and the Exchange Act and the applicable rules and regulations adopted by the Commission thereunder and that they have performed a review of the audited financial statements of the Company for the period April 30, 2020 (the date of inception) through May 22, 2020, provided that the cutoff date shall not be more than two Business Days prior to such Execution Time or Closing Date, as applicable, and stating in effect that:</w:t>
      </w:r>
    </w:p>
    <w:p>
      <w:pPr>
        <w:spacing w:after="0" w:line="164" w:lineRule="exact"/>
        <w:rPr>
          <w:rFonts w:ascii="Arial" w:cs="Arial" w:eastAsia="Arial" w:hAnsi="Arial"/>
          <w:sz w:val="16"/>
          <w:szCs w:val="16"/>
          <w:color w:val="auto"/>
        </w:rPr>
      </w:pPr>
    </w:p>
    <w:p>
      <w:pPr>
        <w:jc w:val="both"/>
        <w:ind w:left="1300" w:firstLine="1300"/>
        <w:spacing w:after="0" w:line="286" w:lineRule="auto"/>
        <w:tabs>
          <w:tab w:leader="none" w:pos="2838" w:val="left"/>
        </w:tabs>
        <w:numPr>
          <w:ilvl w:val="3"/>
          <w:numId w:val="34"/>
        </w:numPr>
        <w:rPr>
          <w:rFonts w:ascii="Arial" w:cs="Arial" w:eastAsia="Arial" w:hAnsi="Arial"/>
          <w:sz w:val="17"/>
          <w:szCs w:val="17"/>
          <w:color w:val="auto"/>
        </w:rPr>
      </w:pPr>
      <w:r>
        <w:rPr>
          <w:rFonts w:ascii="Arial" w:cs="Arial" w:eastAsia="Arial" w:hAnsi="Arial"/>
          <w:sz w:val="17"/>
          <w:szCs w:val="17"/>
          <w:color w:val="auto"/>
        </w:rPr>
        <w:t>in their opinion the audited financial statements and financial statement schedules included in the Registration Statement, the Statutory Prospectus and the Prospectus and reported on by them comply as to form in all material respects with the applicable accounting requirements of the Act and the related rules and regulations adopted by the Commission;</w:t>
      </w:r>
    </w:p>
    <w:p>
      <w:pPr>
        <w:spacing w:after="0" w:line="165" w:lineRule="exact"/>
        <w:rPr>
          <w:rFonts w:ascii="Arial" w:cs="Arial" w:eastAsia="Arial" w:hAnsi="Arial"/>
          <w:sz w:val="17"/>
          <w:szCs w:val="17"/>
          <w:color w:val="auto"/>
        </w:rPr>
      </w:pPr>
    </w:p>
    <w:p>
      <w:pPr>
        <w:jc w:val="both"/>
        <w:ind w:left="1300" w:firstLine="1300"/>
        <w:spacing w:after="0" w:line="275" w:lineRule="auto"/>
        <w:tabs>
          <w:tab w:leader="none" w:pos="2861" w:val="left"/>
        </w:tabs>
        <w:numPr>
          <w:ilvl w:val="3"/>
          <w:numId w:val="34"/>
        </w:numPr>
        <w:rPr>
          <w:rFonts w:ascii="Arial" w:cs="Arial" w:eastAsia="Arial" w:hAnsi="Arial"/>
          <w:sz w:val="17"/>
          <w:szCs w:val="17"/>
          <w:color w:val="auto"/>
        </w:rPr>
      </w:pPr>
      <w:r>
        <w:rPr>
          <w:rFonts w:ascii="Arial" w:cs="Arial" w:eastAsia="Arial" w:hAnsi="Arial"/>
          <w:sz w:val="17"/>
          <w:szCs w:val="17"/>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set forth in the Registration Statement, the Statutory Prospectus and the Prospectus, including the information set forth under the captions “Dilution” and “Capitalization” in the Statutory Prospectus and the Prospectus, agrees with the accounting records of the Company, excluding any questions of legal interpretation;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2940" w:hanging="340"/>
        <w:spacing w:after="0"/>
        <w:tabs>
          <w:tab w:leader="none" w:pos="2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statements as to such other matters incident to the transaction contemplated hereby as the Representative may</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reasonably request.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Prospectus in this paragraph (f) include any supplement thereto at the date of the letter.</w:t>
      </w:r>
    </w:p>
    <w:p>
      <w:pPr>
        <w:spacing w:after="0" w:line="225" w:lineRule="exact"/>
        <w:rPr>
          <w:sz w:val="20"/>
          <w:szCs w:val="20"/>
          <w:color w:val="auto"/>
        </w:rPr>
      </w:pPr>
    </w:p>
    <w:p>
      <w:pPr>
        <w:jc w:val="both"/>
        <w:ind w:firstLine="1304"/>
        <w:spacing w:after="0" w:line="253" w:lineRule="auto"/>
        <w:tabs>
          <w:tab w:leader="none" w:pos="156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Material Change</w:t>
      </w:r>
      <w:r>
        <w:rPr>
          <w:rFonts w:ascii="Arial" w:cs="Arial" w:eastAsia="Arial" w:hAnsi="Arial"/>
          <w:sz w:val="18"/>
          <w:szCs w:val="18"/>
          <w:color w:val="auto"/>
        </w:rPr>
        <w:t>. Subsequent to the Execution Time or, if earlier, the dates as of which information is given in the Registration Statement (exclusive of any amendment thereof), the Statutory Prospectus and the Prospectus (exclusive of any amendment or supplement thereto), there shall not have been (1) any change or decrease specified in the letter or letters referred to in paragraph (f) of this Section 6 or (2) any change, or any development involving a prospective change, in or affecting the condition (financial or otherwise), prospects, management, earnings, business or properties of the Company, whether or not arising from transactions in the ordinary course of business, except as set forth in or contemplated in the Statutory Prospectus and the Prospectus (exclusive of any supplement thereto) the effect of which, in any case referred to in clause (1) or (2) above, is, in the sole judgment of the Representative, so material and adverse as to make it impractical or inadvisable to proceed with the offering or delivery of the Securities as contemplated by the Registration Statement (exclusive of any amendment thereof), the Statutory Prospectus and the Prospectus (exclusive of any amendment or supplement thereto).</w:t>
      </w:r>
    </w:p>
    <w:p>
      <w:pPr>
        <w:spacing w:after="0" w:line="196" w:lineRule="exact"/>
        <w:rPr>
          <w:rFonts w:ascii="Arial" w:cs="Arial" w:eastAsia="Arial" w:hAnsi="Arial"/>
          <w:sz w:val="18"/>
          <w:szCs w:val="18"/>
          <w:color w:val="auto"/>
        </w:rPr>
      </w:pPr>
    </w:p>
    <w:p>
      <w:pPr>
        <w:ind w:firstLine="1304"/>
        <w:spacing w:after="0" w:line="277" w:lineRule="auto"/>
        <w:tabs>
          <w:tab w:leader="none" w:pos="156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Further Information</w:t>
      </w:r>
      <w:r>
        <w:rPr>
          <w:rFonts w:ascii="Arial" w:cs="Arial" w:eastAsia="Arial" w:hAnsi="Arial"/>
          <w:sz w:val="18"/>
          <w:szCs w:val="18"/>
          <w:color w:val="auto"/>
        </w:rPr>
        <w:t>. Prior to the Closing Date, the Company shall have furnished to the Representative such further information, certificates and documents as the Representative may reasonably request.</w:t>
      </w:r>
    </w:p>
    <w:p>
      <w:pPr>
        <w:spacing w:after="0" w:line="170" w:lineRule="exact"/>
        <w:rPr>
          <w:rFonts w:ascii="Arial" w:cs="Arial" w:eastAsia="Arial" w:hAnsi="Arial"/>
          <w:sz w:val="18"/>
          <w:szCs w:val="18"/>
          <w:color w:val="auto"/>
        </w:rPr>
      </w:pPr>
    </w:p>
    <w:p>
      <w:pPr>
        <w:ind w:firstLine="1304"/>
        <w:spacing w:after="0" w:line="277" w:lineRule="auto"/>
        <w:tabs>
          <w:tab w:leader="none" w:pos="153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FINRA shall not have raised any objection with respect to the fairness or reasonableness of the underwriting or other arrangements of the transactions contemplated hereby.</w:t>
      </w:r>
    </w:p>
    <w:p>
      <w:pPr>
        <w:spacing w:after="0" w:line="170" w:lineRule="exact"/>
        <w:rPr>
          <w:rFonts w:ascii="Arial" w:cs="Arial" w:eastAsia="Arial" w:hAnsi="Arial"/>
          <w:sz w:val="18"/>
          <w:szCs w:val="18"/>
          <w:color w:val="auto"/>
        </w:rPr>
      </w:pPr>
    </w:p>
    <w:p>
      <w:pPr>
        <w:ind w:firstLine="1304"/>
        <w:spacing w:after="0" w:line="277" w:lineRule="auto"/>
        <w:tabs>
          <w:tab w:leader="none" w:pos="153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New York Stock Exchange</w:t>
      </w:r>
      <w:r>
        <w:rPr>
          <w:rFonts w:ascii="Arial" w:cs="Arial" w:eastAsia="Arial" w:hAnsi="Arial"/>
          <w:sz w:val="18"/>
          <w:szCs w:val="18"/>
          <w:color w:val="auto"/>
        </w:rPr>
        <w:t>. The Securities shall be duly listed, subject to notice of issuance, on the New York Stock Exchange, satisfactory evidence of which shall have been provided to the Representative.</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Delivery of Agreements</w:t>
      </w:r>
      <w:r>
        <w:rPr>
          <w:rFonts w:ascii="Arial" w:cs="Arial" w:eastAsia="Arial" w:hAnsi="Arial"/>
          <w:sz w:val="18"/>
          <w:szCs w:val="18"/>
          <w:color w:val="auto"/>
        </w:rPr>
        <w:t>. On the Effective Date, the Company shall have delivered to the Representative executed copies of the Trust Agreement, the Warrant Agreement, the Securities Subscription Agreement, the Private Placement Warrants Purchase Agreement, the Administrative Services Agreement, the Registration Rights Agreement and the Insider Letter.</w:t>
      </w:r>
    </w:p>
    <w:p>
      <w:pPr>
        <w:spacing w:after="0" w:line="183" w:lineRule="exact"/>
        <w:rPr>
          <w:rFonts w:ascii="Arial" w:cs="Arial" w:eastAsia="Arial" w:hAnsi="Arial"/>
          <w:sz w:val="18"/>
          <w:szCs w:val="18"/>
          <w:color w:val="auto"/>
        </w:rPr>
      </w:pPr>
    </w:p>
    <w:p>
      <w:pPr>
        <w:jc w:val="both"/>
        <w:ind w:firstLine="1304"/>
        <w:spacing w:after="0" w:line="293" w:lineRule="auto"/>
        <w:tabs>
          <w:tab w:leader="none" w:pos="153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 Brokers</w:t>
      </w:r>
      <w:r>
        <w:rPr>
          <w:rFonts w:ascii="Arial" w:cs="Arial" w:eastAsia="Arial" w:hAnsi="Arial"/>
          <w:sz w:val="16"/>
          <w:szCs w:val="16"/>
          <w:color w:val="auto"/>
        </w:rPr>
        <w:t>. On the Closing Date, the Company shall have requested and caused the Sponsor and the Company’s directors and executive officers to have executed and furnished to the Representative a certificate, dated the Closing Date and addressed to the Representative, to the effect that, except as described in the Registration Statement, the Statutory Prospectus and the Prospectus, there are no claims, payments, arrangements, contracts, agreements or understandings relating to the payment of a brokerage commission or finder’s, consulting, origination or similar fee by the Sponsor or the Company’s directors or executive officers with respect to the sale of the Securities hereunder or any other arrangements, agreements or understandings by the Sponsor or the Company’s directors or executive officers that may affect the Underwriters’ compensation, as determined by FINRA.</w:t>
      </w:r>
    </w:p>
    <w:p>
      <w:pPr>
        <w:spacing w:after="0" w:line="164" w:lineRule="exact"/>
        <w:rPr>
          <w:rFonts w:ascii="Arial" w:cs="Arial" w:eastAsia="Arial" w:hAnsi="Arial"/>
          <w:sz w:val="16"/>
          <w:szCs w:val="16"/>
          <w:color w:val="auto"/>
        </w:rPr>
      </w:pPr>
    </w:p>
    <w:p>
      <w:pPr>
        <w:ind w:firstLine="1304"/>
        <w:spacing w:after="0" w:line="277" w:lineRule="auto"/>
        <w:tabs>
          <w:tab w:leader="none" w:pos="160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Trust Account</w:t>
      </w:r>
      <w:r>
        <w:rPr>
          <w:rFonts w:ascii="Arial" w:cs="Arial" w:eastAsia="Arial" w:hAnsi="Arial"/>
          <w:sz w:val="18"/>
          <w:szCs w:val="18"/>
          <w:color w:val="auto"/>
        </w:rPr>
        <w:t>. On the Closing Date, the Company shall have furnished to the Representative one or more certificates signed by an authorized officer of the Trustee to the effect of certifying that $1,800,000,000 shall have been deposited in the Trust Account.</w:t>
      </w:r>
    </w:p>
    <w:p>
      <w:pPr>
        <w:spacing w:after="0" w:line="170" w:lineRule="exact"/>
        <w:rPr>
          <w:rFonts w:ascii="Arial" w:cs="Arial" w:eastAsia="Arial" w:hAnsi="Arial"/>
          <w:sz w:val="18"/>
          <w:szCs w:val="18"/>
          <w:color w:val="auto"/>
        </w:rPr>
      </w:pPr>
    </w:p>
    <w:p>
      <w:pPr>
        <w:ind w:firstLine="1304"/>
        <w:spacing w:after="0" w:line="308" w:lineRule="auto"/>
        <w:tabs>
          <w:tab w:leader="none" w:pos="156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No stop orders</w:t>
      </w:r>
      <w:r>
        <w:rPr>
          <w:rFonts w:ascii="Arial" w:cs="Arial" w:eastAsia="Arial" w:hAnsi="Arial"/>
          <w:sz w:val="17"/>
          <w:szCs w:val="17"/>
          <w:color w:val="auto"/>
        </w:rPr>
        <w:t>. No order preventing or suspending the sale of the Units in any jurisdiction designated by the Representative shall have been issued as of the Closing Date, and no proceedings for that purpose shall have been instituted or shall have been threatened.</w:t>
      </w:r>
    </w:p>
    <w:p>
      <w:pPr>
        <w:spacing w:after="0" w:line="146" w:lineRule="exact"/>
        <w:rPr>
          <w:rFonts w:ascii="Arial" w:cs="Arial" w:eastAsia="Arial" w:hAnsi="Arial"/>
          <w:sz w:val="17"/>
          <w:szCs w:val="17"/>
          <w:color w:val="auto"/>
        </w:rPr>
      </w:pPr>
    </w:p>
    <w:p>
      <w:pPr>
        <w:ind w:firstLine="1304"/>
        <w:spacing w:after="0" w:line="277" w:lineRule="auto"/>
        <w:tabs>
          <w:tab w:leader="none" w:pos="155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Deposit</w:t>
      </w:r>
      <w:r>
        <w:rPr>
          <w:rFonts w:ascii="Arial" w:cs="Arial" w:eastAsia="Arial" w:hAnsi="Arial"/>
          <w:sz w:val="18"/>
          <w:szCs w:val="18"/>
          <w:color w:val="auto"/>
        </w:rPr>
        <w:t>. At least one (1) Business Day prior to the Closing Date, the Sponsor shall have paid to the Company the purchase price for the Private Placement Warrants, including the deposit of the net proceeds thereof into the Trust Account.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 and counsel for the Underwriters, this Agreement and all obligations of the Underwriters hereunder may be cancelled at, or at any time prior to, the Closing Date by the Representative. Notice of such cancellation shall be given to the Company in writing or by telephone or facsimile confirmed in writing.</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White &amp; Case LLP, counsel for the Underwriters, at 1221 Avenue of the Americas, New York, New York 10020, on the Closing Date.</w:t>
      </w:r>
    </w:p>
    <w:p>
      <w:pPr>
        <w:spacing w:after="0" w:line="170" w:lineRule="exact"/>
        <w:rPr>
          <w:sz w:val="20"/>
          <w:szCs w:val="20"/>
          <w:color w:val="auto"/>
        </w:rPr>
      </w:pPr>
    </w:p>
    <w:p>
      <w:pPr>
        <w:jc w:val="both"/>
        <w:ind w:firstLine="656"/>
        <w:spacing w:after="0" w:line="273" w:lineRule="auto"/>
        <w:tabs>
          <w:tab w:leader="none" w:pos="1336"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Reimbursement of Underwriters’ Expenses</w:t>
      </w:r>
      <w:r>
        <w:rPr>
          <w:rFonts w:ascii="Arial" w:cs="Arial" w:eastAsia="Arial" w:hAnsi="Arial"/>
          <w:sz w:val="17"/>
          <w:szCs w:val="17"/>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 on demand for all reasonable and documented out-of-pocket expenses (including reasonable and documented fees and disbursements of counsel) that shall have been incurred by them in connection with the proposed purchase and sale of the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1340" w:hanging="684"/>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8" w:lineRule="auto"/>
        <w:tabs>
          <w:tab w:leader="none" w:pos="1554"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Company agrees to indemnify and hold harmless each Underwriter, the directors, officers, employees, affiliates and agents of each Underwriter, each person who controls any Underwriter within the meaning of either the Act or the Exchange Act and each affiliate of each Underwriter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any Preliminary Prospectus, the Prospectus, any “road show” as defined in Section 433(h) of the Act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 specifically for inclusion therein, it being understood and agreed that only such information furnished by any Underwriter consists of the information described in the last sentence of Section 8(b) hereof. This indemnity agreement will be in addition to any liability which the Company may otherwise have.</w:t>
      </w:r>
    </w:p>
    <w:p>
      <w:pPr>
        <w:spacing w:after="0" w:line="181" w:lineRule="exact"/>
        <w:rPr>
          <w:rFonts w:ascii="Arial" w:cs="Arial" w:eastAsia="Arial" w:hAnsi="Arial"/>
          <w:sz w:val="17"/>
          <w:szCs w:val="17"/>
          <w:color w:val="auto"/>
        </w:rPr>
      </w:pPr>
    </w:p>
    <w:p>
      <w:pPr>
        <w:jc w:val="both"/>
        <w:ind w:firstLine="1304"/>
        <w:spacing w:after="0" w:line="268" w:lineRule="auto"/>
        <w:tabs>
          <w:tab w:leader="none" w:pos="1564" w:val="left"/>
        </w:tabs>
        <w:numPr>
          <w:ilvl w:val="1"/>
          <w:numId w:val="38"/>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Company, each of its directors, each of its executive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through the Representative specifically for inclusion in the documents referred to in the foregoing indemnity. This indemnity agreement will be in addition to any liability which any Underwriter may otherwise have. The Company acknowledges that the statements set forth (i) in the last paragraph of the cover page regarding delivery of Securities and (ii) in the section entitled “Underwriting” of the Statutory Prospectus and Prospectus, the last sentence of the third paragraph concerning sales to discretionary accounts and the 11</w:t>
      </w:r>
      <w:r>
        <w:rPr>
          <w:rFonts w:ascii="Arial" w:cs="Arial" w:eastAsia="Arial" w:hAnsi="Arial"/>
          <w:sz w:val="26"/>
          <w:szCs w:val="26"/>
          <w:color w:val="auto"/>
          <w:vertAlign w:val="superscript"/>
        </w:rPr>
        <w:t>th</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and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paragraphs concerning the purchase and sale of Units in the open market and other stabilizing transactions by the underwriters and penalty bids, constitute the only information furnished in writing by or on behalf of the several Underwriters for inclusion in any Preliminary Prospectus and the Prospectus.</w:t>
      </w:r>
    </w:p>
    <w:p>
      <w:pPr>
        <w:spacing w:after="0" w:line="204" w:lineRule="exact"/>
        <w:rPr>
          <w:sz w:val="20"/>
          <w:szCs w:val="20"/>
          <w:color w:val="auto"/>
        </w:rPr>
      </w:pPr>
    </w:p>
    <w:p>
      <w:pPr>
        <w:jc w:val="both"/>
        <w:ind w:firstLine="1304"/>
        <w:spacing w:after="0" w:line="286" w:lineRule="auto"/>
        <w:tabs>
          <w:tab w:leader="none" w:pos="15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1" w:lineRule="exact"/>
        <w:rPr>
          <w:rFonts w:ascii="Arial" w:cs="Arial" w:eastAsia="Arial" w:hAnsi="Arial"/>
          <w:sz w:val="16"/>
          <w:szCs w:val="16"/>
          <w:color w:val="auto"/>
        </w:rPr>
      </w:pPr>
    </w:p>
    <w:p>
      <w:pPr>
        <w:jc w:val="both"/>
        <w:ind w:firstLine="8"/>
        <w:spacing w:after="0" w:line="284" w:lineRule="auto"/>
        <w:tabs>
          <w:tab w:leader="none" w:pos="2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1304"/>
        <w:spacing w:after="0" w:line="284" w:lineRule="auto"/>
        <w:tabs>
          <w:tab w:leader="none" w:pos="1551"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the Company and one or more of the Underwriters may be subject in such proportion as is appropriate to reflect the relative benefits received by the Company on the one hand and by the Underwriters on the other from the Offering.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actually received by the Underwriters,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 Underwriter be required to contribute any amount in excess of the amount by which the total underwriting discounts and commissions received by such Underwriter with respect to the Offering exceeds the amount of any damages that such Underwriter has otherwise been required to pay by reason of such untrue or alleged untrue statement or omission or alleged omission. 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8,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 The Underwriters’ obligations to contribute pursuant to this Section 8 are several in proportion to their respective purchase obligations hereunder and are not joint.</w:t>
      </w:r>
    </w:p>
    <w:p>
      <w:pPr>
        <w:spacing w:after="0" w:line="390" w:lineRule="exact"/>
        <w:rPr>
          <w:rFonts w:ascii="Arial" w:cs="Arial" w:eastAsia="Arial" w:hAnsi="Arial"/>
          <w:sz w:val="16"/>
          <w:szCs w:val="16"/>
          <w:color w:val="auto"/>
        </w:rPr>
      </w:pPr>
    </w:p>
    <w:p>
      <w:pPr>
        <w:jc w:val="both"/>
        <w:ind w:firstLine="656"/>
        <w:spacing w:after="0" w:line="268" w:lineRule="auto"/>
        <w:tabs>
          <w:tab w:leader="none" w:pos="156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that the amount of Securities set forth opposite their names in Schedule I hereto bears to the aggregate amount of Securities set forth opposite the names of all the remaining Underwriters) the Securities that the defaulting Underwriter or Underwriters agreed but failed to purchase; provided, however, that in the event that the aggregate amount of Securities that the defaulting Underwriter or Underwriters agreed but failed to purchase shall exceed 10% of the Underwritten Securities, the remaining Underwriters shall have the right to purchase all, but shall not be under any obligation to purchase any, of the Securities. If within one Business Day after such default relating to more than 10% of the Underwritten Securities the remaining Underwriters do not arrange for the purchase of such Underwritten Securities, then the Company shall be entitled to a further period of one Business Day within which to procure another party or parties reasonably satisfactory to you to purchase said Underwritten Securities. In the event that neither the remaining Underwriters nor the Company purchase or arrange for the purchase of all of the Underwritten Securities to which a default relates as provided in this Section 9, this Agreement will terminate without liability to any non-defaulting Underwriter or the Company. In the event of a default by any Underwriter as set forth in this Section 9, the Closing Date shall be postponed for such period, not exceeding five Business Days, as the Representative shall determine in order that the required changes in the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79" w:lineRule="exact"/>
        <w:rPr>
          <w:rFonts w:ascii="Arial" w:cs="Arial" w:eastAsia="Arial" w:hAnsi="Arial"/>
          <w:sz w:val="17"/>
          <w:szCs w:val="17"/>
          <w:color w:val="auto"/>
        </w:rPr>
      </w:pPr>
    </w:p>
    <w:p>
      <w:pPr>
        <w:jc w:val="both"/>
        <w:ind w:firstLine="656"/>
        <w:spacing w:after="0" w:line="269" w:lineRule="auto"/>
        <w:tabs>
          <w:tab w:leader="none" w:pos="1561"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 by notice given to the Company prior to delivery of and payment for the Securities, if at any time prior to such delivery and payment (i) trading in the Company’s Units, Common Stock or Warrants shall have been suspended by the Commission or the New York Stock Exchange (or successor trading market) or trading in securities generally on the New York Stock Exchange or The Nasdaq Capital Market (or successor trading market) shall have been suspended or limited or minimum prices shall have been established on such exchange or trading market, (ii) the Company shall not have obtained authorization for quotation of the Common Stock, Warrants or Units on the New York Stock Exchange (or successor trading market),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national or international calamity or crisis the effect of which on financial markets is such as to make it, in the sole judgment of the Representative, impractical or inadvisable to proceed with the offering or delivery of the Securities as contemplated by the Statutory Prospectus or the Prospectus (exclusive of any supplement thereto).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1420" w:hanging="764"/>
        <w:spacing w:after="0"/>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78" w:val="left"/>
        </w:tabs>
        <w:numPr>
          <w:ilvl w:val="2"/>
          <w:numId w:val="43"/>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413"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executive officers and of the Underwriters set forth in or made pursuant to this Agreement will remain in full force and effect, regardless of any investigation made by or on behalf of any Underwriter or the Company or any of the executive officers, directors, employees, agents, affiliates or controlling persons referred to in Section 8 hereof, and will survive delivery of and payment for the Securities. The provisions of Sections 7 and 8 hereof shall survive the termination or cancellation of this Agreement.</w:t>
      </w:r>
    </w:p>
    <w:p>
      <w:pPr>
        <w:spacing w:after="0" w:line="187" w:lineRule="exact"/>
        <w:rPr>
          <w:rFonts w:ascii="Arial" w:cs="Arial" w:eastAsia="Arial" w:hAnsi="Arial"/>
          <w:sz w:val="18"/>
          <w:szCs w:val="18"/>
          <w:color w:val="auto"/>
        </w:rPr>
      </w:pPr>
    </w:p>
    <w:p>
      <w:pPr>
        <w:jc w:val="both"/>
        <w:ind w:firstLine="656"/>
        <w:spacing w:after="0" w:line="291" w:lineRule="auto"/>
        <w:tabs>
          <w:tab w:leader="none" w:pos="1602"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will be in writing and effective only on receipt, and, if sent to the Representative, will be mailed, delivered or telefaxed to Citigroup Global Markets Inc., 388 Greenwich Street, New York, New York, 10013, Attention: General Counsel (fax no.:</w:t>
      </w:r>
    </w:p>
    <w:p>
      <w:pPr>
        <w:jc w:val="both"/>
        <w:ind w:firstLine="8"/>
        <w:spacing w:after="0" w:line="255"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291-1469), and confirmed to White &amp; Case LLP, 1221 Avenue of the Americas, New York, NY 10020, Attention: Joel L. Rubinstein (fax no.: (212) 354-8113); or, if sent to the Company, will be mailed, delivered or telefaxed to Churchill Capital Corp IV, Attention: Michael Klein, and confirmed to Paul, Weiss, Rifkind, Wharton &amp; Garrison LLP, Attention: Raphael M. Russo (fax no.: (212) 492-0309).</w:t>
      </w:r>
    </w:p>
    <w:p>
      <w:pPr>
        <w:spacing w:after="0" w:line="189" w:lineRule="exact"/>
        <w:rPr>
          <w:rFonts w:ascii="Arial" w:cs="Arial" w:eastAsia="Arial" w:hAnsi="Arial"/>
          <w:sz w:val="18"/>
          <w:szCs w:val="18"/>
          <w:color w:val="auto"/>
        </w:rPr>
      </w:pPr>
    </w:p>
    <w:p>
      <w:pPr>
        <w:jc w:val="both"/>
        <w:ind w:firstLine="656"/>
        <w:spacing w:after="0" w:line="263"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executive officers, directors, employees, agents and controlling persons and their affiliates referred to in Section 8 hereof, and no other person will have any right or obligation hereunder.</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413"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No Fiduciary Duty</w:t>
      </w:r>
      <w:r>
        <w:rPr>
          <w:rFonts w:ascii="Arial" w:cs="Arial" w:eastAsia="Arial" w:hAnsi="Arial"/>
          <w:sz w:val="18"/>
          <w:szCs w:val="18"/>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91" w:lineRule="exact"/>
        <w:rPr>
          <w:rFonts w:ascii="Arial" w:cs="Arial" w:eastAsia="Arial" w:hAnsi="Arial"/>
          <w:sz w:val="18"/>
          <w:szCs w:val="18"/>
          <w:color w:val="auto"/>
        </w:rPr>
      </w:pPr>
    </w:p>
    <w:p>
      <w:pPr>
        <w:ind w:right="20" w:firstLine="656"/>
        <w:spacing w:after="0" w:line="277" w:lineRule="auto"/>
        <w:tabs>
          <w:tab w:leader="none" w:pos="1521"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70" w:lineRule="exact"/>
        <w:rPr>
          <w:rFonts w:ascii="Arial" w:cs="Arial" w:eastAsia="Arial" w:hAnsi="Arial"/>
          <w:sz w:val="18"/>
          <w:szCs w:val="18"/>
          <w:color w:val="auto"/>
        </w:rPr>
      </w:pPr>
    </w:p>
    <w:p>
      <w:pPr>
        <w:ind w:firstLine="656"/>
        <w:spacing w:after="0" w:line="277" w:lineRule="auto"/>
        <w:tabs>
          <w:tab w:leader="none" w:pos="1413"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494"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The Company agrees that any suit, action or proceeding against the Company brought by any Underwriter, the directors, officers, employees, affiliates and agents of any Underwriter, or by any person who controls any Underwriter, arising out of or based upon this Agreement or the transactions contemplated hereby must be instituted in any State or U.S. federal court in the City of New York and County of New York, and waives any objection which it may now or hereafter have to the laying of venue of any such proceeding, and irrevocably submits to the exclusive jurisdiction of such courts in any suit, action or proceeding.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56"/>
        <w:spacing w:after="0" w:line="263" w:lineRule="auto"/>
        <w:tabs>
          <w:tab w:leader="none" w:pos="166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6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6" w:lineRule="exact"/>
        <w:rPr>
          <w:rFonts w:ascii="Arial" w:cs="Arial" w:eastAsia="Arial" w:hAnsi="Arial"/>
          <w:sz w:val="18"/>
          <w:szCs w:val="18"/>
          <w:color w:val="auto"/>
        </w:rPr>
      </w:pPr>
    </w:p>
    <w:p>
      <w:pPr>
        <w:ind w:firstLine="656"/>
        <w:spacing w:after="0" w:line="277" w:lineRule="auto"/>
        <w:tabs>
          <w:tab w:leader="none" w:pos="150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420" w:hanging="764"/>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which follow, when used in this Agreement, shall have the meanings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shall mean “affiliate” as defined in, and shall be interpreted in accordance with, 12 U.S.C. § 1841(k).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Entity</w:t>
      </w:r>
      <w:r>
        <w:rPr>
          <w:rFonts w:ascii="Arial" w:cs="Arial" w:eastAsia="Arial" w:hAnsi="Arial"/>
          <w:sz w:val="16"/>
          <w:szCs w:val="16"/>
          <w:color w:val="auto"/>
        </w:rPr>
        <w:t>” shall mean any of the following: (i) a “covered entity” as that term is defined in, and interpreted in accordance with, 12 C.F.R.</w:t>
      </w:r>
    </w:p>
    <w:p>
      <w:pPr>
        <w:spacing w:after="0" w:line="46" w:lineRule="exact"/>
        <w:rPr>
          <w:sz w:val="20"/>
          <w:szCs w:val="20"/>
          <w:color w:val="auto"/>
        </w:rPr>
      </w:pPr>
    </w:p>
    <w:p>
      <w:pPr>
        <w:ind w:firstLine="8"/>
        <w:spacing w:after="0" w:line="260" w:lineRule="auto"/>
        <w:tabs>
          <w:tab w:leader="none" w:pos="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Right</w:t>
      </w:r>
      <w:r>
        <w:rPr>
          <w:rFonts w:ascii="Arial" w:cs="Arial" w:eastAsia="Arial" w:hAnsi="Arial"/>
          <w:sz w:val="17"/>
          <w:szCs w:val="17"/>
          <w:color w:val="auto"/>
        </w:rPr>
        <w:t>” shall mean default right as defined and interpreted in accordance with, 12 C.F.R. §§ 252.81, 47.2 or 382.1, as applicable.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becomes effective.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July 29, 2020, at 5:00 pm, New York City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shall mean the preliminary prospectus referred to in paragraph 1(a) above and any preliminary prospectus included in the Registration Statement at the Effective Date that omits Rule 430A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prospectus relating to the Securities that is first filed pursuant to Rule 424(b) after the Execution Time.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mean the registration statement referred to in paragraph 1(a) above, including exhibits and financial statements and any information deemed part of such registration statement pursuant to Rule 430A, as amended or supplemented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419</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430A</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433</w:t>
      </w:r>
      <w:r>
        <w:rPr>
          <w:rFonts w:ascii="Arial" w:cs="Arial" w:eastAsia="Arial" w:hAnsi="Arial"/>
          <w:sz w:val="18"/>
          <w:szCs w:val="18"/>
          <w:color w:val="auto"/>
        </w:rPr>
        <w:t>” and “</w:t>
      </w:r>
      <w:r>
        <w:rPr>
          <w:rFonts w:ascii="Arial" w:cs="Arial" w:eastAsia="Arial" w:hAnsi="Arial"/>
          <w:sz w:val="18"/>
          <w:szCs w:val="18"/>
          <w:u w:val="single" w:color="auto"/>
          <w:color w:val="auto"/>
        </w:rPr>
        <w:t>Rule 462</w:t>
      </w:r>
      <w:r>
        <w:rPr>
          <w:rFonts w:ascii="Arial" w:cs="Arial" w:eastAsia="Arial" w:hAnsi="Arial"/>
          <w:sz w:val="18"/>
          <w:szCs w:val="18"/>
          <w:color w:val="auto"/>
        </w:rPr>
        <w:t>” refer to such rules under the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430A Information</w:t>
      </w:r>
      <w:r>
        <w:rPr>
          <w:rFonts w:ascii="Arial" w:cs="Arial" w:eastAsia="Arial" w:hAnsi="Arial"/>
          <w:sz w:val="18"/>
          <w:szCs w:val="18"/>
          <w:color w:val="auto"/>
        </w:rPr>
        <w:t>” shall mean information with respect to the Securities and the Offering thereof permitted to be omitted from the Registration Statement when it becomes effective pursuant to Rule 430A.</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1(a)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Prospectus</w:t>
      </w:r>
      <w:r>
        <w:rPr>
          <w:rFonts w:ascii="Arial" w:cs="Arial" w:eastAsia="Arial" w:hAnsi="Arial"/>
          <w:sz w:val="18"/>
          <w:szCs w:val="18"/>
          <w:color w:val="auto"/>
        </w:rPr>
        <w:t>” shall mean the (i) Preliminary Prospectus dated July 27, 2020, relating to the Securities and (ii) the Time of Delivery Information, if any, set forth on Schedule II hereto.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shall mean each of (i) the Federal Deposit Insurance Act and the regulations promulgated thereunder and (ii) Title II of the Dodd-Frank Wall Street Reform and Consumer Protection Act and the regulations promulgated thereunder.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left="4580"/>
        <w:spacing w:after="0"/>
        <w:rPr>
          <w:sz w:val="20"/>
          <w:szCs w:val="20"/>
          <w:color w:val="auto"/>
        </w:rPr>
      </w:pPr>
      <w:r>
        <w:rPr>
          <w:rFonts w:ascii="Arial" w:cs="Arial" w:eastAsia="Arial" w:hAnsi="Arial"/>
          <w:sz w:val="18"/>
          <w:szCs w:val="18"/>
          <w:color w:val="auto"/>
        </w:rPr>
        <w:t>CHURCHILL CAPITAL CORP IV</w:t>
      </w:r>
    </w:p>
    <w:p>
      <w:pPr>
        <w:spacing w:after="0" w:line="225"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tab/>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Title:  Chief Financial Officer</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Underwriting Agreement]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Pavan Bellur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33000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Pavan Bellur</w:t>
      </w:r>
    </w:p>
    <w:p>
      <w:pPr>
        <w:spacing w:after="0" w:line="2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to the foregoing Agreement.</w:t>
      </w:r>
    </w:p>
    <w:p>
      <w:pPr>
        <w:spacing w:after="0" w:line="211"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6140" w:type="dxa"/>
            <w:vAlign w:val="bottom"/>
            <w:gridSpan w:val="5"/>
          </w:tcPr>
          <w:p>
            <w:pPr>
              <w:spacing w:after="0"/>
              <w:rPr>
                <w:sz w:val="20"/>
                <w:szCs w:val="20"/>
                <w:color w:val="auto"/>
              </w:rPr>
            </w:pPr>
            <w:r>
              <w:rPr>
                <w:rFonts w:ascii="Arial" w:cs="Arial" w:eastAsia="Arial" w:hAnsi="Arial"/>
                <w:sz w:val="18"/>
                <w:szCs w:val="18"/>
                <w:color w:val="auto"/>
              </w:rPr>
              <w:t>SCHEDULE I</w:t>
            </w:r>
          </w:p>
        </w:tc>
      </w:tr>
      <w:tr>
        <w:trPr>
          <w:trHeight w:val="434"/>
        </w:trPr>
        <w:tc>
          <w:tcPr>
            <w:tcW w:w="5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Underwritten</w:t>
            </w:r>
          </w:p>
        </w:tc>
      </w:tr>
      <w:tr>
        <w:trPr>
          <w:trHeight w:val="216"/>
        </w:trPr>
        <w:tc>
          <w:tcPr>
            <w:tcW w:w="5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Securities</w:t>
            </w:r>
          </w:p>
        </w:tc>
      </w:tr>
      <w:tr>
        <w:trPr>
          <w:trHeight w:val="234"/>
        </w:trPr>
        <w:tc>
          <w:tcPr>
            <w:tcW w:w="510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10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 be Purchased</w:t>
            </w:r>
          </w:p>
        </w:tc>
      </w:tr>
      <w:tr>
        <w:trPr>
          <w:trHeight w:val="209"/>
        </w:trPr>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40" w:type="dxa"/>
            <w:vAlign w:val="bottom"/>
            <w:tcBorders>
              <w:top w:val="single" w:sz="8" w:color="auto"/>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6140" w:type="dxa"/>
            <w:vAlign w:val="bottom"/>
            <w:gridSpan w:val="5"/>
          </w:tcPr>
          <w:p>
            <w:pPr>
              <w:jc w:val="right"/>
              <w:ind w:right="100"/>
              <w:spacing w:after="0"/>
              <w:rPr>
                <w:sz w:val="20"/>
                <w:szCs w:val="20"/>
                <w:color w:val="auto"/>
              </w:rPr>
            </w:pPr>
            <w:r>
              <w:rPr>
                <w:rFonts w:ascii="Arial" w:cs="Arial" w:eastAsia="Arial" w:hAnsi="Arial"/>
                <w:sz w:val="18"/>
                <w:szCs w:val="18"/>
                <w:color w:val="auto"/>
              </w:rPr>
              <w:t>47,700,000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6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47,700,000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Academy Securities, Inc.</w:t>
            </w:r>
          </w:p>
        </w:tc>
        <w:tc>
          <w:tcPr>
            <w:tcW w:w="6140" w:type="dxa"/>
            <w:vAlign w:val="bottom"/>
            <w:gridSpan w:val="5"/>
          </w:tcPr>
          <w:p>
            <w:pPr>
              <w:jc w:val="right"/>
              <w:ind w:right="100"/>
              <w:spacing w:after="0"/>
              <w:rPr>
                <w:sz w:val="20"/>
                <w:szCs w:val="20"/>
                <w:color w:val="auto"/>
              </w:rPr>
            </w:pPr>
            <w:r>
              <w:rPr>
                <w:rFonts w:ascii="Arial" w:cs="Arial" w:eastAsia="Arial" w:hAnsi="Arial"/>
                <w:sz w:val="18"/>
                <w:szCs w:val="18"/>
                <w:color w:val="auto"/>
              </w:rPr>
              <w:t>1,800,000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Blaylock Van, LLC</w:t>
            </w:r>
          </w:p>
        </w:tc>
        <w:tc>
          <w:tcPr>
            <w:tcW w:w="6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1,800,000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Drexel Hamilton, LLC</w:t>
            </w:r>
          </w:p>
        </w:tc>
        <w:tc>
          <w:tcPr>
            <w:tcW w:w="6140" w:type="dxa"/>
            <w:vAlign w:val="bottom"/>
            <w:gridSpan w:val="5"/>
          </w:tcPr>
          <w:p>
            <w:pPr>
              <w:jc w:val="right"/>
              <w:ind w:right="100"/>
              <w:spacing w:after="0"/>
              <w:rPr>
                <w:sz w:val="20"/>
                <w:szCs w:val="20"/>
                <w:color w:val="auto"/>
              </w:rPr>
            </w:pPr>
            <w:r>
              <w:rPr>
                <w:rFonts w:ascii="Arial" w:cs="Arial" w:eastAsia="Arial" w:hAnsi="Arial"/>
                <w:sz w:val="18"/>
                <w:szCs w:val="18"/>
                <w:color w:val="auto"/>
              </w:rPr>
              <w:t>1,800,000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6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1,800,000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Tigress Financial Partners LLC</w:t>
            </w:r>
          </w:p>
        </w:tc>
        <w:tc>
          <w:tcPr>
            <w:tcW w:w="6140" w:type="dxa"/>
            <w:vAlign w:val="bottom"/>
            <w:gridSpan w:val="5"/>
          </w:tcPr>
          <w:p>
            <w:pPr>
              <w:jc w:val="right"/>
              <w:ind w:right="100"/>
              <w:spacing w:after="0"/>
              <w:rPr>
                <w:sz w:val="20"/>
                <w:szCs w:val="20"/>
                <w:color w:val="auto"/>
              </w:rPr>
            </w:pPr>
            <w:r>
              <w:rPr>
                <w:rFonts w:ascii="Arial" w:cs="Arial" w:eastAsia="Arial" w:hAnsi="Arial"/>
                <w:sz w:val="18"/>
                <w:szCs w:val="18"/>
                <w:color w:val="auto"/>
              </w:rPr>
              <w:t>1,800,000</w:t>
            </w:r>
          </w:p>
        </w:tc>
      </w:tr>
      <w:tr>
        <w:trPr>
          <w:trHeight w:val="23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0" w:type="dxa"/>
            <w:vAlign w:val="bottom"/>
            <w:gridSpan w:val="3"/>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u w:val="single" w:color="auto"/>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 of Delivery Information</w:t>
      </w:r>
    </w:p>
    <w:p>
      <w:pPr>
        <w:spacing w:after="0" w:line="225" w:lineRule="exact"/>
        <w:rPr>
          <w:sz w:val="20"/>
          <w:szCs w:val="20"/>
          <w:color w:val="auto"/>
        </w:rPr>
      </w:pPr>
    </w:p>
    <w:p>
      <w:pPr>
        <w:ind w:left="1200" w:hanging="571"/>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initial price to the public of the Securities: $10.00 per Unit.</w:t>
      </w:r>
    </w:p>
    <w:p>
      <w:pPr>
        <w:spacing w:after="0" w:line="23" w:lineRule="exact"/>
        <w:rPr>
          <w:rFonts w:ascii="Arial" w:cs="Arial" w:eastAsia="Arial" w:hAnsi="Arial"/>
          <w:sz w:val="18"/>
          <w:szCs w:val="18"/>
          <w:color w:val="auto"/>
        </w:rPr>
      </w:pPr>
    </w:p>
    <w:p>
      <w:pPr>
        <w:ind w:left="1200" w:hanging="571"/>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Number of Underwritten Securities offered: 180,000,000.</w:t>
      </w:r>
    </w:p>
    <w:p>
      <w:pPr>
        <w:spacing w:after="0" w:line="9" w:lineRule="exact"/>
        <w:rPr>
          <w:rFonts w:ascii="Arial" w:cs="Arial" w:eastAsia="Arial" w:hAnsi="Arial"/>
          <w:sz w:val="18"/>
          <w:szCs w:val="18"/>
          <w:color w:val="auto"/>
        </w:rPr>
      </w:pPr>
    </w:p>
    <w:p>
      <w:pPr>
        <w:ind w:left="1200" w:hanging="571"/>
        <w:spacing w:after="0"/>
        <w:tabs>
          <w:tab w:leader="none" w:pos="12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has granted an option to the Underwriters to purchase an aggregate of not more than 27,000,000 Option Securities.</w:t>
      </w:r>
    </w:p>
    <w:p>
      <w:pPr>
        <w:spacing w:after="0" w:line="20" w:lineRule="exact"/>
        <w:rPr>
          <w:rFonts w:ascii="Arial" w:cs="Arial" w:eastAsia="Arial" w:hAnsi="Arial"/>
          <w:sz w:val="17"/>
          <w:szCs w:val="17"/>
          <w:color w:val="auto"/>
        </w:rPr>
      </w:pPr>
    </w:p>
    <w:p>
      <w:pPr>
        <w:ind w:left="1200" w:hanging="571"/>
        <w:spacing w:after="0" w:line="323" w:lineRule="auto"/>
        <w:tabs>
          <w:tab w:leader="none" w:pos="12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Sponsor and the Company’s executive officers and directors have agreed to purchase additional Private Placement Warrants if and when the Underwriters exercise their over-allotment option as necessary to maintain 100% of the Offering proceeds in the Trust Account.</w:t>
      </w: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3" w:name="page34"/>
    <w:bookmarkEnd w:id="33"/>
    <w:p>
      <w:pPr>
        <w:jc w:val="right"/>
        <w:ind w:right="3939"/>
        <w:spacing w:after="0"/>
        <w:rPr>
          <w:sz w:val="20"/>
          <w:szCs w:val="20"/>
          <w:color w:val="auto"/>
        </w:rPr>
      </w:pPr>
      <w:r>
        <w:rPr>
          <w:rFonts w:ascii="Arial" w:cs="Arial" w:eastAsia="Arial" w:hAnsi="Arial"/>
          <w:sz w:val="18"/>
          <w:szCs w:val="18"/>
          <w:u w:val="single" w:color="auto"/>
          <w:color w:val="auto"/>
        </w:rPr>
        <w:t>SCHEDULE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of Written Testing-the-Waters Communications</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Churchill Capital Corp IV (the “Company”) announced today that Citigroup Global Markets Inc., global coordinator and joint-bookrunner in the Company’s recent public sale of [ ] units, each unit consisting of one share of the Company’s Class A common stock, par value $0.0001 per share (the “Common Stock”), and one-fifth of one warrant, where each whole warrant entitles the holder to purchase one share of Common Stock, is [waiving] [releasing] a lock-up restriction with respect to [ ] units held by [certain executive officers or directors] [an officer or director] of the Company. The [waiver] [release] will take effect on _____________, 20____, and the units may be sold on or after such date.</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CAPITAL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July 29, 2020</w:t>
      </w:r>
    </w:p>
    <w:p>
      <w:pPr>
        <w:spacing w:after="0" w:line="221" w:lineRule="exact"/>
        <w:rPr>
          <w:sz w:val="20"/>
          <w:szCs w:val="20"/>
          <w:color w:val="auto"/>
        </w:rPr>
      </w:pPr>
    </w:p>
    <w:p>
      <w:pPr>
        <w:ind w:right="480" w:firstLine="648"/>
        <w:spacing w:after="0" w:line="347" w:lineRule="auto"/>
        <w:rPr>
          <w:sz w:val="20"/>
          <w:szCs w:val="20"/>
          <w:color w:val="auto"/>
        </w:rPr>
      </w:pPr>
      <w:r>
        <w:rPr>
          <w:rFonts w:ascii="Arial" w:cs="Arial" w:eastAsia="Arial" w:hAnsi="Arial"/>
          <w:sz w:val="16"/>
          <w:szCs w:val="16"/>
          <w:color w:val="auto"/>
        </w:rPr>
        <w:t>THIS WARRANT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July 29, 2020 is by and between Churchill Capital Corp IV,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Continental Stock Transfer &amp; Trust Company, a New York corporation, as warrant agent (the “</w:t>
      </w:r>
      <w:r>
        <w:rPr>
          <w:rFonts w:ascii="Arial" w:cs="Arial" w:eastAsia="Arial" w:hAnsi="Arial"/>
          <w:sz w:val="16"/>
          <w:szCs w:val="16"/>
          <w:b w:val="1"/>
          <w:bCs w:val="1"/>
          <w:color w:val="auto"/>
        </w:rPr>
        <w:t>Warrant Agent</w:t>
      </w:r>
      <w:r>
        <w:rPr>
          <w:rFonts w:ascii="Arial" w:cs="Arial" w:eastAsia="Arial" w:hAnsi="Arial"/>
          <w:sz w:val="16"/>
          <w:szCs w:val="16"/>
          <w:color w:val="auto"/>
        </w:rPr>
        <w:t>”).</w:t>
      </w:r>
    </w:p>
    <w:p>
      <w:pPr>
        <w:spacing w:after="0" w:line="12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WHEREAS, on July 29, 2020 the Company entered into that certain Private Placement Warrants Purchase Agreement, with Churchill Sponsor IV LLC, a Delaware limited liability company (“</w:t>
      </w:r>
      <w:r>
        <w:rPr>
          <w:rFonts w:ascii="Arial" w:cs="Arial" w:eastAsia="Arial" w:hAnsi="Arial"/>
          <w:sz w:val="18"/>
          <w:szCs w:val="18"/>
          <w:b w:val="1"/>
          <w:bCs w:val="1"/>
          <w:color w:val="auto"/>
        </w:rPr>
        <w:t>Sponsor</w:t>
      </w:r>
      <w:r>
        <w:rPr>
          <w:rFonts w:ascii="Arial" w:cs="Arial" w:eastAsia="Arial" w:hAnsi="Arial"/>
          <w:sz w:val="18"/>
          <w:szCs w:val="18"/>
          <w:color w:val="auto"/>
        </w:rPr>
        <w:t>”), pursuant to which Sponsor will purchase an aggregate of up to 42,850,000 warrants (including up to 5,400,000 warrants subject to the Over-allotment Option (as defined below)) simultaneously with the closing of the Offering (and the closing of the Over-allotment Option) (as defined below), if applicable), bearing the legend set forth in Exhibit B hereto (the “</w:t>
      </w:r>
      <w:r>
        <w:rPr>
          <w:rFonts w:ascii="Arial" w:cs="Arial" w:eastAsia="Arial" w:hAnsi="Arial"/>
          <w:sz w:val="18"/>
          <w:szCs w:val="18"/>
          <w:b w:val="1"/>
          <w:bCs w:val="1"/>
          <w:color w:val="auto"/>
        </w:rPr>
        <w:t>Private Placement Warrants</w:t>
      </w:r>
      <w:r>
        <w:rPr>
          <w:rFonts w:ascii="Arial" w:cs="Arial" w:eastAsia="Arial" w:hAnsi="Arial"/>
          <w:sz w:val="18"/>
          <w:szCs w:val="18"/>
          <w:color w:val="auto"/>
        </w:rPr>
        <w:t>”) at a purchase price of $1.00 per Private Placement Warrant; and</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WHEREAS, in order to finance the Company’s transaction costs in connection with an intended Business Combination, the Sponsor or affiliates of the Sponsor or certain of the Company’s officers and directors may, but are not obligated to, loan the Company funds as the Company may require, of which up to $1,500,000 may be convertible into up to an additional 1,500,000 Private Placement Warrants of the post Business Combination entity at a price of $1.00 per warrant;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Company is engaged in an initial public offering (the “</w:t>
      </w:r>
      <w:r>
        <w:rPr>
          <w:rFonts w:ascii="Arial" w:cs="Arial" w:eastAsia="Arial" w:hAnsi="Arial"/>
          <w:sz w:val="17"/>
          <w:szCs w:val="17"/>
          <w:b w:val="1"/>
          <w:bCs w:val="1"/>
          <w:color w:val="auto"/>
        </w:rPr>
        <w:t>Offering</w:t>
      </w:r>
      <w:r>
        <w:rPr>
          <w:rFonts w:ascii="Arial" w:cs="Arial" w:eastAsia="Arial" w:hAnsi="Arial"/>
          <w:sz w:val="17"/>
          <w:szCs w:val="17"/>
          <w:color w:val="auto"/>
        </w:rPr>
        <w:t>”) of units of the Company’s equity securities, each such unit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comprised of one share of Common Stock (as defined below) and one-fifth of one redeemable Public Warrant (as defined below) (the “</w:t>
      </w:r>
      <w:r>
        <w:rPr>
          <w:rFonts w:ascii="Arial" w:cs="Arial" w:eastAsia="Arial" w:hAnsi="Arial"/>
          <w:sz w:val="17"/>
          <w:szCs w:val="17"/>
          <w:b w:val="1"/>
          <w:bCs w:val="1"/>
          <w:color w:val="auto"/>
        </w:rPr>
        <w:t>Units</w:t>
      </w:r>
      <w:r>
        <w:rPr>
          <w:rFonts w:ascii="Arial" w:cs="Arial" w:eastAsia="Arial" w:hAnsi="Arial"/>
          <w:sz w:val="17"/>
          <w:szCs w:val="17"/>
          <w:color w:val="auto"/>
        </w:rPr>
        <w:t>”) and,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therewith, has determined to issue and deliver up to 41,400,000 warrants (including up to 5,400,000 warrants subject to the Over-allotment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 (as defined below)) to public investors in the Offering (the “</w:t>
      </w:r>
      <w:r>
        <w:rPr>
          <w:rFonts w:ascii="Arial" w:cs="Arial" w:eastAsia="Arial" w:hAnsi="Arial"/>
          <w:sz w:val="18"/>
          <w:szCs w:val="18"/>
          <w:b w:val="1"/>
          <w:bCs w:val="1"/>
          <w:color w:val="auto"/>
        </w:rPr>
        <w:t>Public Warrants</w:t>
      </w:r>
      <w:r>
        <w:rPr>
          <w:rFonts w:ascii="Arial" w:cs="Arial" w:eastAsia="Arial" w:hAnsi="Arial"/>
          <w:sz w:val="18"/>
          <w:szCs w:val="18"/>
          <w:color w:val="auto"/>
        </w:rPr>
        <w:t>” and, together with the Private Placement Warrants,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Warrants</w:t>
      </w:r>
      <w:r>
        <w:rPr>
          <w:rFonts w:ascii="Arial" w:cs="Arial" w:eastAsia="Arial" w:hAnsi="Arial"/>
          <w:sz w:val="16"/>
          <w:szCs w:val="16"/>
          <w:color w:val="auto"/>
        </w:rPr>
        <w:t>”). Each whole Warrant entitles the holder thereof to purchase one share of Class A common stock of the Company, par value $0.0001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for $11.50 per whole share, subject to adjustment as described herein. Only whole warrants are exercisable. A holder of the 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not be able to exercise any fraction of a Warrant;</w:t>
      </w:r>
    </w:p>
    <w:p>
      <w:pPr>
        <w:spacing w:after="0" w:line="207"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color w:val="auto"/>
        </w:rPr>
        <w:t>WHEREAS, the Company has filed with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 registration statement on Form S-1, File No. 333-239856 and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of the Units, the Public Warrants and the shares of Common Stock included in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ind w:right="260"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right="100" w:firstLine="656"/>
        <w:spacing w:after="0" w:line="263" w:lineRule="auto"/>
        <w:tabs>
          <w:tab w:leader="none" w:pos="132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express terms and conditions set forth in this Agreement.</w:t>
      </w:r>
    </w:p>
    <w:p>
      <w:pPr>
        <w:spacing w:after="0" w:line="183" w:lineRule="exact"/>
        <w:rPr>
          <w:rFonts w:ascii="Arial" w:cs="Arial" w:eastAsia="Arial" w:hAnsi="Arial"/>
          <w:sz w:val="18"/>
          <w:szCs w:val="18"/>
          <w:color w:val="auto"/>
        </w:rPr>
      </w:pPr>
    </w:p>
    <w:p>
      <w:pPr>
        <w:ind w:left="1340" w:hanging="684"/>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left="660" w:right="60" w:firstLine="1296"/>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Each Warrant shall initially be issued in registered form only. Warrants may be represented by one or more physical definitive certificates or by book entry.</w:t>
      </w:r>
    </w:p>
    <w:p>
      <w:pPr>
        <w:spacing w:after="0" w:line="170" w:lineRule="exact"/>
        <w:rPr>
          <w:sz w:val="20"/>
          <w:szCs w:val="20"/>
          <w:color w:val="auto"/>
        </w:rPr>
      </w:pPr>
    </w:p>
    <w:p>
      <w:pPr>
        <w:jc w:val="both"/>
        <w:ind w:left="660" w:right="180" w:firstLine="1296"/>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If a physical definitive certificate is issued, unless and until countersigned by the Warrant Agent, either by manual or facsimile signature, pursuant to this Agreement, a Warrant certificate shall be invalid and of no effect and may not be exercised by the holder thereof.</w:t>
      </w:r>
    </w:p>
    <w:p>
      <w:pPr>
        <w:spacing w:after="0" w:line="184"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21" w:lineRule="exact"/>
        <w:rPr>
          <w:sz w:val="20"/>
          <w:szCs w:val="20"/>
          <w:color w:val="auto"/>
        </w:rPr>
      </w:pPr>
    </w:p>
    <w:p>
      <w:pPr>
        <w:ind w:left="980" w:right="100" w:firstLine="1944"/>
        <w:spacing w:after="0" w:line="291"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original issuance and the registration of transfer of the Warrants. Upon the initial issuance of the Warrants in book-entry form, the Warrant Agent shall issue and register the Warrants in the names of the respective holders thereof in such denominations and otherwise in accordance with instructions delivered to the Warrant Agent by the Company. All of the Public Warrants shall initially be represented by one or more book entry certificates deposited with the Depository and registered in the name of a nominee of the Depositary (as defined below). Ownership of beneficial interests in the Public Warrants shall be shown on, and the transfer of such ownership shall be effected through, records maintained by (i) the Depositary or its nominee for each book-entry certificate or (ii) institutions that have accounts with The Depository Trust Company (the “</w:t>
      </w:r>
      <w:r>
        <w:rPr>
          <w:rFonts w:ascii="Arial" w:cs="Arial" w:eastAsia="Arial" w:hAnsi="Arial"/>
          <w:sz w:val="16"/>
          <w:szCs w:val="16"/>
          <w:b w:val="1"/>
          <w:bCs w:val="1"/>
          <w:color w:val="auto"/>
        </w:rPr>
        <w:t>Depositary</w:t>
      </w:r>
      <w:r>
        <w:rPr>
          <w:rFonts w:ascii="Arial" w:cs="Arial" w:eastAsia="Arial" w:hAnsi="Arial"/>
          <w:sz w:val="16"/>
          <w:szCs w:val="16"/>
          <w:color w:val="auto"/>
        </w:rPr>
        <w:t>”) (such institution, with respect to a Warrant in its account, a “</w:t>
      </w:r>
      <w:r>
        <w:rPr>
          <w:rFonts w:ascii="Arial" w:cs="Arial" w:eastAsia="Arial" w:hAnsi="Arial"/>
          <w:sz w:val="16"/>
          <w:szCs w:val="16"/>
          <w:b w:val="1"/>
          <w:bCs w:val="1"/>
          <w:color w:val="auto"/>
        </w:rPr>
        <w:t>Participant</w:t>
      </w:r>
      <w:r>
        <w:rPr>
          <w:rFonts w:ascii="Arial" w:cs="Arial" w:eastAsia="Arial" w:hAnsi="Arial"/>
          <w:sz w:val="16"/>
          <w:szCs w:val="16"/>
          <w:color w:val="auto"/>
        </w:rPr>
        <w: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right="40" w:firstLine="648"/>
        <w:spacing w:after="0" w:line="275" w:lineRule="auto"/>
        <w:rPr>
          <w:sz w:val="20"/>
          <w:szCs w:val="20"/>
          <w:color w:val="auto"/>
        </w:rPr>
      </w:pPr>
      <w:r>
        <w:rPr>
          <w:rFonts w:ascii="Arial" w:cs="Arial" w:eastAsia="Arial" w:hAnsi="Arial"/>
          <w:sz w:val="17"/>
          <w:szCs w:val="17"/>
          <w:color w:val="auto"/>
        </w:rPr>
        <w:t xml:space="preserve">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Public Warrant, and the Company shall instruct the Warrant Agent to deliver to the Depositary definitive certificates in physical form evidencing such Warrants which shall be in the form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physical definitive certificates, if issued, shall be signed by, or bear the facsimile signature of, the Chairman of the Board, Chief Executive Officer, Chief Financial Officer, the President or the Secretary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71" w:lineRule="exact"/>
        <w:rPr>
          <w:sz w:val="20"/>
          <w:szCs w:val="20"/>
          <w:color w:val="auto"/>
        </w:rPr>
      </w:pPr>
    </w:p>
    <w:p>
      <w:pPr>
        <w:ind w:left="980" w:right="20" w:firstLine="1944"/>
        <w:spacing w:after="0" w:line="296"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Registered Holder</w:t>
      </w:r>
      <w:r>
        <w:rPr>
          <w:rFonts w:ascii="Arial" w:cs="Arial" w:eastAsia="Arial" w:hAnsi="Arial"/>
          <w:sz w:val="16"/>
          <w:szCs w:val="16"/>
          <w:color w:val="auto"/>
        </w:rPr>
        <w:t>. Prior to due presentment for registration of transfer of any Warrant, the Company and the Warrant Agent may deem and treat the person in whose name such Warrant is registered in the Warrant Register (the “</w:t>
      </w:r>
      <w:r>
        <w:rPr>
          <w:rFonts w:ascii="Arial" w:cs="Arial" w:eastAsia="Arial" w:hAnsi="Arial"/>
          <w:sz w:val="16"/>
          <w:szCs w:val="16"/>
          <w:b w:val="1"/>
          <w:bCs w:val="1"/>
          <w:color w:val="auto"/>
        </w:rPr>
        <w:t>Registered</w:t>
      </w:r>
      <w:r>
        <w:rPr>
          <w:rFonts w:ascii="Arial" w:cs="Arial" w:eastAsia="Arial" w:hAnsi="Arial"/>
          <w:sz w:val="16"/>
          <w:szCs w:val="16"/>
          <w:color w:val="auto"/>
        </w:rPr>
        <w:t xml:space="preserve"> </w:t>
      </w:r>
      <w:r>
        <w:rPr>
          <w:rFonts w:ascii="Arial" w:cs="Arial" w:eastAsia="Arial" w:hAnsi="Arial"/>
          <w:sz w:val="16"/>
          <w:szCs w:val="16"/>
          <w:b w:val="1"/>
          <w:bCs w:val="1"/>
          <w:color w:val="auto"/>
        </w:rPr>
        <w:t>Holder</w:t>
      </w:r>
      <w:r>
        <w:rPr>
          <w:rFonts w:ascii="Arial" w:cs="Arial" w:eastAsia="Arial" w:hAnsi="Arial"/>
          <w:sz w:val="16"/>
          <w:szCs w:val="16"/>
          <w:color w:val="auto"/>
        </w:rPr>
        <w:t>”) as the absolute owner of such Warrant and of each Warrant represented thereby (notwithstanding any notation of ownership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on any physical definitive certificate made by anyone other than the Company or the Warrant Agent), for the purpose of any exercise thereof, and for all other purposes, and neither the Company nor the Warrant Agent shall be affected by any notice to the contrary.</w:t>
      </w:r>
    </w:p>
    <w:p>
      <w:pPr>
        <w:spacing w:after="0" w:line="161" w:lineRule="exact"/>
        <w:rPr>
          <w:sz w:val="20"/>
          <w:szCs w:val="20"/>
          <w:color w:val="auto"/>
        </w:rPr>
      </w:pPr>
    </w:p>
    <w:p>
      <w:pPr>
        <w:ind w:left="660" w:firstLine="1296"/>
        <w:spacing w:after="0" w:line="26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Detachability of Warrants</w:t>
      </w:r>
      <w:r>
        <w:rPr>
          <w:rFonts w:ascii="Arial" w:cs="Arial" w:eastAsia="Arial" w:hAnsi="Arial"/>
          <w:sz w:val="17"/>
          <w:szCs w:val="17"/>
          <w:color w:val="auto"/>
        </w:rPr>
        <w:t>. The shares of Common Stock and Public Warrants comprising the Units shall begin separate trading on the 52nd day following the date of the Prospectus or, if such 52nd day is not on a day other than a Saturday, Sunday or federal holiday on which banks in New York City are generally open for normal business (a “</w:t>
      </w:r>
      <w:r>
        <w:rPr>
          <w:rFonts w:ascii="Arial" w:cs="Arial" w:eastAsia="Arial" w:hAnsi="Arial"/>
          <w:sz w:val="17"/>
          <w:szCs w:val="17"/>
          <w:b w:val="1"/>
          <w:bCs w:val="1"/>
          <w:color w:val="auto"/>
        </w:rPr>
        <w:t>Business Day</w:t>
      </w:r>
      <w:r>
        <w:rPr>
          <w:rFonts w:ascii="Arial" w:cs="Arial" w:eastAsia="Arial" w:hAnsi="Arial"/>
          <w:sz w:val="17"/>
          <w:szCs w:val="17"/>
          <w:color w:val="auto"/>
        </w:rPr>
        <w:t>”), then on the immediately succeeding Business Day following such date, or earlier (the “</w:t>
      </w:r>
      <w:r>
        <w:rPr>
          <w:rFonts w:ascii="Arial" w:cs="Arial" w:eastAsia="Arial" w:hAnsi="Arial"/>
          <w:sz w:val="17"/>
          <w:szCs w:val="17"/>
          <w:b w:val="1"/>
          <w:bCs w:val="1"/>
          <w:color w:val="auto"/>
        </w:rPr>
        <w:t>Detachment Date</w:t>
      </w:r>
      <w:r>
        <w:rPr>
          <w:rFonts w:ascii="Arial" w:cs="Arial" w:eastAsia="Arial" w:hAnsi="Arial"/>
          <w:sz w:val="17"/>
          <w:szCs w:val="17"/>
          <w:color w:val="auto"/>
        </w:rPr>
        <w:t>”) with the consent of Citigroup Global Markets Inc. but in no event shall the shares of Common Stock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received by the Company from the exercise by the underwriters of their right to purchase additional Units in the Offering (the “</w:t>
      </w:r>
      <w:r>
        <w:rPr>
          <w:rFonts w:ascii="Arial" w:cs="Arial" w:eastAsia="Arial" w:hAnsi="Arial"/>
          <w:sz w:val="17"/>
          <w:szCs w:val="17"/>
          <w:b w:val="1"/>
          <w:bCs w:val="1"/>
          <w:color w:val="auto"/>
        </w:rPr>
        <w:t>Over-allotment Option</w:t>
      </w:r>
      <w:r>
        <w:rPr>
          <w:rFonts w:ascii="Arial" w:cs="Arial" w:eastAsia="Arial" w:hAnsi="Arial"/>
          <w:sz w:val="17"/>
          <w:szCs w:val="17"/>
          <w:color w:val="auto"/>
        </w:rPr>
        <w:t>”), if the Over-allotment Option is exercised prior to the filing of the Form 8-K, and a second or amended current report on</w:t>
      </w:r>
      <w:r>
        <w:rPr>
          <w:rFonts w:ascii="Arial" w:cs="Arial" w:eastAsia="Arial" w:hAnsi="Arial"/>
          <w:sz w:val="17"/>
          <w:szCs w:val="17"/>
          <w:b w:val="1"/>
          <w:bCs w:val="1"/>
          <w:color w:val="auto"/>
        </w:rPr>
        <w:t xml:space="preserve"> </w:t>
      </w:r>
      <w:r>
        <w:rPr>
          <w:rFonts w:ascii="Arial" w:cs="Arial" w:eastAsia="Arial" w:hAnsi="Arial"/>
          <w:sz w:val="17"/>
          <w:szCs w:val="17"/>
          <w:color w:val="auto"/>
        </w:rPr>
        <w:t>Form 8-K to provide updated financial information to reflect the exercise of the Underwriters’ Over-allotment option, if the Over-allotment option is exercised following the initial filing of such current report on Form 8-K and (B) the Company issues a press release and files with the Commission a Current Report on Form 8-K announcing when such separate trading shall begin.</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8" w:name="page39"/>
    <w:bookmarkEnd w:id="38"/>
    <w:p>
      <w:pPr>
        <w:ind w:left="660" w:right="80" w:firstLine="129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Company shall not issue fractional Warrants other than as part of the Units, each of which is comprised of one share of Common Stock and one-fifth of one Public Warrant. If, upon the detachment of Public Warrants from the Units or otherwise, a holder of Warrants would be entitled to receive a fractional Warrant, the Company shall round down to the nearest whole number the number of Warrants to be issued to such holder.</w:t>
      </w:r>
    </w:p>
    <w:p>
      <w:pPr>
        <w:spacing w:after="0" w:line="187" w:lineRule="exact"/>
        <w:rPr>
          <w:sz w:val="20"/>
          <w:szCs w:val="20"/>
          <w:color w:val="auto"/>
        </w:rPr>
      </w:pPr>
    </w:p>
    <w:p>
      <w:pPr>
        <w:ind w:left="660" w:firstLine="1296"/>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xml:space="preserve">. The Private Placement Warrants shall be identical to the Public Warrants, except that so long as they are held by the Sponsor or any of its Permitted Transferees (as defined below) the Private Placement Warrants: (i) may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hereof, (ii) may not be transferred, assigned or sold until thirty (30) days after the completion by the Company of an initial Business Combination (as defined below), and (iii) shall not be redeemable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(ii), the Private Placement Warrants and any shares of Common Stock issued upon exercise of the Private Placement Warrants may be transferred by the holders thereof:</w:t>
      </w:r>
    </w:p>
    <w:p>
      <w:pPr>
        <w:spacing w:after="0" w:line="192" w:lineRule="exact"/>
        <w:rPr>
          <w:sz w:val="20"/>
          <w:szCs w:val="20"/>
          <w:color w:val="auto"/>
        </w:rPr>
      </w:pPr>
    </w:p>
    <w:p>
      <w:pPr>
        <w:ind w:right="100" w:firstLine="2600"/>
        <w:spacing w:after="0" w:line="277" w:lineRule="auto"/>
        <w:tabs>
          <w:tab w:leader="none" w:pos="33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Company’s officers or directors, any affiliates or family members of any of the Company’s officers or directors, any members of the Sponsor, or any affiliates of the Sponsor;</w:t>
      </w:r>
    </w:p>
    <w:p>
      <w:pPr>
        <w:spacing w:after="0" w:line="170" w:lineRule="exact"/>
        <w:rPr>
          <w:rFonts w:ascii="Arial" w:cs="Arial" w:eastAsia="Arial" w:hAnsi="Arial"/>
          <w:sz w:val="18"/>
          <w:szCs w:val="18"/>
          <w:color w:val="auto"/>
        </w:rPr>
      </w:pPr>
    </w:p>
    <w:p>
      <w:pPr>
        <w:ind w:left="3340" w:hanging="740"/>
        <w:spacing w:after="0"/>
        <w:tabs>
          <w:tab w:leader="none" w:pos="3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the case of an individual, transfers by gift to a member of the individual’s immediate family, to a trust,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beneficiary of which is a member of the individual’s immediate family or an affiliate of such person, or to a charitable organization;</w:t>
      </w:r>
    </w:p>
    <w:p>
      <w:pPr>
        <w:spacing w:after="0" w:line="210" w:lineRule="exact"/>
        <w:rPr>
          <w:rFonts w:ascii="Arial" w:cs="Arial" w:eastAsia="Arial" w:hAnsi="Arial"/>
          <w:sz w:val="16"/>
          <w:szCs w:val="16"/>
          <w:color w:val="auto"/>
        </w:rPr>
      </w:pPr>
    </w:p>
    <w:p>
      <w:pPr>
        <w:ind w:left="3340" w:hanging="740"/>
        <w:spacing w:after="0"/>
        <w:tabs>
          <w:tab w:leader="none" w:pos="3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an individual, transfers by virtue of laws of descent and distribution upon death of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individual;</w:t>
      </w:r>
    </w:p>
    <w:p>
      <w:pPr>
        <w:spacing w:after="0" w:line="210" w:lineRule="exact"/>
        <w:rPr>
          <w:rFonts w:ascii="Arial" w:cs="Arial" w:eastAsia="Arial" w:hAnsi="Arial"/>
          <w:sz w:val="18"/>
          <w:szCs w:val="18"/>
          <w:color w:val="auto"/>
        </w:rPr>
      </w:pPr>
    </w:p>
    <w:p>
      <w:pPr>
        <w:ind w:left="3340" w:hanging="740"/>
        <w:spacing w:after="0"/>
        <w:tabs>
          <w:tab w:leader="none" w:pos="3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an individual, transfers pursuant to a qualified domestic relations order;</w:t>
      </w:r>
    </w:p>
    <w:p>
      <w:pPr>
        <w:spacing w:after="0" w:line="225" w:lineRule="exact"/>
        <w:rPr>
          <w:rFonts w:ascii="Arial" w:cs="Arial" w:eastAsia="Arial" w:hAnsi="Arial"/>
          <w:sz w:val="18"/>
          <w:szCs w:val="18"/>
          <w:color w:val="auto"/>
        </w:rPr>
      </w:pPr>
    </w:p>
    <w:p>
      <w:pPr>
        <w:ind w:right="60" w:firstLine="2600"/>
        <w:spacing w:after="0" w:line="277" w:lineRule="auto"/>
        <w:tabs>
          <w:tab w:leader="none" w:pos="33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transfers by private sales or transfers made in connection with the consummation of a Business Combination at prices no greater than the price at which the securities were originally purchased;</w:t>
      </w:r>
    </w:p>
    <w:p>
      <w:pPr>
        <w:spacing w:after="0" w:line="170" w:lineRule="exact"/>
        <w:rPr>
          <w:rFonts w:ascii="Arial" w:cs="Arial" w:eastAsia="Arial" w:hAnsi="Arial"/>
          <w:sz w:val="18"/>
          <w:szCs w:val="18"/>
          <w:color w:val="auto"/>
        </w:rPr>
      </w:pPr>
    </w:p>
    <w:p>
      <w:pPr>
        <w:ind w:left="3360" w:hanging="760"/>
        <w:spacing w:after="0"/>
        <w:tabs>
          <w:tab w:leader="none" w:pos="3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transfers in the event of the Company’s liquidation prior to the completion of an initial Business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Combination;</w:t>
      </w:r>
    </w:p>
    <w:p>
      <w:pPr>
        <w:spacing w:after="0" w:line="210" w:lineRule="exact"/>
        <w:rPr>
          <w:rFonts w:ascii="Arial" w:cs="Arial" w:eastAsia="Arial" w:hAnsi="Arial"/>
          <w:sz w:val="18"/>
          <w:szCs w:val="18"/>
          <w:color w:val="auto"/>
        </w:rPr>
      </w:pPr>
    </w:p>
    <w:p>
      <w:pPr>
        <w:ind w:left="3340" w:hanging="740"/>
        <w:spacing w:after="0"/>
        <w:tabs>
          <w:tab w:leader="none" w:pos="3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transfers by virtue of the laws of the State of Delaware or the Sponsor’s limited liability company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upon dissolution of the Sponsor;</w:t>
      </w:r>
    </w:p>
    <w:p>
      <w:pPr>
        <w:spacing w:after="0" w:line="210" w:lineRule="exact"/>
        <w:rPr>
          <w:rFonts w:ascii="Arial" w:cs="Arial" w:eastAsia="Arial" w:hAnsi="Arial"/>
          <w:sz w:val="16"/>
          <w:szCs w:val="16"/>
          <w:color w:val="auto"/>
        </w:rPr>
      </w:pPr>
    </w:p>
    <w:p>
      <w:pPr>
        <w:ind w:right="180" w:firstLine="2600"/>
        <w:spacing w:after="0" w:line="263" w:lineRule="auto"/>
        <w:tabs>
          <w:tab w:leader="none" w:pos="3341"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of the Company’s completion of a liquidation, merger, stock exchange, reorganization or other similar transaction which results in all of the Company’s public stockholders having the right to exchange their shares of Common Stock for cash, securities or other property subsequent to the completion of the initial Business Combination; and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9" w:name="page40"/>
    <w:bookmarkEnd w:id="39"/>
    <w:p>
      <w:pPr>
        <w:ind w:left="-20" w:right="60" w:firstLine="2600"/>
        <w:spacing w:after="0" w:line="286" w:lineRule="auto"/>
        <w:tabs>
          <w:tab w:leader="none" w:pos="3327" w:val="left"/>
        </w:tabs>
        <w:numPr>
          <w:ilvl w:val="1"/>
          <w:numId w:val="50"/>
        </w:numPr>
        <w:rPr>
          <w:rFonts w:ascii="Arial" w:cs="Arial" w:eastAsia="Arial" w:hAnsi="Arial"/>
          <w:sz w:val="17"/>
          <w:szCs w:val="17"/>
          <w:color w:val="auto"/>
        </w:rPr>
      </w:pPr>
      <w:r>
        <w:rPr>
          <w:rFonts w:ascii="Arial" w:cs="Arial" w:eastAsia="Arial" w:hAnsi="Arial"/>
          <w:sz w:val="17"/>
          <w:szCs w:val="17"/>
          <w:color w:val="auto"/>
        </w:rPr>
        <w:t xml:space="preserve">to a nominee or custodian of a person or entity to whom a disposition or transfer would be permissible under clauses (a) through (h) above;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in the case of clauses (a) through (e) and (i), these permitted transferees (the “</w:t>
      </w:r>
      <w:r>
        <w:rPr>
          <w:rFonts w:ascii="Arial" w:cs="Arial" w:eastAsia="Arial" w:hAnsi="Arial"/>
          <w:sz w:val="17"/>
          <w:szCs w:val="17"/>
          <w:b w:val="1"/>
          <w:b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color w:val="auto"/>
        </w:rPr>
        <w:t>Transferees</w:t>
      </w:r>
      <w:r>
        <w:rPr>
          <w:rFonts w:ascii="Arial" w:cs="Arial" w:eastAsia="Arial" w:hAnsi="Arial"/>
          <w:sz w:val="17"/>
          <w:szCs w:val="17"/>
          <w:color w:val="auto"/>
        </w:rPr>
        <w:t>”) must enter into a written agreement with the Company agreeing to be bound by the transfer restrictions in this Agreement.</w:t>
      </w:r>
    </w:p>
    <w:p>
      <w:pPr>
        <w:spacing w:after="0" w:line="165" w:lineRule="exact"/>
        <w:rPr>
          <w:rFonts w:ascii="Arial" w:cs="Arial" w:eastAsia="Arial" w:hAnsi="Arial"/>
          <w:sz w:val="17"/>
          <w:szCs w:val="17"/>
          <w:color w:val="auto"/>
        </w:rPr>
      </w:pPr>
    </w:p>
    <w:p>
      <w:pPr>
        <w:ind w:left="1320" w:hanging="68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ind w:left="640" w:firstLine="1296"/>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Warrant Price</w:t>
      </w:r>
      <w:r>
        <w:rPr>
          <w:rFonts w:ascii="Arial" w:cs="Arial" w:eastAsia="Arial" w:hAnsi="Arial"/>
          <w:sz w:val="16"/>
          <w:szCs w:val="16"/>
          <w:color w:val="auto"/>
        </w:rPr>
        <w:t xml:space="preserve">. Each Warrant shall entitle the Registered Holder thereof, subject to the provisions of such Warrant and of this Agreement, to purchase from the Company the number of shares of Common Stock stated therein, at the price of $11.50 per share, subject to the adjustments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and in the last sentence of this </w:t>
      </w:r>
      <w:r>
        <w:rPr>
          <w:rFonts w:ascii="Arial" w:cs="Arial" w:eastAsia="Arial" w:hAnsi="Arial"/>
          <w:sz w:val="16"/>
          <w:szCs w:val="16"/>
          <w:u w:val="single" w:color="auto"/>
          <w:color w:val="auto"/>
        </w:rPr>
        <w:t>Section 3.1</w:t>
      </w:r>
      <w:r>
        <w:rPr>
          <w:rFonts w:ascii="Arial" w:cs="Arial" w:eastAsia="Arial" w:hAnsi="Arial"/>
          <w:sz w:val="16"/>
          <w:szCs w:val="16"/>
          <w:color w:val="auto"/>
        </w:rPr>
        <w:t>. The term “</w:t>
      </w:r>
      <w:r>
        <w:rPr>
          <w:rFonts w:ascii="Arial" w:cs="Arial" w:eastAsia="Arial" w:hAnsi="Arial"/>
          <w:sz w:val="16"/>
          <w:szCs w:val="16"/>
          <w:b w:val="1"/>
          <w:bCs w:val="1"/>
          <w:color w:val="auto"/>
        </w:rPr>
        <w:t>Warrant Price</w:t>
      </w:r>
      <w:r>
        <w:rPr>
          <w:rFonts w:ascii="Arial" w:cs="Arial" w:eastAsia="Arial" w:hAnsi="Arial"/>
          <w:sz w:val="16"/>
          <w:szCs w:val="16"/>
          <w:color w:val="auto"/>
        </w:rPr>
        <w:t>” as used in this Agreement shall mean the price per share described in the prior sentence at which shares of Common Stock may be purchased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identical among all of the Warrants.</w:t>
      </w:r>
    </w:p>
    <w:p>
      <w:pPr>
        <w:spacing w:after="0" w:line="162" w:lineRule="exact"/>
        <w:rPr>
          <w:sz w:val="20"/>
          <w:szCs w:val="20"/>
          <w:color w:val="auto"/>
        </w:rPr>
      </w:pPr>
    </w:p>
    <w:p>
      <w:pPr>
        <w:ind w:left="1940"/>
        <w:spacing w:after="0"/>
        <w:tabs>
          <w:tab w:leader="none" w:pos="25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(the “</w:t>
      </w:r>
      <w:r>
        <w:rPr>
          <w:rFonts w:ascii="Arial" w:cs="Arial" w:eastAsia="Arial" w:hAnsi="Arial"/>
          <w:sz w:val="16"/>
          <w:szCs w:val="16"/>
          <w:b w:val="1"/>
          <w:bCs w:val="1"/>
          <w:color w:val="auto"/>
        </w:rPr>
        <w:t>Exercise Period</w:t>
      </w:r>
      <w:r>
        <w:rPr>
          <w:rFonts w:ascii="Arial" w:cs="Arial" w:eastAsia="Arial" w:hAnsi="Arial"/>
          <w:sz w:val="16"/>
          <w:szCs w:val="16"/>
          <w:color w:val="auto"/>
        </w:rPr>
        <w:t>”) (A) commencing on</w:t>
      </w:r>
    </w:p>
    <w:p>
      <w:pPr>
        <w:spacing w:after="0" w:line="27" w:lineRule="exact"/>
        <w:rPr>
          <w:sz w:val="20"/>
          <w:szCs w:val="20"/>
          <w:color w:val="auto"/>
        </w:rPr>
      </w:pPr>
    </w:p>
    <w:p>
      <w:pPr>
        <w:ind w:left="640" w:right="300"/>
        <w:spacing w:after="0" w:line="281" w:lineRule="auto"/>
        <w:rPr>
          <w:sz w:val="20"/>
          <w:szCs w:val="20"/>
          <w:color w:val="auto"/>
        </w:rPr>
      </w:pPr>
      <w:r>
        <w:rPr>
          <w:rFonts w:ascii="Arial" w:cs="Arial" w:eastAsia="Arial" w:hAnsi="Arial"/>
          <w:sz w:val="16"/>
          <w:szCs w:val="16"/>
          <w:color w:val="auto"/>
        </w:rPr>
        <w:t>the later of: (i) the date that is thirty (30) days after the first date on which the Company completes a merger, share exchange, asset acquisition, share purchase, reorganization or similar transaction, involving the Company and one or more businesses (a “</w:t>
      </w:r>
      <w:r>
        <w:rPr>
          <w:rFonts w:ascii="Arial" w:cs="Arial" w:eastAsia="Arial" w:hAnsi="Arial"/>
          <w:sz w:val="16"/>
          <w:szCs w:val="16"/>
          <w:b w:val="1"/>
          <w:bCs w:val="1"/>
          <w:color w:val="auto"/>
        </w:rPr>
        <w:t>Business Combination</w:t>
      </w:r>
      <w:r>
        <w:rPr>
          <w:rFonts w:ascii="Arial" w:cs="Arial" w:eastAsia="Arial" w:hAnsi="Arial"/>
          <w:sz w:val="16"/>
          <w:szCs w:val="16"/>
          <w:color w:val="auto"/>
        </w:rPr>
        <w:t>”), and</w:t>
      </w:r>
    </w:p>
    <w:p>
      <w:pPr>
        <w:spacing w:after="0" w:line="1" w:lineRule="exact"/>
        <w:rPr>
          <w:sz w:val="20"/>
          <w:szCs w:val="20"/>
          <w:color w:val="auto"/>
        </w:rPr>
      </w:pPr>
    </w:p>
    <w:p>
      <w:pPr>
        <w:ind w:left="640" w:right="20" w:hanging="4"/>
        <w:spacing w:after="0" w:line="285" w:lineRule="auto"/>
        <w:tabs>
          <w:tab w:leader="none" w:pos="905"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date that is twelve (12) months from the date of the closing of the Offering, and (B) terminating at 5:00 p.m., New York City time on the earlier to occur of: (w) the date that is five (5) years after the date on which the Company completes its initial Business Combination, (x) the liquidation of the Company in accordance with the Company’s certificate of incorporation, as amended from time to time, if the Company fails to consummate a Business Combination, and (y) other than with respect to the Private Placement Warrants, the Redemption Date (as defined below) as provided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(the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exercise of any Warrant shall be subject to the satisfaction of any applicable conditions, as set forth in </w:t>
      </w:r>
      <w:r>
        <w:rPr>
          <w:rFonts w:ascii="Arial" w:cs="Arial" w:eastAsia="Arial" w:hAnsi="Arial"/>
          <w:sz w:val="16"/>
          <w:szCs w:val="16"/>
          <w:u w:val="single" w:color="auto"/>
          <w:color w:val="auto"/>
        </w:rPr>
        <w:t>subsection 3.3.2</w:t>
      </w:r>
      <w:r>
        <w:rPr>
          <w:rFonts w:ascii="Arial" w:cs="Arial" w:eastAsia="Arial" w:hAnsi="Arial"/>
          <w:sz w:val="16"/>
          <w:szCs w:val="16"/>
          <w:color w:val="auto"/>
        </w:rPr>
        <w:t xml:space="preserve"> below, with respect to an effective registration statement. Except with respect to the right to receive the Redemption Price (as defined below) (other than with respect to a Private Placement Warrant) in the event of a redemption (as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each Warrant (other than a Sponsor Warrant in the event of a redemption) not exercised on or before the Expiration Date shall become null and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provide at least twenty (20) days prior written notice of any such extension to Registered Holders of the Warrants, and, provided further that any such extension shall be identical in duration among all the Warrants.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40" w:name="page41"/>
    <w:bookmarkEnd w:id="40"/>
    <w:p>
      <w:pPr>
        <w:ind w:left="1960"/>
        <w:spacing w:after="0"/>
        <w:tabs>
          <w:tab w:leader="none" w:pos="26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225" w:lineRule="exact"/>
        <w:rPr>
          <w:sz w:val="20"/>
          <w:szCs w:val="20"/>
          <w:color w:val="auto"/>
        </w:rPr>
      </w:pPr>
    </w:p>
    <w:p>
      <w:pPr>
        <w:ind w:left="980" w:right="40" w:firstLine="1944"/>
        <w:spacing w:after="0" w:line="296"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u w:val="single" w:color="auto"/>
          <w:color w:val="auto"/>
        </w:rPr>
        <w:t>Payment</w:t>
      </w:r>
      <w:r>
        <w:rPr>
          <w:rFonts w:ascii="Arial" w:cs="Arial" w:eastAsia="Arial" w:hAnsi="Arial"/>
          <w:sz w:val="16"/>
          <w:szCs w:val="16"/>
          <w:color w:val="auto"/>
        </w:rPr>
        <w:t>. Subject to the provisions of the Warrant and this Agreement, a Warrant may be exercised by the Registered Holder thereof by surrendering it at the office of the Warrant Agent or at the office of its successor as Warrant Agent, together with (i) an election to purchase form, duly executed, electing to exercise such Warrant; and (ii) payment in full of the Warrant Price for each full share of Common Stock as to which the Warrant is exercised and any and all applicable taxes due in connection with the exercise of the Warrant, the exchange of the Warrant for the shares of Common Stock and the issuance of such shares of Common Stock, as follows:</w:t>
      </w:r>
    </w:p>
    <w:p>
      <w:pPr>
        <w:spacing w:after="0" w:line="161" w:lineRule="exact"/>
        <w:rPr>
          <w:sz w:val="20"/>
          <w:szCs w:val="20"/>
          <w:color w:val="auto"/>
        </w:rPr>
      </w:pPr>
    </w:p>
    <w:p>
      <w:pPr>
        <w:ind w:left="3340" w:hanging="740"/>
        <w:spacing w:after="0"/>
        <w:tabs>
          <w:tab w:leader="none" w:pos="3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lawful money of the United States, in good certified check or good bank draft payable to the order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 Agent or by wire;</w:t>
      </w:r>
    </w:p>
    <w:p>
      <w:pPr>
        <w:spacing w:after="0" w:line="211" w:lineRule="exact"/>
        <w:rPr>
          <w:sz w:val="20"/>
          <w:szCs w:val="20"/>
          <w:color w:val="auto"/>
        </w:rPr>
      </w:pPr>
    </w:p>
    <w:p>
      <w:pPr>
        <w:ind w:left="3340" w:hanging="740"/>
        <w:spacing w:after="0"/>
        <w:tabs>
          <w:tab w:leader="none" w:pos="3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in the event of a redemption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in which the Company’s board of directors (the</w:t>
      </w:r>
    </w:p>
    <w:p>
      <w:pPr>
        <w:spacing w:after="0" w:line="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xml:space="preserve">”) has elected to require all holders of the Warrants to exercise such Warrants on a “cashless basis,” by surrendering the Warrants for that number of shares of Common Stock equal to the quotient obtained by dividing (x) the product of the number of shares of Common Stock underlying the Warrants, multiplied by the excess of the “Fair Market Value” (as defined in this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over the Warrant Price by (y) the Fair Market Value. Solely for purposes of this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w:t>
      </w:r>
      <w:r>
        <w:rPr>
          <w:rFonts w:ascii="Arial" w:cs="Arial" w:eastAsia="Arial" w:hAnsi="Arial"/>
          <w:sz w:val="16"/>
          <w:szCs w:val="16"/>
          <w:color w:val="auto"/>
        </w:rPr>
        <w:t>, the “</w:t>
      </w:r>
      <w:r>
        <w:rPr>
          <w:rFonts w:ascii="Arial" w:cs="Arial" w:eastAsia="Arial" w:hAnsi="Arial"/>
          <w:sz w:val="16"/>
          <w:szCs w:val="16"/>
          <w:b w:val="1"/>
          <w:bCs w:val="1"/>
          <w:color w:val="auto"/>
        </w:rPr>
        <w:t>Fair Market Value</w:t>
      </w:r>
      <w:r>
        <w:rPr>
          <w:rFonts w:ascii="Arial" w:cs="Arial" w:eastAsia="Arial" w:hAnsi="Arial"/>
          <w:sz w:val="16"/>
          <w:szCs w:val="16"/>
          <w:color w:val="auto"/>
        </w:rPr>
        <w:t>” shall mean the average closing price of the Common Stock for the ten</w:t>
      </w:r>
    </w:p>
    <w:p>
      <w:pPr>
        <w:spacing w:after="0" w:line="2" w:lineRule="exact"/>
        <w:rPr>
          <w:sz w:val="20"/>
          <w:szCs w:val="20"/>
          <w:color w:val="auto"/>
        </w:rPr>
      </w:pPr>
    </w:p>
    <w:p>
      <w:pPr>
        <w:ind w:right="420" w:firstLine="8"/>
        <w:spacing w:after="0" w:line="260" w:lineRule="auto"/>
        <w:tabs>
          <w:tab w:leader="none" w:pos="3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trading days ending on the third trading day prior to the date on which the notice of redemption is sent to the holders of the Warrants,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185" w:lineRule="exact"/>
        <w:rPr>
          <w:rFonts w:ascii="Arial" w:cs="Arial" w:eastAsia="Arial" w:hAnsi="Arial"/>
          <w:sz w:val="18"/>
          <w:szCs w:val="18"/>
          <w:color w:val="auto"/>
        </w:rPr>
      </w:pPr>
    </w:p>
    <w:p>
      <w:pPr>
        <w:ind w:right="40" w:firstLine="2600"/>
        <w:spacing w:after="0" w:line="255" w:lineRule="auto"/>
        <w:tabs>
          <w:tab w:leader="none" w:pos="3331"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with respect to any Private Placement Warrant, so long as such Sponsor Warrant is held by the Sponsor or a Permitted Transferee, by surrendering the Warrants for that number of shares of Common Stock equal to the quotient obtained by dividing (x) the product of the number of shares of Common Stock underlying the Warrants, multiplied by the excess of the “Fair Market Value”, as defined in this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3.3.1(c)</w:t>
      </w:r>
      <w:r>
        <w:rPr>
          <w:rFonts w:ascii="Arial" w:cs="Arial" w:eastAsia="Arial" w:hAnsi="Arial"/>
          <w:sz w:val="18"/>
          <w:szCs w:val="18"/>
          <w:color w:val="auto"/>
        </w:rPr>
        <w:t xml:space="preserve">, over the Warrant Price by (y) the Fair Market Value. Solely for purposes of this </w:t>
      </w:r>
      <w:r>
        <w:rPr>
          <w:rFonts w:ascii="Arial" w:cs="Arial" w:eastAsia="Arial" w:hAnsi="Arial"/>
          <w:sz w:val="18"/>
          <w:szCs w:val="18"/>
          <w:u w:val="single" w:color="auto"/>
          <w:color w:val="auto"/>
        </w:rPr>
        <w:t>subsection 3.3.1(c)</w:t>
      </w:r>
      <w:r>
        <w:rPr>
          <w:rFonts w:ascii="Arial" w:cs="Arial" w:eastAsia="Arial" w:hAnsi="Arial"/>
          <w:sz w:val="18"/>
          <w:szCs w:val="18"/>
          <w:color w:val="auto"/>
        </w:rPr>
        <w:t>, the “Fair Market Value” shall mean the average closing price of the Common Stock for the ten (10) trading days ending on the third trading day prior to the date on which notice of exercise of the Warrant is sent to the Warrant Agent; or</w:t>
      </w:r>
    </w:p>
    <w:p>
      <w:pPr>
        <w:spacing w:after="0" w:line="192" w:lineRule="exact"/>
        <w:rPr>
          <w:rFonts w:ascii="Arial" w:cs="Arial" w:eastAsia="Arial" w:hAnsi="Arial"/>
          <w:sz w:val="18"/>
          <w:szCs w:val="18"/>
          <w:color w:val="auto"/>
        </w:rPr>
      </w:pPr>
    </w:p>
    <w:p>
      <w:pPr>
        <w:ind w:left="3340" w:hanging="740"/>
        <w:spacing w:after="0"/>
        <w:tabs>
          <w:tab w:leader="none" w:pos="33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Warrant Agent shall forward funds received for warrant exercises in a given month by the 5th business day of the following month by wire transfer to an account designated by the Company.</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1" w:name="page42"/>
    <w:bookmarkEnd w:id="41"/>
    <w:p>
      <w:pPr>
        <w:ind w:firstLine="1944"/>
        <w:spacing w:after="0" w:line="284"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Issuance of Shares of Common Stock on Exercise</w:t>
      </w:r>
      <w:r>
        <w:rPr>
          <w:rFonts w:ascii="Arial" w:cs="Arial" w:eastAsia="Arial" w:hAnsi="Arial"/>
          <w:sz w:val="16"/>
          <w:szCs w:val="16"/>
          <w:color w:val="auto"/>
        </w:rPr>
        <w:t xml:space="preserve">. As soon as practicable after the exercise of any Warrant and the clearance of the funds in payment of the Warrant Price (if payment is pursuant to </w:t>
      </w:r>
      <w:r>
        <w:rPr>
          <w:rFonts w:ascii="Arial" w:cs="Arial" w:eastAsia="Arial" w:hAnsi="Arial"/>
          <w:sz w:val="16"/>
          <w:szCs w:val="16"/>
          <w:u w:val="single" w:color="auto"/>
          <w:color w:val="auto"/>
        </w:rPr>
        <w:t>subsection 3.3.1(a)</w:t>
      </w:r>
      <w:r>
        <w:rPr>
          <w:rFonts w:ascii="Arial" w:cs="Arial" w:eastAsia="Arial" w:hAnsi="Arial"/>
          <w:sz w:val="16"/>
          <w:szCs w:val="16"/>
          <w:color w:val="auto"/>
        </w:rPr>
        <w:t xml:space="preserve">), the Company shall issue to the Registered Holder of such Warrant a book-entry position or certificate, as applicable, for the number of full shares of Common Stock to which he, she or it is entitled, registered in such name or names as may be directed by him, her or it, and if such Warrant shall not have been exercised in full, a new book-entry position or countersigned Warrant, as applicable, for the number of shares of Common Stock as to which such Warrant shall not have been exercised. If fewer than all the Warrants evidenced by a book-entry Warrant are exercised, a notation shall be made to the records maintained by the Depositary, its nominee to each book-entry Warrant, or a Participant, as appropriate, evidencing the balance of the Warrants remaining after such exercise. Notwithstanding the foregoing, the Company shall not be obligated to deliver any shares of Common Stock pursuant to the exercise of a Warrant and shall have no obligation to settle such Warrant exercise unless a (a) registration statement under the Securities Act covering the issuance of the Common Stock underlying the Public Warrants is then effective and (b) a prospectus relating thereto is current, subject to the Company’s satisfying its obligations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No Warrant shall be exercisable and the Company shall not be obligated to issue shares of Common Stock upon exercise of a Warrant unless the shares of Common Stock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Warrant, the holder of such Warrant shall not be entitled to exercise such Warrant and such Warrant may have no value and expire worthless, in which case the purchaser of a Unit containing such Public Warrants shall have paid the full purchase price for the Unit solely for the shares of Common Stock underlying such Unit. Subject to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of this Agreement, a Registered Holder of Public Warrants may exercise its Public Warrants only for a whole number of shares of Common Stock. In no event will the Company be required to net cash settle the Warrant exercise. The Company may require holders of Public Warrants to settle the Warrant on a “cashless basis” pursuant to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7.4</w:t>
      </w:r>
      <w:r>
        <w:rPr>
          <w:rFonts w:ascii="Arial" w:cs="Arial" w:eastAsia="Arial" w:hAnsi="Arial"/>
          <w:sz w:val="16"/>
          <w:szCs w:val="16"/>
          <w:color w:val="auto"/>
        </w:rPr>
        <w:t>. If, by reason of any exercise of Warrants on a “cashless basis,” the holder of any Warrant would be entitled, upon the exercise of such Warrant, to receive a fractional interest in a share of Common Stock, the Company shall round down to the nearest whole number, the number of shares of Common Stock to be issued to such holder.</w:t>
      </w:r>
    </w:p>
    <w:p>
      <w:pPr>
        <w:spacing w:after="0" w:line="178" w:lineRule="exact"/>
        <w:rPr>
          <w:sz w:val="20"/>
          <w:szCs w:val="20"/>
          <w:color w:val="auto"/>
        </w:rPr>
      </w:pPr>
    </w:p>
    <w:p>
      <w:pPr>
        <w:ind w:right="740" w:firstLine="1944"/>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of a Warrant in conformity with this Agreement shall be validly issued, fully paid and non-assessable.</w:t>
      </w:r>
    </w:p>
    <w:p>
      <w:pPr>
        <w:spacing w:after="0" w:line="170" w:lineRule="exact"/>
        <w:rPr>
          <w:sz w:val="20"/>
          <w:szCs w:val="20"/>
          <w:color w:val="auto"/>
        </w:rPr>
      </w:pPr>
    </w:p>
    <w:p>
      <w:pPr>
        <w:ind w:right="60" w:firstLine="1944"/>
        <w:spacing w:after="0" w:line="254"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in whose name any book entry position or certificate, as applicable, for shares of Common Stock is issued shall for all purposes be deemed to have become the holder of record of such shares of Common Stock on the date on which the Warrant, or book entry position representing such Warrant, was surrendered and payment of the Warrant Price was made, irrespective of the date of delivery of such certificate in the case of a certificated Warrant,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200" w:lineRule="exact"/>
        <w:rPr>
          <w:sz w:val="20"/>
          <w:szCs w:val="20"/>
          <w:color w:val="auto"/>
        </w:rPr>
      </w:pP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40"/>
          </w:cols>
          <w:pgMar w:left="1300" w:top="908" w:right="359" w:bottom="1440" w:gutter="0" w:footer="0" w:header="0"/>
        </w:sectPr>
      </w:pPr>
    </w:p>
    <w:bookmarkStart w:id="42" w:name="page43"/>
    <w:bookmarkEnd w:id="42"/>
    <w:p>
      <w:pPr>
        <w:ind w:right="40" w:firstLine="1944"/>
        <w:spacing w:after="0" w:line="282"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 holder of a Warrant shall be subject to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unless he, she or it makes such election. If the election is made by a holder, the Warrant Agent shall not affect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the Warrant, in determining the number of issued and outstanding Common Stock, the holder may rely on the number of issued and outstanding Common Stock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Common Stock issued and outstanding. For any reason at any time, upon the written request of the holder of the Warrant, the Company shall, within two</w:t>
      </w:r>
    </w:p>
    <w:p>
      <w:pPr>
        <w:spacing w:after="0" w:line="11" w:lineRule="exact"/>
        <w:rPr>
          <w:sz w:val="20"/>
          <w:szCs w:val="20"/>
          <w:color w:val="auto"/>
        </w:rPr>
      </w:pPr>
    </w:p>
    <w:p>
      <w:pPr>
        <w:spacing w:after="0" w:line="270" w:lineRule="auto"/>
        <w:tabs>
          <w:tab w:leader="none" w:pos="2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increase shall not be effective until the sixty-first (61st) day after such notice is delivered to the Company.</w:t>
      </w:r>
    </w:p>
    <w:p>
      <w:pPr>
        <w:spacing w:after="0" w:line="39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43" w:name="page44"/>
    <w:bookmarkEnd w:id="43"/>
    <w:p>
      <w:pPr>
        <w:ind w:left="684" w:hanging="684"/>
        <w:spacing w:after="0"/>
        <w:tabs>
          <w:tab w:leader="none" w:pos="68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Stock Dividends</w:t>
      </w:r>
      <w:r>
        <w:rPr>
          <w:rFonts w:ascii="Arial" w:cs="Arial" w:eastAsia="Arial" w:hAnsi="Arial"/>
          <w:sz w:val="16"/>
          <w:szCs w:val="16"/>
          <w:color w:val="auto"/>
        </w:rPr>
        <w:t>.</w:t>
      </w:r>
    </w:p>
    <w:p>
      <w:pPr>
        <w:spacing w:after="0" w:line="225" w:lineRule="exact"/>
        <w:rPr>
          <w:sz w:val="20"/>
          <w:szCs w:val="20"/>
          <w:color w:val="auto"/>
        </w:rPr>
      </w:pPr>
    </w:p>
    <w:p>
      <w:pPr>
        <w:ind w:left="324" w:right="140" w:firstLine="1944"/>
        <w:spacing w:after="0" w:line="284"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Split-Ups</w:t>
      </w:r>
      <w:r>
        <w:rPr>
          <w:rFonts w:ascii="Arial" w:cs="Arial" w:eastAsia="Arial" w:hAnsi="Arial"/>
          <w:sz w:val="16"/>
          <w:szCs w:val="16"/>
          <w:color w:val="auto"/>
        </w:rPr>
        <w:t xml:space="preserve">. If after the date hereof, and subject to the provisions of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below,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shall be increased in proportion to such increase in the outstanding shares of Common Stock. A rights offering to holders of shares of Common Stock entitling holders to purchase shares of Common Stock at a price less than the “Fair Market Value” (as defined below) shall be deemed a stock dividend of a number of shares of Common Stock equal to the product of</w:t>
      </w:r>
    </w:p>
    <w:p>
      <w:pPr>
        <w:spacing w:after="0" w:line="4" w:lineRule="exact"/>
        <w:rPr>
          <w:sz w:val="20"/>
          <w:szCs w:val="20"/>
          <w:color w:val="auto"/>
        </w:rPr>
      </w:pPr>
    </w:p>
    <w:p>
      <w:pPr>
        <w:ind w:left="324"/>
        <w:spacing w:after="0" w:line="268" w:lineRule="auto"/>
        <w:tabs>
          <w:tab w:leader="none" w:pos="539"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w:t>
      </w:r>
      <w:r>
        <w:rPr>
          <w:rFonts w:ascii="Arial" w:cs="Arial" w:eastAsia="Arial" w:hAnsi="Arial"/>
          <w:sz w:val="17"/>
          <w:szCs w:val="17"/>
          <w:u w:val="single" w:color="auto"/>
          <w:color w:val="auto"/>
        </w:rPr>
        <w:t>subsection 4.1.1</w:t>
      </w:r>
      <w:r>
        <w:rPr>
          <w:rFonts w:ascii="Arial" w:cs="Arial" w:eastAsia="Arial" w:hAnsi="Arial"/>
          <w:sz w:val="17"/>
          <w:szCs w:val="17"/>
          <w:color w:val="auto"/>
        </w:rPr>
        <w:t>, (i) if the rights offering is for securities convertible into or exercisable for shares of Common Stock, in determining the price payable for shares of Common Stock, there shall be taken into account any consideration received for such rights, as well as any additional amount payable upon exercise or conversion and (ii) “Fair Market Value” means the volume weighted average price of the Common Stock as reported during the ten (10) trading day period ending on the trading day prior to the first date on which the shares of Common Stock trade on the applicable exchange or in the applicable market, regular way, without the right to receive such rights.</w:t>
      </w:r>
    </w:p>
    <w:p>
      <w:pPr>
        <w:spacing w:after="0" w:line="183" w:lineRule="exact"/>
        <w:rPr>
          <w:sz w:val="20"/>
          <w:szCs w:val="20"/>
          <w:color w:val="auto"/>
        </w:rPr>
      </w:pPr>
    </w:p>
    <w:p>
      <w:pPr>
        <w:ind w:left="324" w:right="60" w:firstLine="1944"/>
        <w:spacing w:after="0" w:line="287"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If the Company, at any time while the Warrants are outstanding and unexpired, shall pay a dividend or make a distribution in cash, securities or other assets to the holders of the shares of Common Stock on account of such shares of Common Stock (or other shares of the Company’s capital stock into which the Warrants are convertible), other than</w:t>
      </w:r>
    </w:p>
    <w:p>
      <w:pPr>
        <w:spacing w:after="0" w:line="2" w:lineRule="exact"/>
        <w:rPr>
          <w:sz w:val="20"/>
          <w:szCs w:val="20"/>
          <w:color w:val="auto"/>
        </w:rPr>
      </w:pPr>
    </w:p>
    <w:p>
      <w:pPr>
        <w:ind w:left="324"/>
        <w:spacing w:after="0" w:line="284" w:lineRule="auto"/>
        <w:tabs>
          <w:tab w:leader="none" w:pos="569"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as described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above, (b) Ordinary Cash Dividends (as defined below), (c) to satisfy the redemption rights of the holders of the shares of Common Stock in connection with a proposed initial Business Combination, (d) to satisfy the redemption rights of the holders of the shares of Common Stock in connection with a stockholder vote to amend the Company’s amended and restated certificate of incorporation to modify the substance or timing of the Company’s obligation to redeem 100% of the shares of Common Stock included in the Units sold in the Offering if the Company does not complete the Business Combination within the period set forth in the Company’s amended and restated certificate of incorporation or with respect to any other material provisions relating to stockholders’ rights or pre-Business Combination activity, or (e) in connection with the redemption of shares of Common Stock included in the Units sold in the Offering upon the failure of the Company to complete its initial Business Combination and any subsequent distribution of its assets upon its liquidation (any such non-excluded event being referred to herein as an “</w:t>
      </w:r>
      <w:r>
        <w:rPr>
          <w:rFonts w:ascii="Arial" w:cs="Arial" w:eastAsia="Arial" w:hAnsi="Arial"/>
          <w:sz w:val="16"/>
          <w:szCs w:val="16"/>
          <w:b w:val="1"/>
          <w:bCs w:val="1"/>
          <w:color w:val="auto"/>
        </w:rPr>
        <w:t>Extraordinary Dividend</w:t>
      </w:r>
      <w:r>
        <w:rPr>
          <w:rFonts w:ascii="Arial" w:cs="Arial" w:eastAsia="Arial" w:hAnsi="Arial"/>
          <w:sz w:val="16"/>
          <w:szCs w:val="16"/>
          <w:color w:val="auto"/>
        </w:rPr>
        <w:t xml:space="preserve">”), then the Warrant Price shall be decreased, effective immediately after the effective date of such Extraordinary Dividend, by the amount of cash and/or the fair market value (as determined by the Board, in good faith) of any securities or other assets paid on each share of Common Stock in respect of such Extraordinary Dividend. For purposes of this </w:t>
      </w:r>
      <w:r>
        <w:rPr>
          <w:rFonts w:ascii="Arial" w:cs="Arial" w:eastAsia="Arial" w:hAnsi="Arial"/>
          <w:sz w:val="16"/>
          <w:szCs w:val="16"/>
          <w:u w:val="single" w:color="auto"/>
          <w:color w:val="auto"/>
        </w:rPr>
        <w:t>subsection 4.1.2</w:t>
      </w:r>
      <w:r>
        <w:rPr>
          <w:rFonts w:ascii="Arial" w:cs="Arial" w:eastAsia="Arial" w:hAnsi="Arial"/>
          <w:sz w:val="16"/>
          <w:szCs w:val="16"/>
          <w:color w:val="auto"/>
        </w:rPr>
        <w:t>, “</w:t>
      </w:r>
      <w:r>
        <w:rPr>
          <w:rFonts w:ascii="Arial" w:cs="Arial" w:eastAsia="Arial" w:hAnsi="Arial"/>
          <w:sz w:val="16"/>
          <w:szCs w:val="16"/>
          <w:b w:val="1"/>
          <w:bCs w:val="1"/>
          <w:color w:val="auto"/>
        </w:rPr>
        <w:t>Ordinary Cash Dividends</w:t>
      </w:r>
      <w:r>
        <w:rPr>
          <w:rFonts w:ascii="Arial" w:cs="Arial" w:eastAsia="Arial" w:hAnsi="Arial"/>
          <w:sz w:val="16"/>
          <w:szCs w:val="16"/>
          <w:color w:val="auto"/>
        </w:rPr>
        <w:t xml:space="preserve">”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(as adjusted to appropriately reflect any of the events referred to in other subsections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excluding cash dividends or cash distributions that resulted in an adjustment to the Warrant Price or to the number of shares of Common Stock issuable on exercise of each Warrant) does not exceed $0.50 (being 5% of the offering price of the Units in the Offering).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44" w:name="page45"/>
    <w:bookmarkEnd w:id="44"/>
    <w:p>
      <w:pPr>
        <w:ind w:firstLine="1296"/>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188" w:lineRule="exact"/>
        <w:rPr>
          <w:sz w:val="20"/>
          <w:szCs w:val="20"/>
          <w:color w:val="auto"/>
        </w:rPr>
      </w:pPr>
    </w:p>
    <w:p>
      <w:pPr>
        <w:ind w:right="80" w:firstLine="1296"/>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Adjustments in Warrant Price</w:t>
      </w:r>
      <w:r>
        <w:rPr>
          <w:rFonts w:ascii="Arial" w:cs="Arial" w:eastAsia="Arial" w:hAnsi="Arial"/>
          <w:sz w:val="18"/>
          <w:szCs w:val="18"/>
          <w:color w:val="auto"/>
        </w:rPr>
        <w:t>. Whenever the number of shares of Common Stock purchasable upon the exercise of the Warrants is adjusted,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5" w:name="page46"/>
    <w:bookmarkEnd w:id="45"/>
    <w:p>
      <w:pPr>
        <w:ind w:left="4" w:firstLine="1296"/>
        <w:spacing w:after="0" w:line="28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of Common Stock (other than a change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or that solely affects the par value of such shares of Common Stock), or in the case of any merger or consolidation of the Company with or into another entity or conversion of the Company into another type of entity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Arial" w:cs="Arial" w:eastAsia="Arial" w:hAnsi="Arial"/>
          <w:sz w:val="16"/>
          <w:szCs w:val="16"/>
          <w:b w:val="1"/>
          <w:bCs w:val="1"/>
          <w:color w:val="auto"/>
        </w:rPr>
        <w:t>Alternative Issuance</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holders of the shares of Common Stock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shares of Common Stock in such consolidation or merger that affirmatively make such election, and (ii) if a tender, exchange or redemption offer shall have been made to and accepted by the holders of the shares of Common Stock (other than a tender, exchange or redemption offer made by the Company in connection with redemption rights held by stockholders of the Company as provided for in the Company’s amended and restated certificate of incorporation or as a result of the repurchase of shares of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w:t>
      </w:r>
    </w:p>
    <w:p>
      <w:pPr>
        <w:spacing w:after="0" w:line="11" w:lineRule="exact"/>
        <w:rPr>
          <w:sz w:val="20"/>
          <w:szCs w:val="20"/>
          <w:color w:val="auto"/>
        </w:rPr>
      </w:pPr>
    </w:p>
    <w:p>
      <w:pPr>
        <w:ind w:left="4" w:hanging="4"/>
        <w:spacing w:after="0" w:line="283" w:lineRule="auto"/>
        <w:tabs>
          <w:tab w:leader="none" w:pos="259"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shares of Common Stock, the holder of a Warrant shall be entitled to receive as the Alternative Issuance,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adjustments (from and after the consummation of such tender or exchange offer) as nearly equivalent as possible to the adjustments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less than 70% of the consideration receivable by the holders of the shares of Common Stock in the applicable event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if positive, of (i) the Warrant Price in effect prior to such reduction minus (ii) (A) the Per Share Consideration (as defined below) minus (B) the Black-Scholes Warrant Value (as defined below) (which amount determined under this clause (ii) shall not be less than zero). The “</w:t>
      </w:r>
      <w:r>
        <w:rPr>
          <w:rFonts w:ascii="Arial" w:cs="Arial" w:eastAsia="Arial" w:hAnsi="Arial"/>
          <w:sz w:val="16"/>
          <w:szCs w:val="16"/>
          <w:b w:val="1"/>
          <w:bCs w:val="1"/>
          <w:color w:val="auto"/>
        </w:rPr>
        <w:t>Black-Scholes Warrant Value</w:t>
      </w:r>
      <w:r>
        <w:rPr>
          <w:rFonts w:ascii="Arial" w:cs="Arial" w:eastAsia="Arial" w:hAnsi="Arial"/>
          <w:sz w:val="16"/>
          <w:szCs w:val="16"/>
          <w:color w:val="auto"/>
        </w:rPr>
        <w:t>” means the value of a Warrant immediately prior to the consummation of the applicable event based on the Black-Scholes Warrant Model for a Capped American Call on Bloomberg Financial Markets (“</w:t>
      </w:r>
      <w:r>
        <w:rPr>
          <w:rFonts w:ascii="Arial" w:cs="Arial" w:eastAsia="Arial" w:hAnsi="Arial"/>
          <w:sz w:val="16"/>
          <w:szCs w:val="16"/>
          <w:b w:val="1"/>
          <w:bCs w:val="1"/>
          <w:color w:val="auto"/>
        </w:rPr>
        <w:t>Bloomberg</w:t>
      </w:r>
      <w:r>
        <w:rPr>
          <w:rFonts w:ascii="Arial" w:cs="Arial" w:eastAsia="Arial" w:hAnsi="Arial"/>
          <w:sz w:val="16"/>
          <w:szCs w:val="16"/>
          <w:color w:val="auto"/>
        </w:rPr>
        <w:t xml:space="preserve">”). For purposes of calculating such amount, (1)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shall be taken into account, (2) the price of each share of Common Stock shall be the volume weighted average price of the Common Stock as reported during the ten (10) trading day period ending on the trading day prior to the effective date of the applicable event, (3) the assumed volatility shall be the 90 day volatility obtained from the HVT function on Bloomberg determined as of the trading day immediately prior to the day of the announcement of the applicable event, and (4) the assumed risk-free interest rate shall correspond to the U.S. Treasury rate for a period equal to the remaining term of the Warrant. “</w:t>
      </w:r>
      <w:r>
        <w:rPr>
          <w:rFonts w:ascii="Arial" w:cs="Arial" w:eastAsia="Arial" w:hAnsi="Arial"/>
          <w:sz w:val="16"/>
          <w:szCs w:val="16"/>
          <w:b w:val="1"/>
          <w:bCs w:val="1"/>
          <w:color w:val="auto"/>
        </w:rPr>
        <w:t>Per Share Consideration</w:t>
      </w:r>
      <w:r>
        <w:rPr>
          <w:rFonts w:ascii="Arial" w:cs="Arial" w:eastAsia="Arial" w:hAnsi="Arial"/>
          <w:sz w:val="16"/>
          <w:szCs w:val="16"/>
          <w:color w:val="auto"/>
        </w:rPr>
        <w:t xml:space="preserve">” means (i) if the consideration paid to holders of the shares of Common Stock consists exclusively of cash, the amount of such cash per share of Common Stock, and (ii) in all other cases, the volume weighted average price of the Common Stock as reported during the ten (10) trading day period ending on the trading day prior to the effective date of the applicable event. If any reclassification or reorganization also results in a change in shares of Common Stock covered by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then such adjustment shall be made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46" w:name="page47"/>
    <w:bookmarkEnd w:id="46"/>
    <w:p>
      <w:pPr>
        <w:ind w:firstLine="1296"/>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Notices of Changes in Warrant</w:t>
      </w:r>
      <w:r>
        <w:rPr>
          <w:rFonts w:ascii="Arial" w:cs="Arial" w:eastAsia="Arial" w:hAnsi="Arial"/>
          <w:sz w:val="17"/>
          <w:szCs w:val="17"/>
          <w:color w:val="auto"/>
        </w:rPr>
        <w:t xml:space="preserve">.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adjustment to the number of shares of Common Stock issuable upon exercise of a Warrant shall be required until cumulative adjustments amount to 1% or more of the number of shares of Common Stock issuable upon exercise of a Warrant as last adjusted;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such adjustments that are not made are carried forward and taken into account in any subsequent adjustment. Notwithstanding the foregoing, all such carried forward adjustments shall be made (i) in connection with any subsequent adjustment that (taken together with such carried forward adjustments) would result in a change of at least 1% in the number of shares of Common Stock issuable upon exercise of a Warrant and (ii) on the exercise date of any Warrant. Upon the occurrence of any event specified in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in connection with which an adjustment is made to the Warrant Price or the number of shares of Common Stock issuable upon exercise of a Warrant,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47" w:name="page48"/>
    <w:bookmarkEnd w:id="47"/>
    <w:p>
      <w:pPr>
        <w:ind w:left="4" w:right="180" w:firstLine="1296"/>
        <w:spacing w:after="0" w:line="301"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 Fractional Shares</w:t>
      </w:r>
      <w:r>
        <w:rPr>
          <w:rFonts w:ascii="Arial" w:cs="Arial" w:eastAsia="Arial" w:hAnsi="Arial"/>
          <w:sz w:val="16"/>
          <w:szCs w:val="16"/>
          <w:color w:val="auto"/>
        </w:rPr>
        <w:t xml:space="preserve">. Notwithstanding any provision contained in this Agreement to the contrary, the Company shall not issue fractional shares of Common Stock upon the exercise of Warrants. If, by reason of any adjustment made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holder of any Warrant would be entitled, upon the exercise of such Warrant, to receive a fractional interest in a share, the Company shall, upon such exercise, round down to the nearest whole number the number of shares of Common Stock to be issued to such holder.</w:t>
      </w:r>
    </w:p>
    <w:p>
      <w:pPr>
        <w:spacing w:after="0" w:line="157" w:lineRule="exact"/>
        <w:rPr>
          <w:sz w:val="20"/>
          <w:szCs w:val="20"/>
          <w:color w:val="auto"/>
        </w:rPr>
      </w:pPr>
    </w:p>
    <w:p>
      <w:pPr>
        <w:ind w:left="4" w:firstLine="1296"/>
        <w:spacing w:after="0" w:line="29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Form of Warrant</w:t>
      </w:r>
      <w:r>
        <w:rPr>
          <w:rFonts w:ascii="Arial" w:cs="Arial" w:eastAsia="Arial" w:hAnsi="Arial"/>
          <w:sz w:val="16"/>
          <w:szCs w:val="16"/>
          <w:color w:val="auto"/>
        </w:rPr>
        <w:t xml:space="preserve">. The form of Warrant need not be changed because of any adjustment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Warrants issued after such adjustment may state the same Warrant Price and the same number of shares of Common Stock as is stated in the Warrants initially issued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61" w:lineRule="exact"/>
        <w:rPr>
          <w:sz w:val="20"/>
          <w:szCs w:val="20"/>
          <w:color w:val="auto"/>
        </w:rPr>
      </w:pPr>
    </w:p>
    <w:p>
      <w:pPr>
        <w:ind w:left="4" w:right="20" w:firstLine="1296"/>
        <w:spacing w:after="0" w:line="289"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Other Events</w:t>
      </w:r>
      <w:r>
        <w:rPr>
          <w:rFonts w:ascii="Arial" w:cs="Arial" w:eastAsia="Arial" w:hAnsi="Arial"/>
          <w:sz w:val="16"/>
          <w:szCs w:val="16"/>
          <w:color w:val="auto"/>
        </w:rPr>
        <w:t xml:space="preserve">. In case any event shall occur affecting the Company as to which none of the provisions of the preceding subsections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are strictly applicable, but which would require an adjustment to the terms of the Warrants in order to (i) avoid an adverse impact on the Warrants and (ii) effectuate the intent and purpose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if they determine that an adjustment is necessary, the terms of such adjustment;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under no circumstances shall the Warrants be adjusted pursuant to this Section 4.8(ii) as a result of any issuance of securities in connection with a Business Combination or (ii) solely as a result of an adjustment to the conversion ratio of the Company’s Class B common stock, $0.0001 par value per share, into Common Stock. The Company shall adjust the terms of the Warrants in a manner that is consistent with any adjustment recommended in such opinion.</w:t>
      </w:r>
    </w:p>
    <w:p>
      <w:pPr>
        <w:spacing w:after="0" w:line="166" w:lineRule="exact"/>
        <w:rPr>
          <w:sz w:val="20"/>
          <w:szCs w:val="20"/>
          <w:color w:val="auto"/>
        </w:rPr>
      </w:pPr>
    </w:p>
    <w:p>
      <w:pPr>
        <w:ind w:left="684" w:hanging="684"/>
        <w:spacing w:after="0"/>
        <w:tabs>
          <w:tab w:leader="none" w:pos="68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ind w:left="4" w:right="40" w:firstLine="1296"/>
        <w:spacing w:after="0" w:line="29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upon the Warrant Register, upon surrender of such Warrant for transfer, in the case of certificated warrants,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37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8" w:name="page49"/>
    <w:bookmarkEnd w:id="48"/>
    <w:p>
      <w:pPr>
        <w:ind w:left="4" w:right="40" w:firstLine="1296"/>
        <w:spacing w:after="0" w:line="29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 for Surrender of Warrants</w:t>
      </w:r>
      <w:r>
        <w:rPr>
          <w:rFonts w:ascii="Arial" w:cs="Arial" w:eastAsia="Arial" w:hAnsi="Arial"/>
          <w:sz w:val="16"/>
          <w:szCs w:val="16"/>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64" w:lineRule="exact"/>
        <w:rPr>
          <w:sz w:val="20"/>
          <w:szCs w:val="20"/>
          <w:color w:val="auto"/>
        </w:rPr>
      </w:pPr>
    </w:p>
    <w:p>
      <w:pPr>
        <w:ind w:left="4" w:right="200" w:firstLine="1296"/>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Fractional Warrants</w:t>
      </w:r>
      <w:r>
        <w:rPr>
          <w:rFonts w:ascii="Arial" w:cs="Arial" w:eastAsia="Arial" w:hAnsi="Arial"/>
          <w:sz w:val="17"/>
          <w:szCs w:val="17"/>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146"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225" w:lineRule="exact"/>
        <w:rPr>
          <w:sz w:val="20"/>
          <w:szCs w:val="20"/>
          <w:color w:val="auto"/>
        </w:rPr>
      </w:pPr>
    </w:p>
    <w:p>
      <w:pPr>
        <w:ind w:left="4" w:firstLine="1296"/>
        <w:spacing w:after="0" w:line="31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Warrant Execution and Countersignature</w:t>
      </w:r>
      <w:r>
        <w:rPr>
          <w:rFonts w:ascii="Arial" w:cs="Arial" w:eastAsia="Arial" w:hAnsi="Arial"/>
          <w:sz w:val="16"/>
          <w:szCs w:val="16"/>
          <w:color w:val="auto"/>
        </w:rPr>
        <w:t xml:space="preserve">. The Warrant Agent is hereby authorized to countersign and to deliver, in accordance with the terms of this Agreement, the Warrants required to be issued pursuant to 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 and the Company, whenever required by the Warrant Agent, shall supply the Warrant Agent with Warrants duly executed on behalf of the Company for such purpose.</w:t>
      </w:r>
    </w:p>
    <w:p>
      <w:pPr>
        <w:spacing w:after="0" w:line="149" w:lineRule="exact"/>
        <w:rPr>
          <w:sz w:val="20"/>
          <w:szCs w:val="20"/>
          <w:color w:val="auto"/>
        </w:rPr>
      </w:pPr>
    </w:p>
    <w:p>
      <w:pPr>
        <w:jc w:val="both"/>
        <w:ind w:left="4" w:right="60" w:firstLine="1296"/>
        <w:spacing w:after="0" w:line="28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Transfer of Warrants</w:t>
      </w:r>
      <w:r>
        <w:rPr>
          <w:rFonts w:ascii="Arial" w:cs="Arial" w:eastAsia="Arial" w:hAnsi="Arial"/>
          <w:sz w:val="16"/>
          <w:szCs w:val="16"/>
          <w:color w:val="auto"/>
        </w:rPr>
        <w:t>.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w:t>
      </w:r>
    </w:p>
    <w:p>
      <w:pPr>
        <w:spacing w:after="0" w:line="2" w:lineRule="exact"/>
        <w:rPr>
          <w:sz w:val="20"/>
          <w:szCs w:val="20"/>
          <w:color w:val="auto"/>
        </w:rPr>
      </w:pPr>
    </w:p>
    <w:p>
      <w:pPr>
        <w:ind w:left="4" w:right="380"/>
        <w:spacing w:after="0" w:line="260" w:lineRule="auto"/>
        <w:rPr>
          <w:sz w:val="20"/>
          <w:szCs w:val="20"/>
          <w:color w:val="auto"/>
        </w:rPr>
      </w:pPr>
      <w:r>
        <w:rPr>
          <w:rFonts w:ascii="Arial" w:cs="Arial" w:eastAsia="Arial" w:hAnsi="Arial"/>
          <w:sz w:val="18"/>
          <w:szCs w:val="18"/>
          <w:color w:val="auto"/>
        </w:rPr>
        <w:t xml:space="preserve">Notwithstanding the foregoing, the provisions of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shall have no effect on any transfer of Warrants on and after the Detachment Date.</w:t>
      </w:r>
    </w:p>
    <w:p>
      <w:pPr>
        <w:spacing w:after="0" w:line="185" w:lineRule="exact"/>
        <w:rPr>
          <w:sz w:val="20"/>
          <w:szCs w:val="20"/>
          <w:color w:val="auto"/>
        </w:rPr>
      </w:pPr>
    </w:p>
    <w:p>
      <w:pPr>
        <w:ind w:left="684" w:hanging="684"/>
        <w:spacing w:after="0"/>
        <w:tabs>
          <w:tab w:leader="none" w:pos="68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left="4" w:right="20" w:firstLine="1296"/>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 of Warrants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not less than all of the outstanding Warrants may be redeemed, at the option of the Company, at any time while they are exercisable and prior to their expiration, at the office of the Warrant Agent, upon notice to the Registered Holders of the Warrants, as described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 at the price of $0.01 per Warrant (the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provided that the closing price of the Common Stock reported has been at least $18.00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on each of twenty (20) trading days, within the thirty (30) trading-day period ending on the third trading day prior to the date on which notice of the redemption is given and provided that there is an effective registration statement covering the shares of Common Stock issuable upon exercise of the Warrants, and a current prospectus relating thereto, available throughout the 30-day Redemption Period (as defined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 or the Company has elected to require the exercise of the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xml:space="preserve"> and such cashless exercise is exempt from registration under the Securities Act.</w:t>
      </w:r>
    </w:p>
    <w:p>
      <w:pPr>
        <w:spacing w:after="0" w:line="38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9" w:name="page50"/>
    <w:bookmarkEnd w:id="49"/>
    <w:p>
      <w:pPr>
        <w:ind w:left="1300"/>
        <w:spacing w:after="0"/>
        <w:tabs>
          <w:tab w:leader="none" w:pos="19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Date Fixed for, and Notice of, Redemption</w:t>
      </w:r>
      <w:r>
        <w:rPr>
          <w:rFonts w:ascii="Arial" w:cs="Arial" w:eastAsia="Arial" w:hAnsi="Arial"/>
          <w:sz w:val="16"/>
          <w:szCs w:val="16"/>
          <w:color w:val="auto"/>
        </w:rPr>
        <w:t>. In the event that the Company elects to redeem all of the Warrants pursuant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w:t>
      </w:r>
      <w:r>
        <w:rPr>
          <w:rFonts w:ascii="Arial" w:cs="Arial" w:eastAsia="Arial" w:hAnsi="Arial"/>
          <w:sz w:val="17"/>
          <w:szCs w:val="17"/>
          <w:u w:val="single" w:color="auto"/>
          <w:color w:val="auto"/>
        </w:rPr>
        <w:t>Section 6.1</w:t>
      </w:r>
      <w:r>
        <w:rPr>
          <w:rFonts w:ascii="Arial" w:cs="Arial" w:eastAsia="Arial" w:hAnsi="Arial"/>
          <w:sz w:val="17"/>
          <w:szCs w:val="17"/>
          <w:color w:val="auto"/>
        </w:rPr>
        <w:t>, the Company shall fix a date for the redemption (the “</w:t>
      </w:r>
      <w:r>
        <w:rPr>
          <w:rFonts w:ascii="Arial" w:cs="Arial" w:eastAsia="Arial" w:hAnsi="Arial"/>
          <w:sz w:val="17"/>
          <w:szCs w:val="17"/>
          <w:b w:val="1"/>
          <w:bCs w:val="1"/>
          <w:color w:val="auto"/>
        </w:rPr>
        <w:t>Redemption Date</w:t>
      </w:r>
      <w:r>
        <w:rPr>
          <w:rFonts w:ascii="Arial" w:cs="Arial" w:eastAsia="Arial" w:hAnsi="Arial"/>
          <w:sz w:val="17"/>
          <w:szCs w:val="17"/>
          <w:color w:val="auto"/>
        </w:rPr>
        <w:t>”). Notice of redemption shall be mailed by first class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postage prepaid, by the Company not less than thirty (30) days prior to the Redemption Date (such 30-day period, the “</w:t>
      </w:r>
      <w:r>
        <w:rPr>
          <w:rFonts w:ascii="Arial" w:cs="Arial" w:eastAsia="Arial" w:hAnsi="Arial"/>
          <w:sz w:val="17"/>
          <w:szCs w:val="17"/>
          <w:b w:val="1"/>
          <w:bCs w:val="1"/>
          <w:color w:val="auto"/>
        </w:rPr>
        <w:t>Redemption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Period</w:t>
      </w:r>
      <w:r>
        <w:rPr>
          <w:rFonts w:ascii="Arial" w:cs="Arial" w:eastAsia="Arial" w:hAnsi="Arial"/>
          <w:sz w:val="16"/>
          <w:szCs w:val="16"/>
          <w:color w:val="auto"/>
        </w:rPr>
        <w:t>”) to the Registered Holders of the Warrants to be redeemed at their last addresses as they shall appear on the registration books. Any notice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mailed in the manner herein provided shall be conclusively presumed to have been duly given whether or not the Registered Holder received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11" w:lineRule="exact"/>
        <w:rPr>
          <w:sz w:val="20"/>
          <w:szCs w:val="20"/>
          <w:color w:val="auto"/>
        </w:rPr>
      </w:pPr>
    </w:p>
    <w:p>
      <w:pPr>
        <w:ind w:right="20" w:firstLine="1296"/>
        <w:spacing w:after="0" w:line="28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Exercise After Notice of Redemption</w:t>
      </w:r>
      <w:r>
        <w:rPr>
          <w:rFonts w:ascii="Arial" w:cs="Arial" w:eastAsia="Arial" w:hAnsi="Arial"/>
          <w:sz w:val="16"/>
          <w:szCs w:val="16"/>
          <w:color w:val="auto"/>
        </w:rPr>
        <w:t xml:space="preserve">. The Warrants may be exercised, for cash (or on a “cashless basis” in accordance with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of this Agreement) at any time after notice of redemption shall have been given by the Company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and prior to the Redemption Date. In the event that the Company determines to require all holders of Warrants to exercise their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the notice of redemption shall contain the information necessary to calculate the number of shares of Common Stock to be received upon exercise of the Warrants, including the “</w:t>
      </w:r>
      <w:r>
        <w:rPr>
          <w:rFonts w:ascii="Arial" w:cs="Arial" w:eastAsia="Arial" w:hAnsi="Arial"/>
          <w:sz w:val="16"/>
          <w:szCs w:val="16"/>
          <w:b w:val="1"/>
          <w:bCs w:val="1"/>
          <w:color w:val="auto"/>
        </w:rPr>
        <w:t>Fair Market Value</w:t>
      </w:r>
      <w:r>
        <w:rPr>
          <w:rFonts w:ascii="Arial" w:cs="Arial" w:eastAsia="Arial" w:hAnsi="Arial"/>
          <w:sz w:val="16"/>
          <w:szCs w:val="16"/>
          <w:color w:val="auto"/>
        </w:rPr>
        <w:t xml:space="preserve">” (as such term is defined in </w:t>
      </w:r>
      <w:r>
        <w:rPr>
          <w:rFonts w:ascii="Arial" w:cs="Arial" w:eastAsia="Arial" w:hAnsi="Arial"/>
          <w:sz w:val="16"/>
          <w:szCs w:val="16"/>
          <w:u w:val="single" w:color="auto"/>
          <w:color w:val="auto"/>
        </w:rPr>
        <w:t>subsection</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u w:val="single" w:color="auto"/>
          <w:color w:val="auto"/>
        </w:rPr>
        <w:t>3.3.1(b)</w:t>
      </w:r>
      <w:r>
        <w:rPr>
          <w:rFonts w:ascii="Arial" w:cs="Arial" w:eastAsia="Arial" w:hAnsi="Arial"/>
          <w:sz w:val="18"/>
          <w:szCs w:val="18"/>
          <w:color w:val="auto"/>
        </w:rPr>
        <w:t xml:space="preserve"> hereof) in such case. On and after the Redemption Date, the record holder of the Warrants shall have no further rights except to receive, upon surrender of the Warrants, the Redemption Price.</w:t>
      </w:r>
    </w:p>
    <w:p>
      <w:pPr>
        <w:spacing w:after="0" w:line="185"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Exclusion of Private Placement Warrants</w:t>
      </w:r>
      <w:r>
        <w:rPr>
          <w:rFonts w:ascii="Arial" w:cs="Arial" w:eastAsia="Arial" w:hAnsi="Arial"/>
          <w:sz w:val="17"/>
          <w:szCs w:val="17"/>
          <w:color w:val="auto"/>
        </w:rPr>
        <w:t xml:space="preserve">. The Company agrees that the redemption rights provided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not apply to the Private Placement Warrants if at the time of the redemption such Private Placement Warrants continue to be held by the Sponsor or its Permitted Transferees.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once such Private Placement Warrants are transferred (other than to Permitted Transferees under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the Company may redeem the Private Placement Warrants, provided that the criteria for redemption are met, including the opportunity of the holder of such Private Placement Warrants to exercise the Private Placement Warrants prior to redemption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Private Placement Warrants that are transferred to persons other than Permitted Transferees shall upon such transfer cease to be Private Placement Warrants and shall become Public Warrants under this Agreement.</w:t>
      </w:r>
    </w:p>
    <w:p>
      <w:pPr>
        <w:spacing w:after="0" w:line="39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50" w:name="page51"/>
    <w:bookmarkEnd w:id="50"/>
    <w:p>
      <w:pPr>
        <w:ind w:left="684" w:hanging="684"/>
        <w:spacing w:after="0"/>
        <w:tabs>
          <w:tab w:leader="none" w:pos="68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ind w:left="4" w:right="20" w:firstLine="129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87" w:lineRule="exact"/>
        <w:rPr>
          <w:sz w:val="20"/>
          <w:szCs w:val="20"/>
          <w:color w:val="auto"/>
        </w:rPr>
      </w:pPr>
    </w:p>
    <w:p>
      <w:pPr>
        <w:ind w:left="4" w:right="20" w:firstLine="1296"/>
        <w:spacing w:after="0" w:line="29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Lost, Stolen, Mutilated, or Destroyed Warrants</w:t>
      </w:r>
      <w:r>
        <w:rPr>
          <w:rFonts w:ascii="Arial" w:cs="Arial" w:eastAsia="Arial" w:hAnsi="Arial"/>
          <w:sz w:val="16"/>
          <w:szCs w:val="16"/>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and countersigned by the Warrant Agent. Any such new Warrant shall constitute a substitute contractual obligation of the Company, whether or not the allegedly lost, stolen, mutilated or destroyed Warrant shall be at any time enforceable by anyone. Warrant Agent may, at its option, countersign replacement Warrants for mutilated certificates upon presentation thereof without such indemnity.</w:t>
      </w:r>
    </w:p>
    <w:p>
      <w:pPr>
        <w:spacing w:after="0" w:line="164" w:lineRule="exact"/>
        <w:rPr>
          <w:sz w:val="20"/>
          <w:szCs w:val="20"/>
          <w:color w:val="auto"/>
        </w:rPr>
      </w:pPr>
    </w:p>
    <w:p>
      <w:pPr>
        <w:ind w:left="4" w:right="120" w:firstLine="1296"/>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Reservation of Shares of Common Stock</w:t>
      </w:r>
      <w:r>
        <w:rPr>
          <w:rFonts w:ascii="Arial" w:cs="Arial" w:eastAsia="Arial" w:hAnsi="Arial"/>
          <w:sz w:val="18"/>
          <w:szCs w:val="18"/>
          <w:color w:val="auto"/>
        </w:rPr>
        <w:t>. The Company shall at all times reserve and keep available a number of its authorized but unissued shares of Common Stock that shall be sufficient to permit the exercise in full of all outstanding Warrants issued pursuant to this Agreement.</w:t>
      </w:r>
    </w:p>
    <w:p>
      <w:pPr>
        <w:spacing w:after="0" w:line="184"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Registration of Shares of Common Stock; Cashless Exercise at Company’s Option.</w:t>
      </w:r>
    </w:p>
    <w:p>
      <w:pPr>
        <w:spacing w:after="0" w:line="225" w:lineRule="exact"/>
        <w:rPr>
          <w:sz w:val="20"/>
          <w:szCs w:val="20"/>
          <w:color w:val="auto"/>
        </w:rPr>
      </w:pPr>
    </w:p>
    <w:p>
      <w:pPr>
        <w:ind w:left="324" w:firstLine="1944"/>
        <w:spacing w:after="0" w:line="284" w:lineRule="auto"/>
        <w:rPr>
          <w:sz w:val="20"/>
          <w:szCs w:val="20"/>
          <w:color w:val="auto"/>
        </w:rPr>
      </w:pPr>
      <w:r>
        <w:rPr>
          <w:rFonts w:ascii="Arial" w:cs="Arial" w:eastAsia="Arial" w:hAnsi="Arial"/>
          <w:sz w:val="16"/>
          <w:szCs w:val="16"/>
          <w:color w:val="auto"/>
        </w:rPr>
        <w:t xml:space="preserve">7.4.1 </w:t>
      </w:r>
      <w:r>
        <w:rPr>
          <w:rFonts w:ascii="Arial" w:cs="Arial" w:eastAsia="Arial" w:hAnsi="Arial"/>
          <w:sz w:val="16"/>
          <w:szCs w:val="16"/>
          <w:u w:val="single" w:color="auto"/>
          <w:color w:val="auto"/>
        </w:rPr>
        <w:t>Registration of Shares of Common Stock</w:t>
      </w:r>
      <w:r>
        <w:rPr>
          <w:rFonts w:ascii="Arial" w:cs="Arial" w:eastAsia="Arial" w:hAnsi="Arial"/>
          <w:sz w:val="16"/>
          <w:szCs w:val="16"/>
          <w:color w:val="auto"/>
        </w:rPr>
        <w:t xml:space="preserve">. The Company agrees that as soon as practicable, but in no event later than fifteen (15) Business Days after the closing of its initial Business Combination, it shall use its best efforts to file with the Commission a registration statement for the registration, under the Securities Act of the shares of Common Stock issuable upon exercise of the Warrants. The Company shall use its best efforts to cause the same to become effective and to maintain the effectiveness of such registration statement, and a current prospectus relating thereto, until the expiration of the Warrants in accordance with the provisions of this Agreement. If any such registration statement has not been declared effective by the 60th Business Day following the closing of the Business Combination, holders of the Warrants shall have the right, during the period beginning on the 61st Business Day after the closing of the Business Combination and ending upon such registration statement being declared effective by the Commission, and during any other period when the Company shall fail to have maintained an effective registration statement covering the shares of Common Stock issuable upon exercise of the Warrants, to exercise such Warrants on a “cashless basis,” by exchanging the Warrants (in accordance with Section 3(a)(9) of the Securities Act (or any successor statute) or another exemption) for that number of shares of Common Stock equal to the quotient obtained by dividing (x) the product of the number of shares of Common Stock underlying the Warrants, multiplied by the excess of the “Fair Market Value” (as defined below) over the Warrant Price by (y) the Fair Market Value. Solely for purposes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w:t>
      </w:r>
      <w:r>
        <w:rPr>
          <w:rFonts w:ascii="Arial" w:cs="Arial" w:eastAsia="Arial" w:hAnsi="Arial"/>
          <w:sz w:val="16"/>
          <w:szCs w:val="16"/>
          <w:b w:val="1"/>
          <w:bCs w:val="1"/>
          <w:color w:val="auto"/>
        </w:rPr>
        <w:t>Fair Market</w:t>
      </w:r>
      <w:r>
        <w:rPr>
          <w:rFonts w:ascii="Arial" w:cs="Arial" w:eastAsia="Arial" w:hAnsi="Arial"/>
          <w:sz w:val="16"/>
          <w:szCs w:val="16"/>
          <w:color w:val="auto"/>
        </w:rPr>
        <w:t xml:space="preserve"> </w:t>
      </w:r>
      <w:r>
        <w:rPr>
          <w:rFonts w:ascii="Arial" w:cs="Arial" w:eastAsia="Arial" w:hAnsi="Arial"/>
          <w:sz w:val="16"/>
          <w:szCs w:val="16"/>
          <w:b w:val="1"/>
          <w:bCs w:val="1"/>
          <w:color w:val="auto"/>
        </w:rPr>
        <w:t>Value</w:t>
      </w:r>
      <w:r>
        <w:rPr>
          <w:rFonts w:ascii="Arial" w:cs="Arial" w:eastAsia="Arial" w:hAnsi="Arial"/>
          <w:sz w:val="16"/>
          <w:szCs w:val="16"/>
          <w:color w:val="auto"/>
        </w:rPr>
        <w:t>” shall mean the average closing price of the Common Stock for the ten (10) trading days ending on the third trading day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that notice of exercise is sent to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is not required to be registered under the Securities Act and (ii) the shares of Common Stock issued upon such exercise shall be freely tradable under United States federal securities laws by anyone who is not (and has not been during the preceding three months) an affiliate (as such term is defined in Rule 144 under the Securities Act (or any successor rule)) of the Company and, accordingly, shall not be required to bear a restrictive legend. Except as provided in </w:t>
      </w:r>
      <w:r>
        <w:rPr>
          <w:rFonts w:ascii="Arial" w:cs="Arial" w:eastAsia="Arial" w:hAnsi="Arial"/>
          <w:sz w:val="16"/>
          <w:szCs w:val="16"/>
          <w:u w:val="single" w:color="auto"/>
          <w:color w:val="auto"/>
        </w:rPr>
        <w:t>subsection 7.4.2</w:t>
      </w:r>
      <w:r>
        <w:rPr>
          <w:rFonts w:ascii="Arial" w:cs="Arial" w:eastAsia="Arial" w:hAnsi="Arial"/>
          <w:sz w:val="16"/>
          <w:szCs w:val="16"/>
          <w:color w:val="auto"/>
        </w:rPr>
        <w:t xml:space="preserve">, for the avoidance of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w:t>
      </w:r>
    </w:p>
    <w:p>
      <w:pPr>
        <w:spacing w:after="0" w:line="39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51" w:name="page52"/>
    <w:bookmarkEnd w:id="51"/>
    <w:p>
      <w:pPr>
        <w:ind w:left="324" w:firstLine="1944"/>
        <w:spacing w:after="0" w:line="289" w:lineRule="auto"/>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Cashless Exercise at Company’s Option</w:t>
      </w:r>
      <w:r>
        <w:rPr>
          <w:rFonts w:ascii="Arial" w:cs="Arial" w:eastAsia="Arial" w:hAnsi="Arial"/>
          <w:sz w:val="16"/>
          <w:szCs w:val="16"/>
          <w:color w:val="auto"/>
        </w:rPr>
        <w:t xml:space="preserve">. If the shares of Common Stock are at the time of any exercise of a Warrant not listed on a national securities exchange such that it satisfies the definition of a “covered security” under Section 18(b)(1) of the Securities Act (or any successor statute), the Company may, at its option, require holders of Public Warrants who exercise Public Warrants to exercise such Public Warrants on a “cashless basis” in accordance with Section 3(a)(9) of the Securities Act (or any successor statute) as described in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and (i) in the event the Company so elects, the Company shall not be required to file or maintain in effect a registration statement for the registration, under the Securities Act, of the shares of Common Stock issuable upon exercise of the Warrants, notwithstanding anything in this Agreement to the contrary or (ii) if the Company does not so elect, the Company agrees to use its best efforts to register or qualify for sale the shares of Common Stock issuable upon exercise of the Public Warrant under the blue sky laws of the state of residence of the exercising Public Warrant holder to the extent an exemption is not available.</w:t>
      </w:r>
    </w:p>
    <w:p>
      <w:pPr>
        <w:spacing w:after="0" w:line="166" w:lineRule="exact"/>
        <w:rPr>
          <w:sz w:val="20"/>
          <w:szCs w:val="20"/>
          <w:color w:val="auto"/>
        </w:rPr>
      </w:pPr>
    </w:p>
    <w:p>
      <w:pPr>
        <w:ind w:left="684" w:hanging="684"/>
        <w:spacing w:after="0"/>
        <w:tabs>
          <w:tab w:leader="none" w:pos="68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ind w:left="4" w:right="20" w:firstLine="1296"/>
        <w:spacing w:after="0" w:line="31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Payment of Taxes</w:t>
      </w:r>
      <w:r>
        <w:rPr>
          <w:rFonts w:ascii="Arial" w:cs="Arial" w:eastAsia="Arial" w:hAnsi="Arial"/>
          <w:sz w:val="16"/>
          <w:szCs w:val="16"/>
          <w:color w:val="auto"/>
        </w:rPr>
        <w:t>. The Company shall from time to time promptly pay all taxes and charges that may be imposed upon the Company or the Warrant Agent in respect of the issuance or delivery of shares of Common Stock upon the exercise of the Warrants, but the Company and the Warrant Agent shall not be obligated to pay any transfer taxes in respect of the Warrants or such shares of Common Stock.</w:t>
      </w:r>
    </w:p>
    <w:p>
      <w:pPr>
        <w:spacing w:after="0" w:line="36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2" w:name="page53"/>
    <w:bookmarkEnd w:id="52"/>
    <w:p>
      <w:pPr>
        <w:ind w:left="980"/>
        <w:spacing w:after="0"/>
        <w:tabs>
          <w:tab w:leader="none" w:pos="16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225" w:lineRule="exact"/>
        <w:rPr>
          <w:sz w:val="20"/>
          <w:szCs w:val="20"/>
          <w:color w:val="auto"/>
        </w:rPr>
      </w:pPr>
    </w:p>
    <w:p>
      <w:pPr>
        <w:ind w:firstLine="1944"/>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ninety (90) days after it has been notified in writing of such resignation or incapacity by the Warrant Agent or by the holder of a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authorized under applicable laws to exercise the powers of a transfer agent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right="220" w:firstLine="1944"/>
        <w:spacing w:after="0" w:line="263"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Notice of Successor Warrant Agent</w:t>
      </w:r>
      <w:r>
        <w:rPr>
          <w:rFonts w:ascii="Arial" w:cs="Arial" w:eastAsia="Arial" w:hAnsi="Arial"/>
          <w:sz w:val="18"/>
          <w:szCs w:val="18"/>
          <w:color w:val="auto"/>
        </w:rPr>
        <w:t>. In the event a successor Warrant Agent shall be appointed, the Company shall give notice thereof to the predecessor Warrant Agent and the Company’s transfer agent for the shares of Common Stock not later than the effective date of any such appointment.</w:t>
      </w:r>
    </w:p>
    <w:p>
      <w:pPr>
        <w:spacing w:after="0" w:line="184" w:lineRule="exact"/>
        <w:rPr>
          <w:sz w:val="20"/>
          <w:szCs w:val="20"/>
          <w:color w:val="auto"/>
        </w:rPr>
      </w:pPr>
    </w:p>
    <w:p>
      <w:pPr>
        <w:ind w:right="160" w:firstLine="1944"/>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84"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Fees and Expenses of Warrant Agent</w:t>
      </w:r>
      <w:r>
        <w:rPr>
          <w:rFonts w:ascii="Arial" w:cs="Arial" w:eastAsia="Arial" w:hAnsi="Arial"/>
          <w:sz w:val="16"/>
          <w:szCs w:val="16"/>
          <w:color w:val="auto"/>
        </w:rPr>
        <w:t>.</w:t>
      </w:r>
    </w:p>
    <w:p>
      <w:pPr>
        <w:spacing w:after="0" w:line="225" w:lineRule="exact"/>
        <w:rPr>
          <w:sz w:val="20"/>
          <w:szCs w:val="20"/>
          <w:color w:val="auto"/>
        </w:rPr>
      </w:pPr>
    </w:p>
    <w:p>
      <w:pPr>
        <w:ind w:firstLine="1944"/>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40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53" w:name="page54"/>
    <w:bookmarkEnd w:id="53"/>
    <w:p>
      <w:pPr>
        <w:ind w:right="180" w:firstLine="1944"/>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4"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Liability of Warrant Agent</w:t>
      </w:r>
      <w:r>
        <w:rPr>
          <w:rFonts w:ascii="Arial" w:cs="Arial" w:eastAsia="Arial" w:hAnsi="Arial"/>
          <w:sz w:val="17"/>
          <w:szCs w:val="17"/>
          <w:color w:val="auto"/>
        </w:rPr>
        <w:t>.</w:t>
      </w:r>
    </w:p>
    <w:p>
      <w:pPr>
        <w:spacing w:after="0" w:line="225" w:lineRule="exact"/>
        <w:rPr>
          <w:sz w:val="20"/>
          <w:szCs w:val="20"/>
          <w:color w:val="auto"/>
        </w:rPr>
      </w:pPr>
    </w:p>
    <w:p>
      <w:pPr>
        <w:ind w:firstLine="1944"/>
        <w:spacing w:after="0" w:line="293"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Chairman of the Board, Chief Executive Officer, Chief Financial Officer, the President or the Secretary or other principal officer of the Company and delivered to the Warrant Agent. The Warrant Agent may rely upon such statement for any action taken or suffered in good faith by it pursuant to the provisions of this Agreement.</w:t>
      </w:r>
    </w:p>
    <w:p>
      <w:pPr>
        <w:spacing w:after="0" w:line="164" w:lineRule="exact"/>
        <w:rPr>
          <w:sz w:val="20"/>
          <w:szCs w:val="20"/>
          <w:color w:val="auto"/>
        </w:rPr>
      </w:pPr>
    </w:p>
    <w:p>
      <w:pPr>
        <w:ind w:right="80" w:firstLine="1944"/>
        <w:spacing w:after="0" w:line="257"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or its representatives’, gross negligence, willful misconduct, bad faith or material breach of this Agreement.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or its representatives’, gross negligence, willful misconduct, bad faith or material breach of this Agreement.</w:t>
      </w:r>
    </w:p>
    <w:p>
      <w:pPr>
        <w:spacing w:after="0" w:line="188" w:lineRule="exact"/>
        <w:rPr>
          <w:sz w:val="20"/>
          <w:szCs w:val="20"/>
          <w:color w:val="auto"/>
        </w:rPr>
      </w:pPr>
    </w:p>
    <w:p>
      <w:pPr>
        <w:ind w:right="40" w:firstLine="972"/>
        <w:spacing w:after="0" w:line="291" w:lineRule="auto"/>
        <w:rPr>
          <w:sz w:val="20"/>
          <w:szCs w:val="20"/>
          <w:color w:val="auto"/>
        </w:rPr>
      </w:pPr>
      <w:r>
        <w:rPr>
          <w:rFonts w:ascii="Arial" w:cs="Arial" w:eastAsia="Arial" w:hAnsi="Arial"/>
          <w:sz w:val="16"/>
          <w:szCs w:val="16"/>
          <w:color w:val="auto"/>
        </w:rPr>
        <w:t xml:space="preserve">8.4.3 </w:t>
      </w:r>
      <w:r>
        <w:rPr>
          <w:rFonts w:ascii="Arial" w:cs="Arial" w:eastAsia="Arial" w:hAnsi="Arial"/>
          <w:sz w:val="16"/>
          <w:szCs w:val="16"/>
          <w:u w:val="single" w:color="auto"/>
          <w:color w:val="auto"/>
        </w:rPr>
        <w:t>Exclusions</w:t>
      </w:r>
      <w:r>
        <w:rPr>
          <w:rFonts w:ascii="Arial" w:cs="Arial" w:eastAsia="Arial" w:hAnsi="Arial"/>
          <w:sz w:val="16"/>
          <w:szCs w:val="16"/>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shall, when issued, be valid and fully paid and non-assessable.</w:t>
      </w:r>
    </w:p>
    <w:p>
      <w:pPr>
        <w:spacing w:after="0" w:line="38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40"/>
          </w:cols>
          <w:pgMar w:left="1300" w:top="908" w:right="359" w:bottom="1440" w:gutter="0" w:footer="0" w:header="0"/>
        </w:sectPr>
      </w:pPr>
    </w:p>
    <w:bookmarkStart w:id="54" w:name="page55"/>
    <w:bookmarkEnd w:id="54"/>
    <w:p>
      <w:pPr>
        <w:ind w:left="660" w:right="40" w:firstLine="129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the Warrants.</w:t>
      </w:r>
    </w:p>
    <w:p>
      <w:pPr>
        <w:spacing w:after="0" w:line="183" w:lineRule="exact"/>
        <w:rPr>
          <w:sz w:val="20"/>
          <w:szCs w:val="20"/>
          <w:color w:val="auto"/>
        </w:rPr>
      </w:pPr>
    </w:p>
    <w:p>
      <w:pPr>
        <w:ind w:left="660" w:firstLine="1296"/>
        <w:spacing w:after="0" w:line="25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has no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7" w:lineRule="exact"/>
        <w:rPr>
          <w:sz w:val="20"/>
          <w:szCs w:val="20"/>
          <w:color w:val="auto"/>
        </w:rPr>
      </w:pPr>
    </w:p>
    <w:p>
      <w:pPr>
        <w:ind w:left="1340" w:hanging="684"/>
        <w:spacing w:after="0"/>
        <w:tabs>
          <w:tab w:leader="none" w:pos="13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left="660" w:right="260" w:firstLine="129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ind w:left="660" w:right="100" w:firstLine="129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Churchill Capital Corp IV</w:t>
      </w:r>
    </w:p>
    <w:p>
      <w:pPr>
        <w:ind w:left="1300"/>
        <w:spacing w:after="0" w:line="202" w:lineRule="auto"/>
        <w:rPr>
          <w:sz w:val="20"/>
          <w:szCs w:val="20"/>
          <w:color w:val="auto"/>
        </w:rPr>
      </w:pPr>
      <w:r>
        <w:rPr>
          <w:rFonts w:ascii="Arial" w:cs="Arial" w:eastAsia="Arial" w:hAnsi="Arial"/>
          <w:sz w:val="18"/>
          <w:szCs w:val="18"/>
          <w:color w:val="auto"/>
        </w:rPr>
        <w:t>640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Jay Taragin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Raphael M. Russo</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5" w:name="page56"/>
    <w:bookmarkEnd w:id="55"/>
    <w:p>
      <w:pPr>
        <w:ind w:right="140"/>
        <w:spacing w:after="0" w:line="291" w:lineRule="auto"/>
        <w:rPr>
          <w:sz w:val="20"/>
          <w:szCs w:val="20"/>
          <w:color w:val="auto"/>
        </w:rPr>
      </w:pPr>
      <w:r>
        <w:rPr>
          <w:rFonts w:ascii="Arial" w:cs="Arial" w:eastAsia="Arial" w:hAnsi="Arial"/>
          <w:sz w:val="16"/>
          <w:szCs w:val="16"/>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w:t>
      </w:r>
    </w:p>
    <w:p>
      <w:pPr>
        <w:ind w:right="440" w:firstLine="8"/>
        <w:spacing w:after="0" w:line="260"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days after deposit of such notice, postage prepaid, addressed (until another address is filed in writing by the Warrant Agent with the Company), as follows: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Compliance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each case, with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Joel L. Rubinstein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ind w:left="660" w:right="60" w:firstLine="1296"/>
        <w:spacing w:after="0" w:line="293"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w:t>
      </w:r>
      <w:r>
        <w:rPr>
          <w:rFonts w:ascii="Arial" w:cs="Arial" w:eastAsia="Arial" w:hAnsi="Arial"/>
          <w:sz w:val="16"/>
          <w:szCs w:val="16"/>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City of New York, County of New York,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w:t>
      </w:r>
    </w:p>
    <w:p>
      <w:pPr>
        <w:spacing w:after="0" w:line="164" w:lineRule="exact"/>
        <w:rPr>
          <w:sz w:val="20"/>
          <w:szCs w:val="20"/>
          <w:color w:val="auto"/>
        </w:rPr>
      </w:pPr>
    </w:p>
    <w:p>
      <w:pPr>
        <w:jc w:val="both"/>
        <w:ind w:left="660" w:right="120" w:firstLine="1296"/>
        <w:spacing w:after="0" w:line="28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Compliance and Confidentiality</w:t>
      </w:r>
      <w:r>
        <w:rPr>
          <w:rFonts w:ascii="Arial" w:cs="Arial" w:eastAsia="Arial" w:hAnsi="Arial"/>
          <w:sz w:val="17"/>
          <w:szCs w:val="17"/>
          <w:color w:val="auto"/>
        </w:rPr>
        <w:t>. The Warrant Agent shall perform its duties under this Agreement in compliance with all applicable laws and keep confidential all information relating to this Agreement and, except as required by applicable law, shall not use such information for any purpose other than the performance of the Warrant Agent’s obligations under this Agreement.</w:t>
      </w:r>
    </w:p>
    <w:p>
      <w:pPr>
        <w:spacing w:after="0" w:line="165" w:lineRule="exact"/>
        <w:rPr>
          <w:sz w:val="20"/>
          <w:szCs w:val="20"/>
          <w:color w:val="auto"/>
        </w:rPr>
      </w:pPr>
    </w:p>
    <w:p>
      <w:pPr>
        <w:jc w:val="both"/>
        <w:ind w:left="660" w:right="40" w:firstLine="1296"/>
        <w:spacing w:after="0" w:line="25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Persons Having Rights under this Agreement</w:t>
      </w:r>
      <w:r>
        <w:rPr>
          <w:rFonts w:ascii="Arial" w:cs="Arial" w:eastAsia="Arial" w:hAnsi="Arial"/>
          <w:sz w:val="18"/>
          <w:szCs w:val="18"/>
          <w:color w:val="auto"/>
        </w:rPr>
        <w:t>. Nothing in this Agreement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88" w:lineRule="exact"/>
        <w:rPr>
          <w:sz w:val="20"/>
          <w:szCs w:val="20"/>
          <w:color w:val="auto"/>
        </w:rPr>
      </w:pPr>
    </w:p>
    <w:p>
      <w:pPr>
        <w:ind w:left="660" w:firstLine="1296"/>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for inspection by the Registered Holder of any Warrant. The Warrant Agent may require any such holder to submit such holder’s Warrant for inspection by the Warrant Agent.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6" w:name="page57"/>
    <w:bookmarkEnd w:id="56"/>
    <w:p>
      <w:pPr>
        <w:ind w:left="660" w:firstLine="1296"/>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87" w:lineRule="exact"/>
        <w:rPr>
          <w:sz w:val="20"/>
          <w:szCs w:val="20"/>
          <w:color w:val="auto"/>
        </w:rPr>
      </w:pPr>
    </w:p>
    <w:p>
      <w:pPr>
        <w:ind w:left="660" w:right="160" w:firstLine="1296"/>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ind w:left="660" w:right="100" w:firstLine="1296"/>
        <w:spacing w:after="0" w:line="25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Agreement may be amended by the parties hereto without the consent of any Registered Holder for the purpose of curing any ambiguity, or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modification or amendment to increase the Warrant Price or shorten the Exercise Period shall require the vote or written consent of the Registered Holders of 50% of the number of the then outstanding Public Warrants and, solely with respect to any amendment to the terms of the Private Placement Warrants, 50% of the number of then outstanding Private Placement Warrants. Notwithstanding the foregoing, the Company may lower the Warrant Price or extend the duration of the Exercise Period pursuant to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w:t>
      </w:r>
      <w:r>
        <w:rPr>
          <w:rFonts w:ascii="Arial" w:cs="Arial" w:eastAsia="Arial" w:hAnsi="Arial"/>
          <w:sz w:val="18"/>
          <w:szCs w:val="18"/>
          <w:color w:val="auto"/>
        </w:rPr>
        <w:t>, respectively, without the consent of the Registered Holders.</w:t>
      </w:r>
    </w:p>
    <w:p>
      <w:pPr>
        <w:spacing w:after="0" w:line="196" w:lineRule="exact"/>
        <w:rPr>
          <w:sz w:val="20"/>
          <w:szCs w:val="20"/>
          <w:color w:val="auto"/>
        </w:rPr>
      </w:pPr>
    </w:p>
    <w:p>
      <w:pPr>
        <w:ind w:left="660" w:right="40" w:firstLine="1296"/>
        <w:spacing w:after="0" w:line="279"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Severability</w:t>
      </w:r>
      <w:r>
        <w:rPr>
          <w:rFonts w:ascii="Arial" w:cs="Arial" w:eastAsia="Arial" w:hAnsi="Arial"/>
          <w:sz w:val="17"/>
          <w:szCs w:val="17"/>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7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Warrant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Legend — Private Placement Warrants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date first above written.</w:t>
      </w:r>
    </w:p>
    <w:p>
      <w:pPr>
        <w:spacing w:after="0" w:line="200" w:lineRule="exact"/>
        <w:rPr>
          <w:sz w:val="20"/>
          <w:szCs w:val="20"/>
          <w:color w:val="auto"/>
        </w:rPr>
      </w:pPr>
    </w:p>
    <w:p>
      <w:pPr>
        <w:spacing w:after="0" w:line="25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CHURCHILL CAPITAL CORP IV</w:t>
      </w:r>
    </w:p>
    <w:p>
      <w:pPr>
        <w:spacing w:after="0" w:line="200" w:lineRule="exact"/>
        <w:rPr>
          <w:sz w:val="20"/>
          <w:szCs w:val="20"/>
          <w:color w:val="auto"/>
        </w:rPr>
      </w:pPr>
    </w:p>
    <w:p>
      <w:pPr>
        <w:spacing w:after="0" w:line="241" w:lineRule="exact"/>
        <w:rPr>
          <w:sz w:val="20"/>
          <w:szCs w:val="20"/>
          <w:color w:val="auto"/>
        </w:rPr>
      </w:pPr>
    </w:p>
    <w:p>
      <w:pPr>
        <w:ind w:left="4980"/>
        <w:spacing w:after="0"/>
        <w:tabs>
          <w:tab w:leader="none" w:pos="5400" w:val="left"/>
        </w:tabs>
        <w:rPr>
          <w:sz w:val="20"/>
          <w:szCs w:val="20"/>
          <w:color w:val="auto"/>
        </w:rPr>
      </w:pPr>
      <w:r>
        <w:rPr>
          <w:rFonts w:ascii="Arial" w:cs="Arial" w:eastAsia="Arial" w:hAnsi="Arial"/>
          <w:sz w:val="18"/>
          <w:szCs w:val="18"/>
          <w:color w:val="auto"/>
        </w:rPr>
        <w:t>By:</w:t>
        <w:tab/>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CONTINENTAL STOCK TRANSFER &amp; TRUST COMPANY</w:t>
      </w:r>
    </w:p>
    <w:p>
      <w:pPr>
        <w:spacing w:after="0" w:line="200" w:lineRule="exact"/>
        <w:rPr>
          <w:sz w:val="20"/>
          <w:szCs w:val="20"/>
          <w:color w:val="auto"/>
        </w:rPr>
      </w:pPr>
    </w:p>
    <w:p>
      <w:pPr>
        <w:spacing w:after="0" w:line="241" w:lineRule="exact"/>
        <w:rPr>
          <w:sz w:val="20"/>
          <w:szCs w:val="20"/>
          <w:color w:val="auto"/>
        </w:rPr>
      </w:pPr>
    </w:p>
    <w:p>
      <w:pPr>
        <w:ind w:left="4980"/>
        <w:spacing w:after="0"/>
        <w:tabs>
          <w:tab w:leader="none" w:pos="5400" w:val="left"/>
        </w:tabs>
        <w:rPr>
          <w:sz w:val="20"/>
          <w:szCs w:val="20"/>
          <w:color w:val="auto"/>
        </w:rPr>
      </w:pPr>
      <w:r>
        <w:rPr>
          <w:rFonts w:ascii="Arial" w:cs="Arial" w:eastAsia="Arial" w:hAnsi="Arial"/>
          <w:sz w:val="18"/>
          <w:szCs w:val="18"/>
          <w:color w:val="auto"/>
        </w:rPr>
        <w:t>By:</w:t>
        <w:tab/>
        <w:t>/s/ Isaac J.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Isaac J. Kagan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980" w:top="908" w:right="13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THIS WARRANT SHALL BE NULL AND VOID IF NOT EXERCISED PRIOR TO THE EXPIRATION OF THE EXERCISE PERIOD PROVIDED FOR IN THE WARRANT AGREEMENT DESCRIBED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the State of Delaware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CUSIP [•]</w:t>
            </w:r>
          </w:p>
        </w:tc>
      </w:tr>
      <w:tr>
        <w:trPr>
          <w:trHeight w:val="453"/>
        </w:trPr>
        <w:tc>
          <w:tcPr>
            <w:tcW w:w="3100" w:type="dxa"/>
            <w:vAlign w:val="bottom"/>
          </w:tcPr>
          <w:p>
            <w:pPr>
              <w:spacing w:after="0"/>
              <w:rPr>
                <w:sz w:val="24"/>
                <w:szCs w:val="24"/>
                <w:color w:val="auto"/>
              </w:rPr>
            </w:pPr>
          </w:p>
        </w:tc>
        <w:tc>
          <w:tcPr>
            <w:tcW w:w="3820" w:type="dxa"/>
            <w:vAlign w:val="bottom"/>
          </w:tcPr>
          <w:p>
            <w:pPr>
              <w:ind w:left="1760"/>
              <w:spacing w:after="0"/>
              <w:rPr>
                <w:sz w:val="20"/>
                <w:szCs w:val="20"/>
                <w:color w:val="auto"/>
              </w:rPr>
            </w:pPr>
            <w:r>
              <w:rPr>
                <w:rFonts w:ascii="Arial" w:cs="Arial" w:eastAsia="Arial" w:hAnsi="Arial"/>
                <w:sz w:val="18"/>
                <w:szCs w:val="18"/>
                <w:b w:val="1"/>
                <w:bCs w:val="1"/>
                <w:color w:val="auto"/>
              </w:rPr>
              <w:t>Warrant Certificate</w:t>
            </w:r>
          </w:p>
        </w:tc>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b w:val="1"/>
                <w:bCs w:val="1"/>
                <w:color w:val="auto"/>
                <w:w w:val="97"/>
              </w:rPr>
              <w:t>This Warrant Certificate certifies that</w:t>
            </w:r>
          </w:p>
        </w:tc>
        <w:tc>
          <w:tcPr>
            <w:tcW w:w="3820" w:type="dxa"/>
            <w:vAlign w:val="bottom"/>
          </w:tcPr>
          <w:p>
            <w:pPr>
              <w:ind w:left="160"/>
              <w:spacing w:after="0"/>
              <w:rPr>
                <w:sz w:val="20"/>
                <w:szCs w:val="20"/>
                <w:color w:val="auto"/>
              </w:rPr>
            </w:pPr>
            <w:r>
              <w:rPr>
                <w:rFonts w:ascii="Arial" w:cs="Arial" w:eastAsia="Arial" w:hAnsi="Arial"/>
                <w:sz w:val="18"/>
                <w:szCs w:val="18"/>
                <w:color w:val="auto"/>
                <w:w w:val="93"/>
              </w:rPr>
              <w:t>, or registered assigns, is the registered holder of</w:t>
            </w: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w w:val="92"/>
              </w:rPr>
              <w:t>warrant(s) evidenced hereby (the “</w:t>
            </w:r>
            <w:r>
              <w:rPr>
                <w:rFonts w:ascii="Arial" w:cs="Arial" w:eastAsia="Arial" w:hAnsi="Arial"/>
                <w:sz w:val="18"/>
                <w:szCs w:val="18"/>
                <w:b w:val="1"/>
                <w:bCs w:val="1"/>
                <w:color w:val="auto"/>
                <w:w w:val="92"/>
              </w:rPr>
              <w:t>Warrants</w:t>
            </w:r>
            <w:r>
              <w:rPr>
                <w:rFonts w:ascii="Arial" w:cs="Arial" w:eastAsia="Arial" w:hAnsi="Arial"/>
                <w:sz w:val="18"/>
                <w:szCs w:val="18"/>
                <w:color w:val="auto"/>
                <w:w w:val="92"/>
              </w:rPr>
              <w:t>” and each,</w:t>
            </w:r>
          </w:p>
        </w:tc>
      </w:tr>
    </w:tbl>
    <w:p>
      <w:pPr>
        <w:ind w:right="40"/>
        <w:spacing w:after="0" w:line="269"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Warrant</w:t>
      </w:r>
      <w:r>
        <w:rPr>
          <w:rFonts w:ascii="Arial" w:cs="Arial" w:eastAsia="Arial" w:hAnsi="Arial"/>
          <w:sz w:val="17"/>
          <w:szCs w:val="17"/>
          <w:color w:val="auto"/>
        </w:rPr>
        <w:t>”) to purchase shares of Class A common stock, $0.0001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of Churchill Capital Corp IV,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Each whole Warrant entitles the holder, upon exercise during the period set forth in the Warrant Agreement referred to below, to receive from the Company that number of fully paid and non-assessable shares of Common Stock as set forth below, at the exercise price (the “</w:t>
      </w:r>
      <w:r>
        <w:rPr>
          <w:rFonts w:ascii="Arial" w:cs="Arial" w:eastAsia="Arial" w:hAnsi="Arial"/>
          <w:sz w:val="17"/>
          <w:szCs w:val="17"/>
          <w:b w:val="1"/>
          <w:bCs w:val="1"/>
          <w:color w:val="auto"/>
        </w:rPr>
        <w:t>Warrant Price</w:t>
      </w:r>
      <w:r>
        <w:rPr>
          <w:rFonts w:ascii="Arial" w:cs="Arial" w:eastAsia="Arial" w:hAnsi="Arial"/>
          <w:sz w:val="17"/>
          <w:szCs w:val="17"/>
          <w:color w:val="auto"/>
        </w:rPr>
        <w:t>”) as determined pursuant to the Warrant Agreement, payable in lawful money (or through “cashless exercise”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8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Each whole Warrant is initially exercisable for one fully paid and non-assessable share of Common Stock. No fractional shares will be issued upon exercise of any Warrant. If, upon the exercise of Warrants, a holder would be entitled to receive a fractional interest in a share of Common Stock, the Company will, upon exercise, round down to the nearest whole number of the number of shares of Common Stock to be issued to the holder. The number of shares of Common Stock issuable upon exercise of the Warrants is subject to adjustment upon the occurrence of certain events as set forth in the Warrant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right="340"/>
        <w:spacing w:after="0" w:line="277" w:lineRule="auto"/>
        <w:rPr>
          <w:sz w:val="20"/>
          <w:szCs w:val="20"/>
          <w:color w:val="auto"/>
        </w:rPr>
      </w:pPr>
      <w:r>
        <w:rPr>
          <w:rFonts w:ascii="Arial" w:cs="Arial" w:eastAsia="Arial" w:hAnsi="Arial"/>
          <w:sz w:val="18"/>
          <w:szCs w:val="18"/>
          <w:color w:val="auto"/>
        </w:rPr>
        <w:t>The initial Warrant Price per share of Common Stock for any Warrant is equal to $11.50 per share. The Warrant Price is subject to adjustment upon the occurrence of certain events as set forth in the Warrant Agreement.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null and void. The Warrants may be redeemed, subject to certain conditions, as set forth in the Warrant Agreement.</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CHURCHILL CAPITAL CORP IV</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[Form of Warrant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[Reverse]</w:t>
      </w:r>
    </w:p>
    <w:p>
      <w:pPr>
        <w:spacing w:after="0" w:line="229"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The Warrants evidenced by this Warrant Certificate are part of a duly authorized issue of Warrants entitling the holder on exercise to receive shares of Common Stock and are issued or to be issued pursuant to a Warrant Agreement dated as of , 2020 (the “</w:t>
      </w:r>
      <w:r>
        <w:rPr>
          <w:rFonts w:ascii="Arial" w:cs="Arial" w:eastAsia="Arial" w:hAnsi="Arial"/>
          <w:sz w:val="17"/>
          <w:szCs w:val="17"/>
          <w:b w:val="1"/>
          <w:bCs w:val="1"/>
          <w:color w:val="auto"/>
        </w:rPr>
        <w:t>Warrant Agreement</w:t>
      </w:r>
      <w:r>
        <w:rPr>
          <w:rFonts w:ascii="Arial" w:cs="Arial" w:eastAsia="Arial" w:hAnsi="Arial"/>
          <w:sz w:val="17"/>
          <w:szCs w:val="17"/>
          <w:color w:val="auto"/>
        </w:rPr>
        <w:t>”), duly executed and delivered by the Company to Continental Stock Transfer &amp; Trust Company, a New York corporation, as warrant agent (or successor warrant agent) (collectively, the “</w:t>
      </w:r>
      <w:r>
        <w:rPr>
          <w:rFonts w:ascii="Arial" w:cs="Arial" w:eastAsia="Arial" w:hAnsi="Arial"/>
          <w:sz w:val="17"/>
          <w:szCs w:val="17"/>
          <w:b w:val="1"/>
          <w:bCs w:val="1"/>
          <w:color w:val="auto"/>
        </w:rPr>
        <w:t>Warrant Agent</w:t>
      </w:r>
      <w:r>
        <w:rPr>
          <w:rFonts w:ascii="Arial" w:cs="Arial" w:eastAsia="Arial" w:hAnsi="Arial"/>
          <w:sz w:val="17"/>
          <w:szCs w:val="17"/>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7"/>
          <w:szCs w:val="17"/>
          <w:b w:val="1"/>
          <w:bCs w:val="1"/>
          <w:color w:val="auto"/>
        </w:rPr>
        <w:t>holders</w:t>
      </w:r>
      <w:r>
        <w:rPr>
          <w:rFonts w:ascii="Arial" w:cs="Arial" w:eastAsia="Arial" w:hAnsi="Arial"/>
          <w:sz w:val="17"/>
          <w:szCs w:val="17"/>
          <w:color w:val="auto"/>
        </w:rPr>
        <w:t>” or “</w:t>
      </w:r>
      <w:r>
        <w:rPr>
          <w:rFonts w:ascii="Arial" w:cs="Arial" w:eastAsia="Arial" w:hAnsi="Arial"/>
          <w:sz w:val="17"/>
          <w:szCs w:val="17"/>
          <w:b w:val="1"/>
          <w:bCs w:val="1"/>
          <w:color w:val="auto"/>
        </w:rPr>
        <w:t>holder</w:t>
      </w:r>
      <w:r>
        <w:rPr>
          <w:rFonts w:ascii="Arial" w:cs="Arial" w:eastAsia="Arial" w:hAnsi="Arial"/>
          <w:sz w:val="17"/>
          <w:szCs w:val="17"/>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“cashless exercise” as provided for in the Warrant Agreement) at the designated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Notwithstanding anything else in this Warrant Certificate or the Warrant Agreement, no Warrant may be exercised unless at the time of exercise (i) a registration statement covering the shares of Common Stock to be issued upon exercise is effective under the Securities Act and (ii) a prospectus thereunder relating to the shares of Common Stock is current, except through “cashless exercise” as provided for in the Warrant Agreement.</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shares of Common Stock issuable upon exercise of the Warrants set forth on the face hereof may, subject to certain conditions, be adjusted. If, upon exercise of a Warrant, the holder thereof would be entitled to receive a fractional interest in a share of Common Stock, the Company shall, upon exercise, round down to the nearest whole number of shares of Common Stock to be issued to the holder of the Warrant.</w:t>
      </w:r>
    </w:p>
    <w:p>
      <w:pPr>
        <w:spacing w:after="0" w:line="18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Warrant Certificates, when surrendered at the designated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right="220"/>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third-party charges imposed in connection therewith.</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08" w:right="71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color w:val="auto"/>
        </w:rPr>
        <w:t>Election to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shares of Common Stock and herewith tenders payment for such shares of Common Stock to the order of Churchill Capital Corp IV (the “</w:t>
      </w:r>
      <w:r>
        <w:rPr>
          <w:rFonts w:ascii="Arial" w:cs="Arial" w:eastAsia="Arial" w:hAnsi="Arial"/>
          <w:sz w:val="16"/>
          <w:szCs w:val="16"/>
          <w:b w:val="1"/>
          <w:bCs w:val="1"/>
          <w:color w:val="auto"/>
        </w:rPr>
        <w:t>Company</w:t>
      </w:r>
      <w:r>
        <w:rPr>
          <w:rFonts w:ascii="Arial" w:cs="Arial" w:eastAsia="Arial" w:hAnsi="Arial"/>
          <w:sz w:val="16"/>
          <w:szCs w:val="16"/>
          <w:color w:val="auto"/>
        </w:rPr>
        <w:t>”) in the amount of $__________ in</w:t>
      </w:r>
    </w:p>
    <w:p>
      <w:pPr>
        <w:spacing w:after="0"/>
        <w:rPr>
          <w:sz w:val="20"/>
          <w:szCs w:val="20"/>
          <w:color w:val="auto"/>
        </w:rPr>
      </w:pPr>
      <w:r>
        <w:rPr>
          <w:rFonts w:ascii="Arial" w:cs="Arial" w:eastAsia="Arial" w:hAnsi="Arial"/>
          <w:sz w:val="16"/>
          <w:szCs w:val="16"/>
          <w:color w:val="auto"/>
        </w:rPr>
        <w:t>accordance with the terms hereof. The undersigned requests that a certificate for such shares of Common Stock be registered in the name of _________,</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whose address is _______________________ and that such shares of Common Stock be delivered to _________ whose address 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 If said number of shares of Common Stock is less than all of the shares of Common Stock purchasable hereunder,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undersigned requests that a new Warrant Certificate representing the remaining balance of such shares of Common Stock be registered in the name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 whose address is ________________, and that such Warrant Certificate be delivered to __________, whose address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In the event that the Warrant has been called for redemption by the Company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the Warrant Agreement and the Company has required cashless exercise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 the number of shares of Common Stock that this Warrant is exercisable for shall be determined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shares of Common Stock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shares of Common Stock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shares of Common Stock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of Common Stock. If said number of shares of Common Stock is less than all of the shares of Common Stock purchasable hereunder (after giving effect to the cashless exercise), the undersigned requests that a new Warrant Certificate representing the remaining balance of such shares of Common Stock be registered in the name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 whose address is ___________, and that such Warrant Certificate be delivered to ____________, whose address is ______________.</w:t>
      </w:r>
    </w:p>
    <w:p>
      <w:pPr>
        <w:spacing w:after="0" w:line="234"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(Tax Identification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(OR ANY SUCCESSOR RULE)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center"/>
        <w:ind w:right="-99"/>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LEGEND</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CHURCHILL CAPITAL CORP IV (THE “COMPANY”), CHURCHILL SPONSOR IV LLC AND THE OTHER PARTIES THERETO, THE SECURITIES REPRESENTED BY THIS CERTIFICATE MAY NOT BE SOLD OR TRANSFERRED PRIOR TO THE DATE THAT IS THIRTY (30) DAYS AFTER THE DATE UPON WHICH THE COMPANY COMPLETES ITS INITIAL BUSINESS COMBINATION (AS DEFINED IN SECTION 3 OF THE WARRANT AGREEMENT REFERRED TO HEREIN) EXCEPT TO A PERMITTED TRANSFEREE (AS DEFINED IN SECTION 2 OF THE WARRANT AGREEMENT) WHO AGREES IN WRITING WITH THE COMPANY TO BE SUBJECT TO SUCH TRANSFER PROVISIONS.</w:t>
      </w:r>
    </w:p>
    <w:p>
      <w:pPr>
        <w:spacing w:after="0" w:line="19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SECURITIES EVIDENCED BY THIS CERTIFICATE AND SHARES OF COMMON STOCK OF THE COMPANY ISSUED UPON EXERCISE OF SUCH SECURITIES SHALL BE ENTITLED TO REGISTRATION RIGHTS UNDER A REGISTRATION RIGHTS AGREEMENT TO BE EXECUTED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Churchill Capital Corp IV</w:t>
      </w:r>
    </w:p>
    <w:p>
      <w:pPr>
        <w:spacing w:after="0" w:line="202" w:lineRule="auto"/>
        <w:rPr>
          <w:sz w:val="20"/>
          <w:szCs w:val="20"/>
          <w:color w:val="auto"/>
        </w:rPr>
      </w:pPr>
      <w:r>
        <w:rPr>
          <w:rFonts w:ascii="Arial" w:cs="Arial" w:eastAsia="Arial" w:hAnsi="Arial"/>
          <w:sz w:val="18"/>
          <w:szCs w:val="18"/>
          <w:color w:val="auto"/>
        </w:rPr>
        <w:t>640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 380-7500</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letter (this “</w:t>
      </w:r>
      <w:r>
        <w:rPr>
          <w:rFonts w:ascii="Arial" w:cs="Arial" w:eastAsia="Arial" w:hAnsi="Arial"/>
          <w:sz w:val="16"/>
          <w:szCs w:val="16"/>
          <w:u w:val="single" w:color="auto"/>
          <w:color w:val="auto"/>
        </w:rPr>
        <w:t>Letter Agreement</w:t>
      </w:r>
      <w:r>
        <w:rPr>
          <w:rFonts w:ascii="Arial" w:cs="Arial" w:eastAsia="Arial" w:hAnsi="Arial"/>
          <w:sz w:val="16"/>
          <w:szCs w:val="16"/>
          <w:color w:val="auto"/>
        </w:rPr>
        <w:t>”) is being delivered to you in accordance with the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 entered into by and among Churchill Capital Corp IV,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Citigroup Global Markets Inc.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w:t>
      </w:r>
      <w:r>
        <w:rPr>
          <w:rFonts w:ascii="Arial" w:cs="Arial" w:eastAsia="Arial" w:hAnsi="Arial"/>
          <w:sz w:val="17"/>
          <w:szCs w:val="17"/>
          <w:color w:val="auto"/>
        </w:rPr>
        <w:t>”), relating to an underwritten initial public offering (the “</w:t>
      </w:r>
      <w:r>
        <w:rPr>
          <w:rFonts w:ascii="Arial" w:cs="Arial" w:eastAsia="Arial" w:hAnsi="Arial"/>
          <w:sz w:val="17"/>
          <w:szCs w:val="17"/>
          <w:u w:val="single" w:color="auto"/>
          <w:color w:val="auto"/>
        </w:rPr>
        <w:t>Public Offering</w:t>
      </w:r>
      <w:r>
        <w:rPr>
          <w:rFonts w:ascii="Arial" w:cs="Arial" w:eastAsia="Arial" w:hAnsi="Arial"/>
          <w:sz w:val="17"/>
          <w:szCs w:val="17"/>
          <w:color w:val="auto"/>
        </w:rPr>
        <w:t>”), of 207,000,000 of the Company’s units (including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27,000,000 units that may be purchased to cover over-allotments, if any) (the “</w:t>
      </w:r>
      <w:r>
        <w:rPr>
          <w:rFonts w:ascii="Arial" w:cs="Arial" w:eastAsia="Arial" w:hAnsi="Arial"/>
          <w:sz w:val="16"/>
          <w:szCs w:val="16"/>
          <w:u w:val="single" w:color="auto"/>
          <w:color w:val="auto"/>
        </w:rPr>
        <w:t>Units</w:t>
      </w:r>
      <w:r>
        <w:rPr>
          <w:rFonts w:ascii="Arial" w:cs="Arial" w:eastAsia="Arial" w:hAnsi="Arial"/>
          <w:sz w:val="16"/>
          <w:szCs w:val="16"/>
          <w:color w:val="auto"/>
        </w:rPr>
        <w:t>”), each comprised of one share of the Company’s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one-fifth of one redeemable warrant. Each whole Warrant (each, a “</w:t>
      </w:r>
      <w:r>
        <w:rPr>
          <w:rFonts w:ascii="Arial" w:cs="Arial" w:eastAsia="Arial" w:hAnsi="Arial"/>
          <w:sz w:val="16"/>
          <w:szCs w:val="16"/>
          <w:u w:val="single" w:color="auto"/>
          <w:color w:val="auto"/>
        </w:rPr>
        <w:t>Warrant</w:t>
      </w:r>
      <w:r>
        <w:rPr>
          <w:rFonts w:ascii="Arial" w:cs="Arial" w:eastAsia="Arial" w:hAnsi="Arial"/>
          <w:sz w:val="16"/>
          <w:szCs w:val="16"/>
          <w:color w:val="auto"/>
        </w:rPr>
        <w:t>”) entitles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 thereof to purchase one share of Common Stock at a price of $11.50 per share, subject to adjustment. The Units will be sold in the Public Offering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pursuant to a registration statement on Form S-1 and prospectus (the “</w:t>
      </w:r>
      <w:r>
        <w:rPr>
          <w:rFonts w:ascii="Arial" w:cs="Arial" w:eastAsia="Arial" w:hAnsi="Arial"/>
          <w:sz w:val="17"/>
          <w:szCs w:val="17"/>
          <w:u w:val="single" w:color="auto"/>
          <w:color w:val="auto"/>
        </w:rPr>
        <w:t>Prospectus</w:t>
      </w:r>
      <w:r>
        <w:rPr>
          <w:rFonts w:ascii="Arial" w:cs="Arial" w:eastAsia="Arial" w:hAnsi="Arial"/>
          <w:sz w:val="17"/>
          <w:szCs w:val="17"/>
          <w:color w:val="auto"/>
        </w:rPr>
        <w:t>”) filed by the Company with the U.S. Securities and Exchange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and the Company has applied to have the Units listed on the New York Stock Exchange. Certain capitalized terms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are defined in paragraph 11 hereof.</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order to induce the Company and the Representative to enter into the Underwriting Agreement and to proceed with the Public Offering and for other good and valuable consideration, the receipt and sufficiency of which are hereby acknowledged,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and each of the undersigned individuals, each of whom is a member of the Company’s board of directors and/or management team (each, an “</w:t>
      </w:r>
      <w:r>
        <w:rPr>
          <w:rFonts w:ascii="Arial" w:cs="Arial" w:eastAsia="Arial" w:hAnsi="Arial"/>
          <w:sz w:val="17"/>
          <w:szCs w:val="17"/>
          <w:u w:val="single" w:color="auto"/>
          <w:color w:val="auto"/>
        </w:rPr>
        <w:t>Insider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Insiders</w:t>
      </w:r>
      <w:r>
        <w:rPr>
          <w:rFonts w:ascii="Arial" w:cs="Arial" w:eastAsia="Arial" w:hAnsi="Arial"/>
          <w:sz w:val="17"/>
          <w:szCs w:val="17"/>
          <w:color w:val="auto"/>
        </w:rPr>
        <w:t>”), hereby severally (and not jointly and severally) agrees with the Company as follows:</w:t>
      </w:r>
    </w:p>
    <w:p>
      <w:pPr>
        <w:spacing w:after="0" w:line="171" w:lineRule="exact"/>
        <w:rPr>
          <w:sz w:val="20"/>
          <w:szCs w:val="20"/>
          <w:color w:val="auto"/>
        </w:rPr>
      </w:pPr>
    </w:p>
    <w:p>
      <w:pPr>
        <w:ind w:left="660" w:right="40" w:firstLine="644"/>
        <w:spacing w:after="0" w:line="296" w:lineRule="auto"/>
        <w:tabs>
          <w:tab w:leader="none" w:pos="1983"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Sponsor and each Insider agrees that if the Company seeks stockholder approval of a proposed Business Combination, then in connection with such proposed Business Combination, it, he or she shall (i) vote any shares of Capital Stock owned by it, him or her in favor of any proposed Business Combination and (ii) not redeem any shares of Common Stock owned by it, him or her in connection with such stockholder approval. If the Company seeks to consummate a proposed Business Combination by engaging in a tender offer, the Sponsor and each Insider agrees that it, he or she will not sell or tender any shares of Capital Stock owned by it, him or her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ind w:firstLine="644"/>
        <w:spacing w:after="0" w:line="285" w:lineRule="auto"/>
        <w:tabs>
          <w:tab w:leader="none" w:pos="1323"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Sponsor and each Insider hereby agrees that in the event that the Company fails to consummate a Business Combination within 24 months from the closing of the Public Offering, or such later period approved by the Company’s stockholders in accordance with the Company’s amended and restated certificate of incorporation (the “</w:t>
      </w:r>
      <w:r>
        <w:rPr>
          <w:rFonts w:ascii="Arial" w:cs="Arial" w:eastAsia="Arial" w:hAnsi="Arial"/>
          <w:sz w:val="16"/>
          <w:szCs w:val="16"/>
          <w:u w:val="single" w:color="auto"/>
          <w:color w:val="auto"/>
        </w:rPr>
        <w:t>Charter</w:t>
      </w:r>
      <w:r>
        <w:rPr>
          <w:rFonts w:ascii="Arial" w:cs="Arial" w:eastAsia="Arial" w:hAnsi="Arial"/>
          <w:sz w:val="16"/>
          <w:szCs w:val="16"/>
          <w:color w:val="auto"/>
        </w:rPr>
        <w:t>”), the Sponsor and each Insider shall take all reasonable steps to cause the Company to (i) cease all operations except for the purpose of winding up, (ii) as promptly as reasonably possible but not more than 10 business days thereafter, subject to lawfully available funds therefor, redeem 100% of the Common Stock sold as part of the Units in the Public Offering (the “</w:t>
      </w:r>
      <w:r>
        <w:rPr>
          <w:rFonts w:ascii="Arial" w:cs="Arial" w:eastAsia="Arial" w:hAnsi="Arial"/>
          <w:sz w:val="16"/>
          <w:szCs w:val="16"/>
          <w:u w:val="single" w:color="auto"/>
          <w:color w:val="auto"/>
        </w:rPr>
        <w:t>Offering Shares</w:t>
      </w:r>
      <w:r>
        <w:rPr>
          <w:rFonts w:ascii="Arial" w:cs="Arial" w:eastAsia="Arial" w:hAnsi="Arial"/>
          <w:sz w:val="16"/>
          <w:szCs w:val="16"/>
          <w:color w:val="auto"/>
        </w:rPr>
        <w:t>”), at a per-share price, payable in cash, equal to the aggregate amount then on deposit in the Trust Account, including interest (net of amounts withdrawn to fund the Company’s working capital requirements, subject to an annual limit of $1,000,000, and/or to pay the Company’s taxes (“</w:t>
      </w:r>
      <w:r>
        <w:rPr>
          <w:rFonts w:ascii="Arial" w:cs="Arial" w:eastAsia="Arial" w:hAnsi="Arial"/>
          <w:sz w:val="16"/>
          <w:szCs w:val="16"/>
          <w:u w:val="single" w:color="auto"/>
          <w:color w:val="auto"/>
        </w:rPr>
        <w:t>Permitted Withdrawals</w:t>
      </w:r>
      <w:r>
        <w:rPr>
          <w:rFonts w:ascii="Arial" w:cs="Arial" w:eastAsia="Arial" w:hAnsi="Arial"/>
          <w:sz w:val="16"/>
          <w:szCs w:val="16"/>
          <w:color w:val="auto"/>
        </w:rPr>
        <w:t>”)) and less up to $100,000 of interest to pay dissolution expenses)), divided by the number of then outstanding Offering Shares, which redemption will completely extinguish all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other requirements of applicable law. The Sponsor and each Insider agree to not propose any amendment to the Charter that would modify the substance or timing of the Company’s obligation to redeem 100% of the Offering Shares if the Company does not complete a Business Combination within the required time period set forth in the Charter or with respect to any other material provisions relating to stockholders’ rights or pre-initial business combination activity, unless the Company provides its Public Stockholders with the opportunity to redeem their Offering Shares upon approval of any such amendment at a per-share price, payable in cash, equal to the aggregate amount then on deposit in the Trust Account, including interest (net of Permitted Withdrawals), divided by the number of then outstanding Offering Shares.</w:t>
      </w:r>
    </w:p>
    <w:p>
      <w:pPr>
        <w:spacing w:after="0" w:line="171"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The Sponsor and each Insider acknowledges that it, he or she has no right, title, interest or claim of any kind in or to any monies held in the Trust Account as a result of any liquidation of the Company with respect to the Founder Shares held by it, him or her. The Sponsor and each Insider hereby further waive, with respect to any shares of Common Stock held by it, him or her, if any, any redemption rights it, he or she may have in connection with the consummation of a Business Combination, including, without limitation, any such rights available in the context of a stockholder vote to approve such Business Combination or in the context of a tender offer made by the Company to purchase shares of Common Stock (although the Sponsor, the Insiders and their respective affiliates shall be entitled to redemption and liquidation rights with respect to any Offering Shares it or they hold if the Company fails to consummate a Business Combination within the time period set forth in the Charter or in connection with a stockholder vote to approve an amendment to the Charter to modify the substance or timing of the Company’s obligation to redeem 100% of the Offering Shares if the Company does not complete a Business Combination within the time period set forth in the Charter or with respect to any other material provisions relating to stockholders' rights or pre-initial business combination activity).</w:t>
      </w:r>
    </w:p>
    <w:p>
      <w:pPr>
        <w:spacing w:after="0" w:line="3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7" w:name="page68"/>
    <w:bookmarkEnd w:id="67"/>
    <w:p>
      <w:pPr>
        <w:ind w:left="4" w:firstLine="644"/>
        <w:spacing w:after="0" w:line="284" w:lineRule="auto"/>
        <w:tabs>
          <w:tab w:leader="none" w:pos="1327" w:val="left"/>
        </w:tabs>
        <w:numPr>
          <w:ilvl w:val="1"/>
          <w:numId w:val="69"/>
        </w:numPr>
        <w:rPr>
          <w:rFonts w:ascii="Arial" w:cs="Arial" w:eastAsia="Arial" w:hAnsi="Arial"/>
          <w:sz w:val="16"/>
          <w:szCs w:val="16"/>
          <w:color w:val="auto"/>
        </w:rPr>
      </w:pPr>
      <w:r>
        <w:rPr>
          <w:rFonts w:ascii="Arial" w:cs="Arial" w:eastAsia="Arial" w:hAnsi="Arial"/>
          <w:sz w:val="16"/>
          <w:szCs w:val="16"/>
          <w:color w:val="auto"/>
        </w:rPr>
        <w:t>During the period commencing on the effective date of the Underwriting Agreement and ending 180 days after such date, the Sponsor and each Insider shall not, without the prior written consent of the Representative,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of the Commission promulgated thereunder, with respect to any Units, shares of Capital Stock, Warrants or any securities convertible into, or exercisable, or exchangeable for, shares of Common Stock owned by it, him or her,</w:t>
      </w:r>
    </w:p>
    <w:p>
      <w:pPr>
        <w:spacing w:after="0" w:line="4" w:lineRule="exact"/>
        <w:rPr>
          <w:rFonts w:ascii="Arial" w:cs="Arial" w:eastAsia="Arial" w:hAnsi="Arial"/>
          <w:sz w:val="16"/>
          <w:szCs w:val="16"/>
          <w:color w:val="auto"/>
        </w:rPr>
      </w:pPr>
    </w:p>
    <w:p>
      <w:pPr>
        <w:ind w:left="4" w:right="40" w:hanging="4"/>
        <w:spacing w:after="0" w:line="281" w:lineRule="auto"/>
        <w:tabs>
          <w:tab w:leader="none" w:pos="269" w:val="left"/>
        </w:tabs>
        <w:numPr>
          <w:ilvl w:val="0"/>
          <w:numId w:val="70"/>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any Units, shares of Capital Stock, Warrants or any securities convertible into, or exercisable, or exchangeable for, shares of Common Stock owned by it, him or her, whether any such transaction is to be settled by delivery of such securities, in cash or otherwise, or (iii) publicly announce any intention to effect any transaction specified in clause (i) or (ii). Each of the Insiders and the Sponsor acknowledges and agrees that, prior to the effective date of any release or waiver of the restrictions set forth in this paragraph 3 or paragraph 7 below, the Company shall announce the impending release or waiver by press release through a major news service at least two business days before the effective date of the release or waiver. Any such release or waiver granted shall only be effective two business days after the publication date of such press release. The provisions of this paragraph will not apply if (i) the release or waiver is effected solely to permit a transfer of securities without consideration and</w:t>
      </w:r>
    </w:p>
    <w:p>
      <w:pPr>
        <w:spacing w:after="0" w:line="4" w:lineRule="exact"/>
        <w:rPr>
          <w:rFonts w:ascii="Arial" w:cs="Arial" w:eastAsia="Arial" w:hAnsi="Arial"/>
          <w:sz w:val="16"/>
          <w:szCs w:val="16"/>
          <w:color w:val="auto"/>
        </w:rPr>
      </w:pPr>
    </w:p>
    <w:p>
      <w:pPr>
        <w:ind w:left="4" w:right="280" w:hanging="4"/>
        <w:spacing w:after="0" w:line="260" w:lineRule="auto"/>
        <w:tabs>
          <w:tab w:leader="none" w:pos="2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transferee has agreed in writing to be bound by the same terms described in this Letter Agreement to the extent and for the duration that such terms remain in effect at the time of the transfer.</w:t>
      </w:r>
    </w:p>
    <w:p>
      <w:pPr>
        <w:spacing w:after="0" w:line="185" w:lineRule="exact"/>
        <w:rPr>
          <w:rFonts w:ascii="Arial" w:cs="Arial" w:eastAsia="Arial" w:hAnsi="Arial"/>
          <w:sz w:val="18"/>
          <w:szCs w:val="18"/>
          <w:color w:val="auto"/>
        </w:rPr>
      </w:pPr>
    </w:p>
    <w:p>
      <w:pPr>
        <w:ind w:left="4" w:right="40" w:firstLine="644"/>
        <w:spacing w:after="0" w:line="267" w:lineRule="auto"/>
        <w:tabs>
          <w:tab w:leader="none" w:pos="1327" w:val="left"/>
        </w:tabs>
        <w:numPr>
          <w:ilvl w:val="1"/>
          <w:numId w:val="71"/>
        </w:numPr>
        <w:rPr>
          <w:rFonts w:ascii="Arial" w:cs="Arial" w:eastAsia="Arial" w:hAnsi="Arial"/>
          <w:sz w:val="17"/>
          <w:szCs w:val="17"/>
          <w:color w:val="auto"/>
        </w:rPr>
      </w:pPr>
      <w:r>
        <w:rPr>
          <w:rFonts w:ascii="Arial" w:cs="Arial" w:eastAsia="Arial" w:hAnsi="Arial"/>
          <w:sz w:val="17"/>
          <w:szCs w:val="17"/>
          <w:color w:val="auto"/>
        </w:rPr>
        <w:t>In the event of the liquidation of the Trust Account, the Sponsor (which for purposes of clarification shall not extend to any other shareholders, members or managers of the Sponsor or any other Insider)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or any claim whatsoever) to which the Company may become subject as a result of any claim by (i) any third party for services rendered or products sold to the Company or (ii) any prospective target business with which the Company has entered into a letter of intent, confidentiality or other similar agreement for a Business Combination (a “</w:t>
      </w:r>
      <w:r>
        <w:rPr>
          <w:rFonts w:ascii="Arial" w:cs="Arial" w:eastAsia="Arial" w:hAnsi="Arial"/>
          <w:sz w:val="17"/>
          <w:szCs w:val="17"/>
          <w:u w:val="single" w:color="auto"/>
          <w:color w:val="auto"/>
        </w:rPr>
        <w:t>Target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indemnification of the Company by the Sponsor (x) shall apply only to the extent necessary to ensure that such claims by a third party or a Target do not reduce the amount of funds in the Trust Account to below the lesser of (i) $10.00 per Offering Share or (ii) the actual amount per Offering Share held in the Trust Account as of the date of the liquidation of the Trust Account, if less than $10.00 per Offering Share is then held in the Trust Account due to reductions in the value of the trust assets less Permitted Withdrawals, (y) shall not apply to any claims by a third party (including a Target) that executed a waiver of any and all rights to the monies held in the Trust Account (whether or not such waiver is enforceable) and (z) shall not apply to any claims under the Company’s indemnity of the Representative against certain liabilities, including liabilities under the Securities Act of 1933, as amended. The Sponsor shall have the right to defend against any such claim with counsel of its choice reasonably satisfactory to the Company if, within 15 days following written receipt of notice of the claim to the Sponsor, the Sponsor notifies the Company in writing that it shall undertake such defense. For the avoidance of doubt, none of the Company’s officers or directors will indemnify the Company for claims by third parties, including, without limitation, claims by vendors and prospective target businesses.</w:t>
      </w:r>
    </w:p>
    <w:p>
      <w:pPr>
        <w:spacing w:after="0" w:line="200" w:lineRule="exact"/>
        <w:rPr>
          <w:sz w:val="20"/>
          <w:szCs w:val="20"/>
          <w:color w:val="auto"/>
        </w:rPr>
      </w:pPr>
    </w:p>
    <w:p>
      <w:pPr>
        <w:spacing w:after="0" w:line="20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8" w:name="page69"/>
    <w:bookmarkEnd w:id="68"/>
    <w:p>
      <w:pPr>
        <w:ind w:left="4" w:firstLine="644"/>
        <w:spacing w:after="0" w:line="268" w:lineRule="auto"/>
        <w:tabs>
          <w:tab w:leader="none" w:pos="1327" w:val="left"/>
        </w:tabs>
        <w:numPr>
          <w:ilvl w:val="1"/>
          <w:numId w:val="72"/>
        </w:numPr>
        <w:rPr>
          <w:rFonts w:ascii="Arial" w:cs="Arial" w:eastAsia="Arial" w:hAnsi="Arial"/>
          <w:sz w:val="17"/>
          <w:szCs w:val="17"/>
          <w:color w:val="auto"/>
        </w:rPr>
      </w:pPr>
      <w:r>
        <w:rPr>
          <w:rFonts w:ascii="Arial" w:cs="Arial" w:eastAsia="Arial" w:hAnsi="Arial"/>
          <w:sz w:val="17"/>
          <w:szCs w:val="17"/>
          <w:color w:val="auto"/>
        </w:rPr>
        <w:t>To the extent that the Representative does not exercise its over-allotment option to purchase up to an additional 27,000,000 Units within 45 days from the date of the Prospectus (and as further described in the Prospectus), the Sponsor agrees to forfeit, at no cost, a number of Founder Shares in the aggregate equal to the product of 6,750,000 multiplied by a fraction, (i) the numerator of which is 27,000,000 minus the number of Units purchased by the Representative upon the exercise of its over-allotment option, and (ii) the denominator of which is 27,000,000. The forfeiture will be adjusted to the extent that the over-allotment option is not exercised in full by the Representative so that the Initial Stockholders will own an aggregate of 20.0% of the Company’s issued and outstanding shares of Capital Stock after the Public Offering. To the extent that the size of the Public Offering is increased or decreased, the Company will effect a capitalization or share repurchase, redemption or stock split or other appropriate mechanism, as applicable, immediately prior to the consummation of the Public Offering in such amount as to maintain the ownership of the Capital Stock of the Initial Stockholders prior to the Public Offering at 20.0% of the Company’s issued and outstanding Capital Stock upon the consummation of the Public Offering. In connection with such increase or decrease in the size of the Public Offering, (A) references to 27,000,000 in the numerator and denominator of the formula in the first sentence of this paragraph shall be changed to a number equal to 15% of the number of shares included in the Units issued in the Public Offering and (B) the reference to 6,750,000 in the formula set forth in the immediately preceding sentence shall be adjusted to such number of Founder Shares that the Sponsor would have to return to the Company in order to hold (with all of the Initial Stockholders) an aggregate of 20.0% of the Company’s issued and outstanding Capital Stock after the Public Offering.</w:t>
      </w:r>
    </w:p>
    <w:p>
      <w:pPr>
        <w:spacing w:after="0" w:line="181" w:lineRule="exact"/>
        <w:rPr>
          <w:rFonts w:ascii="Arial" w:cs="Arial" w:eastAsia="Arial" w:hAnsi="Arial"/>
          <w:sz w:val="17"/>
          <w:szCs w:val="17"/>
          <w:color w:val="auto"/>
        </w:rPr>
      </w:pPr>
    </w:p>
    <w:p>
      <w:pPr>
        <w:ind w:left="4" w:right="20" w:firstLine="644"/>
        <w:spacing w:after="0" w:line="301" w:lineRule="auto"/>
        <w:tabs>
          <w:tab w:leader="none" w:pos="1192" w:val="left"/>
        </w:tabs>
        <w:numPr>
          <w:ilvl w:val="1"/>
          <w:numId w:val="72"/>
        </w:numPr>
        <w:rPr>
          <w:rFonts w:ascii="Arial" w:cs="Arial" w:eastAsia="Arial" w:hAnsi="Arial"/>
          <w:sz w:val="16"/>
          <w:szCs w:val="16"/>
          <w:color w:val="auto"/>
        </w:rPr>
      </w:pPr>
      <w:r>
        <w:rPr>
          <w:rFonts w:ascii="Arial" w:cs="Arial" w:eastAsia="Arial" w:hAnsi="Arial"/>
          <w:sz w:val="16"/>
          <w:szCs w:val="16"/>
          <w:color w:val="auto"/>
        </w:rPr>
        <w:t>(a) The Sponsor and each Insider hereby agrees and acknowledges that: (i) the Representative and the Company would be irreparably injured in the event of a breach by such Sponsor or an Insider of its, his or her obligations under paragraphs 1, 2, 3, 4, 5, 7(a), 7(b), and 9,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157" w:lineRule="exact"/>
        <w:rPr>
          <w:rFonts w:ascii="Arial" w:cs="Arial" w:eastAsia="Arial" w:hAnsi="Arial"/>
          <w:sz w:val="16"/>
          <w:szCs w:val="16"/>
          <w:color w:val="auto"/>
        </w:rPr>
      </w:pPr>
    </w:p>
    <w:p>
      <w:pPr>
        <w:ind w:left="4" w:right="520" w:firstLine="644"/>
        <w:spacing w:after="0" w:line="291" w:lineRule="auto"/>
        <w:tabs>
          <w:tab w:leader="none" w:pos="1192" w:val="left"/>
        </w:tabs>
        <w:numPr>
          <w:ilvl w:val="1"/>
          <w:numId w:val="72"/>
        </w:numPr>
        <w:rPr>
          <w:rFonts w:ascii="Arial" w:cs="Arial" w:eastAsia="Arial" w:hAnsi="Arial"/>
          <w:sz w:val="16"/>
          <w:szCs w:val="16"/>
          <w:color w:val="auto"/>
        </w:rPr>
      </w:pPr>
      <w:r>
        <w:rPr>
          <w:rFonts w:ascii="Arial" w:cs="Arial" w:eastAsia="Arial" w:hAnsi="Arial"/>
          <w:sz w:val="16"/>
          <w:szCs w:val="16"/>
          <w:color w:val="auto"/>
        </w:rPr>
        <w:t>(a) The Sponsor and each Insider agree that it or he shall not Transfer any Founder Shares (or shares of Common Stock issuable upon conversion thereof) until the earlier of (A) one year after the completion of the Company’s initial Business Combination or</w:t>
      </w:r>
    </w:p>
    <w:p>
      <w:pPr>
        <w:ind w:left="4" w:right="40" w:hanging="4"/>
        <w:spacing w:after="0" w:line="271" w:lineRule="auto"/>
        <w:tabs>
          <w:tab w:leader="none" w:pos="289" w:val="left"/>
        </w:tabs>
        <w:numPr>
          <w:ilvl w:val="0"/>
          <w:numId w:val="73"/>
        </w:numPr>
        <w:rPr>
          <w:rFonts w:ascii="Arial" w:cs="Arial" w:eastAsia="Arial" w:hAnsi="Arial"/>
          <w:sz w:val="17"/>
          <w:szCs w:val="17"/>
          <w:color w:val="auto"/>
        </w:rPr>
      </w:pPr>
      <w:r>
        <w:rPr>
          <w:rFonts w:ascii="Arial" w:cs="Arial" w:eastAsia="Arial" w:hAnsi="Arial"/>
          <w:sz w:val="17"/>
          <w:szCs w:val="17"/>
          <w:color w:val="auto"/>
        </w:rPr>
        <w:t>subsequent to the Business Combination, (x) if the closing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 (the “</w:t>
      </w:r>
      <w:r>
        <w:rPr>
          <w:rFonts w:ascii="Arial" w:cs="Arial" w:eastAsia="Arial" w:hAnsi="Arial"/>
          <w:sz w:val="17"/>
          <w:szCs w:val="17"/>
          <w:u w:val="single" w:color="auto"/>
          <w:color w:val="auto"/>
        </w:rPr>
        <w:t>Founder Shares Lock-up Period</w:t>
      </w:r>
      <w:r>
        <w:rPr>
          <w:rFonts w:ascii="Arial" w:cs="Arial" w:eastAsia="Arial" w:hAnsi="Arial"/>
          <w:sz w:val="17"/>
          <w:szCs w:val="17"/>
          <w:color w:val="auto"/>
        </w:rPr>
        <w:t>”).</w:t>
      </w:r>
    </w:p>
    <w:p>
      <w:pPr>
        <w:spacing w:after="0" w:line="39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69" w:name="page70"/>
    <w:bookmarkEnd w:id="69"/>
    <w:p>
      <w:pPr>
        <w:ind w:left="4" w:right="220" w:firstLine="1292"/>
        <w:spacing w:after="0" w:line="311" w:lineRule="auto"/>
        <w:tabs>
          <w:tab w:leader="none" w:pos="2004" w:val="left"/>
        </w:tabs>
        <w:numPr>
          <w:ilvl w:val="2"/>
          <w:numId w:val="74"/>
        </w:numPr>
        <w:rPr>
          <w:rFonts w:ascii="Arial" w:cs="Arial" w:eastAsia="Arial" w:hAnsi="Arial"/>
          <w:sz w:val="16"/>
          <w:szCs w:val="16"/>
          <w:color w:val="auto"/>
        </w:rPr>
      </w:pPr>
      <w:r>
        <w:rPr>
          <w:rFonts w:ascii="Arial" w:cs="Arial" w:eastAsia="Arial" w:hAnsi="Arial"/>
          <w:sz w:val="16"/>
          <w:szCs w:val="16"/>
          <w:color w:val="auto"/>
        </w:rPr>
        <w:t>The Sponsor and each Insider agree that it, he or she shall not Transfer any Private Placement Warrants (or shares of Common Stock issued or issuable upon the exercise of the Private Placement Warrants) until 30 days after the completion of a Business Combination (the “</w:t>
      </w:r>
      <w:r>
        <w:rPr>
          <w:rFonts w:ascii="Arial" w:cs="Arial" w:eastAsia="Arial" w:hAnsi="Arial"/>
          <w:sz w:val="16"/>
          <w:szCs w:val="16"/>
          <w:u w:val="single" w:color="auto"/>
          <w:color w:val="auto"/>
        </w:rPr>
        <w:t>Private Placement Warrants Lock-up Period</w:t>
      </w:r>
      <w:r>
        <w:rPr>
          <w:rFonts w:ascii="Arial" w:cs="Arial" w:eastAsia="Arial" w:hAnsi="Arial"/>
          <w:sz w:val="16"/>
          <w:szCs w:val="16"/>
          <w:color w:val="auto"/>
        </w:rPr>
        <w:t>”, together with the Founder Shares Lock-up Period, the “</w:t>
      </w:r>
      <w:r>
        <w:rPr>
          <w:rFonts w:ascii="Arial" w:cs="Arial" w:eastAsia="Arial" w:hAnsi="Arial"/>
          <w:sz w:val="16"/>
          <w:szCs w:val="16"/>
          <w:u w:val="single" w:color="auto"/>
          <w:color w:val="auto"/>
        </w:rPr>
        <w:t>Lock-up Periods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4" w:right="160" w:firstLine="1292"/>
        <w:spacing w:after="0" w:line="283" w:lineRule="auto"/>
        <w:tabs>
          <w:tab w:leader="none" w:pos="2039" w:val="left"/>
        </w:tabs>
        <w:numPr>
          <w:ilvl w:val="2"/>
          <w:numId w:val="74"/>
        </w:numPr>
        <w:rPr>
          <w:rFonts w:ascii="Arial" w:cs="Arial" w:eastAsia="Arial" w:hAnsi="Arial"/>
          <w:sz w:val="16"/>
          <w:szCs w:val="16"/>
          <w:color w:val="auto"/>
        </w:rPr>
      </w:pPr>
      <w:r>
        <w:rPr>
          <w:rFonts w:ascii="Arial" w:cs="Arial" w:eastAsia="Arial" w:hAnsi="Arial"/>
          <w:sz w:val="16"/>
          <w:szCs w:val="16"/>
          <w:color w:val="auto"/>
        </w:rPr>
        <w:t>Notwithstanding the provisions set forth in paragraphs 3 and 7(a) and (b), Transfers of the Founder Shares, Private Placement Warrants and shares of Common Stock issued or issuable upon the exercise or conversion of the Private Placement Warrants or the Founder Shares and that are held by the Sponsor, any Insider or any of their permitted transferees (that have complied with this paragraph 7(c)), are permitted (a) to the Company’s officers or directors, any affiliates or family members of any of the Company’s officers or directors, any members of the Sponsor, or any affiliates of the Sponsor; (b) in the case of an individual, transfers by gift to a member of the individual’s immediate family, to a trust, the beneficiary of which is a member of the individual’s immediate family or an affiliate of such person, or to a charitable organization; (c) in the case of an individual, transfers by virtue of laws of descent and distribution upon death of the individual; (d) in the case of an individual, transfers pursuant to a qualified domestic relations order; (e) transfers by private sales or transfers made in connection with the consummation of a Business Combination at prices no greater than the price at which the securities were originally purchased;</w:t>
      </w:r>
    </w:p>
    <w:p>
      <w:pPr>
        <w:spacing w:after="0" w:line="5" w:lineRule="exact"/>
        <w:rPr>
          <w:rFonts w:ascii="Arial" w:cs="Arial" w:eastAsia="Arial" w:hAnsi="Arial"/>
          <w:sz w:val="16"/>
          <w:szCs w:val="16"/>
          <w:color w:val="auto"/>
        </w:rPr>
      </w:pPr>
    </w:p>
    <w:p>
      <w:pPr>
        <w:ind w:left="4" w:right="100" w:hanging="4"/>
        <w:spacing w:after="0" w:line="287" w:lineRule="auto"/>
        <w:tabs>
          <w:tab w:leader="none" w:pos="229"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transfers in the event of the Company’s liquidation prior to the completion of an initial Business Combination; (g) transfers by virtue of the laws of the State of Delaware or the Sponsor’s limited liability company agreement upon dissolution of the Sponsor; (h) in the event of the Company’s completion of a liquidation, merger, stock exchange, reorganization or other similar transaction which results in all of the Company’s public stockholders having the right to exchange their shares of Class A common stock for cash, securities or other property subsequent to the completion of the initial business combination; (i) to a nominee or custodian of a person or entity to whom a disposition or transfer would be permissible under clauses (a) through (h)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(a) through (e) and (i),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w:t>
      </w:r>
    </w:p>
    <w:p>
      <w:pPr>
        <w:spacing w:after="0" w:line="169" w:lineRule="exact"/>
        <w:rPr>
          <w:rFonts w:ascii="Arial" w:cs="Arial" w:eastAsia="Arial" w:hAnsi="Arial"/>
          <w:sz w:val="16"/>
          <w:szCs w:val="16"/>
          <w:color w:val="auto"/>
        </w:rPr>
      </w:pPr>
    </w:p>
    <w:p>
      <w:pPr>
        <w:ind w:left="4" w:firstLine="644"/>
        <w:spacing w:after="0" w:line="284" w:lineRule="auto"/>
        <w:tabs>
          <w:tab w:leader="none" w:pos="1327"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Sponsor and each Insider represent and warrant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respects and does not omit any material information with respect to the Insider’s background. The Sponsor and each Insider’s questionnaire furnished to the Company is true and accurate in all respects.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w:t>
      </w:r>
    </w:p>
    <w:p>
      <w:pPr>
        <w:spacing w:after="0" w:line="2" w:lineRule="exact"/>
        <w:rPr>
          <w:rFonts w:ascii="Arial" w:cs="Arial" w:eastAsia="Arial" w:hAnsi="Arial"/>
          <w:sz w:val="16"/>
          <w:szCs w:val="16"/>
          <w:color w:val="auto"/>
        </w:rPr>
      </w:pPr>
    </w:p>
    <w:p>
      <w:pPr>
        <w:ind w:left="4" w:right="580" w:hanging="4"/>
        <w:spacing w:after="0" w:line="260" w:lineRule="auto"/>
        <w:tabs>
          <w:tab w:leader="none" w:pos="219"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involving fraud, (ii) relating to any financial transaction or handling of funds of another person, or (iii) pertaining to any dealings in any securities and it, he or she is not currently a defendant in any such criminal proceeding.</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0" w:name="page71"/>
    <w:bookmarkEnd w:id="70"/>
    <w:p>
      <w:pPr>
        <w:ind w:left="-460" w:firstLine="644"/>
        <w:spacing w:after="0" w:line="286" w:lineRule="auto"/>
        <w:tabs>
          <w:tab w:leader="none" w:pos="863"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as disclosed in the Prospectus, neither the Sponsor nor any Insider nor any affiliate of the Sponsor or any Insider, nor any director or officer of the Company, shall receive from the Company any finder’s fee, reimbursement, consulting fee, monies in respect of any repayment of a loan or other compensation prior to, or in connection with any services rendered in order to effectuate the consummation of the Company’s initial Business Combination (regardless of the type of transaction that it is), other than the following, none of which will be made from the proceeds held in the Trust Account prior to the completion of the initial Business Combination: repayment of a loan and advances of up to $600,000 made to the Company by the Sponsors to cover expenses related to the organization of the Company and the Public Offering; payment to M. Klein and Company or another affiliate of the Sponsor for customary financial advisory fee; payment to M. Klein Associates, Inc. for office space and related support services for a total of $50,000 per month; reimbursement for any reasonable out-of-pocket expenses related to identifying, investigating and consummating an initial Business Combination, and repayment of loans, if any, and on such terms as to be determined by the Company from time to time, made by the Sponsor or certain of the Company’s officers and directors to finance transaction costs in connection with an intended initial Business Combination, provided, that, if the Company does not consummate an initial Business Combination, a portion of the working capital held outside the Trust Account may be used by the Company to repay such loaned amounts so long as no proceeds from the Trust Account are used for such repayment. Up to $1,500,000 of such loans may be convertible into warrants of the post Business Combination entity at a price of $1.00 per warrant at the option of the lender. Such warrants would be identical to the Private Placement Warrants, including as to exercise price, exercisability and exercise period.</w:t>
      </w:r>
    </w:p>
    <w:p>
      <w:pPr>
        <w:spacing w:after="0" w:line="167" w:lineRule="exact"/>
        <w:rPr>
          <w:rFonts w:ascii="Arial" w:cs="Arial" w:eastAsia="Arial" w:hAnsi="Arial"/>
          <w:sz w:val="16"/>
          <w:szCs w:val="16"/>
          <w:color w:val="auto"/>
        </w:rPr>
      </w:pPr>
    </w:p>
    <w:p>
      <w:pPr>
        <w:jc w:val="both"/>
        <w:ind w:left="-460" w:right="40" w:firstLine="644"/>
        <w:spacing w:after="0" w:line="259" w:lineRule="auto"/>
        <w:tabs>
          <w:tab w:leader="none" w:pos="86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and/or a director on the board of directors of the Company and hereby consents to being named in the Prospectus as an officer and/or a director of the Company.</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1" w:name="page72"/>
    <w:bookmarkEnd w:id="71"/>
    <w:p>
      <w:pPr>
        <w:ind w:left="4" w:right="100" w:firstLine="644"/>
        <w:spacing w:after="0" w:line="285" w:lineRule="auto"/>
        <w:tabs>
          <w:tab w:leader="none" w:pos="13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As used herein, (i)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shall mean a merger, capital stock exchange, asset acquisition, stock purchase, reorganization or similar business combination, involving the Company and one or more businesses; (ii) “</w:t>
      </w:r>
      <w:r>
        <w:rPr>
          <w:rFonts w:ascii="Arial" w:cs="Arial" w:eastAsia="Arial" w:hAnsi="Arial"/>
          <w:sz w:val="16"/>
          <w:szCs w:val="16"/>
          <w:u w:val="single" w:color="auto"/>
          <w:color w:val="auto"/>
        </w:rPr>
        <w:t>Capital Stock</w:t>
      </w:r>
      <w:r>
        <w:rPr>
          <w:rFonts w:ascii="Arial" w:cs="Arial" w:eastAsia="Arial" w:hAnsi="Arial"/>
          <w:sz w:val="16"/>
          <w:szCs w:val="16"/>
          <w:color w:val="auto"/>
        </w:rPr>
        <w:t>” shall mean, collectively, the Common Stock and the Founder Shares; (iii) “</w:t>
      </w:r>
      <w:r>
        <w:rPr>
          <w:rFonts w:ascii="Arial" w:cs="Arial" w:eastAsia="Arial" w:hAnsi="Arial"/>
          <w:sz w:val="16"/>
          <w:szCs w:val="16"/>
          <w:u w:val="single" w:color="auto"/>
          <w:color w:val="auto"/>
        </w:rPr>
        <w:t>Founder Shares</w:t>
      </w:r>
      <w:r>
        <w:rPr>
          <w:rFonts w:ascii="Arial" w:cs="Arial" w:eastAsia="Arial" w:hAnsi="Arial"/>
          <w:sz w:val="16"/>
          <w:szCs w:val="16"/>
          <w:color w:val="auto"/>
        </w:rPr>
        <w:t>” shall mean the 51,750,000 shares of the Company’s Class B common stock, par value $0.0001 per share, (or 45,000,000 shares if the over-allotment option is not exercised by the Representative) initially held by the Sponsor; (iv) “</w:t>
      </w:r>
      <w:r>
        <w:rPr>
          <w:rFonts w:ascii="Arial" w:cs="Arial" w:eastAsia="Arial" w:hAnsi="Arial"/>
          <w:sz w:val="16"/>
          <w:szCs w:val="16"/>
          <w:u w:val="single" w:color="auto"/>
          <w:color w:val="auto"/>
        </w:rPr>
        <w:t>Initial Stockholders</w:t>
      </w:r>
      <w:r>
        <w:rPr>
          <w:rFonts w:ascii="Arial" w:cs="Arial" w:eastAsia="Arial" w:hAnsi="Arial"/>
          <w:sz w:val="16"/>
          <w:szCs w:val="16"/>
          <w:color w:val="auto"/>
        </w:rPr>
        <w:t>” shall mean the Sponsor and any other holder of Founder Shares immediately prior to the Public Offering;</w:t>
      </w:r>
    </w:p>
    <w:p>
      <w:pPr>
        <w:spacing w:after="0" w:line="1" w:lineRule="exact"/>
        <w:rPr>
          <w:rFonts w:ascii="Arial" w:cs="Arial" w:eastAsia="Arial" w:hAnsi="Arial"/>
          <w:sz w:val="16"/>
          <w:szCs w:val="16"/>
          <w:color w:val="auto"/>
        </w:rPr>
      </w:pPr>
    </w:p>
    <w:p>
      <w:pPr>
        <w:ind w:left="4" w:hanging="4"/>
        <w:spacing w:after="0" w:line="267" w:lineRule="auto"/>
        <w:tabs>
          <w:tab w:leader="none" w:pos="259" w:val="left"/>
        </w:tabs>
        <w:numPr>
          <w:ilvl w:val="0"/>
          <w:numId w:val="7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Private Placement Warrants</w:t>
      </w:r>
      <w:r>
        <w:rPr>
          <w:rFonts w:ascii="Arial" w:cs="Arial" w:eastAsia="Arial" w:hAnsi="Arial"/>
          <w:sz w:val="17"/>
          <w:szCs w:val="17"/>
          <w:color w:val="auto"/>
        </w:rPr>
        <w:t>” shall mean the warrants to purchase up to 37,450,000 shares of Common Stock of the Company (or 42,850,000 shares of Common Stock if the over-allotment option is exercised in full) that the Sponsor has agreed to purchase for an aggregate purchase price of $37,450,000 in the aggregate (or $42,850,000 if the over-allotment option is exercised in full), or $1.00 per warrant, in a private placement that shall occur simultaneously with the consummation of the Public Offering; (vi) “</w:t>
      </w:r>
      <w:r>
        <w:rPr>
          <w:rFonts w:ascii="Arial" w:cs="Arial" w:eastAsia="Arial" w:hAnsi="Arial"/>
          <w:sz w:val="17"/>
          <w:szCs w:val="17"/>
          <w:u w:val="single" w:color="auto"/>
          <w:color w:val="auto"/>
        </w:rPr>
        <w:t>Public Stockholders</w:t>
      </w:r>
      <w:r>
        <w:rPr>
          <w:rFonts w:ascii="Arial" w:cs="Arial" w:eastAsia="Arial" w:hAnsi="Arial"/>
          <w:sz w:val="17"/>
          <w:szCs w:val="17"/>
          <w:color w:val="auto"/>
        </w:rPr>
        <w:t>” shall mean the holders of securities issued in the Public Offering; (vii) “</w:t>
      </w:r>
      <w:r>
        <w:rPr>
          <w:rFonts w:ascii="Arial" w:cs="Arial" w:eastAsia="Arial" w:hAnsi="Arial"/>
          <w:sz w:val="17"/>
          <w:szCs w:val="17"/>
          <w:u w:val="single" w:color="auto"/>
          <w:color w:val="auto"/>
        </w:rPr>
        <w:t>Trust Account</w:t>
      </w:r>
      <w:r>
        <w:rPr>
          <w:rFonts w:ascii="Arial" w:cs="Arial" w:eastAsia="Arial" w:hAnsi="Arial"/>
          <w:sz w:val="17"/>
          <w:szCs w:val="17"/>
          <w:color w:val="auto"/>
        </w:rPr>
        <w:t>” shall mean the trust fund into which a portion of the net proceeds of the Public Offering and the sale of the Private Placement Warrants shall be deposited; and (viii) “</w:t>
      </w:r>
      <w:r>
        <w:rPr>
          <w:rFonts w:ascii="Arial" w:cs="Arial" w:eastAsia="Arial" w:hAnsi="Arial"/>
          <w:sz w:val="17"/>
          <w:szCs w:val="17"/>
          <w:u w:val="single" w:color="auto"/>
          <w:color w:val="auto"/>
        </w:rPr>
        <w:t>Transfer</w:t>
      </w:r>
      <w:r>
        <w:rPr>
          <w:rFonts w:ascii="Arial" w:cs="Arial" w:eastAsia="Arial" w:hAnsi="Arial"/>
          <w:sz w:val="17"/>
          <w:szCs w:val="17"/>
          <w:color w:val="auto"/>
        </w:rPr>
        <w:t>” shall mean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84" w:lineRule="exact"/>
        <w:rPr>
          <w:rFonts w:ascii="Arial" w:cs="Arial" w:eastAsia="Arial" w:hAnsi="Arial"/>
          <w:sz w:val="17"/>
          <w:szCs w:val="17"/>
          <w:color w:val="auto"/>
        </w:rPr>
      </w:pPr>
    </w:p>
    <w:p>
      <w:pPr>
        <w:ind w:left="4" w:right="160" w:firstLine="644"/>
        <w:spacing w:after="0" w:line="257" w:lineRule="auto"/>
        <w:tabs>
          <w:tab w:leader="none" w:pos="1327"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87" w:lineRule="exact"/>
        <w:rPr>
          <w:rFonts w:ascii="Arial" w:cs="Arial" w:eastAsia="Arial" w:hAnsi="Arial"/>
          <w:sz w:val="18"/>
          <w:szCs w:val="18"/>
          <w:color w:val="auto"/>
        </w:rPr>
      </w:pPr>
    </w:p>
    <w:p>
      <w:pPr>
        <w:ind w:left="4" w:right="100" w:firstLine="644"/>
        <w:spacing w:after="0" w:line="279" w:lineRule="auto"/>
        <w:tabs>
          <w:tab w:leader="none" w:pos="1327" w:val="left"/>
        </w:tabs>
        <w:numPr>
          <w:ilvl w:val="1"/>
          <w:numId w:val="79"/>
        </w:numPr>
        <w:rPr>
          <w:rFonts w:ascii="Arial" w:cs="Arial" w:eastAsia="Arial" w:hAnsi="Arial"/>
          <w:sz w:val="17"/>
          <w:szCs w:val="17"/>
          <w:color w:val="auto"/>
        </w:rPr>
      </w:pPr>
      <w:r>
        <w:rPr>
          <w:rFonts w:ascii="Arial" w:cs="Arial" w:eastAsia="Arial" w:hAnsi="Arial"/>
          <w:sz w:val="17"/>
          <w:szCs w:val="17"/>
          <w:color w:val="auto"/>
        </w:rPr>
        <w:t>Except as otherwise provided herein, 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71" w:lineRule="exact"/>
        <w:rPr>
          <w:rFonts w:ascii="Arial" w:cs="Arial" w:eastAsia="Arial" w:hAnsi="Arial"/>
          <w:sz w:val="17"/>
          <w:szCs w:val="17"/>
          <w:color w:val="auto"/>
        </w:rPr>
      </w:pPr>
    </w:p>
    <w:p>
      <w:pPr>
        <w:ind w:left="4" w:right="40" w:firstLine="644"/>
        <w:spacing w:after="0" w:line="279" w:lineRule="auto"/>
        <w:tabs>
          <w:tab w:leader="none" w:pos="1327" w:val="left"/>
        </w:tabs>
        <w:numPr>
          <w:ilvl w:val="1"/>
          <w:numId w:val="79"/>
        </w:numPr>
        <w:rPr>
          <w:rFonts w:ascii="Arial" w:cs="Arial" w:eastAsia="Arial" w:hAnsi="Arial"/>
          <w:sz w:val="17"/>
          <w:szCs w:val="17"/>
          <w:color w:val="auto"/>
        </w:rPr>
      </w:pPr>
      <w:r>
        <w:rPr>
          <w:rFonts w:ascii="Arial" w:cs="Arial" w:eastAsia="Arial" w:hAnsi="Arial"/>
          <w:sz w:val="17"/>
          <w:szCs w:val="17"/>
          <w:color w:val="auto"/>
        </w:rPr>
        <w:t>Nothing in this Letter Agreement shall be construed to confer upon, or give to, any person or entity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38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72" w:name="page73"/>
    <w:bookmarkEnd w:id="72"/>
    <w:p>
      <w:pPr>
        <w:ind w:left="-460" w:right="40" w:firstLine="644"/>
        <w:spacing w:after="0" w:line="308" w:lineRule="auto"/>
        <w:tabs>
          <w:tab w:leader="none" w:pos="863"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46" w:lineRule="exact"/>
        <w:rPr>
          <w:rFonts w:ascii="Arial" w:cs="Arial" w:eastAsia="Arial" w:hAnsi="Arial"/>
          <w:sz w:val="17"/>
          <w:szCs w:val="17"/>
          <w:color w:val="auto"/>
        </w:rPr>
      </w:pPr>
    </w:p>
    <w:p>
      <w:pPr>
        <w:ind w:left="-460" w:right="80" w:firstLine="644"/>
        <w:spacing w:after="0" w:line="279" w:lineRule="auto"/>
        <w:tabs>
          <w:tab w:leader="none" w:pos="863"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71" w:lineRule="exact"/>
        <w:rPr>
          <w:rFonts w:ascii="Arial" w:cs="Arial" w:eastAsia="Arial" w:hAnsi="Arial"/>
          <w:sz w:val="17"/>
          <w:szCs w:val="17"/>
          <w:color w:val="auto"/>
        </w:rPr>
      </w:pPr>
    </w:p>
    <w:p>
      <w:pPr>
        <w:ind w:left="-460" w:right="80" w:firstLine="644"/>
        <w:spacing w:after="0" w:line="255" w:lineRule="auto"/>
        <w:tabs>
          <w:tab w:leader="none" w:pos="86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92" w:lineRule="exact"/>
        <w:rPr>
          <w:rFonts w:ascii="Arial" w:cs="Arial" w:eastAsia="Arial" w:hAnsi="Arial"/>
          <w:sz w:val="18"/>
          <w:szCs w:val="18"/>
          <w:color w:val="auto"/>
        </w:rPr>
      </w:pPr>
    </w:p>
    <w:p>
      <w:pPr>
        <w:ind w:left="-460" w:firstLine="644"/>
        <w:spacing w:after="0" w:line="263" w:lineRule="auto"/>
        <w:tabs>
          <w:tab w:leader="none" w:pos="86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83" w:lineRule="exact"/>
        <w:rPr>
          <w:rFonts w:ascii="Arial" w:cs="Arial" w:eastAsia="Arial" w:hAnsi="Arial"/>
          <w:sz w:val="18"/>
          <w:szCs w:val="18"/>
          <w:color w:val="auto"/>
        </w:rPr>
      </w:pPr>
    </w:p>
    <w:p>
      <w:pPr>
        <w:ind w:left="-460" w:right="320" w:firstLine="644"/>
        <w:spacing w:after="0" w:line="311" w:lineRule="auto"/>
        <w:tabs>
          <w:tab w:leader="none" w:pos="863"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This Letter Agreement shall terminate on the earlier of (i) the expiration of the Lock-up Periods or (ii) the liquidation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Letter Agreement shall earlier terminate in the event that the Public Offering is not consummated and closed by August 31, 2020;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paragraph 4 of this Letter Agreement shall survive such liquidation for a period of six years.</w:t>
      </w:r>
    </w:p>
    <w:p>
      <w:pPr>
        <w:spacing w:after="0" w:line="14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73" w:name="page74"/>
    <w:bookmarkEnd w:id="73"/>
    <w:p>
      <w:pPr>
        <w:ind w:left="45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CHURCHILL SPONSOR IV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4" w:name="page75"/>
    <w:bookmarkEnd w:id="74"/>
    <w:p>
      <w:pPr>
        <w:ind w:left="4500"/>
        <w:spacing w:after="0"/>
        <w:rPr>
          <w:sz w:val="20"/>
          <w:szCs w:val="20"/>
          <w:color w:val="auto"/>
        </w:rPr>
      </w:pPr>
      <w:r>
        <w:rPr>
          <w:rFonts w:ascii="Arial" w:cs="Arial" w:eastAsia="Arial" w:hAnsi="Arial"/>
          <w:sz w:val="18"/>
          <w:szCs w:val="18"/>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Michael Klein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75" w:name="page76"/>
    <w:bookmarkEnd w:id="75"/>
    <w:p>
      <w:pPr>
        <w:ind w:left="4500"/>
        <w:spacing w:after="0"/>
        <w:rPr>
          <w:sz w:val="20"/>
          <w:szCs w:val="20"/>
          <w:color w:val="auto"/>
        </w:rPr>
      </w:pP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Jay Taragin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6" w:name="page77"/>
    <w:bookmarkEnd w:id="76"/>
    <w:p>
      <w:pPr>
        <w:ind w:left="4500"/>
        <w:spacing w:after="0"/>
        <w:rPr>
          <w:sz w:val="20"/>
          <w:szCs w:val="20"/>
          <w:color w:val="auto"/>
        </w:rPr>
      </w:pPr>
      <w:r>
        <w:rPr>
          <w:rFonts w:ascii="Arial" w:cs="Arial" w:eastAsia="Arial" w:hAnsi="Arial"/>
          <w:sz w:val="16"/>
          <w:szCs w:val="16"/>
          <w:color w:val="auto"/>
        </w:rPr>
        <w:t>/s/ Glenn R.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29210</wp:posOffset>
            </wp:positionV>
            <wp:extent cx="3566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Glenn R. August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7" w:name="page78"/>
    <w:bookmarkEnd w:id="77"/>
    <w:p>
      <w:pPr>
        <w:ind w:left="4500"/>
        <w:spacing w:after="0"/>
        <w:rPr>
          <w:sz w:val="20"/>
          <w:szCs w:val="20"/>
          <w:color w:val="auto"/>
        </w:rPr>
      </w:pPr>
      <w:r>
        <w:rPr>
          <w:rFonts w:ascii="Arial" w:cs="Arial" w:eastAsia="Arial" w:hAnsi="Arial"/>
          <w:sz w:val="17"/>
          <w:szCs w:val="17"/>
          <w:color w:val="auto"/>
        </w:rPr>
        <w:t>/s/ William J. Bynum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22225</wp:posOffset>
            </wp:positionV>
            <wp:extent cx="3566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William J. Bynum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8" w:name="page79"/>
    <w:bookmarkEnd w:id="78"/>
    <w:p>
      <w:pPr>
        <w:ind w:left="4500"/>
        <w:spacing w:after="0"/>
        <w:rPr>
          <w:sz w:val="20"/>
          <w:szCs w:val="20"/>
          <w:color w:val="auto"/>
        </w:rPr>
      </w:pPr>
      <w:r>
        <w:rPr>
          <w:rFonts w:ascii="Arial" w:cs="Arial" w:eastAsia="Arial" w:hAnsi="Arial"/>
          <w:sz w:val="18"/>
          <w:szCs w:val="18"/>
          <w:color w:val="auto"/>
        </w:rPr>
        <w:t>/s/ Bonnie Jonas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Bonnie Jonas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9" w:name="page80"/>
    <w:bookmarkEnd w:id="79"/>
    <w:p>
      <w:pPr>
        <w:ind w:left="4500"/>
        <w:spacing w:after="0"/>
        <w:rPr>
          <w:sz w:val="20"/>
          <w:szCs w:val="20"/>
          <w:color w:val="auto"/>
        </w:rPr>
      </w:pPr>
      <w:r>
        <w:rPr>
          <w:rFonts w:ascii="Arial" w:cs="Arial" w:eastAsia="Arial" w:hAnsi="Arial"/>
          <w:sz w:val="18"/>
          <w:szCs w:val="18"/>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Mark Klein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0" w:name="page81"/>
    <w:bookmarkEnd w:id="80"/>
    <w:p>
      <w:pPr>
        <w:ind w:left="4500"/>
        <w:spacing w:after="0"/>
        <w:rPr>
          <w:sz w:val="20"/>
          <w:szCs w:val="20"/>
          <w:color w:val="auto"/>
        </w:rPr>
      </w:pPr>
      <w:r>
        <w:rPr>
          <w:rFonts w:ascii="Arial" w:cs="Arial" w:eastAsia="Arial" w:hAnsi="Arial"/>
          <w:sz w:val="17"/>
          <w:szCs w:val="17"/>
          <w:color w:val="auto"/>
        </w:rPr>
        <w:t>/s/ Malcolm S. McDermid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22225</wp:posOffset>
            </wp:positionV>
            <wp:extent cx="3566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Malcolm S. McDermid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1" w:name="page82"/>
    <w:bookmarkEnd w:id="81"/>
    <w:p>
      <w:pPr>
        <w:ind w:left="4500"/>
        <w:spacing w:after="0"/>
        <w:rPr>
          <w:sz w:val="20"/>
          <w:szCs w:val="20"/>
          <w:color w:val="auto"/>
        </w:rPr>
      </w:pPr>
      <w:r>
        <w:rPr>
          <w:rFonts w:ascii="Arial" w:cs="Arial" w:eastAsia="Arial" w:hAnsi="Arial"/>
          <w:sz w:val="17"/>
          <w:szCs w:val="17"/>
          <w:color w:val="auto"/>
        </w:rPr>
        <w:t>/s/ Karen G.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22225</wp:posOffset>
            </wp:positionV>
            <wp:extent cx="3566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Karen G. Mills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CHURCHILL CAPITAL CORP IV</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6917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right"/>
        <w:ind w:right="3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10.2</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right="360" w:firstLine="1296"/>
        <w:spacing w:after="0" w:line="342" w:lineRule="auto"/>
        <w:rPr>
          <w:sz w:val="20"/>
          <w:szCs w:val="20"/>
          <w:color w:val="auto"/>
        </w:rPr>
      </w:pPr>
      <w:r>
        <w:rPr>
          <w:rFonts w:ascii="Arial" w:cs="Arial" w:eastAsia="Arial" w:hAnsi="Arial"/>
          <w:sz w:val="16"/>
          <w:szCs w:val="16"/>
          <w:color w:val="auto"/>
        </w:rPr>
        <w:t>This Investment Management Trust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effective as of July 29, 2020 by and between Churchill Capital Corp IV,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Continental Stock Transfer &amp; Trust Company, a New York corporation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124" w:lineRule="exact"/>
        <w:rPr>
          <w:sz w:val="20"/>
          <w:szCs w:val="20"/>
          <w:color w:val="auto"/>
        </w:rPr>
      </w:pPr>
    </w:p>
    <w:p>
      <w:pPr>
        <w:ind w:right="60" w:firstLine="1296"/>
        <w:spacing w:after="0" w:line="257" w:lineRule="auto"/>
        <w:rPr>
          <w:sz w:val="20"/>
          <w:szCs w:val="20"/>
          <w:color w:val="auto"/>
        </w:rPr>
      </w:pPr>
      <w:r>
        <w:rPr>
          <w:rFonts w:ascii="Arial" w:cs="Arial" w:eastAsia="Arial" w:hAnsi="Arial"/>
          <w:sz w:val="18"/>
          <w:szCs w:val="18"/>
          <w:color w:val="auto"/>
        </w:rPr>
        <w:t>WHEREAS, the Company’s registration statement on Form S-1, File No. 333-239856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 prospectus (the “</w:t>
      </w:r>
      <w:r>
        <w:rPr>
          <w:rFonts w:ascii="Arial" w:cs="Arial" w:eastAsia="Arial" w:hAnsi="Arial"/>
          <w:sz w:val="18"/>
          <w:szCs w:val="18"/>
          <w:u w:val="single" w:color="auto"/>
          <w:color w:val="auto"/>
        </w:rPr>
        <w:t>Prospectus</w:t>
      </w:r>
      <w:r>
        <w:rPr>
          <w:rFonts w:ascii="Arial" w:cs="Arial" w:eastAsia="Arial" w:hAnsi="Arial"/>
          <w:sz w:val="18"/>
          <w:szCs w:val="18"/>
          <w:color w:val="auto"/>
        </w:rPr>
        <w:t>”) for the initial public offering of the Company’s units (the “</w:t>
      </w:r>
      <w:r>
        <w:rPr>
          <w:rFonts w:ascii="Arial" w:cs="Arial" w:eastAsia="Arial" w:hAnsi="Arial"/>
          <w:sz w:val="18"/>
          <w:szCs w:val="18"/>
          <w:u w:val="single" w:color="auto"/>
          <w:color w:val="auto"/>
        </w:rPr>
        <w:t>Units</w:t>
      </w:r>
      <w:r>
        <w:rPr>
          <w:rFonts w:ascii="Arial" w:cs="Arial" w:eastAsia="Arial" w:hAnsi="Arial"/>
          <w:sz w:val="18"/>
          <w:szCs w:val="18"/>
          <w:color w:val="auto"/>
        </w:rPr>
        <w:t>”), each of which consists of one share of the Company’s Class A common stock, par value $0.0001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one-fifth of one redeemable warrant, each whole warrant entitling the holder thereof to purchase one share of Common Stock (such initial public offering hereinafter referred to as the “</w:t>
      </w:r>
      <w:r>
        <w:rPr>
          <w:rFonts w:ascii="Arial" w:cs="Arial" w:eastAsia="Arial" w:hAnsi="Arial"/>
          <w:sz w:val="18"/>
          <w:szCs w:val="18"/>
          <w:u w:val="single" w:color="auto"/>
          <w:color w:val="auto"/>
        </w:rPr>
        <w:t>Offering</w:t>
      </w:r>
      <w:r>
        <w:rPr>
          <w:rFonts w:ascii="Arial" w:cs="Arial" w:eastAsia="Arial" w:hAnsi="Arial"/>
          <w:sz w:val="18"/>
          <w:szCs w:val="18"/>
          <w:color w:val="auto"/>
        </w:rPr>
        <w:t>”), has been declared effective as of the date hereof by the U.S. Securities and Exchange Commission; and</w:t>
      </w:r>
    </w:p>
    <w:p>
      <w:pPr>
        <w:spacing w:after="0" w:line="188"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with Citigroup Global Markets Inc. (the “</w:t>
      </w:r>
      <w:r>
        <w:rPr>
          <w:rFonts w:ascii="Arial" w:cs="Arial" w:eastAsia="Arial" w:hAnsi="Arial"/>
          <w:sz w:val="18"/>
          <w:szCs w:val="18"/>
          <w:u w:val="single" w:color="auto"/>
          <w:color w:val="auto"/>
        </w:rPr>
        <w:t>Representative</w:t>
      </w:r>
      <w:r>
        <w:rPr>
          <w:rFonts w:ascii="Arial" w:cs="Arial" w:eastAsia="Arial" w:hAnsi="Arial"/>
          <w:sz w:val="18"/>
          <w:szCs w:val="18"/>
          <w:color w:val="auto"/>
        </w:rPr>
        <w:t>”); and</w:t>
      </w:r>
    </w:p>
    <w:p>
      <w:pPr>
        <w:spacing w:after="0" w:line="170"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color w:val="auto"/>
        </w:rPr>
        <w:t>WHEREAS, as described in the Prospectus, $1,800,000,000 of the gross proceeds of the Offering and sale of the Private Placement Warrants (as defined in the Underwriting Agreement) (or $2,070,000,000 if the Representative’s over-allotment option is exercised in full) will be delivered to the Trustee to be deposited and held in a segregated trust account located at all times in the United States (the “</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for the benefit of the Company and the holders of the Common Stock included in the Units issued in the Offering as hereinafter provided (the amount to be delivered to the </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(and any interest subsequently earned thereon) is referred to herein as the “</w:t>
      </w:r>
      <w:r>
        <w:rPr>
          <w:rFonts w:ascii="Arial" w:cs="Arial" w:eastAsia="Arial" w:hAnsi="Arial"/>
          <w:sz w:val="18"/>
          <w:szCs w:val="18"/>
          <w:u w:val="single" w:color="auto"/>
          <w:color w:val="auto"/>
        </w:rPr>
        <w:t>Property</w:t>
      </w:r>
      <w:r>
        <w:rPr>
          <w:rFonts w:ascii="Arial" w:cs="Arial" w:eastAsia="Arial" w:hAnsi="Arial"/>
          <w:sz w:val="18"/>
          <w:szCs w:val="18"/>
          <w:i w:val="1"/>
          <w:iCs w:val="1"/>
          <w:color w:val="auto"/>
        </w:rPr>
        <w:t>,</w:t>
      </w:r>
      <w:r>
        <w:rPr>
          <w:rFonts w:ascii="Arial" w:cs="Arial" w:eastAsia="Arial" w:hAnsi="Arial"/>
          <w:sz w:val="18"/>
          <w:szCs w:val="18"/>
          <w:color w:val="auto"/>
        </w:rPr>
        <w:t>” the stockholders for whose benefit the Trustee shall hold the Property will be referred to as the “</w:t>
      </w:r>
      <w:r>
        <w:rPr>
          <w:rFonts w:ascii="Arial" w:cs="Arial" w:eastAsia="Arial" w:hAnsi="Arial"/>
          <w:sz w:val="18"/>
          <w:szCs w:val="18"/>
          <w:u w:val="single" w:color="auto"/>
          <w:color w:val="auto"/>
        </w:rPr>
        <w:t>Public Stockholders</w:t>
      </w:r>
      <w:r>
        <w:rPr>
          <w:rFonts w:ascii="Arial" w:cs="Arial" w:eastAsia="Arial" w:hAnsi="Arial"/>
          <w:sz w:val="18"/>
          <w:szCs w:val="18"/>
          <w:color w:val="auto"/>
        </w:rPr>
        <w:t>,” and the Public Stockholders and the Company will be referred to together as the “</w:t>
      </w:r>
      <w:r>
        <w:rPr>
          <w:rFonts w:ascii="Arial" w:cs="Arial" w:eastAsia="Arial" w:hAnsi="Arial"/>
          <w:sz w:val="18"/>
          <w:szCs w:val="18"/>
          <w:u w:val="single" w:color="auto"/>
          <w:color w:val="auto"/>
        </w:rPr>
        <w:t>Beneficiaries</w:t>
      </w:r>
      <w:r>
        <w:rPr>
          <w:rFonts w:ascii="Arial" w:cs="Arial" w:eastAsia="Arial" w:hAnsi="Arial"/>
          <w:sz w:val="18"/>
          <w:szCs w:val="18"/>
          <w:color w:val="auto"/>
        </w:rPr>
        <w:t>”); and</w:t>
      </w:r>
    </w:p>
    <w:p>
      <w:pPr>
        <w:spacing w:after="0" w:line="195"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WHEREAS, pursuant to the Underwriting Agreement, a portion of the Property equal to $63,000,000, or $72,450,000 if the Representative’s over-allotment option is exercised in full, is attributable to deferred underwriting discounts and commissions that will be payable by the Company to the Representative upon and concurrently with the consummation of the Business Combination (as defined below) (the “</w:t>
      </w:r>
      <w:r>
        <w:rPr>
          <w:rFonts w:ascii="Arial" w:cs="Arial" w:eastAsia="Arial" w:hAnsi="Arial"/>
          <w:sz w:val="18"/>
          <w:szCs w:val="18"/>
          <w:u w:val="single" w:color="auto"/>
          <w:color w:val="auto"/>
        </w:rPr>
        <w:t>Deferred Discount</w:t>
      </w:r>
      <w:r>
        <w:rPr>
          <w:rFonts w:ascii="Arial" w:cs="Arial" w:eastAsia="Arial" w:hAnsi="Arial"/>
          <w:sz w:val="18"/>
          <w:szCs w:val="18"/>
          <w:color w:val="auto"/>
        </w:rPr>
        <w:t>”); and</w:t>
      </w:r>
    </w:p>
    <w:p>
      <w:pPr>
        <w:spacing w:after="0" w:line="187"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left="1980" w:hanging="676"/>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ind w:right="140" w:firstLine="1952"/>
        <w:spacing w:after="0" w:line="286" w:lineRule="auto"/>
        <w:tabs>
          <w:tab w:leader="none" w:pos="2683" w:val="left"/>
        </w:tabs>
        <w:numPr>
          <w:ilvl w:val="1"/>
          <w:numId w:val="81"/>
        </w:numPr>
        <w:rPr>
          <w:rFonts w:ascii="Arial" w:cs="Arial" w:eastAsia="Arial" w:hAnsi="Arial"/>
          <w:sz w:val="17"/>
          <w:szCs w:val="17"/>
          <w:color w:val="auto"/>
        </w:rPr>
      </w:pPr>
      <w:r>
        <w:rPr>
          <w:rFonts w:ascii="Arial" w:cs="Arial" w:eastAsia="Arial" w:hAnsi="Arial"/>
          <w:sz w:val="17"/>
          <w:szCs w:val="17"/>
          <w:color w:val="auto"/>
        </w:rPr>
        <w:t>Hold the Property in trust for the Beneficiaries in accordance with the terms of this Agreement in the Trust Account established by the Trustee in the United States at JPMorgan Chase Bank N.A. (or at another U.S. – chartered commercial bank with consolidated assets of $100 billion or more) and at a brokerage institution selected by the Trustee that is reasonably satisfactory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4" w:name="page85"/>
    <w:bookmarkEnd w:id="84"/>
    <w:p>
      <w:pPr>
        <w:ind w:left="2660" w:hanging="748"/>
        <w:spacing w:after="0"/>
        <w:tabs>
          <w:tab w:leader="none" w:pos="2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ind w:left="-40" w:right="120" w:firstLine="1952"/>
        <w:spacing w:after="0" w:line="293" w:lineRule="auto"/>
        <w:tabs>
          <w:tab w:leader="none" w:pos="2643"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a timely manner, upon the written instruction of the Company, invest and reinvest the Property in solely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the Trustee may not invest in any other securities or assets, it being understood that the Trust Account will earn no interest while account funds are uninvested awaiting the Company’s instructions hereunder and the Trustee may earn bank credit or other consideration;</w:t>
      </w:r>
    </w:p>
    <w:p>
      <w:pPr>
        <w:spacing w:after="0" w:line="164" w:lineRule="exact"/>
        <w:rPr>
          <w:rFonts w:ascii="Arial" w:cs="Arial" w:eastAsia="Arial" w:hAnsi="Arial"/>
          <w:sz w:val="16"/>
          <w:szCs w:val="16"/>
          <w:color w:val="auto"/>
        </w:rPr>
      </w:pPr>
    </w:p>
    <w:p>
      <w:pPr>
        <w:ind w:left="-40" w:right="160" w:firstLine="1952"/>
        <w:spacing w:after="0" w:line="277" w:lineRule="auto"/>
        <w:tabs>
          <w:tab w:leader="none" w:pos="26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Collect and receive, when due, all interest or other income arising from the Property, which shall become part of the “</w:t>
      </w:r>
      <w:r>
        <w:rPr>
          <w:rFonts w:ascii="Arial" w:cs="Arial" w:eastAsia="Arial" w:hAnsi="Arial"/>
          <w:sz w:val="18"/>
          <w:szCs w:val="18"/>
          <w:u w:val="single" w:color="auto"/>
          <w:color w:val="auto"/>
        </w:rPr>
        <w:t>Property</w:t>
      </w:r>
      <w:r>
        <w:rPr>
          <w:rFonts w:ascii="Arial" w:cs="Arial" w:eastAsia="Arial" w:hAnsi="Arial"/>
          <w:sz w:val="18"/>
          <w:szCs w:val="18"/>
          <w:color w:val="auto"/>
        </w:rPr>
        <w:t>,” as such term is used herein;</w:t>
      </w:r>
    </w:p>
    <w:p>
      <w:pPr>
        <w:spacing w:after="0" w:line="170" w:lineRule="exact"/>
        <w:rPr>
          <w:rFonts w:ascii="Arial" w:cs="Arial" w:eastAsia="Arial" w:hAnsi="Arial"/>
          <w:sz w:val="18"/>
          <w:szCs w:val="18"/>
          <w:color w:val="auto"/>
        </w:rPr>
      </w:pPr>
    </w:p>
    <w:p>
      <w:pPr>
        <w:ind w:left="-40" w:firstLine="1952"/>
        <w:spacing w:after="0" w:line="277" w:lineRule="auto"/>
        <w:tabs>
          <w:tab w:leader="none" w:pos="2643"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soon as practicable notify the Company and the Representative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ind w:left="-40" w:right="320" w:firstLine="1952"/>
        <w:spacing w:after="0" w:line="277" w:lineRule="auto"/>
        <w:tabs>
          <w:tab w:leader="none" w:pos="26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70" w:lineRule="exact"/>
        <w:rPr>
          <w:rFonts w:ascii="Arial" w:cs="Arial" w:eastAsia="Arial" w:hAnsi="Arial"/>
          <w:sz w:val="18"/>
          <w:szCs w:val="18"/>
          <w:color w:val="auto"/>
        </w:rPr>
      </w:pPr>
    </w:p>
    <w:p>
      <w:pPr>
        <w:ind w:left="-40" w:right="200" w:firstLine="1952"/>
        <w:spacing w:after="0" w:line="277" w:lineRule="auto"/>
        <w:tabs>
          <w:tab w:leader="none" w:pos="26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left="-40" w:right="140" w:firstLine="1952"/>
        <w:spacing w:after="0" w:line="277" w:lineRule="auto"/>
        <w:tabs>
          <w:tab w:leader="none" w:pos="26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ind w:left="-40" w:right="40" w:firstLine="1952"/>
        <w:spacing w:after="0" w:line="286" w:lineRule="auto"/>
        <w:tabs>
          <w:tab w:leader="none" w:pos="2614"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Commence liquidation of the Trust Account only after and promptly after (x) receipt of, and only in accordance with, the terms of a letter from the Company (“</w:t>
      </w:r>
      <w:r>
        <w:rPr>
          <w:rFonts w:ascii="Arial" w:cs="Arial" w:eastAsia="Arial" w:hAnsi="Arial"/>
          <w:sz w:val="16"/>
          <w:szCs w:val="16"/>
          <w:u w:val="single" w:color="auto"/>
          <w:color w:val="auto"/>
        </w:rPr>
        <w:t>Termination Letter</w:t>
      </w:r>
      <w:r>
        <w:rPr>
          <w:rFonts w:ascii="Arial" w:cs="Arial" w:eastAsia="Arial" w:hAnsi="Arial"/>
          <w:sz w:val="16"/>
          <w:szCs w:val="16"/>
          <w:color w:val="auto"/>
        </w:rPr>
        <w:t xml:space="preserve">”) in a form substantially similar to that attached hereto as either </w:t>
      </w:r>
      <w:r>
        <w:rPr>
          <w:rFonts w:ascii="Arial" w:cs="Arial" w:eastAsia="Arial" w:hAnsi="Arial"/>
          <w:sz w:val="16"/>
          <w:szCs w:val="16"/>
          <w:u w:val="single" w:color="auto"/>
          <w:color w:val="auto"/>
        </w:rPr>
        <w:t>Exhibit A or Exhibit B</w:t>
      </w:r>
      <w:r>
        <w:rPr>
          <w:rFonts w:ascii="Arial" w:cs="Arial" w:eastAsia="Arial" w:hAnsi="Arial"/>
          <w:sz w:val="16"/>
          <w:szCs w:val="16"/>
          <w:color w:val="auto"/>
        </w:rPr>
        <w:t>, as applicable, signed on behalf of the Company by its Chief Executive Officer, President, Chief Financial Officer, Secretary or Chairman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other authorized officer of the Company and, in the case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acknowledged and agreed to by the Representative and complete the liquidation of the Trust Account and distribute the Property in the Trust Account, including interest earned on funds held in the Trust Account (net of amounts withdrawn in accordance with this Agreement and less up to $100,000 of interest that may be released to the Company to pay dissolution expenses), only as directed in the Termination Letter and the other documents referred to therein, or (y) upon the date which is the later of (i) 24 months after the closing of the Offering or 27 months from the closing of the Offering if the Company has executed a letter of intent, agreement in principle or definitive agreement for an initial Business Combination within 24 months from the closing of the Offering and (ii) such later date as may be approved by the Company’s stockholders in accordance with the Company’s amended and restated Certificate of Incorporation,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Property in the Trust Account, including interest earned on funds held in the Trust Account (net of amounts withdrawn in accordance with this Agreement and less up to $100,000 of interest that may be released to the Company to pay dissolution expenses) shall be distributed to the Public Stockholders of record as of such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85" w:name="page86"/>
    <w:bookmarkEnd w:id="85"/>
    <w:p>
      <w:pPr>
        <w:ind w:left="-20" w:right="20" w:firstLine="1952"/>
        <w:spacing w:after="0" w:line="289" w:lineRule="auto"/>
        <w:tabs>
          <w:tab w:leader="none" w:pos="2634"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Upon written request from the Company, which may be given from time to time in a form substantially similar to that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Tax Payment Withdrawal Instruction</w:t>
      </w:r>
      <w:r>
        <w:rPr>
          <w:rFonts w:ascii="Arial" w:cs="Arial" w:eastAsia="Arial" w:hAnsi="Arial"/>
          <w:sz w:val="16"/>
          <w:szCs w:val="16"/>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such payment the Company shall forward to the relevant taxing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there is not sufficient cash in the Trust Account to pay such tax obligation, the Trustee shall liquidate such assets held in the Trust Account as shall be designated by the Company in writing to make such distribution, so long as there is no reduction in the principal amount initially deposited in the Trust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tax to be paid is a franchise tax, the written request by the Company to make such distribution shall be accompanied by a copy of the franchise tax bill from the relevant taxing authority for the Company. The written request of the Company referenced above shall constitute presumptive evidence that the Company is entitled to said funds, and the Trustee shall have no responsibility to look beyond said request;</w:t>
      </w:r>
    </w:p>
    <w:p>
      <w:pPr>
        <w:spacing w:after="0" w:line="166" w:lineRule="exact"/>
        <w:rPr>
          <w:rFonts w:ascii="Arial" w:cs="Arial" w:eastAsia="Arial" w:hAnsi="Arial"/>
          <w:sz w:val="16"/>
          <w:szCs w:val="16"/>
          <w:color w:val="auto"/>
        </w:rPr>
      </w:pPr>
    </w:p>
    <w:p>
      <w:pPr>
        <w:ind w:left="-20" w:right="80" w:firstLine="1952"/>
        <w:spacing w:after="0" w:line="271" w:lineRule="auto"/>
        <w:tabs>
          <w:tab w:leader="none" w:pos="2673"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Upon written request from the Company, which may be given from time to time in a form substantially similar to that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 “</w:t>
      </w:r>
      <w:r>
        <w:rPr>
          <w:rFonts w:ascii="Arial" w:cs="Arial" w:eastAsia="Arial" w:hAnsi="Arial"/>
          <w:sz w:val="17"/>
          <w:szCs w:val="17"/>
          <w:u w:val="single" w:color="auto"/>
          <w:color w:val="auto"/>
        </w:rPr>
        <w:t>Working Capital Withdrawal Instruction</w:t>
      </w:r>
      <w:r>
        <w:rPr>
          <w:rFonts w:ascii="Arial" w:cs="Arial" w:eastAsia="Arial" w:hAnsi="Arial"/>
          <w:sz w:val="17"/>
          <w:szCs w:val="17"/>
          <w:color w:val="auto"/>
        </w:rPr>
        <w:t>”), withdraw from the Trust Account and distribute to the Company the amount of interest earned on the Property requested by the Company to fund working capital compliance requirements (a “</w:t>
      </w:r>
      <w:r>
        <w:rPr>
          <w:rFonts w:ascii="Arial" w:cs="Arial" w:eastAsia="Arial" w:hAnsi="Arial"/>
          <w:sz w:val="17"/>
          <w:szCs w:val="17"/>
          <w:u w:val="single" w:color="auto"/>
          <w:color w:val="auto"/>
        </w:rPr>
        <w:t>Working Capital Withdrawal</w:t>
      </w:r>
      <w:r>
        <w:rPr>
          <w:rFonts w:ascii="Arial" w:cs="Arial" w:eastAsia="Arial" w:hAnsi="Arial"/>
          <w:sz w:val="17"/>
          <w:szCs w:val="17"/>
          <w:color w:val="auto"/>
        </w:rPr>
        <w:t xml:space="preserve">”), which amount shall be delivered directly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there is not sufficient cash in the Trust Account to fund such Working Capital Withdrawal, the Trustee shall liquidate such assets held in the Trust Account as shall be designated by the Company in writing to make such distribution, so long as there is no reduction in the principal amount initially deposited in the Trust account. The written request of the Company referenced above shall constitute presumptive evidence that the Company is entitled to said funds, and the Trustee shall have no responsibility to look beyond said request;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Working Capital Withdrawal shall not exceed $1,000,000 per annum;</w:t>
      </w:r>
    </w:p>
    <w:p>
      <w:pPr>
        <w:spacing w:after="0" w:line="178" w:lineRule="exact"/>
        <w:rPr>
          <w:rFonts w:ascii="Arial" w:cs="Arial" w:eastAsia="Arial" w:hAnsi="Arial"/>
          <w:sz w:val="17"/>
          <w:szCs w:val="17"/>
          <w:color w:val="auto"/>
        </w:rPr>
      </w:pPr>
    </w:p>
    <w:p>
      <w:pPr>
        <w:ind w:left="-20" w:firstLine="1952"/>
        <w:spacing w:after="0" w:line="290" w:lineRule="auto"/>
        <w:tabs>
          <w:tab w:leader="none" w:pos="2634"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Upon written request from the Company, which may be given from time to time in a form substantially similar to that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Stockholder Redemption Withdrawal Instruction</w:t>
      </w:r>
      <w:r>
        <w:rPr>
          <w:rFonts w:ascii="Arial" w:cs="Arial" w:eastAsia="Arial" w:hAnsi="Arial"/>
          <w:sz w:val="16"/>
          <w:szCs w:val="16"/>
          <w:color w:val="auto"/>
        </w:rPr>
        <w:t>”), the Trustee shall distribute to the Public Stockholders on behalf of the Company the amount requested by the Company to be used to redeem shares of Common Stock from Public Stockholders properly submitted in connection with a stockholder vote to approve an amendment to the Company’s amended and restated Certificate of Incorporation to modify the substance or timing of the Company’s obligation to redeem 100% of its public shares of Common Stock if the Company has not consummated an initial Business Combination within such time as is described in the Company’s amended and restated Certificate of Incorporation or with respect to any other material provisions relating to stockholders’ rights or pre-initial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86" w:name="page87"/>
    <w:bookmarkEnd w:id="86"/>
    <w:p>
      <w:pPr>
        <w:ind w:left="2692" w:hanging="748"/>
        <w:spacing w:after="0"/>
        <w:tabs>
          <w:tab w:leader="none" w:pos="2692"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Not make any withdrawals or distributions from the Trust Account other than pursuant to </w:t>
      </w:r>
      <w:r>
        <w:rPr>
          <w:rFonts w:ascii="Arial" w:cs="Arial" w:eastAsia="Arial" w:hAnsi="Arial"/>
          <w:sz w:val="17"/>
          <w:szCs w:val="17"/>
          <w:u w:val="single" w:color="auto"/>
          <w:color w:val="auto"/>
        </w:rPr>
        <w:t>Section 1(i)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or</w:t>
      </w:r>
    </w:p>
    <w:p>
      <w:pPr>
        <w:spacing w:after="0" w:line="35" w:lineRule="exact"/>
        <w:rPr>
          <w:sz w:val="20"/>
          <w:szCs w:val="20"/>
          <w:color w:val="auto"/>
        </w:rPr>
      </w:pPr>
    </w:p>
    <w:p>
      <w:pPr>
        <w:ind w:left="212" w:hanging="212"/>
        <w:spacing w:after="0"/>
        <w:tabs>
          <w:tab w:leader="none" w:pos="212" w:val="left"/>
        </w:tabs>
        <w:numPr>
          <w:ilvl w:val="0"/>
          <w:numId w:val="85"/>
        </w:numPr>
        <w:rPr>
          <w:rFonts w:ascii="Arial" w:cs="Arial" w:eastAsia="Arial" w:hAnsi="Arial"/>
          <w:sz w:val="18"/>
          <w:szCs w:val="18"/>
          <w:u w:val="single" w:color="auto"/>
          <w:color w:val="auto"/>
        </w:rPr>
      </w:pPr>
      <w:r>
        <w:rPr>
          <w:rFonts w:ascii="Arial" w:cs="Arial" w:eastAsia="Arial" w:hAnsi="Arial"/>
          <w:sz w:val="18"/>
          <w:szCs w:val="18"/>
          <w:color w:val="auto"/>
        </w:rPr>
        <w:t>above.</w:t>
      </w:r>
    </w:p>
    <w:p>
      <w:pPr>
        <w:spacing w:after="0" w:line="211" w:lineRule="exact"/>
        <w:rPr>
          <w:sz w:val="20"/>
          <w:szCs w:val="20"/>
          <w:color w:val="auto"/>
        </w:rPr>
      </w:pPr>
    </w:p>
    <w:p>
      <w:pPr>
        <w:ind w:left="1972" w:hanging="676"/>
        <w:spacing w:after="0"/>
        <w:tabs>
          <w:tab w:leader="none" w:pos="197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ind w:left="-8" w:right="20" w:firstLine="1952"/>
        <w:spacing w:after="0" w:line="257" w:lineRule="auto"/>
        <w:tabs>
          <w:tab w:leader="none" w:pos="2675"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the Company’s Chairman of the Board, President, Chief Executive Officer, Chief Financial Officer or Secretary. In addition, except with respect to its duties under Sections 1(i), 1(j), 1(k) and 1(l) hereof, the Trustee shall be entitled to rely on, and shall be protected in relying on, any verbal or telephonic advice or instruction which it, in good faith and with reasonable care, believes to be given by any one of the persons authorized above to give written instructions,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promptly confirm such instructions in writing;</w:t>
      </w:r>
    </w:p>
    <w:p>
      <w:pPr>
        <w:spacing w:after="0" w:line="187" w:lineRule="exact"/>
        <w:rPr>
          <w:rFonts w:ascii="Arial" w:cs="Arial" w:eastAsia="Arial" w:hAnsi="Arial"/>
          <w:sz w:val="18"/>
          <w:szCs w:val="18"/>
          <w:color w:val="auto"/>
        </w:rPr>
      </w:pPr>
    </w:p>
    <w:p>
      <w:pPr>
        <w:ind w:left="-8" w:firstLine="1952"/>
        <w:spacing w:after="0" w:line="269" w:lineRule="auto"/>
        <w:tabs>
          <w:tab w:leader="none" w:pos="2685"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arises out of or relates to this Agreement, the services of the Trustee hereunder, or the Property or any interest earned on the Property, except for expenses and losses resulting from the Trustee’s, or its representatives’,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7"/>
          <w:szCs w:val="17"/>
          <w:u w:val="single" w:color="auto"/>
          <w:color w:val="auto"/>
        </w:rPr>
        <w:t>Section 2(b)</w:t>
      </w:r>
      <w:r>
        <w:rPr>
          <w:rFonts w:ascii="Arial" w:cs="Arial" w:eastAsia="Arial" w:hAnsi="Arial"/>
          <w:sz w:val="17"/>
          <w:szCs w:val="17"/>
          <w:color w:val="auto"/>
        </w:rPr>
        <w:t>, it shall notify the Company in writing of such claim (hereinafter referred to as the “</w:t>
      </w:r>
      <w:r>
        <w:rPr>
          <w:rFonts w:ascii="Arial" w:cs="Arial" w:eastAsia="Arial" w:hAnsi="Arial"/>
          <w:sz w:val="17"/>
          <w:szCs w:val="17"/>
          <w:u w:val="single" w:color="auto"/>
          <w:color w:val="auto"/>
        </w:rPr>
        <w:t>Indemnified Claim</w:t>
      </w:r>
      <w:r>
        <w:rPr>
          <w:rFonts w:ascii="Arial" w:cs="Arial" w:eastAsia="Arial" w:hAnsi="Arial"/>
          <w:sz w:val="17"/>
          <w:szCs w:val="17"/>
          <w:color w:val="auto"/>
        </w:rPr>
        <w:t xml:space="preserve">”). The Trustee shall have the right to conduct and manage the defense against such Indemnified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Trustee shall obtain the consent of the Company with respect to the selection of counsel;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Company may conduct and manage the defense against any Indemnified Claim if the Trustee does not promptly take reasonable steps to mount such a defense. The Trustee may not agree to settle any Indemnified Claim without the prior written consent of the Company. The Company may participate in any such action with its own counsel;</w:t>
      </w:r>
    </w:p>
    <w:p>
      <w:pPr>
        <w:spacing w:after="0" w:line="181" w:lineRule="exact"/>
        <w:rPr>
          <w:rFonts w:ascii="Arial" w:cs="Arial" w:eastAsia="Arial" w:hAnsi="Arial"/>
          <w:sz w:val="17"/>
          <w:szCs w:val="17"/>
          <w:color w:val="auto"/>
        </w:rPr>
      </w:pPr>
    </w:p>
    <w:p>
      <w:pPr>
        <w:ind w:left="-8" w:right="60" w:firstLine="1952"/>
        <w:spacing w:after="0" w:line="293" w:lineRule="auto"/>
        <w:tabs>
          <w:tab w:leader="none" w:pos="2675"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Pay the Trustee the fees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including an initial set-up fee, annual administration fee, and transaction processing fee which fees shall be subject to modification by the parties from time to time. It is expressly understood that the Property shall not be used to pay such fees unless and until the property is distributed to the Company pursuant to </w:t>
      </w:r>
      <w:r>
        <w:rPr>
          <w:rFonts w:ascii="Arial" w:cs="Arial" w:eastAsia="Arial" w:hAnsi="Arial"/>
          <w:sz w:val="16"/>
          <w:szCs w:val="16"/>
          <w:u w:val="single" w:color="auto"/>
          <w:color w:val="auto"/>
        </w:rPr>
        <w:t>Sections 1(i)</w:t>
      </w:r>
      <w:r>
        <w:rPr>
          <w:rFonts w:ascii="Arial" w:cs="Arial" w:eastAsia="Arial" w:hAnsi="Arial"/>
          <w:sz w:val="16"/>
          <w:szCs w:val="16"/>
          <w:color w:val="auto"/>
        </w:rPr>
        <w:t xml:space="preserve"> hereof. The Company shall pay the Trustee the initial set-up fee and the first annual administration fee at the consummation of the Offering. The Trustee shall refund to the Company the annual administration fee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respect to any period after the liquidation of the Trust Account. The Company shall not be responsible for any other fees or charges of the Trustee except as set forth in this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and as may be provided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w:t>
      </w:r>
    </w:p>
    <w:p>
      <w:pPr>
        <w:spacing w:after="0" w:line="38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87" w:name="page88"/>
    <w:bookmarkEnd w:id="87"/>
    <w:p>
      <w:pPr>
        <w:ind w:right="680" w:firstLine="1952"/>
        <w:spacing w:after="0" w:line="259" w:lineRule="auto"/>
        <w:tabs>
          <w:tab w:leader="none" w:pos="2693"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connection with any vote of the Company’s stockholders regarding a merger, capital stock exchange, asset acquisition, stock purchase, reorganization or similar business combination involving the Company and one or more businesses (the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Combination</w:t>
      </w:r>
      <w:r>
        <w:rPr>
          <w:rFonts w:ascii="Arial" w:cs="Arial" w:eastAsia="Arial" w:hAnsi="Arial"/>
          <w:sz w:val="18"/>
          <w:szCs w:val="18"/>
          <w:color w:val="auto"/>
        </w:rPr>
        <w:t>”), provide to the Trustee an affidavit or certificate of the inspector of elections for the stockholder meeting verifying the vote of such stockholders regarding such Business Combination;</w:t>
      </w:r>
    </w:p>
    <w:p>
      <w:pPr>
        <w:spacing w:after="0" w:line="186" w:lineRule="exact"/>
        <w:rPr>
          <w:rFonts w:ascii="Arial" w:cs="Arial" w:eastAsia="Arial" w:hAnsi="Arial"/>
          <w:sz w:val="18"/>
          <w:szCs w:val="18"/>
          <w:color w:val="auto"/>
        </w:rPr>
      </w:pPr>
    </w:p>
    <w:p>
      <w:pPr>
        <w:ind w:right="240" w:firstLine="1952"/>
        <w:spacing w:after="0" w:line="277" w:lineRule="auto"/>
        <w:tabs>
          <w:tab w:leader="none" w:pos="2683" w:val="left"/>
        </w:tabs>
        <w:numPr>
          <w:ilvl w:val="1"/>
          <w:numId w:val="87"/>
        </w:numPr>
        <w:rPr>
          <w:rFonts w:ascii="Arial" w:cs="Arial" w:eastAsia="Arial" w:hAnsi="Arial"/>
          <w:sz w:val="18"/>
          <w:szCs w:val="18"/>
          <w:color w:val="auto"/>
        </w:rPr>
      </w:pPr>
      <w:r>
        <w:rPr>
          <w:rFonts w:ascii="Arial" w:cs="Arial" w:eastAsia="Arial" w:hAnsi="Arial"/>
          <w:sz w:val="18"/>
          <w:szCs w:val="18"/>
          <w:color w:val="auto"/>
        </w:rPr>
        <w:t>Provide the Representative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jc w:val="both"/>
        <w:ind w:right="100" w:firstLine="1952"/>
        <w:spacing w:after="0" w:line="263" w:lineRule="auto"/>
        <w:tabs>
          <w:tab w:leader="none" w:pos="2664"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Unless otherwise agreed between the Company and the Representative, ensure that any Instruction Letter delivered in connection with a Termination Letter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expressly provides that the Deferred Discount is paid directly to the accounts as directed by the Representative prior to any transfer of the funds held in the Trust Account to the Company or any other person;</w:t>
      </w:r>
    </w:p>
    <w:p>
      <w:pPr>
        <w:spacing w:after="0" w:line="183" w:lineRule="exact"/>
        <w:rPr>
          <w:rFonts w:ascii="Arial" w:cs="Arial" w:eastAsia="Arial" w:hAnsi="Arial"/>
          <w:sz w:val="18"/>
          <w:szCs w:val="18"/>
          <w:color w:val="auto"/>
        </w:rPr>
      </w:pPr>
    </w:p>
    <w:p>
      <w:pPr>
        <w:ind w:right="600" w:firstLine="1952"/>
        <w:spacing w:after="0" w:line="277" w:lineRule="auto"/>
        <w:tabs>
          <w:tab w:leader="none" w:pos="2693"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 and</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69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Within four (4) business days after the Representative exercises the over-allotment option (or any unexercised portion thereof) or such over-allotment expires, provide the Trustee with a notice in writing of the total amount of the Deferred Discount, which shall in no event be less than $$63,000,000, or $72,450,000 if the underwriters’ overallotment option is exercised in full.</w:t>
      </w:r>
    </w:p>
    <w:p>
      <w:pPr>
        <w:spacing w:after="0" w:line="183" w:lineRule="exact"/>
        <w:rPr>
          <w:rFonts w:ascii="Arial" w:cs="Arial" w:eastAsia="Arial" w:hAnsi="Arial"/>
          <w:sz w:val="18"/>
          <w:szCs w:val="18"/>
          <w:color w:val="auto"/>
        </w:rPr>
      </w:pPr>
    </w:p>
    <w:p>
      <w:pPr>
        <w:ind w:left="1980" w:hanging="676"/>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right="340" w:firstLine="1952"/>
        <w:spacing w:after="0" w:line="277" w:lineRule="auto"/>
        <w:tabs>
          <w:tab w:leader="none" w:pos="2683" w:val="left"/>
        </w:tabs>
        <w:numPr>
          <w:ilvl w:val="1"/>
          <w:numId w:val="88"/>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right="160" w:firstLine="1952"/>
        <w:spacing w:after="0" w:line="308" w:lineRule="auto"/>
        <w:tabs>
          <w:tab w:leader="none" w:pos="2693"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Take any action with respect to the Property, other than as directed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hereof, and the Trustee shall have no liability to any party except for liability arising out of the Trustee’s, or its representatives’, gross negligence, fraud, or willful misconduct;</w:t>
      </w:r>
    </w:p>
    <w:p>
      <w:pPr>
        <w:spacing w:after="0" w:line="146" w:lineRule="exact"/>
        <w:rPr>
          <w:rFonts w:ascii="Arial" w:cs="Arial" w:eastAsia="Arial" w:hAnsi="Arial"/>
          <w:sz w:val="17"/>
          <w:szCs w:val="17"/>
          <w:color w:val="auto"/>
        </w:rPr>
      </w:pPr>
    </w:p>
    <w:p>
      <w:pPr>
        <w:ind w:right="200" w:firstLine="1952"/>
        <w:spacing w:after="0" w:line="311" w:lineRule="auto"/>
        <w:tabs>
          <w:tab w:leader="none" w:pos="2683" w:val="left"/>
        </w:tabs>
        <w:numPr>
          <w:ilvl w:val="1"/>
          <w:numId w:val="88"/>
        </w:numPr>
        <w:rPr>
          <w:rFonts w:ascii="Arial" w:cs="Arial" w:eastAsia="Arial" w:hAnsi="Arial"/>
          <w:sz w:val="16"/>
          <w:szCs w:val="16"/>
          <w:color w:val="auto"/>
        </w:rPr>
      </w:pPr>
      <w:r>
        <w:rPr>
          <w:rFonts w:ascii="Arial" w:cs="Arial" w:eastAsia="Arial" w:hAnsi="Arial"/>
          <w:sz w:val="16"/>
          <w:szCs w:val="16"/>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reasonably incurred expenses incident thereto;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2700" w:hanging="748"/>
        <w:spacing w:after="0"/>
        <w:tabs>
          <w:tab w:leader="none" w:pos="2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right="60" w:firstLine="1952"/>
        <w:spacing w:after="0" w:line="342" w:lineRule="auto"/>
        <w:tabs>
          <w:tab w:leader="none" w:pos="2683" w:val="left"/>
        </w:tabs>
        <w:numPr>
          <w:ilvl w:val="1"/>
          <w:numId w:val="89"/>
        </w:numPr>
        <w:rPr>
          <w:rFonts w:ascii="Arial" w:cs="Arial" w:eastAsia="Arial" w:hAnsi="Arial"/>
          <w:sz w:val="16"/>
          <w:szCs w:val="16"/>
          <w:color w:val="auto"/>
        </w:rPr>
      </w:pPr>
      <w:r>
        <w:rPr>
          <w:rFonts w:ascii="Arial" w:cs="Arial" w:eastAsia="Arial" w:hAnsi="Arial"/>
          <w:sz w:val="16"/>
          <w:szCs w:val="16"/>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23" w:lineRule="exact"/>
        <w:rPr>
          <w:rFonts w:ascii="Arial" w:cs="Arial" w:eastAsia="Arial" w:hAnsi="Arial"/>
          <w:sz w:val="16"/>
          <w:szCs w:val="16"/>
          <w:color w:val="auto"/>
        </w:rPr>
      </w:pPr>
    </w:p>
    <w:p>
      <w:pPr>
        <w:ind w:firstLine="1952"/>
        <w:spacing w:after="0" w:line="270" w:lineRule="auto"/>
        <w:tabs>
          <w:tab w:leader="none" w:pos="2664"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Trustee’s best judgment, except for the Trustee’s, or its representatives’,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80" w:lineRule="exact"/>
        <w:rPr>
          <w:rFonts w:ascii="Arial" w:cs="Arial" w:eastAsia="Arial" w:hAnsi="Arial"/>
          <w:sz w:val="17"/>
          <w:szCs w:val="17"/>
          <w:color w:val="auto"/>
        </w:rPr>
      </w:pPr>
    </w:p>
    <w:p>
      <w:pPr>
        <w:ind w:left="2700" w:hanging="748"/>
        <w:spacing w:after="0"/>
        <w:tabs>
          <w:tab w:leader="none" w:pos="2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25" w:lineRule="exact"/>
        <w:rPr>
          <w:rFonts w:ascii="Arial" w:cs="Arial" w:eastAsia="Arial" w:hAnsi="Arial"/>
          <w:sz w:val="18"/>
          <w:szCs w:val="18"/>
          <w:color w:val="auto"/>
        </w:rPr>
      </w:pPr>
    </w:p>
    <w:p>
      <w:pPr>
        <w:ind w:right="180" w:firstLine="1952"/>
        <w:spacing w:after="0" w:line="277" w:lineRule="auto"/>
        <w:tabs>
          <w:tab w:leader="none" w:pos="2693" w:val="left"/>
        </w:tabs>
        <w:numPr>
          <w:ilvl w:val="1"/>
          <w:numId w:val="89"/>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ind w:right="100" w:firstLine="1952"/>
        <w:spacing w:after="0" w:line="342" w:lineRule="auto"/>
        <w:tabs>
          <w:tab w:leader="none" w:pos="2654" w:val="left"/>
        </w:tabs>
        <w:numPr>
          <w:ilvl w:val="1"/>
          <w:numId w:val="89"/>
        </w:numPr>
        <w:rPr>
          <w:rFonts w:ascii="Arial" w:cs="Arial" w:eastAsia="Arial" w:hAnsi="Arial"/>
          <w:sz w:val="16"/>
          <w:szCs w:val="16"/>
          <w:color w:val="auto"/>
        </w:rPr>
      </w:pPr>
      <w:r>
        <w:rPr>
          <w:rFonts w:ascii="Arial" w:cs="Arial" w:eastAsia="Arial" w:hAnsi="Arial"/>
          <w:sz w:val="16"/>
          <w:szCs w:val="16"/>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23" w:lineRule="exact"/>
        <w:rPr>
          <w:rFonts w:ascii="Arial" w:cs="Arial" w:eastAsia="Arial" w:hAnsi="Arial"/>
          <w:sz w:val="16"/>
          <w:szCs w:val="16"/>
          <w:color w:val="auto"/>
        </w:rPr>
      </w:pPr>
    </w:p>
    <w:p>
      <w:pPr>
        <w:ind w:right="220" w:firstLine="1952"/>
        <w:spacing w:after="0" w:line="263" w:lineRule="auto"/>
        <w:tabs>
          <w:tab w:leader="none" w:pos="2654"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franchise and income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183" w:lineRule="exact"/>
        <w:rPr>
          <w:rFonts w:ascii="Arial" w:cs="Arial" w:eastAsia="Arial" w:hAnsi="Arial"/>
          <w:sz w:val="18"/>
          <w:szCs w:val="18"/>
          <w:color w:val="auto"/>
        </w:rPr>
      </w:pPr>
    </w:p>
    <w:p>
      <w:pPr>
        <w:ind w:right="660" w:firstLine="1952"/>
        <w:spacing w:after="0" w:line="277" w:lineRule="auto"/>
        <w:tabs>
          <w:tab w:leader="none" w:pos="2693"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Verify calculations, qualify or otherwise approve the Company’s written requests for distributions pursuant to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1(l)</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right="80" w:firstLine="1304"/>
        <w:spacing w:after="0" w:line="257" w:lineRule="auto"/>
        <w:tabs>
          <w:tab w:leader="none" w:pos="197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 the Trustee shall pursue such Claim solely against the Company and its assets outside the Trust Account and not against the Property or any monies in the Trust Account.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left="1980" w:hanging="676"/>
        <w:spacing w:after="0"/>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Termination and Replacement of Trustee</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ind w:right="20" w:firstLine="1952"/>
        <w:spacing w:after="0" w:line="290" w:lineRule="auto"/>
        <w:tabs>
          <w:tab w:leader="none" w:pos="2683"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and any other reasonable transfer requests that the Company may make, whereupon this Agreement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65" w:lineRule="exact"/>
        <w:rPr>
          <w:rFonts w:ascii="Arial" w:cs="Arial" w:eastAsia="Arial" w:hAnsi="Arial"/>
          <w:sz w:val="16"/>
          <w:szCs w:val="16"/>
          <w:color w:val="auto"/>
        </w:rPr>
      </w:pPr>
    </w:p>
    <w:p>
      <w:pPr>
        <w:jc w:val="both"/>
        <w:ind w:right="300" w:firstLine="1952"/>
        <w:spacing w:after="0" w:line="263" w:lineRule="auto"/>
        <w:tabs>
          <w:tab w:leader="none" w:pos="2693"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980" w:hanging="676"/>
        <w:spacing w:after="0"/>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91" w:lineRule="auto"/>
        <w:tabs>
          <w:tab w:leader="none" w:pos="2683"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or its representatives’, gross negligence, fraud, or willful misconduct, the Trustee shall not be liable for any loss, liability or expense resulting from any error in the information or transmission of the funds.</w:t>
      </w:r>
    </w:p>
    <w:p>
      <w:pPr>
        <w:spacing w:after="0" w:line="166" w:lineRule="exact"/>
        <w:rPr>
          <w:rFonts w:ascii="Arial" w:cs="Arial" w:eastAsia="Arial" w:hAnsi="Arial"/>
          <w:sz w:val="16"/>
          <w:szCs w:val="16"/>
          <w:color w:val="auto"/>
        </w:rPr>
      </w:pPr>
    </w:p>
    <w:p>
      <w:pPr>
        <w:ind w:left="2700" w:hanging="748"/>
        <w:spacing w:after="0"/>
        <w:tabs>
          <w:tab w:leader="none" w:pos="27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w:t>
      </w:r>
    </w:p>
    <w:p>
      <w:pPr>
        <w:spacing w:after="0" w:line="3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New York, without giving effect to conflicts of law principles that would result in the application of the substantive laws of another jurisdiction. This Agreement may be executed in several original or facsimile counterparts, each one of which shall constitute an original, and together shall constitute but one instrument.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0" w:name="page91"/>
    <w:bookmarkEnd w:id="90"/>
    <w:p>
      <w:pPr>
        <w:ind w:firstLine="1952"/>
        <w:spacing w:after="0" w:line="263" w:lineRule="auto"/>
        <w:tabs>
          <w:tab w:leader="none" w:pos="2683"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This Agreement or any provision hereof may only be changed, amended or modified (other than to correct a typographical error) by a writing signed by each of the parties hereto.</w:t>
      </w:r>
    </w:p>
    <w:p>
      <w:pPr>
        <w:spacing w:after="0" w:line="183" w:lineRule="exact"/>
        <w:rPr>
          <w:rFonts w:ascii="Arial" w:cs="Arial" w:eastAsia="Arial" w:hAnsi="Arial"/>
          <w:sz w:val="18"/>
          <w:szCs w:val="18"/>
          <w:color w:val="auto"/>
        </w:rPr>
      </w:pPr>
    </w:p>
    <w:p>
      <w:pPr>
        <w:ind w:right="100" w:firstLine="1952"/>
        <w:spacing w:after="0" w:line="286" w:lineRule="auto"/>
        <w:tabs>
          <w:tab w:leader="none" w:pos="2693"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Sections 1(i) and 1(l)</w:t>
      </w:r>
      <w:r>
        <w:rPr>
          <w:rFonts w:ascii="Arial" w:cs="Arial" w:eastAsia="Arial" w:hAnsi="Arial"/>
          <w:sz w:val="16"/>
          <w:szCs w:val="16"/>
          <w:color w:val="auto"/>
        </w:rPr>
        <w:t xml:space="preserve"> hereof may only be changed, amended or modified pursuant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with the Consent of the Stockholders, it being the specific intention of the parties hereto that each of the Company’s stockholders is, and shall be, a third party beneficiary of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with the same right and power to enforce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as the other parties hereto. For purposes of this </w:t>
      </w:r>
      <w:r>
        <w:rPr>
          <w:rFonts w:ascii="Arial" w:cs="Arial" w:eastAsia="Arial" w:hAnsi="Arial"/>
          <w:sz w:val="16"/>
          <w:szCs w:val="16"/>
          <w:u w:val="single" w:color="auto"/>
          <w:color w:val="auto"/>
        </w:rPr>
        <w:t>Section 6(d)</w:t>
      </w:r>
      <w:r>
        <w:rPr>
          <w:rFonts w:ascii="Arial" w:cs="Arial" w:eastAsia="Arial" w:hAnsi="Arial"/>
          <w:sz w:val="16"/>
          <w:szCs w:val="16"/>
          <w:color w:val="auto"/>
        </w:rPr>
        <w:t>, the “</w:t>
      </w:r>
      <w:r>
        <w:rPr>
          <w:rFonts w:ascii="Arial" w:cs="Arial" w:eastAsia="Arial" w:hAnsi="Arial"/>
          <w:sz w:val="16"/>
          <w:szCs w:val="16"/>
          <w:u w:val="single" w:color="auto"/>
          <w:color w:val="auto"/>
        </w:rPr>
        <w:t>Consent of the Stockholders</w:t>
      </w:r>
      <w:r>
        <w:rPr>
          <w:rFonts w:ascii="Arial" w:cs="Arial" w:eastAsia="Arial" w:hAnsi="Arial"/>
          <w:sz w:val="16"/>
          <w:szCs w:val="16"/>
          <w:color w:val="auto"/>
        </w:rPr>
        <w:t>” means receipt by the Trustee of a certificate from the inspector of elections of the stockholder meeting certifying that either</w:t>
      </w:r>
    </w:p>
    <w:p>
      <w:pPr>
        <w:spacing w:after="0" w:line="1" w:lineRule="exact"/>
        <w:rPr>
          <w:rFonts w:ascii="Arial" w:cs="Arial" w:eastAsia="Arial" w:hAnsi="Arial"/>
          <w:sz w:val="16"/>
          <w:szCs w:val="16"/>
          <w:color w:val="auto"/>
        </w:rPr>
      </w:pPr>
    </w:p>
    <w:p>
      <w:pPr>
        <w:ind w:right="20" w:firstLine="8"/>
        <w:spacing w:after="0" w:line="268" w:lineRule="auto"/>
        <w:tabs>
          <w:tab w:leader="none" w:pos="21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Company’s stockholders of record as of a record date established in accordance with Section 213(a) of the Delaware General Corporation Law, as amended (“</w:t>
      </w:r>
      <w:r>
        <w:rPr>
          <w:rFonts w:ascii="Arial" w:cs="Arial" w:eastAsia="Arial" w:hAnsi="Arial"/>
          <w:sz w:val="17"/>
          <w:szCs w:val="17"/>
          <w:u w:val="single" w:color="auto"/>
          <w:color w:val="auto"/>
        </w:rPr>
        <w:t>DGCL</w:t>
      </w:r>
      <w:r>
        <w:rPr>
          <w:rFonts w:ascii="Arial" w:cs="Arial" w:eastAsia="Arial" w:hAnsi="Arial"/>
          <w:sz w:val="17"/>
          <w:szCs w:val="17"/>
          <w:color w:val="auto"/>
        </w:rPr>
        <w:t>”) (or any successor rule), who hold sixty-five percent (65%) or more of all then outstanding shares of the Common Stock and Class B common stock, par value $0.0001 per share, of the Company voting together as a single class, have voted in favor of such change, amendment or modification, or (ii) the Company’s stockholders of record as of the record date who hold sixty-five percent (65%) or more of all then outstanding shares of the Common Stock and Class B common stock, par value $0.0001 per share, of the Company voting together as a single class, have delivered to such entity a signed writing approving such change, amendment or modification. No such amendment will affect any Public Stockholder who has otherwise indicated his election to redeem his share of Common Stock in connection with a stockholder vote sought to amend the Certificate of Incorporation. Except for any liability arising out of the Trustee’s, or its representatives’, gross negligence, fraud, or willful misconduct, the Trustee may rely conclusively on the certification from the inspector or elections referenced above and shall be relieved of all liability to any party for executing the proposed amendment in reliance thereon.</w:t>
      </w:r>
    </w:p>
    <w:p>
      <w:pPr>
        <w:spacing w:after="0" w:line="178" w:lineRule="exact"/>
        <w:rPr>
          <w:rFonts w:ascii="Arial" w:cs="Arial" w:eastAsia="Arial" w:hAnsi="Arial"/>
          <w:sz w:val="17"/>
          <w:szCs w:val="17"/>
          <w:color w:val="auto"/>
        </w:rPr>
      </w:pPr>
    </w:p>
    <w:p>
      <w:pPr>
        <w:ind w:right="140" w:firstLine="1952"/>
        <w:spacing w:after="0" w:line="263" w:lineRule="auto"/>
        <w:tabs>
          <w:tab w:leader="none" w:pos="2683"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County of New York, State of New York, for purposes of resolving any disputes hereunder. AS TO ANY CLAIM, CROSS-CLAIM OR COUNTERCLAIM IN ANY WAY RELATING TO THIS AGREEMENT, EACH PARTY WAIVES THE RIGHT TO TRIAL BY JURY.</w:t>
      </w:r>
    </w:p>
    <w:p>
      <w:pPr>
        <w:spacing w:after="0" w:line="183" w:lineRule="exact"/>
        <w:rPr>
          <w:rFonts w:ascii="Arial" w:cs="Arial" w:eastAsia="Arial" w:hAnsi="Arial"/>
          <w:sz w:val="18"/>
          <w:szCs w:val="18"/>
          <w:color w:val="auto"/>
        </w:rPr>
      </w:pPr>
    </w:p>
    <w:p>
      <w:pPr>
        <w:ind w:firstLine="1952"/>
        <w:spacing w:after="0" w:line="263" w:lineRule="auto"/>
        <w:tabs>
          <w:tab w:leader="none" w:pos="2664"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ind w:left="148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Continental Stock Transfer &amp; Trust Company</w:t>
      </w:r>
    </w:p>
    <w:p>
      <w:pPr>
        <w:spacing w:after="0" w:line="3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Churchill Capital Corp IV</w:t>
      </w:r>
    </w:p>
    <w:p>
      <w:pPr>
        <w:ind w:left="2120"/>
        <w:spacing w:after="0" w:line="202" w:lineRule="auto"/>
        <w:rPr>
          <w:sz w:val="20"/>
          <w:szCs w:val="20"/>
          <w:color w:val="auto"/>
        </w:rPr>
      </w:pPr>
      <w:r>
        <w:rPr>
          <w:rFonts w:ascii="Arial" w:cs="Arial" w:eastAsia="Arial" w:hAnsi="Arial"/>
          <w:sz w:val="18"/>
          <w:szCs w:val="18"/>
          <w:color w:val="auto"/>
        </w:rPr>
        <w:t>640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Attn: Jay Taragin</w:t>
      </w: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Paul, Weiss, Rifkind, Wharton &amp; Garrison LLP</w:t>
      </w:r>
    </w:p>
    <w:p>
      <w:pPr>
        <w:spacing w:after="0" w:line="4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Attn: Raphael M. Russo</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Fax No.: (212) 757-3990</w:t>
      </w:r>
    </w:p>
    <w:p>
      <w:pPr>
        <w:spacing w:after="0" w:line="21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Attn: Pavan Bellur</w:t>
      </w: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Attention: Joel L. Rubinstein</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Email: joel.rubinstein@whitecase.com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92" w:name="page93"/>
    <w:bookmarkEnd w:id="92"/>
    <w:p>
      <w:pPr>
        <w:ind w:right="220" w:firstLine="1952"/>
        <w:spacing w:after="0" w:line="259" w:lineRule="auto"/>
        <w:tabs>
          <w:tab w:leader="none" w:pos="2693"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86" w:lineRule="exact"/>
        <w:rPr>
          <w:rFonts w:ascii="Arial" w:cs="Arial" w:eastAsia="Arial" w:hAnsi="Arial"/>
          <w:sz w:val="18"/>
          <w:szCs w:val="18"/>
          <w:color w:val="auto"/>
        </w:rPr>
      </w:pPr>
    </w:p>
    <w:p>
      <w:pPr>
        <w:ind w:left="2700" w:hanging="748"/>
        <w:spacing w:after="0"/>
        <w:tabs>
          <w:tab w:leader="none" w:pos="27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Each of the Company and the Trustee hereby acknowledges and agrees that the Representative is a third party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beneficiary of this Agreement.</w:t>
      </w:r>
    </w:p>
    <w:p>
      <w:pPr>
        <w:spacing w:after="0" w:line="210" w:lineRule="exact"/>
        <w:rPr>
          <w:rFonts w:ascii="Arial" w:cs="Arial" w:eastAsia="Arial" w:hAnsi="Arial"/>
          <w:sz w:val="17"/>
          <w:szCs w:val="17"/>
          <w:color w:val="auto"/>
        </w:rPr>
      </w:pPr>
    </w:p>
    <w:p>
      <w:pPr>
        <w:ind w:right="20" w:firstLine="1952"/>
        <w:spacing w:after="0" w:line="263" w:lineRule="auto"/>
        <w:tabs>
          <w:tab w:leader="none" w:pos="265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shall perform its duties under this Agreement in compliance with all applicable laws and keep confidential all information relating to this Agreement and, except as required by applicable law, shall not use such information for any purpose other than the performance of the Trustee’s obligations under this Agreement.</w:t>
      </w:r>
    </w:p>
    <w:p>
      <w:pPr>
        <w:spacing w:after="0" w:line="183" w:lineRule="exact"/>
        <w:rPr>
          <w:rFonts w:ascii="Arial" w:cs="Arial" w:eastAsia="Arial" w:hAnsi="Arial"/>
          <w:sz w:val="18"/>
          <w:szCs w:val="18"/>
          <w:color w:val="auto"/>
        </w:rPr>
      </w:pPr>
    </w:p>
    <w:p>
      <w:pPr>
        <w:ind w:left="2660" w:hanging="708"/>
        <w:spacing w:after="0"/>
        <w:tabs>
          <w:tab w:leader="none" w:pos="2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person or entity.</w:t>
      </w:r>
    </w:p>
    <w:p>
      <w:pPr>
        <w:spacing w:after="0" w:line="210" w:lineRule="exact"/>
        <w:rPr>
          <w:rFonts w:ascii="Arial" w:cs="Arial" w:eastAsia="Arial" w:hAnsi="Arial"/>
          <w:sz w:val="16"/>
          <w:szCs w:val="16"/>
          <w:color w:val="auto"/>
        </w:rPr>
      </w:pPr>
    </w:p>
    <w:p>
      <w:pPr>
        <w:ind w:right="20" w:firstLine="1952"/>
        <w:spacing w:after="0" w:line="263" w:lineRule="auto"/>
        <w:tabs>
          <w:tab w:leader="none" w:pos="269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each of which shall for all purposes be deemed to be an original but all of which together shall constitute one and the same Agreement. Only one counterpart signed by the party against whom enforceability is sought needs to be produced to evidence the existence of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Investment Management Trust Agreement as of the date first written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Continental Stock Transfer &amp; Trust Company, as Trustee</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Francis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Francis Wolf</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Churchill Capital Corp IV</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Jay Taragin</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[Signature Page to Investment Management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1120" w:right="67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SCHEDULE 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0" w:type="dxa"/>
            <w:vAlign w:val="bottom"/>
            <w:tcBorders>
              <w:top w:val="single" w:sz="8" w:color="auto"/>
              <w:left w:val="single" w:sz="8" w:color="auto"/>
              <w:bottom w:val="single" w:sz="8" w:color="auto"/>
            </w:tcBorders>
            <w:shd w:val="clear" w:color="auto" w:fill="D9D9D9"/>
          </w:tcPr>
          <w:p>
            <w:pPr>
              <w:spacing w:after="0"/>
              <w:rPr>
                <w:sz w:val="19"/>
                <w:szCs w:val="19"/>
                <w:color w:val="auto"/>
              </w:rPr>
            </w:pPr>
          </w:p>
        </w:tc>
        <w:tc>
          <w:tcPr>
            <w:tcW w:w="840" w:type="dxa"/>
            <w:vAlign w:val="bottom"/>
            <w:tcBorders>
              <w:top w:val="single" w:sz="8" w:color="auto"/>
              <w:bottom w:val="single" w:sz="8" w:color="auto"/>
            </w:tcBorders>
            <w:shd w:val="clear" w:color="auto" w:fill="D9D9D9"/>
          </w:tcPr>
          <w:p>
            <w:pPr>
              <w:spacing w:after="0"/>
              <w:rPr>
                <w:sz w:val="19"/>
                <w:szCs w:val="19"/>
                <w:color w:val="auto"/>
              </w:rPr>
            </w:pPr>
          </w:p>
        </w:tc>
        <w:tc>
          <w:tcPr>
            <w:tcW w:w="360" w:type="dxa"/>
            <w:vAlign w:val="bottom"/>
            <w:tcBorders>
              <w:top w:val="single" w:sz="8" w:color="auto"/>
              <w:bottom w:val="single" w:sz="8" w:color="auto"/>
            </w:tcBorders>
            <w:shd w:val="clear" w:color="auto" w:fill="D9D9D9"/>
          </w:tcPr>
          <w:p>
            <w:pPr>
              <w:spacing w:after="0"/>
              <w:rPr>
                <w:sz w:val="19"/>
                <w:szCs w:val="19"/>
                <w:color w:val="auto"/>
              </w:rPr>
            </w:pPr>
          </w:p>
        </w:tc>
        <w:tc>
          <w:tcPr>
            <w:tcW w:w="2420" w:type="dxa"/>
            <w:vAlign w:val="bottom"/>
            <w:tcBorders>
              <w:top w:val="single" w:sz="8" w:color="auto"/>
              <w:bottom w:val="single" w:sz="8" w:color="auto"/>
              <w:right w:val="single" w:sz="8" w:color="auto"/>
            </w:tcBorders>
            <w:gridSpan w:val="9"/>
            <w:shd w:val="clear" w:color="auto" w:fill="D9D9D9"/>
          </w:tcPr>
          <w:p>
            <w:pPr>
              <w:ind w:left="220"/>
              <w:spacing w:after="0"/>
              <w:rPr>
                <w:sz w:val="20"/>
                <w:szCs w:val="20"/>
                <w:color w:val="auto"/>
              </w:rPr>
            </w:pPr>
            <w:r>
              <w:rPr>
                <w:rFonts w:ascii="Arial" w:cs="Arial" w:eastAsia="Arial" w:hAnsi="Arial"/>
                <w:sz w:val="18"/>
                <w:szCs w:val="18"/>
                <w:b w:val="1"/>
                <w:bCs w:val="1"/>
                <w:color w:val="auto"/>
              </w:rPr>
              <w:t>Fee Item</w:t>
            </w:r>
          </w:p>
        </w:tc>
        <w:tc>
          <w:tcPr>
            <w:tcW w:w="100" w:type="dxa"/>
            <w:vAlign w:val="bottom"/>
            <w:tcBorders>
              <w:top w:val="single" w:sz="8" w:color="auto"/>
              <w:bottom w:val="single" w:sz="8" w:color="auto"/>
            </w:tcBorders>
            <w:shd w:val="clear" w:color="auto" w:fill="D9D9D9"/>
          </w:tcPr>
          <w:p>
            <w:pPr>
              <w:spacing w:after="0"/>
              <w:rPr>
                <w:sz w:val="19"/>
                <w:szCs w:val="19"/>
                <w:color w:val="auto"/>
              </w:rPr>
            </w:pPr>
          </w:p>
        </w:tc>
        <w:tc>
          <w:tcPr>
            <w:tcW w:w="260" w:type="dxa"/>
            <w:vAlign w:val="bottom"/>
            <w:tcBorders>
              <w:top w:val="single" w:sz="8" w:color="auto"/>
              <w:bottom w:val="single" w:sz="8" w:color="auto"/>
            </w:tcBorders>
            <w:shd w:val="clear" w:color="auto" w:fill="D9D9D9"/>
          </w:tcPr>
          <w:p>
            <w:pPr>
              <w:spacing w:after="0"/>
              <w:rPr>
                <w:sz w:val="19"/>
                <w:szCs w:val="19"/>
                <w:color w:val="auto"/>
              </w:rPr>
            </w:pPr>
          </w:p>
        </w:tc>
        <w:tc>
          <w:tcPr>
            <w:tcW w:w="5240" w:type="dxa"/>
            <w:vAlign w:val="bottom"/>
            <w:tcBorders>
              <w:top w:val="single" w:sz="8" w:color="auto"/>
              <w:bottom w:val="single" w:sz="8" w:color="auto"/>
              <w:right w:val="single" w:sz="8" w:color="auto"/>
            </w:tcBorders>
            <w:gridSpan w:val="3"/>
            <w:shd w:val="clear" w:color="auto" w:fill="D9D9D9"/>
          </w:tcPr>
          <w:p>
            <w:pPr>
              <w:ind w:left="1300"/>
              <w:spacing w:after="0"/>
              <w:rPr>
                <w:sz w:val="20"/>
                <w:szCs w:val="20"/>
                <w:color w:val="auto"/>
              </w:rPr>
            </w:pPr>
            <w:r>
              <w:rPr>
                <w:rFonts w:ascii="Arial" w:cs="Arial" w:eastAsia="Arial" w:hAnsi="Arial"/>
                <w:sz w:val="18"/>
                <w:szCs w:val="18"/>
                <w:b w:val="1"/>
                <w:bCs w:val="1"/>
                <w:color w:val="auto"/>
              </w:rPr>
              <w:t>Time and method of payment</w:t>
            </w:r>
          </w:p>
        </w:tc>
        <w:tc>
          <w:tcPr>
            <w:tcW w:w="360" w:type="dxa"/>
            <w:vAlign w:val="bottom"/>
            <w:tcBorders>
              <w:top w:val="single" w:sz="8" w:color="auto"/>
              <w:bottom w:val="single" w:sz="8" w:color="auto"/>
            </w:tcBorders>
            <w:shd w:val="clear" w:color="auto" w:fill="D9D9D9"/>
          </w:tcPr>
          <w:p>
            <w:pPr>
              <w:spacing w:after="0"/>
              <w:rPr>
                <w:sz w:val="19"/>
                <w:szCs w:val="19"/>
                <w:color w:val="auto"/>
              </w:rPr>
            </w:pPr>
          </w:p>
        </w:tc>
        <w:tc>
          <w:tcPr>
            <w:tcW w:w="1540" w:type="dxa"/>
            <w:vAlign w:val="bottom"/>
            <w:tcBorders>
              <w:top w:val="single" w:sz="8" w:color="auto"/>
              <w:bottom w:val="single" w:sz="8" w:color="auto"/>
              <w:right w:val="single" w:sz="8" w:color="auto"/>
            </w:tcBorders>
            <w:shd w:val="clear" w:color="auto" w:fill="D9D9D9"/>
          </w:tcPr>
          <w:p>
            <w:pPr>
              <w:ind w:left="260"/>
              <w:spacing w:after="0"/>
              <w:rPr>
                <w:sz w:val="20"/>
                <w:szCs w:val="20"/>
                <w:color w:val="auto"/>
              </w:rPr>
            </w:pPr>
            <w:r>
              <w:rPr>
                <w:rFonts w:ascii="Arial" w:cs="Arial" w:eastAsia="Arial" w:hAnsi="Arial"/>
                <w:sz w:val="18"/>
                <w:szCs w:val="18"/>
                <w:b w:val="1"/>
                <w:bCs w:val="1"/>
                <w:color w:val="auto"/>
              </w:rPr>
              <w:t>Amount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362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8"/>
                <w:szCs w:val="18"/>
                <w:color w:val="auto"/>
              </w:rPr>
              <w:t>Initial set-up fee.</w:t>
            </w:r>
          </w:p>
        </w:tc>
        <w:tc>
          <w:tcPr>
            <w:tcW w:w="560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Initial closing of Offering by wire transfer.</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2,000.00</w:t>
            </w:r>
          </w:p>
        </w:tc>
      </w:tr>
      <w:tr>
        <w:trPr>
          <w:trHeight w:val="195"/>
        </w:trPr>
        <w:tc>
          <w:tcPr>
            <w:tcW w:w="120" w:type="dxa"/>
            <w:vAlign w:val="bottom"/>
            <w:tcBorders>
              <w:left w:val="single" w:sz="8" w:color="auto"/>
            </w:tcBorders>
          </w:tcPr>
          <w:p>
            <w:pPr>
              <w:spacing w:after="0"/>
              <w:rPr>
                <w:sz w:val="16"/>
                <w:szCs w:val="16"/>
                <w:color w:val="auto"/>
              </w:rPr>
            </w:pPr>
          </w:p>
        </w:tc>
        <w:tc>
          <w:tcPr>
            <w:tcW w:w="3620" w:type="dxa"/>
            <w:vAlign w:val="bottom"/>
            <w:tcBorders>
              <w:right w:val="single" w:sz="8" w:color="auto"/>
            </w:tcBorders>
            <w:gridSpan w:val="11"/>
          </w:tcPr>
          <w:p>
            <w:pPr>
              <w:spacing w:after="0" w:line="195" w:lineRule="exact"/>
              <w:rPr>
                <w:sz w:val="20"/>
                <w:szCs w:val="20"/>
                <w:color w:val="auto"/>
              </w:rPr>
            </w:pPr>
            <w:r>
              <w:rPr>
                <w:rFonts w:ascii="Arial" w:cs="Arial" w:eastAsia="Arial" w:hAnsi="Arial"/>
                <w:sz w:val="18"/>
                <w:szCs w:val="18"/>
                <w:color w:val="auto"/>
              </w:rPr>
              <w:t>Trustee administration fee</w:t>
            </w:r>
          </w:p>
        </w:tc>
        <w:tc>
          <w:tcPr>
            <w:tcW w:w="56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w w:val="97"/>
              </w:rPr>
              <w:t>Payable annually. First year fee payable at initial closing of Offering by</w:t>
            </w:r>
          </w:p>
        </w:tc>
        <w:tc>
          <w:tcPr>
            <w:tcW w:w="360" w:type="dxa"/>
            <w:vAlign w:val="bottom"/>
          </w:tcPr>
          <w:p>
            <w:pPr>
              <w:ind w:left="100"/>
              <w:spacing w:after="0" w:line="195" w:lineRule="exact"/>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10,000.00</w:t>
            </w: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wire transfer; thereafter, payable by wire transfer or check.</w:t>
            </w: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3620" w:type="dxa"/>
            <w:vAlign w:val="bottom"/>
            <w:tcBorders>
              <w:right w:val="single" w:sz="8" w:color="auto"/>
            </w:tcBorders>
            <w:gridSpan w:val="11"/>
          </w:tcPr>
          <w:p>
            <w:pPr>
              <w:spacing w:after="0" w:line="195" w:lineRule="exact"/>
              <w:rPr>
                <w:sz w:val="20"/>
                <w:szCs w:val="20"/>
                <w:color w:val="auto"/>
              </w:rPr>
            </w:pPr>
            <w:r>
              <w:rPr>
                <w:rFonts w:ascii="Arial" w:cs="Arial" w:eastAsia="Arial" w:hAnsi="Arial"/>
                <w:sz w:val="18"/>
                <w:szCs w:val="18"/>
                <w:color w:val="auto"/>
                <w:w w:val="93"/>
              </w:rPr>
              <w:t>Transaction processing fee for disbursements to</w:t>
            </w:r>
          </w:p>
        </w:tc>
        <w:tc>
          <w:tcPr>
            <w:tcW w:w="100" w:type="dxa"/>
            <w:vAlign w:val="bottom"/>
          </w:tcPr>
          <w:p>
            <w:pPr>
              <w:spacing w:after="0"/>
              <w:rPr>
                <w:sz w:val="16"/>
                <w:szCs w:val="16"/>
                <w:color w:val="auto"/>
              </w:rPr>
            </w:pPr>
          </w:p>
        </w:tc>
        <w:tc>
          <w:tcPr>
            <w:tcW w:w="5500" w:type="dxa"/>
            <w:vAlign w:val="bottom"/>
            <w:tcBorders>
              <w:right w:val="single" w:sz="8" w:color="auto"/>
            </w:tcBorders>
            <w:gridSpan w:val="4"/>
          </w:tcPr>
          <w:p>
            <w:pPr>
              <w:ind w:left="40"/>
              <w:spacing w:after="0" w:line="195" w:lineRule="exact"/>
              <w:rPr>
                <w:sz w:val="20"/>
                <w:szCs w:val="20"/>
                <w:color w:val="auto"/>
              </w:rPr>
            </w:pPr>
            <w:r>
              <w:rPr>
                <w:rFonts w:ascii="Arial" w:cs="Arial" w:eastAsia="Arial" w:hAnsi="Arial"/>
                <w:sz w:val="18"/>
                <w:szCs w:val="18"/>
                <w:color w:val="auto"/>
              </w:rPr>
              <w:t>Billed to Company following disbursement made to Company under</w:t>
            </w:r>
          </w:p>
        </w:tc>
        <w:tc>
          <w:tcPr>
            <w:tcW w:w="360" w:type="dxa"/>
            <w:vAlign w:val="bottom"/>
          </w:tcPr>
          <w:p>
            <w:pPr>
              <w:ind w:left="100"/>
              <w:spacing w:after="0" w:line="195" w:lineRule="exact"/>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250.00</w:t>
            </w:r>
          </w:p>
        </w:tc>
      </w:tr>
      <w:tr>
        <w:trPr>
          <w:trHeight w:val="190"/>
        </w:trPr>
        <w:tc>
          <w:tcPr>
            <w:tcW w:w="120" w:type="dxa"/>
            <w:vAlign w:val="bottom"/>
            <w:tcBorders>
              <w:left w:val="single" w:sz="8" w:color="auto"/>
            </w:tcBorders>
          </w:tcPr>
          <w:p>
            <w:pPr>
              <w:spacing w:after="0"/>
              <w:rPr>
                <w:sz w:val="16"/>
                <w:szCs w:val="16"/>
                <w:color w:val="auto"/>
              </w:rPr>
            </w:pPr>
          </w:p>
        </w:tc>
        <w:tc>
          <w:tcPr>
            <w:tcW w:w="3620" w:type="dxa"/>
            <w:vAlign w:val="bottom"/>
            <w:tcBorders>
              <w:right w:val="single" w:sz="8" w:color="auto"/>
            </w:tcBorders>
            <w:gridSpan w:val="11"/>
          </w:tcPr>
          <w:p>
            <w:pPr>
              <w:spacing w:after="0" w:line="190" w:lineRule="exact"/>
              <w:rPr>
                <w:sz w:val="20"/>
                <w:szCs w:val="20"/>
                <w:color w:val="auto"/>
              </w:rPr>
            </w:pPr>
            <w:r>
              <w:rPr>
                <w:rFonts w:ascii="Arial" w:cs="Arial" w:eastAsia="Arial" w:hAnsi="Arial"/>
                <w:sz w:val="18"/>
                <w:szCs w:val="18"/>
                <w:color w:val="auto"/>
                <w:w w:val="95"/>
              </w:rPr>
              <w:t>Company under Sections 1(i), 1(j), 1(k) and 1(l)</w:t>
            </w:r>
          </w:p>
        </w:tc>
        <w:tc>
          <w:tcPr>
            <w:tcW w:w="5600" w:type="dxa"/>
            <w:vAlign w:val="bottom"/>
            <w:tcBorders>
              <w:right w:val="single" w:sz="8" w:color="auto"/>
            </w:tcBorders>
            <w:gridSpan w:val="5"/>
          </w:tcPr>
          <w:p>
            <w:pPr>
              <w:ind w:left="100"/>
              <w:spacing w:after="0" w:line="190" w:lineRule="exact"/>
              <w:rPr>
                <w:sz w:val="20"/>
                <w:szCs w:val="20"/>
                <w:color w:val="auto"/>
              </w:rPr>
            </w:pPr>
            <w:r>
              <w:rPr>
                <w:rFonts w:ascii="Arial" w:cs="Arial" w:eastAsia="Arial" w:hAnsi="Arial"/>
                <w:sz w:val="18"/>
                <w:szCs w:val="18"/>
                <w:color w:val="auto"/>
              </w:rPr>
              <w:t>Section 1</w:t>
            </w:r>
          </w:p>
        </w:tc>
        <w:tc>
          <w:tcPr>
            <w:tcW w:w="36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3620" w:type="dxa"/>
            <w:vAlign w:val="bottom"/>
            <w:tcBorders>
              <w:right w:val="single" w:sz="8" w:color="auto"/>
            </w:tcBorders>
            <w:gridSpan w:val="11"/>
          </w:tcPr>
          <w:p>
            <w:pPr>
              <w:spacing w:after="0" w:line="169" w:lineRule="exact"/>
              <w:rPr>
                <w:sz w:val="20"/>
                <w:szCs w:val="20"/>
                <w:color w:val="auto"/>
              </w:rPr>
            </w:pPr>
            <w:r>
              <w:rPr>
                <w:rFonts w:ascii="Arial" w:cs="Arial" w:eastAsia="Arial" w:hAnsi="Arial"/>
                <w:sz w:val="18"/>
                <w:szCs w:val="18"/>
                <w:color w:val="auto"/>
                <w:w w:val="97"/>
              </w:rPr>
              <w:t>Paying Agent services as required pursuant to</w:t>
            </w:r>
          </w:p>
        </w:tc>
        <w:tc>
          <w:tcPr>
            <w:tcW w:w="5600" w:type="dxa"/>
            <w:vAlign w:val="bottom"/>
            <w:tcBorders>
              <w:right w:val="single" w:sz="8" w:color="auto"/>
            </w:tcBorders>
            <w:gridSpan w:val="5"/>
          </w:tcPr>
          <w:p>
            <w:pPr>
              <w:ind w:left="100"/>
              <w:spacing w:after="0" w:line="169" w:lineRule="exact"/>
              <w:rPr>
                <w:sz w:val="20"/>
                <w:szCs w:val="20"/>
                <w:color w:val="auto"/>
              </w:rPr>
            </w:pPr>
            <w:r>
              <w:rPr>
                <w:rFonts w:ascii="Arial" w:cs="Arial" w:eastAsia="Arial" w:hAnsi="Arial"/>
                <w:sz w:val="18"/>
                <w:szCs w:val="18"/>
                <w:color w:val="auto"/>
                <w:w w:val="96"/>
              </w:rPr>
              <w:t>Billed to Company upon delivery of service pursuant to Section 1(i) and</w:t>
            </w:r>
          </w:p>
        </w:tc>
        <w:tc>
          <w:tcPr>
            <w:tcW w:w="1900" w:type="dxa"/>
            <w:vAlign w:val="bottom"/>
            <w:tcBorders>
              <w:right w:val="single" w:sz="8" w:color="auto"/>
            </w:tcBorders>
            <w:gridSpan w:val="2"/>
          </w:tcPr>
          <w:p>
            <w:pPr>
              <w:ind w:left="100"/>
              <w:spacing w:after="0" w:line="169" w:lineRule="exact"/>
              <w:rPr>
                <w:sz w:val="20"/>
                <w:szCs w:val="20"/>
                <w:color w:val="auto"/>
              </w:rPr>
            </w:pPr>
            <w:r>
              <w:rPr>
                <w:rFonts w:ascii="Arial" w:cs="Arial" w:eastAsia="Arial" w:hAnsi="Arial"/>
                <w:sz w:val="18"/>
                <w:szCs w:val="18"/>
                <w:color w:val="auto"/>
              </w:rPr>
              <w:t>Prevailing rates</w:t>
            </w:r>
          </w:p>
        </w:tc>
      </w:tr>
      <w:tr>
        <w:trPr>
          <w:trHeight w:val="196"/>
        </w:trPr>
        <w:tc>
          <w:tcPr>
            <w:tcW w:w="120" w:type="dxa"/>
            <w:vAlign w:val="bottom"/>
            <w:tcBorders>
              <w:left w:val="single" w:sz="8" w:color="auto"/>
            </w:tcBorders>
          </w:tcPr>
          <w:p>
            <w:pPr>
              <w:spacing w:after="0"/>
              <w:rPr>
                <w:sz w:val="17"/>
                <w:szCs w:val="17"/>
                <w:color w:val="auto"/>
              </w:rPr>
            </w:pPr>
          </w:p>
        </w:tc>
        <w:tc>
          <w:tcPr>
            <w:tcW w:w="3620" w:type="dxa"/>
            <w:vAlign w:val="bottom"/>
            <w:tcBorders>
              <w:right w:val="single" w:sz="8" w:color="auto"/>
            </w:tcBorders>
            <w:gridSpan w:val="11"/>
          </w:tcPr>
          <w:p>
            <w:pPr>
              <w:spacing w:after="0" w:line="196" w:lineRule="exact"/>
              <w:rPr>
                <w:sz w:val="20"/>
                <w:szCs w:val="20"/>
                <w:color w:val="auto"/>
              </w:rPr>
            </w:pPr>
            <w:r>
              <w:rPr>
                <w:rFonts w:ascii="Arial" w:cs="Arial" w:eastAsia="Arial" w:hAnsi="Arial"/>
                <w:sz w:val="18"/>
                <w:szCs w:val="18"/>
                <w:color w:val="auto"/>
              </w:rPr>
              <w:t>Section 1(i) and 1(l)</w:t>
            </w:r>
          </w:p>
        </w:tc>
        <w:tc>
          <w:tcPr>
            <w:tcW w:w="472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1(l)</w:t>
            </w:r>
          </w:p>
        </w:tc>
        <w:tc>
          <w:tcPr>
            <w:tcW w:w="260" w:type="dxa"/>
            <w:vAlign w:val="bottom"/>
            <w:tcBorders>
              <w:top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960"/>
        <w:spacing w:after="0"/>
        <w:tabs>
          <w:tab w:leader="none" w:pos="2580" w:val="left"/>
          <w:tab w:leader="none" w:pos="42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right="160" w:firstLine="1296"/>
        <w:spacing w:after="0" w:line="255"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1(i) of</w:t>
      </w:r>
      <w:r>
        <w:rPr>
          <w:rFonts w:ascii="Arial" w:cs="Arial" w:eastAsia="Arial" w:hAnsi="Arial"/>
          <w:sz w:val="18"/>
          <w:szCs w:val="18"/>
          <w:color w:val="auto"/>
        </w:rPr>
        <w:t xml:space="preserve"> the Investment Management Trust Agreement between Churchill Capital Corp IV (the “</w:t>
      </w:r>
      <w:r>
        <w:rPr>
          <w:rFonts w:ascii="Arial" w:cs="Arial" w:eastAsia="Arial" w:hAnsi="Arial"/>
          <w:sz w:val="18"/>
          <w:szCs w:val="18"/>
          <w:u w:val="single" w:color="auto"/>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u w:val="single" w:color="auto"/>
          <w:color w:val="auto"/>
        </w:rPr>
        <w:t>Trustee</w:t>
      </w:r>
      <w:r>
        <w:rPr>
          <w:rFonts w:ascii="Arial" w:cs="Arial" w:eastAsia="Arial" w:hAnsi="Arial"/>
          <w:sz w:val="18"/>
          <w:szCs w:val="18"/>
          <w:color w:val="auto"/>
        </w:rPr>
        <w:t>”), dated as of , 2020 (the “</w:t>
      </w:r>
      <w:r>
        <w:rPr>
          <w:rFonts w:ascii="Arial" w:cs="Arial" w:eastAsia="Arial" w:hAnsi="Arial"/>
          <w:sz w:val="18"/>
          <w:szCs w:val="18"/>
          <w:u w:val="single" w:color="auto"/>
          <w:color w:val="auto"/>
        </w:rPr>
        <w:t>Trust Agreement</w:t>
      </w:r>
      <w:r>
        <w:rPr>
          <w:rFonts w:ascii="Arial" w:cs="Arial" w:eastAsia="Arial" w:hAnsi="Arial"/>
          <w:sz w:val="18"/>
          <w:szCs w:val="18"/>
          <w:color w:val="auto"/>
        </w:rPr>
        <w:t>”), this is to advise you that the Company has entered into an agreement with [insert name] (the “</w:t>
      </w:r>
      <w:r>
        <w:rPr>
          <w:rFonts w:ascii="Arial" w:cs="Arial" w:eastAsia="Arial" w:hAnsi="Arial"/>
          <w:sz w:val="18"/>
          <w:szCs w:val="18"/>
          <w:u w:val="single" w:color="auto"/>
          <w:color w:val="auto"/>
        </w:rPr>
        <w:t>Target Business</w:t>
      </w:r>
      <w:r>
        <w:rPr>
          <w:rFonts w:ascii="Arial" w:cs="Arial" w:eastAsia="Arial" w:hAnsi="Arial"/>
          <w:sz w:val="18"/>
          <w:szCs w:val="18"/>
          <w:color w:val="auto"/>
        </w:rPr>
        <w:t>”) to consummate a business combination with Target Business (the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Combination</w:t>
      </w:r>
      <w:r>
        <w:rPr>
          <w:rFonts w:ascii="Arial" w:cs="Arial" w:eastAsia="Arial" w:hAnsi="Arial"/>
          <w:sz w:val="18"/>
          <w:szCs w:val="18"/>
          <w:color w:val="auto"/>
        </w:rPr>
        <w:t>”) on or about [insert date]. The Company shall notify you at least seventy-two (72) hours in advance of the actual date of the consummation of the Business Combination (the “</w:t>
      </w:r>
      <w:r>
        <w:rPr>
          <w:rFonts w:ascii="Arial" w:cs="Arial" w:eastAsia="Arial" w:hAnsi="Arial"/>
          <w:sz w:val="18"/>
          <w:szCs w:val="18"/>
          <w:u w:val="single" w:color="auto"/>
          <w:color w:val="auto"/>
        </w:rPr>
        <w:t>Consummation Date</w:t>
      </w:r>
      <w:r>
        <w:rPr>
          <w:rFonts w:ascii="Arial" w:cs="Arial" w:eastAsia="Arial" w:hAnsi="Arial"/>
          <w:sz w:val="18"/>
          <w:szCs w:val="18"/>
          <w:color w:val="auto"/>
        </w:rPr>
        <w:t>”). Capitalized terms used but not defined herein shall have the meanings set forth in the Trust Agreement.</w:t>
      </w:r>
    </w:p>
    <w:p>
      <w:pPr>
        <w:spacing w:after="0" w:line="192" w:lineRule="exact"/>
        <w:rPr>
          <w:sz w:val="20"/>
          <w:szCs w:val="20"/>
          <w:color w:val="auto"/>
        </w:rPr>
      </w:pPr>
    </w:p>
    <w:p>
      <w:pPr>
        <w:ind w:right="240" w:firstLine="1296"/>
        <w:spacing w:after="0" w:line="255" w:lineRule="auto"/>
        <w:rPr>
          <w:sz w:val="20"/>
          <w:szCs w:val="20"/>
          <w:color w:val="auto"/>
        </w:rPr>
      </w:pPr>
      <w:r>
        <w:rPr>
          <w:rFonts w:ascii="Arial" w:cs="Arial" w:eastAsia="Arial" w:hAnsi="Arial"/>
          <w:sz w:val="18"/>
          <w:szCs w:val="18"/>
          <w:color w:val="auto"/>
        </w:rPr>
        <w:t>In accordance with the terms of the Trust Agreement, we hereby authorize you to commence to liquidate all of the assets of the Trust Account, and to transfer the proceeds into the trust operating account at JPMorgan Chase Bank N.A. to the effect that, on the Consummation Date, all of the funds held in the Trust Account will be immediately available for transfer to the account or accounts that the Company shall direct on the Consummation Date (including as directed to it by the Representative) (with respect to the Deferred Discount). It is acknowledged and agreed that while the funds are on deposit in the trust operating account at JPMorgan Chase Bank N.A. awaiting distribution, the Company will not earn any interest or dividends.</w:t>
      </w:r>
    </w:p>
    <w:p>
      <w:pPr>
        <w:spacing w:after="0" w:line="192"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Arial" w:cs="Arial" w:eastAsia="Arial" w:hAnsi="Arial"/>
          <w:sz w:val="17"/>
          <w:szCs w:val="17"/>
          <w:u w:val="single" w:color="auto"/>
          <w:color w:val="auto"/>
        </w:rPr>
        <w:t>Notification</w:t>
      </w:r>
      <w:r>
        <w:rPr>
          <w:rFonts w:ascii="Arial" w:cs="Arial" w:eastAsia="Arial" w:hAnsi="Arial"/>
          <w:sz w:val="17"/>
          <w:szCs w:val="17"/>
          <w:color w:val="auto"/>
        </w:rPr>
        <w:t>”) and (ii) the Company shall deliver to you (a) [an affidavit] [a certificate] of the Chief Executive Officer of the Company, which verifies that the Business Combination has been approved by a vote of the Company’s stockholders, if a vote is held and (b) a joint written instruction signed by the Company and the Representative with respect to the transfer of the funds held in the Trust Account, including payment of amounts owed to public stockholders who have properly exercised their redemptions rights and payment of amounts of the Deferred Discount to the underwriter from the Trust Account (the “</w:t>
      </w:r>
      <w:r>
        <w:rPr>
          <w:rFonts w:ascii="Arial" w:cs="Arial" w:eastAsia="Arial" w:hAnsi="Arial"/>
          <w:sz w:val="17"/>
          <w:szCs w:val="17"/>
          <w:u w:val="single" w:color="auto"/>
          <w:color w:val="auto"/>
        </w:rPr>
        <w:t>Instruction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w:t>
      </w:r>
      <w:r>
        <w:rPr>
          <w:rFonts w:ascii="Arial" w:cs="Arial" w:eastAsia="Arial" w:hAnsi="Arial"/>
          <w:sz w:val="17"/>
          <w:szCs w:val="17"/>
          <w:color w:val="auto"/>
        </w:rPr>
        <w:t>”).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1296"/>
        <w:spacing w:after="0" w:line="279" w:lineRule="auto"/>
        <w:rPr>
          <w:sz w:val="20"/>
          <w:szCs w:val="20"/>
          <w:color w:val="auto"/>
        </w:rPr>
      </w:pPr>
      <w:r>
        <w:rPr>
          <w:rFonts w:ascii="Arial" w:cs="Arial" w:eastAsia="Arial" w:hAnsi="Arial"/>
          <w:sz w:val="17"/>
          <w:szCs w:val="17"/>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such written instruction as soon thereafter as possible.</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Churchill Capital Corp IV</w:t>
      </w:r>
    </w:p>
    <w:p>
      <w:pPr>
        <w:spacing w:after="0" w:line="25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Acknowledged: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97" w:name="page98"/>
    <w:bookmarkEnd w:id="97"/>
    <w:p>
      <w:pPr>
        <w:jc w:val="center"/>
        <w:ind w:right="-7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[Letterhead of Company] [Insert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960"/>
        <w:spacing w:after="0"/>
        <w:tabs>
          <w:tab w:leader="none" w:pos="2580" w:val="left"/>
          <w:tab w:leader="none" w:pos="42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Pursuant to Section 1(i) of the Investment Management Trust Agreement between Churchill Capital Corp IV (the “Company”) and Continental Stock Transfer &amp; Trust Company (the “Trustee”), dated as of , 2020 (the “Trust Agreement”), this is to advise you that the Company has been unable to effect a Business Combination with a Target Business within the time frame specified in the Company’s amended and restated Certificate of Incorporation, as described in the Company’s Prospectus relating to the Offering. Capitalized terms used but not defined herein shall have the meanings set forth in the Trust Agreement.</w:t>
      </w:r>
    </w:p>
    <w:p>
      <w:pPr>
        <w:spacing w:after="0" w:line="188" w:lineRule="exact"/>
        <w:rPr>
          <w:sz w:val="20"/>
          <w:szCs w:val="20"/>
          <w:color w:val="auto"/>
        </w:rPr>
      </w:pPr>
    </w:p>
    <w:p>
      <w:pPr>
        <w:ind w:right="180" w:firstLine="1296"/>
        <w:spacing w:after="0" w:line="254" w:lineRule="auto"/>
        <w:rPr>
          <w:sz w:val="20"/>
          <w:szCs w:val="20"/>
          <w:color w:val="auto"/>
        </w:rPr>
      </w:pPr>
      <w:r>
        <w:rPr>
          <w:rFonts w:ascii="Arial" w:cs="Arial" w:eastAsia="Arial" w:hAnsi="Arial"/>
          <w:sz w:val="18"/>
          <w:szCs w:val="18"/>
          <w:color w:val="auto"/>
        </w:rPr>
        <w:t>In accordance with the terms of the Trust Agreement, we hereby authorize you to liquidate all of the assets in the Trust Account and to transfer the total proceeds into a segregated account held by you on behalf of the Beneficiaries to await distribution to the Public Stockholders. The Company has selected [insert completion deadline] as the effective date for the purpose of determining when the Public Stockholders will be entitled to receive their share of the liquidation proceeds. You agree to be the Paying Agent of record and, in your separate capacity as Paying Agent, agree to distribute said funds directly to the Public Stockholders in accordance with the terms of the Trust Agreement and the amended and restated Certificate of Incorporation of the Company. Upon the distribution of all the funds, net of any payments necessary for reasonable unreimbursed expenses related to liquidating the Trust Account, your obligations under the Trust Agreement shall be terminated, except to the extent otherwise provided in Section 1(i) of the Trust Agreement.</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Churchill Capital Corp IV</w:t>
      </w: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[Letterhead of Company] [Insert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ind w:left="1960"/>
              <w:spacing w:after="0"/>
              <w:rPr>
                <w:sz w:val="20"/>
                <w:szCs w:val="20"/>
                <w:color w:val="auto"/>
              </w:rPr>
            </w:pPr>
            <w:r>
              <w:rPr>
                <w:rFonts w:ascii="Arial" w:cs="Arial" w:eastAsia="Arial" w:hAnsi="Arial"/>
                <w:sz w:val="18"/>
                <w:szCs w:val="18"/>
                <w:color w:val="auto"/>
              </w:rPr>
              <w:t>Re:</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 Account No.</w:t>
            </w:r>
          </w:p>
        </w:tc>
        <w:tc>
          <w:tcPr>
            <w:tcW w:w="2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0"/>
              </w:rPr>
              <w:t>Tax Payment Withdrawal Instruction</w:t>
            </w:r>
          </w:p>
        </w:tc>
      </w:tr>
      <w:tr>
        <w:trPr>
          <w:trHeight w:val="453"/>
        </w:trPr>
        <w:tc>
          <w:tcPr>
            <w:tcW w:w="2600" w:type="dxa"/>
            <w:vAlign w:val="bottom"/>
          </w:tcPr>
          <w:p>
            <w:pPr>
              <w:spacing w:after="0"/>
              <w:rPr>
                <w:sz w:val="20"/>
                <w:szCs w:val="20"/>
                <w:color w:val="auto"/>
              </w:rPr>
            </w:pPr>
            <w:r>
              <w:rPr>
                <w:rFonts w:ascii="Arial" w:cs="Arial" w:eastAsia="Arial" w:hAnsi="Arial"/>
                <w:sz w:val="18"/>
                <w:szCs w:val="18"/>
                <w:color w:val="auto"/>
                <w:w w:val="96"/>
              </w:rPr>
              <w:t>Dear Mr. Wolf and Ms. Gonzalez:</w:t>
            </w:r>
          </w:p>
        </w:tc>
        <w:tc>
          <w:tcPr>
            <w:tcW w:w="150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202"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1(j) of</w:t>
      </w:r>
      <w:r>
        <w:rPr>
          <w:rFonts w:ascii="Arial" w:cs="Arial" w:eastAsia="Arial" w:hAnsi="Arial"/>
          <w:sz w:val="18"/>
          <w:szCs w:val="18"/>
          <w:color w:val="auto"/>
        </w:rPr>
        <w:t xml:space="preserve"> the Investment Management Trust Agreement between Churchill Capital Corp IV (the “</w:t>
      </w:r>
      <w:r>
        <w:rPr>
          <w:rFonts w:ascii="Arial" w:cs="Arial" w:eastAsia="Arial" w:hAnsi="Arial"/>
          <w:sz w:val="18"/>
          <w:szCs w:val="18"/>
          <w:u w:val="single" w:color="auto"/>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u w:val="single" w:color="auto"/>
          <w:color w:val="auto"/>
        </w:rPr>
        <w:t>Trustee</w:t>
      </w:r>
      <w:r>
        <w:rPr>
          <w:rFonts w:ascii="Arial" w:cs="Arial" w:eastAsia="Arial" w:hAnsi="Arial"/>
          <w:sz w:val="18"/>
          <w:szCs w:val="18"/>
          <w:color w:val="auto"/>
        </w:rPr>
        <w:t>”), dated as of , 2020 (the “</w:t>
      </w:r>
      <w:r>
        <w:rPr>
          <w:rFonts w:ascii="Arial" w:cs="Arial" w:eastAsia="Arial" w:hAnsi="Arial"/>
          <w:sz w:val="18"/>
          <w:szCs w:val="18"/>
          <w:u w:val="single" w:color="auto"/>
          <w:color w:val="auto"/>
        </w:rPr>
        <w:t>Trust Agreement</w:t>
      </w:r>
      <w:r>
        <w:rPr>
          <w:rFonts w:ascii="Arial" w:cs="Arial" w:eastAsia="Arial" w:hAnsi="Arial"/>
          <w:sz w:val="18"/>
          <w:szCs w:val="18"/>
          <w:color w:val="auto"/>
        </w:rPr>
        <w:t>”), the Company hereby requests that you deliver to the Company $___________ of the interest income earned on the Property as of the date hereof. Capitalized terms used but not defined herein shall have the meanings set forth in the Trust Agreement.</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 INSTRUCTION INFORMATION]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Churchill Capital Corp IV</w:t>
      </w: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9" w:name="page100"/>
    <w:bookmarkEnd w:id="99"/>
    <w:p>
      <w:pPr>
        <w:jc w:val="center"/>
        <w:ind w:right="-7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[Letterhead of Company] [Insert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 w:leader="none" w:pos="3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Working Capital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1(k) of</w:t>
      </w:r>
      <w:r>
        <w:rPr>
          <w:rFonts w:ascii="Arial" w:cs="Arial" w:eastAsia="Arial" w:hAnsi="Arial"/>
          <w:sz w:val="18"/>
          <w:szCs w:val="18"/>
          <w:color w:val="auto"/>
        </w:rPr>
        <w:t xml:space="preserve"> the Investment Management Trust Agreement between Churchill Capital Corp IV (the “</w:t>
      </w:r>
      <w:r>
        <w:rPr>
          <w:rFonts w:ascii="Arial" w:cs="Arial" w:eastAsia="Arial" w:hAnsi="Arial"/>
          <w:sz w:val="18"/>
          <w:szCs w:val="18"/>
          <w:u w:val="single" w:color="auto"/>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u w:val="single" w:color="auto"/>
          <w:color w:val="auto"/>
        </w:rPr>
        <w:t>Trustee</w:t>
      </w:r>
      <w:r>
        <w:rPr>
          <w:rFonts w:ascii="Arial" w:cs="Arial" w:eastAsia="Arial" w:hAnsi="Arial"/>
          <w:sz w:val="18"/>
          <w:szCs w:val="18"/>
          <w:color w:val="auto"/>
        </w:rPr>
        <w:t>”), dated as of , 2020 (the “</w:t>
      </w:r>
      <w:r>
        <w:rPr>
          <w:rFonts w:ascii="Arial" w:cs="Arial" w:eastAsia="Arial" w:hAnsi="Arial"/>
          <w:sz w:val="18"/>
          <w:szCs w:val="18"/>
          <w:u w:val="single" w:color="auto"/>
          <w:color w:val="auto"/>
        </w:rPr>
        <w:t>Trust Agreement</w:t>
      </w:r>
      <w:r>
        <w:rPr>
          <w:rFonts w:ascii="Arial" w:cs="Arial" w:eastAsia="Arial" w:hAnsi="Arial"/>
          <w:sz w:val="18"/>
          <w:szCs w:val="18"/>
          <w:color w:val="auto"/>
        </w:rPr>
        <w:t>”), the Company hereby requests that you deliver to the Company $___________ of the interest income earned on the Property as of the date hereof. Capitalized terms used but not defined herein shall have the meanings set forth in the Trust Agreement.</w:t>
      </w:r>
    </w:p>
    <w:p>
      <w:pPr>
        <w:spacing w:after="0" w:line="187" w:lineRule="exact"/>
        <w:rPr>
          <w:sz w:val="20"/>
          <w:szCs w:val="20"/>
          <w:color w:val="auto"/>
        </w:rPr>
      </w:pPr>
    </w:p>
    <w:p>
      <w:pPr>
        <w:ind w:right="140" w:firstLine="1296"/>
        <w:spacing w:after="0" w:line="342" w:lineRule="auto"/>
        <w:rPr>
          <w:sz w:val="20"/>
          <w:szCs w:val="20"/>
          <w:color w:val="auto"/>
        </w:rPr>
      </w:pPr>
      <w:r>
        <w:rPr>
          <w:rFonts w:ascii="Arial" w:cs="Arial" w:eastAsia="Arial" w:hAnsi="Arial"/>
          <w:sz w:val="16"/>
          <w:szCs w:val="16"/>
          <w:color w:val="auto"/>
        </w:rPr>
        <w:t>The Company needs such funds to fund its working capital requirements. In accordance with the terms of the Trust Agreement, you are hereby directed and authorized to transfer (via wire transfer) such funds promptly upon your receipt of this letter to the Company’s operating account at:</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[WIRE INSTRUCTION INFORMATION]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Churchill Capital Corp IV</w:t>
      </w: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00" w:name="page101"/>
    <w:bookmarkEnd w:id="100"/>
    <w:p>
      <w:pPr>
        <w:jc w:val="center"/>
        <w:ind w:right="-79"/>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[Letterhead of Company] [Insert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 w:leader="none" w:pos="3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w:t>
      </w:r>
      <w:r>
        <w:rPr>
          <w:sz w:val="20"/>
          <w:szCs w:val="20"/>
          <w:color w:val="auto"/>
        </w:rPr>
        <w:tab/>
      </w:r>
      <w:r>
        <w:rPr>
          <w:rFonts w:ascii="Arial" w:cs="Arial" w:eastAsia="Arial" w:hAnsi="Arial"/>
          <w:sz w:val="16"/>
          <w:szCs w:val="16"/>
          <w:u w:val="single" w:color="auto"/>
          <w:color w:val="auto"/>
        </w:rPr>
        <w:t>Stockholder Redemption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1(l) of</w:t>
      </w:r>
      <w:r>
        <w:rPr>
          <w:rFonts w:ascii="Arial" w:cs="Arial" w:eastAsia="Arial" w:hAnsi="Arial"/>
          <w:sz w:val="16"/>
          <w:szCs w:val="16"/>
          <w:color w:val="auto"/>
        </w:rPr>
        <w:t xml:space="preserve"> the Investment Management Trust Agreement between Churchill Capital Corp IV (the “</w:t>
      </w:r>
      <w:r>
        <w:rPr>
          <w:rFonts w:ascii="Arial" w:cs="Arial" w:eastAsia="Arial" w:hAnsi="Arial"/>
          <w:sz w:val="16"/>
          <w:szCs w:val="16"/>
          <w:u w:val="single" w:color="auto"/>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u w:val="single" w:color="auto"/>
          <w:color w:val="auto"/>
        </w:rPr>
        <w:t>Trustee</w:t>
      </w:r>
      <w:r>
        <w:rPr>
          <w:rFonts w:ascii="Arial" w:cs="Arial" w:eastAsia="Arial" w:hAnsi="Arial"/>
          <w:sz w:val="16"/>
          <w:szCs w:val="16"/>
          <w:color w:val="auto"/>
        </w:rPr>
        <w:t>”), dated as of , 2020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the Company hereby requests that you deliver to the redeeming Public Stockholders of the Company $__________ of the principal and interest income earned on the Property as of the date hereof into a segregated account held by you on behalf of the Beneficiaries for distribution to the Stockholders who have requested redemption of their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meanings set forth in the Trust Agreement.</w:t>
      </w:r>
    </w:p>
    <w:p>
      <w:pPr>
        <w:spacing w:after="0" w:line="211" w:lineRule="exact"/>
        <w:rPr>
          <w:sz w:val="20"/>
          <w:szCs w:val="20"/>
          <w:color w:val="auto"/>
        </w:rPr>
      </w:pPr>
    </w:p>
    <w:p>
      <w:pPr>
        <w:jc w:val="both"/>
        <w:ind w:right="640" w:firstLine="1296"/>
        <w:spacing w:after="0" w:line="311" w:lineRule="auto"/>
        <w:rPr>
          <w:sz w:val="20"/>
          <w:szCs w:val="20"/>
          <w:color w:val="auto"/>
        </w:rPr>
      </w:pPr>
      <w:r>
        <w:rPr>
          <w:rFonts w:ascii="Arial" w:cs="Arial" w:eastAsia="Arial" w:hAnsi="Arial"/>
          <w:sz w:val="16"/>
          <w:szCs w:val="16"/>
          <w:color w:val="auto"/>
        </w:rPr>
        <w:t>The Company needs such funds to pay its Public Stockholders who have properly elected to have their shares of Common Stock redeemed by the Company in connection with a stockholder vote to approve an amendment to the Company’s amended and restated Certificate of Incorporation. As such, you are hereby directed and authorized to transfer (via wire transfer) such funds promptly upon your receipt of this letter.</w:t>
      </w:r>
    </w:p>
    <w:p>
      <w:pPr>
        <w:spacing w:after="0" w:line="17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Churchill Capital Corp IV</w:t>
      </w: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120" w:firstLine="1296"/>
        <w:spacing w:after="0" w:line="301"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July 29, 2020, is made and entered into by and among Churchill Capital Corp IV,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Churchill Sponsor IV LLC, a Delaware limited liability company (the “</w:t>
      </w:r>
      <w:r>
        <w:rPr>
          <w:rFonts w:ascii="Arial" w:cs="Arial" w:eastAsia="Arial" w:hAnsi="Arial"/>
          <w:sz w:val="16"/>
          <w:szCs w:val="16"/>
          <w:u w:val="single" w:color="auto"/>
          <w:color w:val="auto"/>
        </w:rPr>
        <w:t>Sponsor</w:t>
      </w:r>
      <w:r>
        <w:rPr>
          <w:rFonts w:ascii="Arial" w:cs="Arial" w:eastAsia="Arial" w:hAnsi="Arial"/>
          <w:sz w:val="16"/>
          <w:szCs w:val="16"/>
          <w:color w:val="auto"/>
        </w:rPr>
        <w:t xml:space="preserve">”), and the undersigned parties listed under Holder on the signature page hereto (each such party, together with the Sponsor and any person or entity who hereafter becomes a party to this Agreement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this Agreement, a “</w:t>
      </w:r>
      <w:r>
        <w:rPr>
          <w:rFonts w:ascii="Arial" w:cs="Arial" w:eastAsia="Arial" w:hAnsi="Arial"/>
          <w:sz w:val="16"/>
          <w:szCs w:val="16"/>
          <w:u w:val="single" w:color="auto"/>
          <w:color w:val="auto"/>
        </w:rPr>
        <w:t>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Holders</w:t>
      </w:r>
      <w:r>
        <w:rPr>
          <w:rFonts w:ascii="Arial" w:cs="Arial" w:eastAsia="Arial" w:hAnsi="Arial"/>
          <w:sz w:val="16"/>
          <w:szCs w:val="16"/>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60" w:firstLine="1296"/>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Sponsor have entered into that certain Securities Subscription Agreement, dated as of May 13, 2020</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which the Sponsor purchased an aggregate of 51,750,000 shares after giving effect to stock-splits occurring on or prior to the date hereof (the “</w:t>
      </w:r>
      <w:r>
        <w:rPr>
          <w:rFonts w:ascii="Arial" w:cs="Arial" w:eastAsia="Arial" w:hAnsi="Arial"/>
          <w:sz w:val="17"/>
          <w:szCs w:val="17"/>
          <w:u w:val="single" w:color="auto"/>
          <w:color w:val="auto"/>
        </w:rPr>
        <w:t>Founder Shares</w:t>
      </w:r>
      <w:r>
        <w:rPr>
          <w:rFonts w:ascii="Arial" w:cs="Arial" w:eastAsia="Arial" w:hAnsi="Arial"/>
          <w:sz w:val="17"/>
          <w:szCs w:val="17"/>
          <w:color w:val="auto"/>
        </w:rPr>
        <w:t>”) of the Company’s Class B common stock, par value $0.0001 per share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(up to 6,750,000 of which are subject to forfeiture depending on the extent to which the underwriter’s over-allotment option is exercised);</w:t>
      </w:r>
    </w:p>
    <w:p>
      <w:pPr>
        <w:spacing w:after="0" w:line="165" w:lineRule="exact"/>
        <w:rPr>
          <w:sz w:val="20"/>
          <w:szCs w:val="20"/>
          <w:color w:val="auto"/>
        </w:rPr>
      </w:pPr>
    </w:p>
    <w:p>
      <w:pPr>
        <w:ind w:right="160" w:firstLine="1296"/>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Founder Shares are convertible into shares of the Company’s Class A common stock, par value $0.0001 per share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on the terms and conditions provided in the Company’s amended and restated certificate of incorporation;</w:t>
      </w:r>
    </w:p>
    <w:p>
      <w:pPr>
        <w:spacing w:after="0" w:line="140" w:lineRule="exact"/>
        <w:rPr>
          <w:sz w:val="20"/>
          <w:szCs w:val="20"/>
          <w:color w:val="auto"/>
        </w:rPr>
      </w:pPr>
    </w:p>
    <w:p>
      <w:pPr>
        <w:ind w:right="100" w:firstLine="129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July 29, 2020, the Company and the Sponsor entered into that certain Private Placement Warrants Purchase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the Sponsor agreed to purchase an aggregate of 37,450,000 warrants (or up to 42,850,000 warrants if the over-allotment option in connection with the Company’s initial public offering is exercised in full) (the “</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in a private placement occurring simultaneously with the closing of the Company’s initial public offering;</w:t>
      </w:r>
    </w:p>
    <w:p>
      <w:pPr>
        <w:spacing w:after="0" w:line="180" w:lineRule="exact"/>
        <w:rPr>
          <w:sz w:val="20"/>
          <w:szCs w:val="20"/>
          <w:color w:val="auto"/>
        </w:rPr>
      </w:pPr>
    </w:p>
    <w:p>
      <w:pPr>
        <w:ind w:right="80" w:firstLine="1296"/>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order to finance transaction costs in connection with an intended initial business combination, the Sponsor or an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Sponsor or certain of the Company’s officer and directors may loan to the Company funds as the Company may require, of which up to $1,500,000 of such loans may be convertible into warrants (“</w:t>
      </w:r>
      <w:r>
        <w:rPr>
          <w:rFonts w:ascii="Arial" w:cs="Arial" w:eastAsia="Arial" w:hAnsi="Arial"/>
          <w:sz w:val="18"/>
          <w:szCs w:val="18"/>
          <w:u w:val="single" w:color="auto"/>
          <w:color w:val="auto"/>
        </w:rPr>
        <w:t>Working Capital Warrants</w:t>
      </w:r>
      <w:r>
        <w:rPr>
          <w:rFonts w:ascii="Arial" w:cs="Arial" w:eastAsia="Arial" w:hAnsi="Arial"/>
          <w:sz w:val="18"/>
          <w:szCs w:val="18"/>
          <w:color w:val="auto"/>
        </w:rPr>
        <w:t>”) at a price of $1.00 per warrant; and</w:t>
      </w:r>
    </w:p>
    <w:p>
      <w:pPr>
        <w:spacing w:after="0" w:line="176" w:lineRule="exact"/>
        <w:rPr>
          <w:sz w:val="20"/>
          <w:szCs w:val="20"/>
          <w:color w:val="auto"/>
        </w:rPr>
      </w:pPr>
    </w:p>
    <w:p>
      <w:pPr>
        <w:ind w:right="180" w:firstLine="129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registration rights with respect to certain securities of the Company, as set forth in this Agreement.</w:t>
      </w:r>
    </w:p>
    <w:p>
      <w:pPr>
        <w:spacing w:after="0" w:line="162" w:lineRule="exact"/>
        <w:rPr>
          <w:sz w:val="20"/>
          <w:szCs w:val="20"/>
          <w:color w:val="auto"/>
        </w:rPr>
      </w:pPr>
    </w:p>
    <w:p>
      <w:pPr>
        <w:ind w:right="200" w:firstLine="1296"/>
        <w:spacing w:after="0" w:line="266"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representations, covenants and agreements contained herein, and certain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terms defined in this</w:t>
      </w:r>
      <w:r>
        <w:rPr>
          <w:rFonts w:ascii="Arial" w:cs="Arial" w:eastAsia="Arial" w:hAnsi="Arial"/>
          <w:sz w:val="16"/>
          <w:szCs w:val="16"/>
          <w:u w:val="single" w:color="auto"/>
          <w:color w:val="auto"/>
        </w:rPr>
        <w:t xml:space="preserve"> Article I </w:t>
      </w:r>
      <w:r>
        <w:rPr>
          <w:rFonts w:ascii="Arial" w:cs="Arial" w:eastAsia="Arial" w:hAnsi="Arial"/>
          <w:sz w:val="16"/>
          <w:szCs w:val="16"/>
          <w:color w:val="auto"/>
        </w:rPr>
        <w:t>shall, for all purposes of this Agreement, have the respective meanings set forth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right="60"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shall mean any merger, capital stock exchange, asset acquisition, stock purchase, reorganization or other similar business combination with one or more businesses, involving the Company.</w:t>
      </w:r>
    </w:p>
    <w:p>
      <w:pPr>
        <w:spacing w:after="0" w:line="170"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a Sunday, that is neither a legal holiday nor a day on which banking institutions are generally authorized or required by law or regulation to close in the City of New York, New York.</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03" w:name="page104"/>
    <w:bookmarkEnd w:id="103"/>
    <w:p>
      <w:pPr>
        <w:ind w:right="5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Shares</w:t>
      </w:r>
      <w:r>
        <w:rPr>
          <w:rFonts w:ascii="Arial" w:cs="Arial" w:eastAsia="Arial" w:hAnsi="Arial"/>
          <w:sz w:val="18"/>
          <w:szCs w:val="18"/>
          <w:color w:val="auto"/>
        </w:rPr>
        <w:t>” shall have the meaning given in the Recitals hereto and shall be deemed to include the shares of Common Stock issuable upon conversion thereof.</w:t>
      </w:r>
    </w:p>
    <w:p>
      <w:pPr>
        <w:spacing w:after="0" w:line="170" w:lineRule="exact"/>
        <w:rPr>
          <w:sz w:val="20"/>
          <w:szCs w:val="20"/>
          <w:color w:val="auto"/>
        </w:rPr>
      </w:pPr>
    </w:p>
    <w:p>
      <w:pPr>
        <w:ind w:right="200"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 Shares Lock-up Period</w:t>
      </w:r>
      <w:r>
        <w:rPr>
          <w:rFonts w:ascii="Arial" w:cs="Arial" w:eastAsia="Arial" w:hAnsi="Arial"/>
          <w:sz w:val="17"/>
          <w:szCs w:val="17"/>
          <w:color w:val="auto"/>
        </w:rPr>
        <w:t>” shall mean, with respect to the Founder Shares, the period ending on the earlier of (A) one year after the completion of the Company’s initial Business Combination or (B) subsequent to the Business Combination, (x) if the closing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 Letter</w:t>
      </w:r>
      <w:r>
        <w:rPr>
          <w:rFonts w:ascii="Arial" w:cs="Arial" w:eastAsia="Arial" w:hAnsi="Arial"/>
          <w:sz w:val="18"/>
          <w:szCs w:val="18"/>
          <w:color w:val="auto"/>
        </w:rPr>
        <w:t>” shall mean that certain letter agreement, dated as of July 29, 2020, by and among the Company, the Sponsor and each of the Company’s officers, directors and director nominees.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ind w:right="3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84"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Transferees</w:t>
      </w:r>
      <w:r>
        <w:rPr>
          <w:rFonts w:ascii="Arial" w:cs="Arial" w:eastAsia="Arial" w:hAnsi="Arial"/>
          <w:sz w:val="18"/>
          <w:szCs w:val="18"/>
          <w:color w:val="auto"/>
        </w:rPr>
        <w:t>” shall mean any person or entity to whom a Holder of Registrable Securities is permitted to transfer such Registrable Securities prior to the expiration of the Founder Shares Lock-up Period or Private Placement Lock-up Period, as the case may be, and pursuant to the Insider Letter and any other applicable agreement between such Holder and the Company, in each case for so long as such agreements remain in effect, and to any transferee thereafter.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Private Placement Lock-up Period</w:t>
      </w:r>
      <w:r>
        <w:rPr>
          <w:rFonts w:ascii="Arial" w:cs="Arial" w:eastAsia="Arial" w:hAnsi="Arial"/>
          <w:sz w:val="17"/>
          <w:szCs w:val="17"/>
          <w:color w:val="auto"/>
        </w:rPr>
        <w:t>” shall mean, with respect to Private Placement Warrants that are held by the initial purchasers of such Private Placement Warrants or their Permitted Transferees, the Private Placement Warrants and any shares of Common Stock issued or issuable upon the exercise or conversion of the Private Placement Warrants and that are held by the initial purchasers of the Private Placement Warrants or their Permitted Transferees, the period ending 30 days after the completion of the Company’s initial Business Combination.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shall have the meaning given in the Recitals hereto.</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4" w:name="page105"/>
    <w:bookmarkEnd w:id="104"/>
    <w:p>
      <w:pPr>
        <w:ind w:right="14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ind w:right="20"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Security</w:t>
      </w:r>
      <w:r>
        <w:rPr>
          <w:rFonts w:ascii="Arial" w:cs="Arial" w:eastAsia="Arial" w:hAnsi="Arial"/>
          <w:sz w:val="17"/>
          <w:szCs w:val="17"/>
          <w:color w:val="auto"/>
        </w:rPr>
        <w:t xml:space="preserve">” shall mean (a) the shares of Common Stock issued or issuable upon the conversion of any Founder Shares, (b) the Private Placement Warrants (including any shares of Common Stock issued or issuable upon the exercise of any such Private Placement Warrants), (c) any outstanding share of Common Stock or any other equity security (including, without limitation, the shares of Common Stock issued or issuable upon the exercise of any other equity security, units comprising shares of Common Stock and warrants, and warrants) of the Company held by a Holder from time to time, (d) any equity securities (including the shares of Common Stock issued or issuable upon the exercise of any such equity security) of the Company issuable upon conversion of any working capital loans in an amount up to $1,500,000 made to the Company by a Holder (including the Working Capital Warrants and any shares of Common Stock issuable upon the exercise of the Working Capital Warrants), and (e)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have been sold without registration pursuant to Rule 144 promulgated under the Securities Act (or any successor rule promulgated by the Commission); or (E) such securities have been sold to, or through, a broker, dealer or underwriter in a public distribution or other public securities transaction.</w:t>
      </w:r>
    </w:p>
    <w:p>
      <w:pPr>
        <w:spacing w:after="0" w:line="180"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right="820" w:firstLine="1304"/>
        <w:spacing w:after="0" w:line="277" w:lineRule="auto"/>
        <w:tabs>
          <w:tab w:leader="none" w:pos="2086"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70" w:lineRule="exact"/>
        <w:rPr>
          <w:rFonts w:ascii="Arial" w:cs="Arial" w:eastAsia="Arial" w:hAnsi="Arial"/>
          <w:sz w:val="18"/>
          <w:szCs w:val="18"/>
          <w:color w:val="auto"/>
        </w:rPr>
      </w:pPr>
    </w:p>
    <w:p>
      <w:pPr>
        <w:ind w:right="120" w:firstLine="1304"/>
        <w:spacing w:after="0" w:line="277" w:lineRule="auto"/>
        <w:tabs>
          <w:tab w:leader="none" w:pos="2076" w:val="left"/>
        </w:tabs>
        <w:numPr>
          <w:ilvl w:val="0"/>
          <w:numId w:val="99"/>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2080" w:hanging="776"/>
        <w:spacing w:after="0"/>
        <w:tabs>
          <w:tab w:leader="none" w:pos="2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5" w:name="page106"/>
    <w:bookmarkEnd w:id="105"/>
    <w:p>
      <w:pPr>
        <w:ind w:left="2100" w:hanging="796"/>
        <w:spacing w:after="0"/>
        <w:tabs>
          <w:tab w:leader="none" w:pos="21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right="160" w:firstLine="1304"/>
        <w:spacing w:after="0" w:line="277" w:lineRule="auto"/>
        <w:tabs>
          <w:tab w:leader="none" w:pos="20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firstLine="1304"/>
        <w:spacing w:after="0" w:line="277" w:lineRule="auto"/>
        <w:tabs>
          <w:tab w:leader="none" w:pos="205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70" w:lineRule="exact"/>
        <w:rPr>
          <w:sz w:val="20"/>
          <w:szCs w:val="20"/>
          <w:color w:val="auto"/>
        </w:rPr>
      </w:pPr>
    </w:p>
    <w:p>
      <w:pPr>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Registration</w:t>
      </w:r>
      <w:r>
        <w:rPr>
          <w:rFonts w:ascii="Arial" w:cs="Arial" w:eastAsia="Arial" w:hAnsi="Arial"/>
          <w:sz w:val="18"/>
          <w:szCs w:val="18"/>
          <w:color w:val="auto"/>
        </w:rPr>
        <w:t>” or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Warrants</w:t>
      </w:r>
      <w:r>
        <w:rPr>
          <w:rFonts w:ascii="Arial" w:cs="Arial" w:eastAsia="Arial" w:hAnsi="Arial"/>
          <w:sz w:val="18"/>
          <w:szCs w:val="18"/>
          <w:color w:val="auto"/>
        </w:rPr>
        <w:t>” shall have the meaning given in the Recitals hereto.</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REGISTRATIONS</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sz w:val="20"/>
          <w:szCs w:val="20"/>
          <w:color w:val="auto"/>
        </w:rPr>
      </w:pPr>
    </w:p>
    <w:p>
      <w:pPr>
        <w:ind w:right="20" w:firstLine="1944"/>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at any time and from time to time on or after the date the Company consummates the Business Combination, the Holders of at least 20% in interest of the then-outstanding number of Registrable Securities (the “</w:t>
      </w:r>
      <w:r>
        <w:rPr>
          <w:rFonts w:ascii="Arial" w:cs="Arial" w:eastAsia="Arial" w:hAnsi="Arial"/>
          <w:sz w:val="16"/>
          <w:szCs w:val="16"/>
          <w:u w:val="single" w:color="auto"/>
          <w:color w:val="auto"/>
        </w:rPr>
        <w:t>Demanding Holders</w:t>
      </w:r>
      <w:r>
        <w:rPr>
          <w:rFonts w:ascii="Arial" w:cs="Arial" w:eastAsia="Arial" w:hAnsi="Arial"/>
          <w:sz w:val="16"/>
          <w:szCs w:val="16"/>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The Company shall, within three (3) Business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u w:val="single" w:color="auto"/>
          <w:color w:val="auto"/>
        </w:rPr>
        <w:t>Requesting Holder</w:t>
      </w:r>
      <w:r>
        <w:rPr>
          <w:rFonts w:ascii="Arial" w:cs="Arial" w:eastAsia="Arial" w:hAnsi="Arial"/>
          <w:sz w:val="16"/>
          <w:szCs w:val="16"/>
          <w:color w:val="auto"/>
        </w:rPr>
        <w:t>”) shall so notify the Company, in writing, within five</w:t>
      </w:r>
    </w:p>
    <w:p>
      <w:pPr>
        <w:spacing w:after="0" w:line="1" w:lineRule="exact"/>
        <w:rPr>
          <w:sz w:val="20"/>
          <w:szCs w:val="20"/>
          <w:color w:val="auto"/>
        </w:rPr>
      </w:pPr>
    </w:p>
    <w:p>
      <w:pPr>
        <w:ind w:firstLine="8"/>
        <w:spacing w:after="0" w:line="268" w:lineRule="auto"/>
        <w:tabs>
          <w:tab w:leader="none" w:pos="25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Business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four (4) Registrations pursuant to a Demand Registration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with respect to any or all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Registration shall not be counted for such purposes unless a Form S-1 or any similar long-form registration statement that may be available at such time (“</w:t>
      </w:r>
      <w:r>
        <w:rPr>
          <w:rFonts w:ascii="Arial" w:cs="Arial" w:eastAsia="Arial" w:hAnsi="Arial"/>
          <w:sz w:val="17"/>
          <w:szCs w:val="17"/>
          <w:u w:val="single" w:color="auto"/>
          <w:color w:val="auto"/>
        </w:rPr>
        <w:t>Form S-1</w:t>
      </w:r>
      <w:r>
        <w:rPr>
          <w:rFonts w:ascii="Arial" w:cs="Arial" w:eastAsia="Arial" w:hAnsi="Arial"/>
          <w:sz w:val="17"/>
          <w:szCs w:val="17"/>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this Agreement.</w:t>
      </w:r>
    </w:p>
    <w:p>
      <w:pPr>
        <w:spacing w:after="0" w:line="181" w:lineRule="exact"/>
        <w:rPr>
          <w:sz w:val="20"/>
          <w:szCs w:val="20"/>
          <w:color w:val="auto"/>
        </w:rPr>
      </w:pPr>
    </w:p>
    <w:p>
      <w:pPr>
        <w:ind w:right="20" w:firstLine="1944"/>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2" w:lineRule="exact"/>
        <w:rPr>
          <w:sz w:val="20"/>
          <w:szCs w:val="20"/>
          <w:color w:val="auto"/>
        </w:rPr>
      </w:pPr>
    </w:p>
    <w:p>
      <w:pPr>
        <w:ind w:right="60" w:firstLine="1944"/>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firstLine="1944"/>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Underwritten Offering</w:t>
      </w:r>
      <w:r>
        <w:rPr>
          <w:rFonts w:ascii="Arial" w:cs="Arial" w:eastAsia="Arial" w:hAnsi="Arial"/>
          <w:sz w:val="16"/>
          <w:szCs w:val="16"/>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6"/>
          <w:szCs w:val="16"/>
          <w:u w:val="single" w:color="auto"/>
          <w:color w:val="auto"/>
        </w:rPr>
        <w:t>Maximum Number of Securities</w:t>
      </w:r>
      <w:r>
        <w:rPr>
          <w:rFonts w:ascii="Arial" w:cs="Arial" w:eastAsia="Arial" w:hAnsi="Arial"/>
          <w:sz w:val="16"/>
          <w:szCs w:val="16"/>
          <w:color w:val="auto"/>
        </w:rPr>
        <w:t>”), then the Company shall include in such Underwritten Offering, as follows: (i) first, the Registrable Securities of the Demanding Holders and the Requesting Holders (if any)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based on the respective number of Registrable Securities that each Demanding Holder and Requesting Holder (if any) holds prior to such Underwritten Registration) that can be sold without exceeding the Maximum Number of Securities; (ii) second, to the extent that the Maximum Number of Securities has not been reached under the foregoing clause (i), Common Stock or other equity securities for the account of other persons or entities that the Company is obligated to register pursuant to separate written contractual arrangements with such persons or entities and that can be sold without exceeding the Maximum Number of Securities; and (iii) third, to the extent that the Maximum Number of Securities has not been reached under the foregoing clauses (i) and (ii), Common Stock or other equity securities that the Company desires to sell, which can be sold without exceeding the Maximum Number of Securities.</w:t>
      </w:r>
    </w:p>
    <w:p>
      <w:pPr>
        <w:spacing w:after="0" w:line="167" w:lineRule="exact"/>
        <w:rPr>
          <w:sz w:val="20"/>
          <w:szCs w:val="20"/>
          <w:color w:val="auto"/>
        </w:rPr>
      </w:pPr>
    </w:p>
    <w:p>
      <w:pPr>
        <w:ind w:right="20" w:firstLine="1944"/>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Demanding Holders initiating a Demand Registration or a majority-in-interest of the Requesting Holders (if any), pursuant to a Registration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108" w:name="page109"/>
    <w:bookmarkEnd w:id="108"/>
    <w:p>
      <w:pPr>
        <w:ind w:left="1300"/>
        <w:spacing w:after="0"/>
        <w:tabs>
          <w:tab w:leader="none" w:pos="19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firstLine="1944"/>
        <w:spacing w:after="0" w:line="286"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other than a Registration Statement</w:t>
      </w:r>
    </w:p>
    <w:p>
      <w:pPr>
        <w:spacing w:after="0" w:line="1" w:lineRule="exact"/>
        <w:rPr>
          <w:sz w:val="20"/>
          <w:szCs w:val="20"/>
          <w:color w:val="auto"/>
        </w:rPr>
      </w:pPr>
    </w:p>
    <w:p>
      <w:pPr>
        <w:ind w:right="60" w:firstLine="8"/>
        <w:spacing w:after="0" w:line="281" w:lineRule="auto"/>
        <w:tabs>
          <w:tab w:leader="none" w:pos="21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three</w:t>
      </w:r>
    </w:p>
    <w:p>
      <w:pPr>
        <w:spacing w:after="0" w:line="1" w:lineRule="exact"/>
        <w:rPr>
          <w:rFonts w:ascii="Arial" w:cs="Arial" w:eastAsia="Arial" w:hAnsi="Arial"/>
          <w:sz w:val="16"/>
          <w:szCs w:val="16"/>
          <w:color w:val="auto"/>
        </w:rPr>
      </w:pPr>
    </w:p>
    <w:p>
      <w:pPr>
        <w:ind w:right="60"/>
        <w:spacing w:after="0" w:line="286" w:lineRule="auto"/>
        <w:rPr>
          <w:rFonts w:ascii="Arial" w:cs="Arial" w:eastAsia="Arial" w:hAnsi="Arial"/>
          <w:sz w:val="16"/>
          <w:szCs w:val="16"/>
          <w:color w:val="auto"/>
        </w:rPr>
      </w:pPr>
      <w:r>
        <w:rPr>
          <w:rFonts w:ascii="Arial" w:cs="Arial" w:eastAsia="Arial" w:hAnsi="Arial"/>
          <w:sz w:val="16"/>
          <w:szCs w:val="16"/>
          <w:color w:val="auto"/>
        </w:rPr>
        <w:t>(3) Business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Business Days after receipt of such written notice (such Registration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enter into an underwriting agreement in customary form with the Underwriter(s) selected for such Underwritten Offering by the Company.</w:t>
      </w:r>
    </w:p>
    <w:p>
      <w:pPr>
        <w:spacing w:after="0" w:line="169" w:lineRule="exact"/>
        <w:rPr>
          <w:sz w:val="20"/>
          <w:szCs w:val="20"/>
          <w:color w:val="auto"/>
        </w:rPr>
      </w:pPr>
    </w:p>
    <w:p>
      <w:pPr>
        <w:ind w:right="40" w:firstLine="1944"/>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77" w:lineRule="exact"/>
        <w:rPr>
          <w:sz w:val="20"/>
          <w:szCs w:val="20"/>
          <w:color w:val="auto"/>
        </w:rPr>
      </w:pPr>
    </w:p>
    <w:p>
      <w:pPr>
        <w:ind w:right="200" w:firstLine="2780"/>
        <w:spacing w:after="0" w:line="254" w:lineRule="auto"/>
        <w:tabs>
          <w:tab w:leader="none" w:pos="35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If the Registration is undertaken for the Company’s account, the Company shall include in any such Registration (A) first, Common Stock or other equity securities that the Company desires to sell, which can be sold without exceeding the Maximum Number of Securities; and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hereof and Common Stock, if any, as to which Registration has been requested pursuant to written contractual piggy-back registration rights of other stockholders of the Company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rata</w:t>
      </w:r>
      <w:r>
        <w:rPr>
          <w:rFonts w:ascii="Arial" w:cs="Arial" w:eastAsia="Arial" w:hAnsi="Arial"/>
          <w:sz w:val="18"/>
          <w:szCs w:val="18"/>
          <w:color w:val="auto"/>
        </w:rPr>
        <w:t xml:space="preserve"> based on the respective number of Registrable Securities that each stockholder holds prior to such Underwritten Registration), which can be sold without exceeding the Maximum Number of Securities;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9" w:name="page110"/>
    <w:bookmarkEnd w:id="109"/>
    <w:p>
      <w:pPr>
        <w:ind w:firstLine="2780"/>
        <w:spacing w:after="0" w:line="284" w:lineRule="auto"/>
        <w:tabs>
          <w:tab w:leader="none" w:pos="3521"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If the Registration is pursuant to a request by persons or entities other than the Holders of Registrable Securities, then the Company shall include in any such Registration (A) first,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and Common Stock or other equity securities for the account of other persons or entities that the Company is obligated to register pursuant to separate written contractual arrangements with such persons or entities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based on the respective number of Registrable Securities that each stockholder holds prior to such Underwritten Registration), which can be sold without exceeding the Maximum Number of Securities; and (C) third, to the extent that the Maximum Number of Securities has not been reached under the foregoing clauses</w:t>
      </w:r>
    </w:p>
    <w:p>
      <w:pPr>
        <w:ind w:right="360" w:firstLine="8"/>
        <w:spacing w:after="0" w:line="260" w:lineRule="auto"/>
        <w:tabs>
          <w:tab w:leader="none" w:pos="2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and (B), Common Stock or other equity securities that the Company desires to sell, which can be sold without exceeding the Maximum Number of Securities.</w:t>
      </w:r>
    </w:p>
    <w:p>
      <w:pPr>
        <w:spacing w:after="0" w:line="185" w:lineRule="exact"/>
        <w:rPr>
          <w:sz w:val="20"/>
          <w:szCs w:val="20"/>
          <w:color w:val="auto"/>
        </w:rPr>
      </w:pPr>
    </w:p>
    <w:p>
      <w:pPr>
        <w:ind w:right="100" w:firstLine="1944"/>
        <w:spacing w:after="0" w:line="254"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Piggyback Registration Withdrawal</w:t>
      </w:r>
      <w:r>
        <w:rPr>
          <w:rFonts w:ascii="Arial" w:cs="Arial" w:eastAsia="Arial" w:hAnsi="Arial"/>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8"/>
          <w:szCs w:val="18"/>
          <w:u w:val="single" w:color="auto"/>
          <w:color w:val="auto"/>
        </w:rPr>
        <w:t>subsection 2.2.3</w:t>
      </w:r>
      <w:r>
        <w:rPr>
          <w:rFonts w:ascii="Arial" w:cs="Arial" w:eastAsia="Arial" w:hAnsi="Arial"/>
          <w:sz w:val="18"/>
          <w:szCs w:val="18"/>
          <w:color w:val="auto"/>
        </w:rPr>
        <w:t>.</w:t>
      </w:r>
    </w:p>
    <w:p>
      <w:pPr>
        <w:spacing w:after="0" w:line="192" w:lineRule="exact"/>
        <w:rPr>
          <w:sz w:val="20"/>
          <w:szCs w:val="20"/>
          <w:color w:val="auto"/>
        </w:rPr>
      </w:pPr>
    </w:p>
    <w:p>
      <w:pPr>
        <w:ind w:right="100" w:firstLine="1944"/>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ind w:right="40" w:firstLine="1296"/>
        <w:spacing w:after="0" w:line="268"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Registrations on Form S-3</w:t>
      </w:r>
      <w:r>
        <w:rPr>
          <w:rFonts w:ascii="Arial" w:cs="Arial" w:eastAsia="Arial" w:hAnsi="Arial"/>
          <w:sz w:val="17"/>
          <w:szCs w:val="17"/>
          <w:color w:val="auto"/>
        </w:rPr>
        <w:t>. The Holders of Registrable Securities may at any time, and from time to time, request in writing that the Company, pursuant to Rule 415 under the Securities Act (or any successor rule promulgated thereafter by the Commission if so requested), register the resale of any or all of their Registrable Securities on Form S-3 or any similar short form registration statement that may be available at such time (“</w:t>
      </w:r>
      <w:r>
        <w:rPr>
          <w:rFonts w:ascii="Arial" w:cs="Arial" w:eastAsia="Arial" w:hAnsi="Arial"/>
          <w:sz w:val="17"/>
          <w:szCs w:val="17"/>
          <w:u w:val="single" w:color="auto"/>
          <w:color w:val="auto"/>
        </w:rPr>
        <w:t>Form S-3</w:t>
      </w:r>
      <w:r>
        <w:rPr>
          <w:rFonts w:ascii="Arial" w:cs="Arial" w:eastAsia="Arial" w:hAnsi="Arial"/>
          <w:sz w:val="17"/>
          <w:szCs w:val="17"/>
          <w:color w:val="auto"/>
        </w:rPr>
        <w:t xml:space="preserve">”). Within three (3) Business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to effect any such Registration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$25,000,000.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ind w:right="120" w:firstLine="1296"/>
        <w:spacing w:after="0" w:line="277" w:lineRule="auto"/>
        <w:rPr>
          <w:sz w:val="20"/>
          <w:szCs w:val="20"/>
          <w:color w:val="auto"/>
        </w:rPr>
      </w:pPr>
      <w:r>
        <w:rPr>
          <w:rFonts w:ascii="Arial" w:cs="Arial" w:eastAsia="Arial" w:hAnsi="Arial"/>
          <w:sz w:val="18"/>
          <w:szCs w:val="18"/>
          <w:color w:val="auto"/>
        </w:rPr>
        <w:t xml:space="preserve">Any request for an underwritten offering pursuant to a Form S-3 shall follow the procedures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but shall not count against the number of long form Demand Registrations that may be made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70" w:lineRule="exact"/>
        <w:rPr>
          <w:sz w:val="20"/>
          <w:szCs w:val="20"/>
          <w:color w:val="auto"/>
        </w:rPr>
      </w:pPr>
    </w:p>
    <w:p>
      <w:pPr>
        <w:ind w:right="60" w:firstLine="1296"/>
        <w:spacing w:after="0" w:line="28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has delivered written notice to the Holders prior to receipt of a Demand Registration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defer its obligation in this manner more than once in any 12-month period. Notwithstanding anything to the contrary contained in this Agreement, no Registration shall be effected or permitted and no Registration Statement shall become effective, with respect to any Registrable Securities held by any Holder, until after the expiration of the Founder Shares Lock-Up Period or the Private Placement Lock-Up Period, as the case may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PROCEDURES</w:t>
      </w:r>
    </w:p>
    <w:p>
      <w:pPr>
        <w:spacing w:after="0" w:line="211" w:lineRule="exact"/>
        <w:rPr>
          <w:sz w:val="20"/>
          <w:szCs w:val="20"/>
          <w:color w:val="auto"/>
        </w:rPr>
      </w:pPr>
    </w:p>
    <w:p>
      <w:pPr>
        <w:ind w:right="240" w:firstLine="1296"/>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49" w:lineRule="exact"/>
        <w:rPr>
          <w:sz w:val="20"/>
          <w:szCs w:val="20"/>
          <w:color w:val="auto"/>
        </w:rPr>
      </w:pPr>
    </w:p>
    <w:p>
      <w:pPr>
        <w:ind w:right="40" w:firstLine="1944"/>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ind w:firstLine="1944"/>
        <w:spacing w:after="0" w:line="275"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1" w:name="page112"/>
    <w:bookmarkEnd w:id="111"/>
    <w:p>
      <w:pPr>
        <w:ind w:right="40" w:firstLine="1944"/>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78" w:lineRule="exact"/>
        <w:rPr>
          <w:sz w:val="20"/>
          <w:szCs w:val="20"/>
          <w:color w:val="auto"/>
        </w:rPr>
      </w:pPr>
    </w:p>
    <w:p>
      <w:pPr>
        <w:ind w:right="100" w:firstLine="1944"/>
        <w:spacing w:after="0" w:line="270" w:lineRule="auto"/>
        <w:rPr>
          <w:sz w:val="20"/>
          <w:szCs w:val="20"/>
          <w:color w:val="auto"/>
        </w:rPr>
      </w:pPr>
      <w:r>
        <w:rPr>
          <w:rFonts w:ascii="Arial" w:cs="Arial" w:eastAsia="Arial" w:hAnsi="Arial"/>
          <w:sz w:val="17"/>
          <w:szCs w:val="17"/>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1" w:lineRule="exact"/>
        <w:rPr>
          <w:sz w:val="20"/>
          <w:szCs w:val="20"/>
          <w:color w:val="auto"/>
        </w:rPr>
      </w:pPr>
    </w:p>
    <w:p>
      <w:pPr>
        <w:ind w:right="380" w:firstLine="1944"/>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ind w:firstLine="1944"/>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ind w:right="80" w:firstLine="1944"/>
        <w:spacing w:after="0" w:line="259"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2" w:name="page113"/>
    <w:bookmarkEnd w:id="112"/>
    <w:p>
      <w:pPr>
        <w:ind w:right="440" w:firstLine="1944"/>
        <w:spacing w:after="0" w:line="263" w:lineRule="auto"/>
        <w:rPr>
          <w:sz w:val="20"/>
          <w:szCs w:val="20"/>
          <w:color w:val="auto"/>
        </w:rPr>
      </w:pPr>
      <w:r>
        <w:rPr>
          <w:rFonts w:ascii="Arial" w:cs="Arial" w:eastAsia="Arial" w:hAnsi="Arial"/>
          <w:sz w:val="18"/>
          <w:szCs w:val="18"/>
          <w:color w:val="auto"/>
        </w:rPr>
        <w:t>3.1.8 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184" w:lineRule="exact"/>
        <w:rPr>
          <w:sz w:val="20"/>
          <w:szCs w:val="20"/>
          <w:color w:val="auto"/>
        </w:rPr>
      </w:pPr>
    </w:p>
    <w:p>
      <w:pPr>
        <w:ind w:firstLine="1944"/>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ind w:right="260" w:firstLine="1944"/>
        <w:spacing w:after="0" w:line="275" w:lineRule="auto"/>
        <w:rPr>
          <w:sz w:val="20"/>
          <w:szCs w:val="20"/>
          <w:color w:val="auto"/>
        </w:rPr>
      </w:pPr>
      <w:r>
        <w:rPr>
          <w:rFonts w:ascii="Arial" w:cs="Arial" w:eastAsia="Arial" w:hAnsi="Arial"/>
          <w:sz w:val="17"/>
          <w:szCs w:val="17"/>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176" w:lineRule="exact"/>
        <w:rPr>
          <w:sz w:val="20"/>
          <w:szCs w:val="20"/>
          <w:color w:val="auto"/>
        </w:rPr>
      </w:pPr>
    </w:p>
    <w:p>
      <w:pPr>
        <w:ind w:right="320" w:firstLine="1944"/>
        <w:spacing w:after="0" w:line="263" w:lineRule="auto"/>
        <w:rPr>
          <w:sz w:val="20"/>
          <w:szCs w:val="20"/>
          <w:color w:val="auto"/>
        </w:rPr>
      </w:pPr>
      <w:r>
        <w:rPr>
          <w:rFonts w:ascii="Arial" w:cs="Arial" w:eastAsia="Arial" w:hAnsi="Arial"/>
          <w:sz w:val="18"/>
          <w:szCs w:val="18"/>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184" w:lineRule="exact"/>
        <w:rPr>
          <w:sz w:val="20"/>
          <w:szCs w:val="20"/>
          <w:color w:val="auto"/>
        </w:rPr>
      </w:pPr>
    </w:p>
    <w:p>
      <w:pPr>
        <w:ind w:right="40" w:firstLine="1944"/>
        <w:spacing w:after="0" w:line="275" w:lineRule="auto"/>
        <w:rPr>
          <w:sz w:val="20"/>
          <w:szCs w:val="20"/>
          <w:color w:val="auto"/>
        </w:rPr>
      </w:pPr>
      <w:r>
        <w:rPr>
          <w:rFonts w:ascii="Arial" w:cs="Arial" w:eastAsia="Arial" w:hAnsi="Arial"/>
          <w:sz w:val="17"/>
          <w:szCs w:val="17"/>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76" w:lineRule="exact"/>
        <w:rPr>
          <w:sz w:val="20"/>
          <w:szCs w:val="20"/>
          <w:color w:val="auto"/>
        </w:rPr>
      </w:pPr>
    </w:p>
    <w:p>
      <w:pPr>
        <w:ind w:right="60" w:firstLine="1944"/>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ind w:firstLine="1944"/>
        <w:spacing w:after="0" w:line="259" w:lineRule="auto"/>
        <w:rPr>
          <w:sz w:val="20"/>
          <w:szCs w:val="20"/>
          <w:color w:val="auto"/>
        </w:rPr>
      </w:pPr>
      <w:r>
        <w:rPr>
          <w:rFonts w:ascii="Arial" w:cs="Arial" w:eastAsia="Arial" w:hAnsi="Arial"/>
          <w:sz w:val="18"/>
          <w:szCs w:val="18"/>
          <w:color w:val="auto"/>
        </w:rPr>
        <w:t xml:space="preserve">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the Securities Act and Rule 158 thereunder (or any successor rule promulgated thereafter by the Commission);</w:t>
      </w:r>
    </w:p>
    <w:p>
      <w:pPr>
        <w:spacing w:after="0" w:line="187" w:lineRule="exact"/>
        <w:rPr>
          <w:sz w:val="20"/>
          <w:szCs w:val="20"/>
          <w:color w:val="auto"/>
        </w:rPr>
      </w:pPr>
    </w:p>
    <w:p>
      <w:pPr>
        <w:ind w:firstLine="1944"/>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13" w:name="page114"/>
    <w:bookmarkEnd w:id="113"/>
    <w:p>
      <w:pPr>
        <w:ind w:right="560" w:firstLine="1944"/>
        <w:spacing w:after="0" w:line="286" w:lineRule="auto"/>
        <w:rPr>
          <w:sz w:val="20"/>
          <w:szCs w:val="20"/>
          <w:color w:val="auto"/>
        </w:rPr>
      </w:pPr>
      <w:r>
        <w:rPr>
          <w:rFonts w:ascii="Arial" w:cs="Arial" w:eastAsia="Arial" w:hAnsi="Arial"/>
          <w:sz w:val="17"/>
          <w:szCs w:val="17"/>
          <w:color w:val="auto"/>
        </w:rPr>
        <w:t>3.1.16 otherwise, in good faith, cooperate reasonably with, and take such customary actions as may reasonably be requested by the Holders, in connection with such Registration, including, without limitation, making available senior executives of the Company to participate in any due diligence sessions that may be reasonably requested by the Underwriter in any Underwritten Offering.</w:t>
      </w:r>
    </w:p>
    <w:p>
      <w:pPr>
        <w:spacing w:after="0" w:line="165"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7"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ind w:right="80" w:firstLine="1296"/>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79" w:lineRule="exact"/>
        <w:rPr>
          <w:sz w:val="20"/>
          <w:szCs w:val="20"/>
          <w:color w:val="auto"/>
        </w:rPr>
      </w:pPr>
    </w:p>
    <w:p>
      <w:pPr>
        <w:ind w:right="100" w:firstLine="1296"/>
        <w:spacing w:after="0" w:line="27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AND CONTRIBUTION</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firstLine="1944"/>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ind w:firstLine="1944"/>
        <w:spacing w:after="0" w:line="287" w:lineRule="auto"/>
        <w:rPr>
          <w:sz w:val="20"/>
          <w:szCs w:val="20"/>
          <w:color w:val="auto"/>
        </w:rPr>
      </w:pPr>
      <w:r>
        <w:rPr>
          <w:rFonts w:ascii="Arial" w:cs="Arial" w:eastAsia="Arial" w:hAnsi="Arial"/>
          <w:sz w:val="16"/>
          <w:szCs w:val="16"/>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5" w:name="page116"/>
    <w:bookmarkEnd w:id="115"/>
    <w:p>
      <w:pPr>
        <w:ind w:firstLine="1944"/>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ind w:right="200" w:firstLine="1944"/>
        <w:spacing w:after="0" w:line="257" w:lineRule="auto"/>
        <w:rPr>
          <w:sz w:val="20"/>
          <w:szCs w:val="20"/>
          <w:color w:val="auto"/>
        </w:rPr>
      </w:pPr>
      <w:r>
        <w:rPr>
          <w:rFonts w:ascii="Arial" w:cs="Arial" w:eastAsia="Arial" w:hAnsi="Arial"/>
          <w:sz w:val="18"/>
          <w:szCs w:val="18"/>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6" w:name="page117"/>
    <w:bookmarkEnd w:id="116"/>
    <w:p>
      <w:pPr>
        <w:ind w:firstLine="1944"/>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60" w:firstLine="1296"/>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640 Fifth Avenue, 12th Floor, New York, NY 10019, Attention: Michael Klein,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18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jc w:val="right"/>
              <w:ind w:right="330"/>
              <w:spacing w:after="0"/>
              <w:rPr>
                <w:sz w:val="20"/>
                <w:szCs w:val="20"/>
                <w:color w:val="auto"/>
              </w:rPr>
            </w:pPr>
            <w:r>
              <w:rPr>
                <w:rFonts w:ascii="Arial" w:cs="Arial" w:eastAsia="Arial" w:hAnsi="Arial"/>
                <w:sz w:val="18"/>
                <w:szCs w:val="18"/>
                <w:color w:val="auto"/>
              </w:rPr>
              <w:t>5.2.1</w:t>
            </w:r>
          </w:p>
        </w:tc>
        <w:tc>
          <w:tcPr>
            <w:tcW w:w="8380" w:type="dxa"/>
            <w:vAlign w:val="bottom"/>
          </w:tcPr>
          <w:p>
            <w:pPr>
              <w:ind w:left="120"/>
              <w:spacing w:after="0"/>
              <w:rPr>
                <w:sz w:val="20"/>
                <w:szCs w:val="20"/>
                <w:color w:val="auto"/>
              </w:rPr>
            </w:pPr>
            <w:r>
              <w:rPr>
                <w:rFonts w:ascii="Arial" w:cs="Arial" w:eastAsia="Arial" w:hAnsi="Arial"/>
                <w:sz w:val="18"/>
                <w:szCs w:val="18"/>
                <w:color w:val="auto"/>
                <w:w w:val="89"/>
              </w:rPr>
              <w:t>This Agreement and the rights, duties and obligations of the Company hereunder may not be assigned or delegated</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w w:val="96"/>
              </w:rPr>
              <w:t>by the Company in whole or in part.</w:t>
            </w:r>
          </w:p>
        </w:tc>
        <w:tc>
          <w:tcPr>
            <w:tcW w:w="8380" w:type="dxa"/>
            <w:vAlign w:val="bottom"/>
          </w:tcPr>
          <w:p>
            <w:pPr>
              <w:spacing w:after="0"/>
              <w:rPr>
                <w:sz w:val="20"/>
                <w:szCs w:val="20"/>
                <w:color w:val="auto"/>
              </w:rPr>
            </w:pPr>
          </w:p>
        </w:tc>
      </w:tr>
      <w:tr>
        <w:trPr>
          <w:trHeight w:val="418"/>
        </w:trPr>
        <w:tc>
          <w:tcPr>
            <w:tcW w:w="2740" w:type="dxa"/>
            <w:vAlign w:val="bottom"/>
          </w:tcPr>
          <w:p>
            <w:pPr>
              <w:jc w:val="right"/>
              <w:ind w:right="330"/>
              <w:spacing w:after="0"/>
              <w:rPr>
                <w:sz w:val="20"/>
                <w:szCs w:val="20"/>
                <w:color w:val="auto"/>
              </w:rPr>
            </w:pPr>
            <w:r>
              <w:rPr>
                <w:rFonts w:ascii="Arial" w:cs="Arial" w:eastAsia="Arial" w:hAnsi="Arial"/>
                <w:sz w:val="18"/>
                <w:szCs w:val="18"/>
                <w:color w:val="auto"/>
              </w:rPr>
              <w:t>5.2.2</w:t>
            </w:r>
          </w:p>
        </w:tc>
        <w:tc>
          <w:tcPr>
            <w:tcW w:w="8380" w:type="dxa"/>
            <w:vAlign w:val="bottom"/>
          </w:tcPr>
          <w:p>
            <w:pPr>
              <w:ind w:left="120"/>
              <w:spacing w:after="0"/>
              <w:rPr>
                <w:sz w:val="20"/>
                <w:szCs w:val="20"/>
                <w:color w:val="auto"/>
              </w:rPr>
            </w:pPr>
            <w:r>
              <w:rPr>
                <w:rFonts w:ascii="Arial" w:cs="Arial" w:eastAsia="Arial" w:hAnsi="Arial"/>
                <w:sz w:val="18"/>
                <w:szCs w:val="18"/>
                <w:color w:val="auto"/>
                <w:w w:val="92"/>
              </w:rPr>
              <w:t>A Holder may assign or delegate such Holder’s rights, duties or obligations under this Agreement, in whole or in</w:t>
            </w:r>
          </w:p>
        </w:tc>
      </w:tr>
      <w:tr>
        <w:trPr>
          <w:trHeight w:val="230"/>
        </w:trPr>
        <w:tc>
          <w:tcPr>
            <w:tcW w:w="11120" w:type="dxa"/>
            <w:vAlign w:val="bottom"/>
            <w:gridSpan w:val="2"/>
          </w:tcPr>
          <w:p>
            <w:pPr>
              <w:spacing w:after="0"/>
              <w:rPr>
                <w:sz w:val="20"/>
                <w:szCs w:val="20"/>
                <w:color w:val="auto"/>
              </w:rPr>
            </w:pPr>
            <w:r>
              <w:rPr>
                <w:rFonts w:ascii="Arial" w:cs="Arial" w:eastAsia="Arial" w:hAnsi="Arial"/>
                <w:sz w:val="18"/>
                <w:szCs w:val="18"/>
                <w:color w:val="auto"/>
              </w:rPr>
              <w:t>part, to a Permitted Transferee who agrees to become bound by the transfer restrictions set forth in this Agreement.</w:t>
            </w:r>
          </w:p>
        </w:tc>
      </w:tr>
      <w:tr>
        <w:trPr>
          <w:trHeight w:val="418"/>
        </w:trPr>
        <w:tc>
          <w:tcPr>
            <w:tcW w:w="2740" w:type="dxa"/>
            <w:vAlign w:val="bottom"/>
          </w:tcPr>
          <w:p>
            <w:pPr>
              <w:jc w:val="right"/>
              <w:ind w:right="330"/>
              <w:spacing w:after="0"/>
              <w:rPr>
                <w:sz w:val="20"/>
                <w:szCs w:val="20"/>
                <w:color w:val="auto"/>
              </w:rPr>
            </w:pPr>
            <w:r>
              <w:rPr>
                <w:rFonts w:ascii="Arial" w:cs="Arial" w:eastAsia="Arial" w:hAnsi="Arial"/>
                <w:sz w:val="18"/>
                <w:szCs w:val="18"/>
                <w:color w:val="auto"/>
              </w:rPr>
              <w:t>5.2.3</w:t>
            </w:r>
          </w:p>
        </w:tc>
        <w:tc>
          <w:tcPr>
            <w:tcW w:w="8380" w:type="dxa"/>
            <w:vAlign w:val="bottom"/>
          </w:tcPr>
          <w:p>
            <w:pPr>
              <w:ind w:left="120"/>
              <w:spacing w:after="0"/>
              <w:rPr>
                <w:sz w:val="20"/>
                <w:szCs w:val="20"/>
                <w:color w:val="auto"/>
              </w:rPr>
            </w:pPr>
            <w:r>
              <w:rPr>
                <w:rFonts w:ascii="Arial" w:cs="Arial" w:eastAsia="Arial" w:hAnsi="Arial"/>
                <w:sz w:val="18"/>
                <w:szCs w:val="18"/>
                <w:color w:val="auto"/>
                <w:w w:val="90"/>
              </w:rPr>
              <w:t>This Agreement and the provisions hereof shall be binding upon and shall inure to the benefit of each of the parties</w:t>
            </w:r>
          </w:p>
        </w:tc>
      </w:tr>
      <w:tr>
        <w:trPr>
          <w:trHeight w:val="230"/>
        </w:trPr>
        <w:tc>
          <w:tcPr>
            <w:tcW w:w="11120" w:type="dxa"/>
            <w:vAlign w:val="bottom"/>
            <w:gridSpan w:val="2"/>
          </w:tcPr>
          <w:p>
            <w:pPr>
              <w:spacing w:after="0"/>
              <w:rPr>
                <w:sz w:val="20"/>
                <w:szCs w:val="20"/>
                <w:color w:val="auto"/>
              </w:rPr>
            </w:pPr>
            <w:r>
              <w:rPr>
                <w:rFonts w:ascii="Arial" w:cs="Arial" w:eastAsia="Arial" w:hAnsi="Arial"/>
                <w:sz w:val="18"/>
                <w:szCs w:val="18"/>
                <w:color w:val="auto"/>
              </w:rPr>
              <w:t>and its successors and the permitted assigns of the Holders, which shall include Permitted Transferees.</w:t>
            </w:r>
          </w:p>
        </w:tc>
      </w:tr>
      <w:tr>
        <w:trPr>
          <w:trHeight w:val="432"/>
        </w:trPr>
        <w:tc>
          <w:tcPr>
            <w:tcW w:w="2740" w:type="dxa"/>
            <w:vAlign w:val="bottom"/>
          </w:tcPr>
          <w:p>
            <w:pPr>
              <w:jc w:val="right"/>
              <w:ind w:right="330"/>
              <w:spacing w:after="0"/>
              <w:rPr>
                <w:sz w:val="20"/>
                <w:szCs w:val="20"/>
                <w:color w:val="auto"/>
              </w:rPr>
            </w:pPr>
            <w:r>
              <w:rPr>
                <w:rFonts w:ascii="Arial" w:cs="Arial" w:eastAsia="Arial" w:hAnsi="Arial"/>
                <w:sz w:val="18"/>
                <w:szCs w:val="18"/>
                <w:color w:val="auto"/>
              </w:rPr>
              <w:t>5.2.4</w:t>
            </w:r>
          </w:p>
        </w:tc>
        <w:tc>
          <w:tcPr>
            <w:tcW w:w="8380" w:type="dxa"/>
            <w:vAlign w:val="bottom"/>
          </w:tcPr>
          <w:p>
            <w:pPr>
              <w:ind w:left="120"/>
              <w:spacing w:after="0"/>
              <w:rPr>
                <w:sz w:val="20"/>
                <w:szCs w:val="20"/>
                <w:color w:val="auto"/>
              </w:rPr>
            </w:pPr>
            <w:r>
              <w:rPr>
                <w:rFonts w:ascii="Arial" w:cs="Arial" w:eastAsia="Arial" w:hAnsi="Arial"/>
                <w:sz w:val="18"/>
                <w:szCs w:val="18"/>
                <w:color w:val="auto"/>
                <w:w w:val="93"/>
              </w:rPr>
              <w:t>This Agreement shall not confer any rights or benefits on any persons that are not parties hereto, other than as</w:t>
            </w:r>
          </w:p>
        </w:tc>
      </w:tr>
    </w:tbl>
    <w:p>
      <w:pPr>
        <w:spacing w:after="0"/>
        <w:rPr>
          <w:sz w:val="20"/>
          <w:szCs w:val="20"/>
          <w:color w:val="auto"/>
        </w:rPr>
      </w:pPr>
      <w:r>
        <w:rPr>
          <w:rFonts w:ascii="Arial" w:cs="Arial" w:eastAsia="Arial" w:hAnsi="Arial"/>
          <w:sz w:val="18"/>
          <w:szCs w:val="18"/>
          <w:color w:val="auto"/>
        </w:rPr>
        <w:t xml:space="preserve">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211" w:lineRule="exact"/>
        <w:rPr>
          <w:sz w:val="20"/>
          <w:szCs w:val="20"/>
          <w:color w:val="auto"/>
        </w:rPr>
      </w:pPr>
    </w:p>
    <w:p>
      <w:pPr>
        <w:ind w:right="80" w:firstLine="1944"/>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ind w:right="280" w:firstLine="1296"/>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46"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 AND (II) THE VENUE FOR ANY ACTION TAKEN WITH RESPECT TO THE AGREEMENT SHALL BE ANY STATE OR FEDERAL COURT IN NEW YORK COUNTY IN THE STATE OF NEW YORK.</w:t>
      </w:r>
    </w:p>
    <w:p>
      <w:pPr>
        <w:spacing w:after="0" w:line="192" w:lineRule="exact"/>
        <w:rPr>
          <w:sz w:val="20"/>
          <w:szCs w:val="20"/>
          <w:color w:val="auto"/>
        </w:rPr>
      </w:pPr>
    </w:p>
    <w:p>
      <w:pPr>
        <w:ind w:right="280" w:firstLine="1296"/>
        <w:spacing w:after="0" w:line="275" w:lineRule="auto"/>
        <w:rPr>
          <w:sz w:val="20"/>
          <w:szCs w:val="20"/>
          <w:color w:val="auto"/>
        </w:rPr>
      </w:pPr>
      <w:r>
        <w:rPr>
          <w:rFonts w:ascii="Arial" w:cs="Arial" w:eastAsia="Arial" w:hAnsi="Arial"/>
          <w:sz w:val="17"/>
          <w:szCs w:val="17"/>
          <w:color w:val="auto"/>
        </w:rPr>
        <w:t>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76"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96" w:lineRule="exact"/>
        <w:rPr>
          <w:sz w:val="20"/>
          <w:szCs w:val="20"/>
          <w:color w:val="auto"/>
        </w:rPr>
      </w:pPr>
    </w:p>
    <w:p>
      <w:pPr>
        <w:ind w:right="80" w:firstLine="1296"/>
        <w:spacing w:after="0" w:line="275"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8" w:name="page119"/>
    <w:bookmarkEnd w:id="118"/>
    <w:p>
      <w:pPr>
        <w:ind w:firstLine="1296"/>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upon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under Rule 144 (or any similar provision) under the Securities Act without limitation on the amount of securities sold or the manner of sale.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9" w:name="page120"/>
    <w:bookmarkEnd w:id="119"/>
    <w:p>
      <w:pPr>
        <w:ind w:left="180"/>
        <w:spacing w:after="0"/>
        <w:rPr>
          <w:sz w:val="20"/>
          <w:szCs w:val="20"/>
          <w:color w:val="auto"/>
        </w:rPr>
      </w:pPr>
      <w:r>
        <w:rPr>
          <w:rFonts w:ascii="Arial" w:cs="Arial" w:eastAsia="Arial" w:hAnsi="Arial"/>
          <w:sz w:val="16"/>
          <w:szCs w:val="16"/>
          <w:color w:val="auto"/>
        </w:rPr>
        <w:t>IN WITNESS WHEREOF, the undersigned have caused this Agreement to be executed as of the date first written above.</w:t>
      </w:r>
    </w:p>
    <w:p>
      <w:pPr>
        <w:spacing w:after="0" w:line="24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Jay Taragin</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33432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Churchill Sponsor IV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Jay Taragin</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33432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PLACEMENT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PURCHASE AGREEMENT</w:t>
      </w:r>
    </w:p>
    <w:p>
      <w:pPr>
        <w:spacing w:after="0" w:line="211" w:lineRule="exact"/>
        <w:rPr>
          <w:sz w:val="20"/>
          <w:szCs w:val="20"/>
          <w:color w:val="auto"/>
        </w:rPr>
      </w:pPr>
    </w:p>
    <w:p>
      <w:pPr>
        <w:jc w:val="both"/>
        <w:ind w:right="40" w:firstLine="1296"/>
        <w:spacing w:after="0" w:line="263" w:lineRule="auto"/>
        <w:rPr>
          <w:sz w:val="20"/>
          <w:szCs w:val="20"/>
          <w:color w:val="auto"/>
        </w:rPr>
      </w:pPr>
      <w:r>
        <w:rPr>
          <w:rFonts w:ascii="Arial" w:cs="Arial" w:eastAsia="Arial" w:hAnsi="Arial"/>
          <w:sz w:val="18"/>
          <w:szCs w:val="18"/>
          <w:color w:val="auto"/>
        </w:rPr>
        <w:t>THIS PRIVATE PLACEMENT WARRANTS PURCHASE AGREEMENT, dated as of July 29,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between Churchill Capital Corp IV,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Churchill Sponsor IV LLC, a Delaware limited liability company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84" w:lineRule="exact"/>
        <w:rPr>
          <w:sz w:val="20"/>
          <w:szCs w:val="20"/>
          <w:color w:val="auto"/>
        </w:rPr>
      </w:pPr>
    </w:p>
    <w:p>
      <w:pPr>
        <w:ind w:right="160" w:firstLine="1296"/>
        <w:spacing w:after="0" w:line="259" w:lineRule="auto"/>
        <w:rPr>
          <w:sz w:val="20"/>
          <w:szCs w:val="20"/>
          <w:color w:val="auto"/>
        </w:rPr>
      </w:pPr>
      <w:r>
        <w:rPr>
          <w:rFonts w:ascii="Arial" w:cs="Arial" w:eastAsia="Arial" w:hAnsi="Arial"/>
          <w:sz w:val="18"/>
          <w:szCs w:val="18"/>
          <w:color w:val="auto"/>
        </w:rPr>
        <w:t>WHEREAS, the Company intends to consummate an initial public offering of the Company’s units (the “</w:t>
      </w:r>
      <w:r>
        <w:rPr>
          <w:rFonts w:ascii="Arial" w:cs="Arial" w:eastAsia="Arial" w:hAnsi="Arial"/>
          <w:sz w:val="18"/>
          <w:szCs w:val="18"/>
          <w:u w:val="single" w:color="auto"/>
          <w:color w:val="auto"/>
        </w:rPr>
        <w:t>Public Offering</w:t>
      </w:r>
      <w:r>
        <w:rPr>
          <w:rFonts w:ascii="Arial" w:cs="Arial" w:eastAsia="Arial" w:hAnsi="Arial"/>
          <w:sz w:val="18"/>
          <w:szCs w:val="18"/>
          <w:color w:val="auto"/>
        </w:rPr>
        <w:t>”), each unit consisting of one share of the Company’s Class A common stock, par value $0.0001 per share (a “</w:t>
      </w:r>
      <w:r>
        <w:rPr>
          <w:rFonts w:ascii="Arial" w:cs="Arial" w:eastAsia="Arial" w:hAnsi="Arial"/>
          <w:sz w:val="18"/>
          <w:szCs w:val="18"/>
          <w:u w:val="single" w:color="auto"/>
          <w:color w:val="auto"/>
        </w:rPr>
        <w:t>Share</w:t>
      </w:r>
      <w:r>
        <w:rPr>
          <w:rFonts w:ascii="Arial" w:cs="Arial" w:eastAsia="Arial" w:hAnsi="Arial"/>
          <w:sz w:val="18"/>
          <w:szCs w:val="18"/>
          <w:color w:val="auto"/>
        </w:rPr>
        <w:t>”), and one-fifth of one redeemable warrant, each whole warrant exercisable for one Share at an exercise price of $11.50 per Share, as set forth in the Company’s registration statement on Form S-1 related to the Public Offering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w:t>
      </w:r>
    </w:p>
    <w:p>
      <w:pPr>
        <w:spacing w:after="0" w:line="187" w:lineRule="exact"/>
        <w:rPr>
          <w:sz w:val="20"/>
          <w:szCs w:val="20"/>
          <w:color w:val="auto"/>
        </w:rPr>
      </w:pPr>
    </w:p>
    <w:p>
      <w:pPr>
        <w:ind w:right="360" w:firstLine="1296"/>
        <w:spacing w:after="0" w:line="263" w:lineRule="auto"/>
        <w:rPr>
          <w:sz w:val="20"/>
          <w:szCs w:val="20"/>
          <w:color w:val="auto"/>
        </w:rPr>
      </w:pPr>
      <w:r>
        <w:rPr>
          <w:rFonts w:ascii="Arial" w:cs="Arial" w:eastAsia="Arial" w:hAnsi="Arial"/>
          <w:sz w:val="18"/>
          <w:szCs w:val="18"/>
          <w:color w:val="auto"/>
        </w:rPr>
        <w:t>WHEREAS, the Purchaser now wishes to purchase an aggregate of 37,450,000 warrants (or 42,850,000 warrants if the underwriters’ over-allotment option is exercised in full) (the “</w:t>
      </w:r>
      <w:r>
        <w:rPr>
          <w:rFonts w:ascii="Arial" w:cs="Arial" w:eastAsia="Arial" w:hAnsi="Arial"/>
          <w:sz w:val="18"/>
          <w:szCs w:val="18"/>
          <w:u w:val="single" w:color="auto"/>
          <w:color w:val="auto"/>
        </w:rPr>
        <w:t>Warrants</w:t>
      </w:r>
      <w:r>
        <w:rPr>
          <w:rFonts w:ascii="Arial" w:cs="Arial" w:eastAsia="Arial" w:hAnsi="Arial"/>
          <w:sz w:val="18"/>
          <w:szCs w:val="18"/>
          <w:color w:val="auto"/>
        </w:rPr>
        <w:t>”), each Warrant entitling the holder to purchase one Share at an exercise price of $11.50 per Share.</w:t>
      </w:r>
    </w:p>
    <w:p>
      <w:pPr>
        <w:spacing w:after="0" w:line="184" w:lineRule="exact"/>
        <w:rPr>
          <w:sz w:val="20"/>
          <w:szCs w:val="20"/>
          <w:color w:val="auto"/>
        </w:rPr>
      </w:pPr>
    </w:p>
    <w:p>
      <w:pPr>
        <w:ind w:right="260" w:firstLine="1296"/>
        <w:spacing w:after="0" w:line="342" w:lineRule="auto"/>
        <w:rPr>
          <w:sz w:val="20"/>
          <w:szCs w:val="20"/>
          <w:color w:val="auto"/>
        </w:rPr>
      </w:pPr>
      <w:r>
        <w:rPr>
          <w:rFonts w:ascii="Arial" w:cs="Arial" w:eastAsia="Arial" w:hAnsi="Arial"/>
          <w:sz w:val="16"/>
          <w:szCs w:val="16"/>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120"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Authorization, Purchase and Sale; Terms of the Warrants</w:t>
      </w:r>
      <w:r>
        <w:rPr>
          <w:rFonts w:ascii="Arial" w:cs="Arial" w:eastAsia="Arial" w:hAnsi="Arial"/>
          <w:sz w:val="16"/>
          <w:szCs w:val="16"/>
          <w:color w:val="auto"/>
        </w:rPr>
        <w:t>.</w:t>
      </w:r>
    </w:p>
    <w:p>
      <w:pPr>
        <w:spacing w:after="0" w:line="225" w:lineRule="exact"/>
        <w:rPr>
          <w:sz w:val="20"/>
          <w:szCs w:val="20"/>
          <w:color w:val="auto"/>
        </w:rPr>
      </w:pPr>
    </w:p>
    <w:p>
      <w:pPr>
        <w:ind w:left="1320" w:hanging="664"/>
        <w:spacing w:after="0"/>
        <w:tabs>
          <w:tab w:leader="none" w:pos="13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Authorization of the Warrants</w:t>
      </w:r>
      <w:r>
        <w:rPr>
          <w:rFonts w:ascii="Arial" w:cs="Arial" w:eastAsia="Arial" w:hAnsi="Arial"/>
          <w:sz w:val="18"/>
          <w:szCs w:val="18"/>
          <w:color w:val="auto"/>
        </w:rPr>
        <w:t>. The Company has duly authorized the issuance and sale of the Warrants to the Purchaser.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4"/>
        <w:spacing w:after="0" w:line="286" w:lineRule="auto"/>
        <w:tabs>
          <w:tab w:leader="none" w:pos="2006"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As payment in full for the 37,450,000 Warrants being purchased under this Agreement, the Purchaser shall pay $37,450,000 (the “</w:t>
      </w:r>
      <w:r>
        <w:rPr>
          <w:rFonts w:ascii="Arial" w:cs="Arial" w:eastAsia="Arial" w:hAnsi="Arial"/>
          <w:sz w:val="17"/>
          <w:szCs w:val="17"/>
          <w:u w:val="single" w:color="auto"/>
          <w:color w:val="auto"/>
        </w:rPr>
        <w:t>Purchase Price</w:t>
      </w:r>
      <w:r>
        <w:rPr>
          <w:rFonts w:ascii="Arial" w:cs="Arial" w:eastAsia="Arial" w:hAnsi="Arial"/>
          <w:sz w:val="17"/>
          <w:szCs w:val="17"/>
          <w:color w:val="auto"/>
        </w:rPr>
        <w:t>”), by wire transfer of immediately available funds in accordance with the Company’s wiring instructions, at least one (1) business day prior to the effective date of the Registration Statement, or on such other date as the Company and the Purchaser may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1" w:name="page122"/>
    <w:bookmarkEnd w:id="121"/>
    <w:p>
      <w:pPr>
        <w:ind w:right="160" w:firstLine="1304"/>
        <w:spacing w:after="0" w:line="255" w:lineRule="auto"/>
        <w:tabs>
          <w:tab w:leader="none" w:pos="201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In the event that the underwriters’ over-allotment option is exercised in full, the Purchaser shall purchase up to an additional 5,400,000 Warrants (the “</w:t>
      </w:r>
      <w:r>
        <w:rPr>
          <w:rFonts w:ascii="Arial" w:cs="Arial" w:eastAsia="Arial" w:hAnsi="Arial"/>
          <w:sz w:val="18"/>
          <w:szCs w:val="18"/>
          <w:u w:val="single" w:color="auto"/>
          <w:color w:val="auto"/>
        </w:rPr>
        <w:t>Additional Warrants</w:t>
      </w:r>
      <w:r>
        <w:rPr>
          <w:rFonts w:ascii="Arial" w:cs="Arial" w:eastAsia="Arial" w:hAnsi="Arial"/>
          <w:sz w:val="18"/>
          <w:szCs w:val="18"/>
          <w:color w:val="auto"/>
        </w:rPr>
        <w:t>”), in the same proportion as the amount of the over-allotment option that is exercised, and simultaneously with such purchase of Additional Warrants, as payment in full for the Additional Warrants being purchased hereunder, and at least one (1) business day prior to the closing of all or any portion of the over-allotment option, or on such other date as the Company and the Purchaser may agree, the Purchaser shall pay $1.00 per Additional Warrant, up to an aggregate amount of $5,400,000, by wire transfer of immediately available funds in accordance with the Company’s wiring instructions.</w:t>
      </w:r>
    </w:p>
    <w:p>
      <w:pPr>
        <w:spacing w:after="0" w:line="192" w:lineRule="exact"/>
        <w:rPr>
          <w:rFonts w:ascii="Arial" w:cs="Arial" w:eastAsia="Arial" w:hAnsi="Arial"/>
          <w:sz w:val="18"/>
          <w:szCs w:val="18"/>
          <w:color w:val="auto"/>
        </w:rPr>
      </w:pPr>
    </w:p>
    <w:p>
      <w:pPr>
        <w:ind w:right="40" w:firstLine="980"/>
        <w:spacing w:after="0" w:line="296" w:lineRule="auto"/>
        <w:tabs>
          <w:tab w:leader="none" w:pos="169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closing of the purchase and sale of the Warrants shall take place simultaneously with the closing of the Public Offering (the “</w:t>
      </w:r>
      <w:r>
        <w:rPr>
          <w:rFonts w:ascii="Arial" w:cs="Arial" w:eastAsia="Arial" w:hAnsi="Arial"/>
          <w:sz w:val="16"/>
          <w:szCs w:val="16"/>
          <w:u w:val="single" w:color="auto"/>
          <w:color w:val="auto"/>
        </w:rPr>
        <w:t>Initial Closing Date</w:t>
      </w:r>
      <w:r>
        <w:rPr>
          <w:rFonts w:ascii="Arial" w:cs="Arial" w:eastAsia="Arial" w:hAnsi="Arial"/>
          <w:sz w:val="16"/>
          <w:szCs w:val="16"/>
          <w:color w:val="auto"/>
        </w:rPr>
        <w:t>”). The closing of the purchase and sale of the Additional Warrants, if applicable, shall take place simultaneously with the closing of all or any portion of the over-allotment option (such closing date, together with the Initial Closing Date, the “</w:t>
      </w:r>
      <w:r>
        <w:rPr>
          <w:rFonts w:ascii="Arial" w:cs="Arial" w:eastAsia="Arial" w:hAnsi="Arial"/>
          <w:sz w:val="16"/>
          <w:szCs w:val="16"/>
          <w:u w:val="single" w:color="auto"/>
          <w:color w:val="auto"/>
        </w:rPr>
        <w:t>Closing Dates</w:t>
      </w:r>
      <w:r>
        <w:rPr>
          <w:rFonts w:ascii="Arial" w:cs="Arial" w:eastAsia="Arial" w:hAnsi="Arial"/>
          <w:sz w:val="16"/>
          <w:szCs w:val="16"/>
          <w:color w:val="auto"/>
        </w:rPr>
        <w:t>” and each, a “</w:t>
      </w:r>
      <w:r>
        <w:rPr>
          <w:rFonts w:ascii="Arial" w:cs="Arial" w:eastAsia="Arial" w:hAnsi="Arial"/>
          <w:sz w:val="16"/>
          <w:szCs w:val="16"/>
          <w:u w:val="single" w:color="auto"/>
          <w:color w:val="auto"/>
        </w:rPr>
        <w:t>Closing Date</w:t>
      </w:r>
      <w:r>
        <w:rPr>
          <w:rFonts w:ascii="Arial" w:cs="Arial" w:eastAsia="Arial" w:hAnsi="Arial"/>
          <w:sz w:val="16"/>
          <w:szCs w:val="16"/>
          <w:color w:val="auto"/>
        </w:rPr>
        <w:t>”). The closing of the purchase and sale of each of the Warrants and the Additional Warrants shall take place at the offices of Paul, Weiss, Rifkind, Wharton &amp; Garrison LLP, 1285 Avenue of the Americas, New York, New York, 10019, or such other place as may be agreed upon by the parties hereto.</w:t>
      </w:r>
    </w:p>
    <w:p>
      <w:pPr>
        <w:spacing w:after="0" w:line="161" w:lineRule="exact"/>
        <w:rPr>
          <w:rFonts w:ascii="Arial" w:cs="Arial" w:eastAsia="Arial" w:hAnsi="Arial"/>
          <w:sz w:val="16"/>
          <w:szCs w:val="16"/>
          <w:color w:val="auto"/>
        </w:rPr>
      </w:pPr>
    </w:p>
    <w:p>
      <w:pPr>
        <w:ind w:left="1320" w:hanging="664"/>
        <w:spacing w:after="0"/>
        <w:tabs>
          <w:tab w:leader="none" w:pos="13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Terms of the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2006"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The Warrants shall have their terms set forth in a Warrant Agreement to be entered into by the Company and a warrant agent, in connection with the Public Offering (a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20" w:firstLine="1304"/>
        <w:spacing w:after="0" w:line="263" w:lineRule="auto"/>
        <w:tabs>
          <w:tab w:leader="none" w:pos="201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At or prior to the time of the Initial Closing Date, the Company and the Purchaser shall enter into a registration rights agreement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pursuant to which the Company will grant certain registration rights to the Purchaser relating to the Warrants and the Shares underlying the Warrants.</w:t>
      </w:r>
    </w:p>
    <w:p>
      <w:pPr>
        <w:spacing w:after="0" w:line="184"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As a material inducement to the Purchaser to enter into this Agreement and purchase the Warrants, the Company hereby represents and warrants to the Purchaser (which representations and warranties shall survive the Closing Dates) that:</w:t>
      </w:r>
    </w:p>
    <w:p>
      <w:pPr>
        <w:spacing w:after="0" w:line="124" w:lineRule="exact"/>
        <w:rPr>
          <w:sz w:val="20"/>
          <w:szCs w:val="20"/>
          <w:color w:val="auto"/>
        </w:rPr>
      </w:pPr>
    </w:p>
    <w:p>
      <w:pPr>
        <w:ind w:right="120" w:firstLine="656"/>
        <w:spacing w:after="0" w:line="279" w:lineRule="auto"/>
        <w:tabs>
          <w:tab w:leader="none" w:pos="1318"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Organization and Corporate Power</w:t>
      </w:r>
      <w:r>
        <w:rPr>
          <w:rFonts w:ascii="Arial" w:cs="Arial" w:eastAsia="Arial" w:hAnsi="Arial"/>
          <w:sz w:val="17"/>
          <w:szCs w:val="17"/>
          <w:color w:val="auto"/>
        </w:rPr>
        <w:t>. The Company is a corporation duly organized, validly existing and in good standing under the laws of the State of Delaware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4"/>
        <w:spacing w:after="0" w:line="259" w:lineRule="auto"/>
        <w:tabs>
          <w:tab w:leader="none" w:pos="200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the Warrants have been duly authorized by the Company as of the Closing Dates. This Agreement constitutes a valid and binding obligation of the Company, enforceable in accordance with its terms. Upon issuance in accordance with, and payment pursuant to, the terms of the Warrant Agreement and this Agreement, the Warrants will constitute valid and binding obligations of the Company, enforceable in accordance with their terms as of the Closing Dates.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22" w:name="page123"/>
    <w:bookmarkEnd w:id="122"/>
    <w:p>
      <w:pPr>
        <w:ind w:right="120" w:firstLine="1304"/>
        <w:spacing w:after="0" w:line="287" w:lineRule="auto"/>
        <w:tabs>
          <w:tab w:leader="none" w:pos="2010" w:val="left"/>
        </w:tabs>
        <w:numPr>
          <w:ilvl w:val="2"/>
          <w:numId w:val="111"/>
        </w:numPr>
        <w:rPr>
          <w:rFonts w:ascii="Arial" w:cs="Arial" w:eastAsia="Arial" w:hAnsi="Arial"/>
          <w:sz w:val="16"/>
          <w:szCs w:val="16"/>
          <w:color w:val="auto"/>
        </w:rPr>
      </w:pPr>
      <w:r>
        <w:rPr>
          <w:rFonts w:ascii="Arial" w:cs="Arial" w:eastAsia="Arial" w:hAnsi="Arial"/>
          <w:sz w:val="16"/>
          <w:szCs w:val="16"/>
          <w:color w:val="auto"/>
        </w:rPr>
        <w:t>The execution and delivery by the Company of this Agreement and the Warrants, the issuance and sale of the Warrants, the issuance of the Shares upon exercise of the Warrants and the fulfillment of, and compliance with, the respective terms hereof and thereof by the Company, do not and will not as of the Closing Dates (a) conflict with or result in a breach of the terms, conditions or provisions of, (b) constitute a default under,</w:t>
      </w:r>
    </w:p>
    <w:p>
      <w:pPr>
        <w:spacing w:after="0" w:line="2" w:lineRule="exact"/>
        <w:rPr>
          <w:rFonts w:ascii="Arial" w:cs="Arial" w:eastAsia="Arial" w:hAnsi="Arial"/>
          <w:sz w:val="16"/>
          <w:szCs w:val="16"/>
          <w:color w:val="auto"/>
        </w:rPr>
      </w:pPr>
    </w:p>
    <w:p>
      <w:pPr>
        <w:ind w:right="100" w:firstLine="8"/>
        <w:spacing w:after="0" w:line="252" w:lineRule="auto"/>
        <w:tabs>
          <w:tab w:leader="none" w:pos="24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result in the creation of any lien, security interest, charge or encumbrance upon the Company’s capital stock or assets under, (d) result in a violation of, or (e) require any authorization, consent, approval, exemption or other action by or notice or declaration to, or filing with, any court or administrative or governmental body or agency pursuant to the certificate of incorporation or the bylaws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193" w:lineRule="exact"/>
        <w:rPr>
          <w:rFonts w:ascii="Arial" w:cs="Arial" w:eastAsia="Arial" w:hAnsi="Arial"/>
          <w:sz w:val="18"/>
          <w:szCs w:val="18"/>
          <w:color w:val="auto"/>
        </w:rPr>
      </w:pPr>
    </w:p>
    <w:p>
      <w:pPr>
        <w:ind w:right="120" w:firstLine="656"/>
        <w:spacing w:after="0" w:line="255" w:lineRule="auto"/>
        <w:tabs>
          <w:tab w:leader="none" w:pos="1308"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Title to Securities</w:t>
      </w:r>
      <w:r>
        <w:rPr>
          <w:rFonts w:ascii="Arial" w:cs="Arial" w:eastAsia="Arial" w:hAnsi="Arial"/>
          <w:sz w:val="18"/>
          <w:szCs w:val="18"/>
          <w:color w:val="auto"/>
        </w:rPr>
        <w:t>. Upon issuance in accordance with, and payment pursuant to, the terms hereof and the Warrant Agreement, the Shares issuable upon exercise of the Warrants will be duly and validly issued, fully paid and nonassessable. Upon issuance in accordance with, and payment pursuant to, the terms hereof and the Warrant Agreement, the Purchaser will have good title to the Warrants and the Shares issuable upon exercise of such Warrants,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pacing w:after="0" w:line="192" w:lineRule="exact"/>
        <w:rPr>
          <w:rFonts w:ascii="Arial" w:cs="Arial" w:eastAsia="Arial" w:hAnsi="Arial"/>
          <w:sz w:val="18"/>
          <w:szCs w:val="18"/>
          <w:color w:val="auto"/>
        </w:rPr>
      </w:pPr>
    </w:p>
    <w:p>
      <w:pPr>
        <w:ind w:firstLine="656"/>
        <w:spacing w:after="0" w:line="263" w:lineRule="auto"/>
        <w:tabs>
          <w:tab w:leader="none" w:pos="1318"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Governmental Consents</w:t>
      </w:r>
      <w:r>
        <w:rPr>
          <w:rFonts w:ascii="Arial" w:cs="Arial" w:eastAsia="Arial" w:hAnsi="Arial"/>
          <w:sz w:val="18"/>
          <w:szCs w:val="18"/>
          <w:color w:val="auto"/>
        </w:rPr>
        <w:t>.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83" w:lineRule="exact"/>
        <w:rPr>
          <w:rFonts w:ascii="Arial" w:cs="Arial" w:eastAsia="Arial" w:hAnsi="Arial"/>
          <w:sz w:val="18"/>
          <w:szCs w:val="18"/>
          <w:color w:val="auto"/>
        </w:rPr>
      </w:pPr>
    </w:p>
    <w:p>
      <w:pPr>
        <w:ind w:right="40" w:firstLine="656"/>
        <w:spacing w:after="0" w:line="263" w:lineRule="auto"/>
        <w:tabs>
          <w:tab w:leader="none" w:pos="1343"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Regulation D Qualification</w:t>
      </w:r>
      <w:r>
        <w:rPr>
          <w:rFonts w:ascii="Arial" w:cs="Arial" w:eastAsia="Arial" w:hAnsi="Arial"/>
          <w:sz w:val="18"/>
          <w:szCs w:val="18"/>
          <w:color w:val="auto"/>
        </w:rPr>
        <w:t>. Neither the Company nor, to its knowledge, any of its affiliates, officers, directors or beneficial stockholders of 20% or more of its outstanding securities, has experienced a disqualifying event as enumerated pursuant to Rule 506(d) of Regulation 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 of the Purchaser</w:t>
      </w:r>
      <w:r>
        <w:rPr>
          <w:rFonts w:ascii="Arial" w:cs="Arial" w:eastAsia="Arial" w:hAnsi="Arial"/>
          <w:sz w:val="18"/>
          <w:szCs w:val="18"/>
          <w:color w:val="auto"/>
        </w:rPr>
        <w:t>. As a material inducement to the Company to enter into this Agreement and issue and sell the Warrants to the Purchaser, the Purchaser hereby represents and warrants to the Company (which representations and warranties shall survive the Closing Dates) that:</w:t>
      </w:r>
    </w:p>
    <w:p>
      <w:pPr>
        <w:spacing w:after="0" w:line="184" w:lineRule="exact"/>
        <w:rPr>
          <w:sz w:val="20"/>
          <w:szCs w:val="20"/>
          <w:color w:val="auto"/>
        </w:rPr>
      </w:pPr>
    </w:p>
    <w:p>
      <w:pPr>
        <w:ind w:right="180" w:firstLine="656"/>
        <w:spacing w:after="0" w:line="277" w:lineRule="auto"/>
        <w:tabs>
          <w:tab w:leader="none" w:pos="1318"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Organization and Requisite Authority</w:t>
      </w:r>
      <w:r>
        <w:rPr>
          <w:rFonts w:ascii="Arial" w:cs="Arial" w:eastAsia="Arial" w:hAnsi="Arial"/>
          <w:sz w:val="18"/>
          <w:szCs w:val="18"/>
          <w:color w:val="auto"/>
        </w:rPr>
        <w:t>. The Purchaser possesses all requisite power and authority necessary to carry out the transactions contemplated by this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4"/>
        <w:spacing w:after="0" w:line="263" w:lineRule="auto"/>
        <w:tabs>
          <w:tab w:leader="none" w:pos="200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ind w:left="-20" w:right="20" w:firstLine="1304"/>
        <w:spacing w:after="0" w:line="263" w:lineRule="auto"/>
        <w:tabs>
          <w:tab w:leader="none" w:pos="199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execution and delivery by the Purchaser of this Agreement and the fulfillment of and compliance with the terms hereof by the Purchaser does not and shall not as of the Closing Dates conflict with or result in a breach by the Purchaser of the terms, conditions or provisions of any agreement, instrument, order, judgment or decree to which the Purchaser is subject.</w:t>
      </w:r>
    </w:p>
    <w:p>
      <w:pPr>
        <w:spacing w:after="0" w:line="183" w:lineRule="exact"/>
        <w:rPr>
          <w:rFonts w:ascii="Arial" w:cs="Arial" w:eastAsia="Arial" w:hAnsi="Arial"/>
          <w:sz w:val="18"/>
          <w:szCs w:val="18"/>
          <w:color w:val="auto"/>
        </w:rPr>
      </w:pPr>
    </w:p>
    <w:p>
      <w:pPr>
        <w:ind w:left="1300" w:hanging="66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304"/>
        <w:spacing w:after="0" w:line="263" w:lineRule="auto"/>
        <w:tabs>
          <w:tab w:leader="none" w:pos="198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Purchaser is acquiring the Warrants and, upon exercise of the Warrants, the Shares issuable upon such exercise (collectively, the “</w:t>
      </w:r>
      <w:r>
        <w:rPr>
          <w:rFonts w:ascii="Arial" w:cs="Arial" w:eastAsia="Arial" w:hAnsi="Arial"/>
          <w:sz w:val="18"/>
          <w:szCs w:val="18"/>
          <w:u w:val="single" w:color="auto"/>
          <w:color w:val="auto"/>
        </w:rPr>
        <w:t>Securities</w:t>
      </w:r>
      <w:r>
        <w:rPr>
          <w:rFonts w:ascii="Arial" w:cs="Arial" w:eastAsia="Arial" w:hAnsi="Arial"/>
          <w:sz w:val="18"/>
          <w:szCs w:val="18"/>
          <w:color w:val="auto"/>
        </w:rPr>
        <w:t>”), for the Purchaser’s own account, for investment purposes only and not with a view towards, or for resale in connection with, any public sale or distribution thereof.</w:t>
      </w:r>
    </w:p>
    <w:p>
      <w:pPr>
        <w:spacing w:after="0" w:line="183" w:lineRule="exact"/>
        <w:rPr>
          <w:rFonts w:ascii="Arial" w:cs="Arial" w:eastAsia="Arial" w:hAnsi="Arial"/>
          <w:sz w:val="18"/>
          <w:szCs w:val="18"/>
          <w:color w:val="auto"/>
        </w:rPr>
      </w:pPr>
    </w:p>
    <w:p>
      <w:pPr>
        <w:ind w:left="-20" w:right="260" w:firstLine="1304"/>
        <w:spacing w:after="0" w:line="342" w:lineRule="auto"/>
        <w:tabs>
          <w:tab w:leader="none" w:pos="199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Purchaser is an “accredited investor” as such term is defined in Rule 501(a)(3) of Regulation D under the Securities Act and the Purchaser has not experienced a disqualifying event as enumerated pursuant to Rule 506(d) of Regulation D under the Securities Act.</w:t>
      </w:r>
    </w:p>
    <w:p>
      <w:pPr>
        <w:spacing w:after="0" w:line="123" w:lineRule="exact"/>
        <w:rPr>
          <w:rFonts w:ascii="Arial" w:cs="Arial" w:eastAsia="Arial" w:hAnsi="Arial"/>
          <w:sz w:val="16"/>
          <w:szCs w:val="16"/>
          <w:color w:val="auto"/>
        </w:rPr>
      </w:pPr>
    </w:p>
    <w:p>
      <w:pPr>
        <w:ind w:left="-20" w:right="140" w:firstLine="1304"/>
        <w:spacing w:after="0" w:line="259" w:lineRule="auto"/>
        <w:tabs>
          <w:tab w:leader="none" w:pos="199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w:t>
      </w:r>
    </w:p>
    <w:p>
      <w:pPr>
        <w:spacing w:after="0" w:line="186" w:lineRule="exact"/>
        <w:rPr>
          <w:rFonts w:ascii="Arial" w:cs="Arial" w:eastAsia="Arial" w:hAnsi="Arial"/>
          <w:sz w:val="18"/>
          <w:szCs w:val="18"/>
          <w:color w:val="auto"/>
        </w:rPr>
      </w:pPr>
    </w:p>
    <w:p>
      <w:pPr>
        <w:ind w:left="-20" w:right="40" w:firstLine="1304"/>
        <w:spacing w:after="0" w:line="277" w:lineRule="auto"/>
        <w:tabs>
          <w:tab w:leader="none" w:pos="198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Purchaser did not enter into this Agreement as a result of any general solicitation or general advertising within the meaning of Rule 502(c) under the Securities Act.</w:t>
      </w:r>
    </w:p>
    <w:p>
      <w:pPr>
        <w:spacing w:after="0" w:line="170" w:lineRule="exact"/>
        <w:rPr>
          <w:rFonts w:ascii="Arial" w:cs="Arial" w:eastAsia="Arial" w:hAnsi="Arial"/>
          <w:sz w:val="18"/>
          <w:szCs w:val="18"/>
          <w:color w:val="auto"/>
        </w:rPr>
      </w:pPr>
    </w:p>
    <w:p>
      <w:pPr>
        <w:ind w:left="-20" w:firstLine="1304"/>
        <w:spacing w:after="0" w:line="257" w:lineRule="auto"/>
        <w:tabs>
          <w:tab w:leader="none" w:pos="19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187" w:lineRule="exact"/>
        <w:rPr>
          <w:rFonts w:ascii="Arial" w:cs="Arial" w:eastAsia="Arial" w:hAnsi="Arial"/>
          <w:sz w:val="18"/>
          <w:szCs w:val="18"/>
          <w:color w:val="auto"/>
        </w:rPr>
      </w:pPr>
    </w:p>
    <w:p>
      <w:pPr>
        <w:jc w:val="both"/>
        <w:ind w:left="-20" w:right="180" w:firstLine="1304"/>
        <w:spacing w:after="0" w:line="286" w:lineRule="auto"/>
        <w:tabs>
          <w:tab w:leader="none" w:pos="1985"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w:t>
      </w:r>
    </w:p>
    <w:p>
      <w:pPr>
        <w:spacing w:after="0" w:line="165" w:lineRule="exact"/>
        <w:rPr>
          <w:rFonts w:ascii="Arial" w:cs="Arial" w:eastAsia="Arial" w:hAnsi="Arial"/>
          <w:sz w:val="17"/>
          <w:szCs w:val="17"/>
          <w:color w:val="auto"/>
        </w:rPr>
      </w:pPr>
    </w:p>
    <w:p>
      <w:pPr>
        <w:ind w:left="-20" w:right="20" w:firstLine="1304"/>
        <w:spacing w:after="0" w:line="257" w:lineRule="auto"/>
        <w:tabs>
          <w:tab w:leader="none" w:pos="199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Rights Agreement, neither the Company nor any other person is under any obligation to register the Securities under the Securities Act or any state securities laws or to comply with the terms and conditions of any exemption thereunder.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24" w:name="page125"/>
    <w:bookmarkEnd w:id="124"/>
    <w:p>
      <w:pPr>
        <w:ind w:right="100" w:firstLine="1304"/>
        <w:spacing w:after="0" w:line="255" w:lineRule="auto"/>
        <w:tabs>
          <w:tab w:leader="none" w:pos="201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Purchaser has such knowledge and experience in financial and business matters, knowledge of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investments in the Securities.</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of the Purchaser’s Obligations</w:t>
      </w:r>
      <w:r>
        <w:rPr>
          <w:rFonts w:ascii="Arial" w:cs="Arial" w:eastAsia="Arial" w:hAnsi="Arial"/>
          <w:sz w:val="18"/>
          <w:szCs w:val="18"/>
          <w:color w:val="auto"/>
        </w:rPr>
        <w:t>. The obligations of the Purchaser to purchase and pay for the Warrants are subject to the fulfillment, on or before the Closing Dates, of each of the following conditions:</w:t>
      </w:r>
    </w:p>
    <w:p>
      <w:pPr>
        <w:spacing w:after="0" w:line="170" w:lineRule="exact"/>
        <w:rPr>
          <w:sz w:val="20"/>
          <w:szCs w:val="20"/>
          <w:color w:val="auto"/>
        </w:rPr>
      </w:pPr>
    </w:p>
    <w:p>
      <w:pPr>
        <w:ind w:right="140" w:firstLine="656"/>
        <w:spacing w:after="0" w:line="277" w:lineRule="auto"/>
        <w:tabs>
          <w:tab w:leader="none" w:pos="131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Company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true and correct at and as of the Closing Dates as though then made.</w:t>
      </w:r>
    </w:p>
    <w:p>
      <w:pPr>
        <w:spacing w:after="0" w:line="170" w:lineRule="exact"/>
        <w:rPr>
          <w:rFonts w:ascii="Arial" w:cs="Arial" w:eastAsia="Arial" w:hAnsi="Arial"/>
          <w:sz w:val="18"/>
          <w:szCs w:val="18"/>
          <w:color w:val="auto"/>
        </w:rPr>
      </w:pPr>
    </w:p>
    <w:p>
      <w:pPr>
        <w:ind w:right="540" w:firstLine="656"/>
        <w:spacing w:after="0" w:line="277" w:lineRule="auto"/>
        <w:tabs>
          <w:tab w:leader="none" w:pos="130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with all agreements, obligations and conditions contained in this Agreement that are required to be performed or complied with by it on or before the Closing Dates.</w:t>
      </w:r>
    </w:p>
    <w:p>
      <w:pPr>
        <w:spacing w:after="0" w:line="170" w:lineRule="exact"/>
        <w:rPr>
          <w:rFonts w:ascii="Arial" w:cs="Arial" w:eastAsia="Arial" w:hAnsi="Arial"/>
          <w:sz w:val="18"/>
          <w:szCs w:val="18"/>
          <w:color w:val="auto"/>
        </w:rPr>
      </w:pPr>
    </w:p>
    <w:p>
      <w:pPr>
        <w:ind w:firstLine="656"/>
        <w:spacing w:after="0" w:line="311" w:lineRule="auto"/>
        <w:tabs>
          <w:tab w:leader="none" w:pos="1308"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No Injunction</w:t>
      </w:r>
      <w:r>
        <w:rPr>
          <w:rFonts w:ascii="Arial" w:cs="Arial" w:eastAsia="Arial" w:hAnsi="Arial"/>
          <w:sz w:val="16"/>
          <w:szCs w:val="16"/>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48" w:lineRule="exact"/>
        <w:rPr>
          <w:rFonts w:ascii="Arial" w:cs="Arial" w:eastAsia="Arial" w:hAnsi="Arial"/>
          <w:sz w:val="16"/>
          <w:szCs w:val="16"/>
          <w:color w:val="auto"/>
        </w:rPr>
      </w:pPr>
    </w:p>
    <w:p>
      <w:pPr>
        <w:ind w:right="520" w:firstLine="656"/>
        <w:spacing w:after="0" w:line="277" w:lineRule="auto"/>
        <w:tabs>
          <w:tab w:leader="none" w:pos="131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Warrant Agreement</w:t>
      </w:r>
      <w:r>
        <w:rPr>
          <w:rFonts w:ascii="Arial" w:cs="Arial" w:eastAsia="Arial" w:hAnsi="Arial"/>
          <w:sz w:val="18"/>
          <w:szCs w:val="18"/>
          <w:color w:val="auto"/>
        </w:rPr>
        <w:t>. The Company shall have entered into a Warrant Agreement with a warrant agent on terms satisfactory to the Purchaser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the Company’s Obligations</w:t>
      </w:r>
      <w:r>
        <w:rPr>
          <w:rFonts w:ascii="Arial" w:cs="Arial" w:eastAsia="Arial" w:hAnsi="Arial"/>
          <w:sz w:val="18"/>
          <w:szCs w:val="18"/>
          <w:color w:val="auto"/>
        </w:rPr>
        <w:t>. The obligations of the Company to the Purchaser under this Agreement are subject to the fulfillment, on or before the Closing Dates, of each of the following conditions:</w:t>
      </w:r>
    </w:p>
    <w:p>
      <w:pPr>
        <w:spacing w:after="0" w:line="170" w:lineRule="exact"/>
        <w:rPr>
          <w:sz w:val="20"/>
          <w:szCs w:val="20"/>
          <w:color w:val="auto"/>
        </w:rPr>
      </w:pPr>
    </w:p>
    <w:p>
      <w:pPr>
        <w:ind w:right="120" w:firstLine="656"/>
        <w:spacing w:after="0" w:line="277" w:lineRule="auto"/>
        <w:tabs>
          <w:tab w:leader="none" w:pos="1318"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Purchaser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true and correct at and as of the Closing Dates as though then made.</w:t>
      </w:r>
    </w:p>
    <w:p>
      <w:pPr>
        <w:spacing w:after="0" w:line="170" w:lineRule="exact"/>
        <w:rPr>
          <w:rFonts w:ascii="Arial" w:cs="Arial" w:eastAsia="Arial" w:hAnsi="Arial"/>
          <w:sz w:val="18"/>
          <w:szCs w:val="18"/>
          <w:color w:val="auto"/>
        </w:rPr>
      </w:pPr>
    </w:p>
    <w:p>
      <w:pPr>
        <w:ind w:right="520" w:firstLine="656"/>
        <w:spacing w:after="0" w:line="277" w:lineRule="auto"/>
        <w:tabs>
          <w:tab w:leader="none" w:pos="1308"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Purchaser shall have performed and complied with all agreements, obligations and conditions contained in this Agreement that are required to be performed or complied with by the Purchaser on or before the Closing Dates.</w:t>
      </w:r>
    </w:p>
    <w:p>
      <w:pPr>
        <w:spacing w:after="0" w:line="170" w:lineRule="exact"/>
        <w:rPr>
          <w:rFonts w:ascii="Arial" w:cs="Arial" w:eastAsia="Arial" w:hAnsi="Arial"/>
          <w:sz w:val="18"/>
          <w:szCs w:val="18"/>
          <w:color w:val="auto"/>
        </w:rPr>
      </w:pPr>
    </w:p>
    <w:p>
      <w:pPr>
        <w:ind w:firstLine="656"/>
        <w:spacing w:after="0" w:line="311" w:lineRule="auto"/>
        <w:tabs>
          <w:tab w:leader="none" w:pos="1353"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No Injunction</w:t>
      </w:r>
      <w:r>
        <w:rPr>
          <w:rFonts w:ascii="Arial" w:cs="Arial" w:eastAsia="Arial" w:hAnsi="Arial"/>
          <w:sz w:val="16"/>
          <w:szCs w:val="16"/>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125" w:name="page126"/>
    <w:bookmarkEnd w:id="125"/>
    <w:p>
      <w:pPr>
        <w:ind w:left="1320" w:hanging="664"/>
        <w:spacing w:after="0"/>
        <w:tabs>
          <w:tab w:leader="none" w:pos="13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Warrant Agreement</w:t>
      </w:r>
      <w:r>
        <w:rPr>
          <w:rFonts w:ascii="Arial" w:cs="Arial" w:eastAsia="Arial" w:hAnsi="Arial"/>
          <w:sz w:val="18"/>
          <w:szCs w:val="18"/>
          <w:color w:val="auto"/>
        </w:rPr>
        <w:t>. The Company shall have entered into the Warrant Agreement.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after December 31, 2020 upon the election by either the Company or a Purchaser entitled to purchase a majority of the Warrants upon written notice to the other parties if the closing of the Public Offering does not occur prior to such date.</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of the representations and warranties contained herein shall survive the Closing Dates.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Definitions</w:t>
      </w:r>
      <w:r>
        <w:rPr>
          <w:rFonts w:ascii="Arial" w:cs="Arial" w:eastAsia="Arial" w:hAnsi="Arial"/>
          <w:sz w:val="18"/>
          <w:szCs w:val="18"/>
          <w:color w:val="auto"/>
        </w:rPr>
        <w:t>. Terms used but not otherwise defined in this Agreement shall have the meaning assigned to such terms in the Registration Statement.</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59" w:lineRule="auto"/>
        <w:tabs>
          <w:tab w:leader="none" w:pos="1318"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w:t>
      </w:r>
    </w:p>
    <w:p>
      <w:pPr>
        <w:spacing w:after="0" w:line="186" w:lineRule="exact"/>
        <w:rPr>
          <w:rFonts w:ascii="Arial" w:cs="Arial" w:eastAsia="Arial" w:hAnsi="Arial"/>
          <w:sz w:val="18"/>
          <w:szCs w:val="18"/>
          <w:color w:val="auto"/>
        </w:rPr>
      </w:pPr>
    </w:p>
    <w:p>
      <w:pPr>
        <w:ind w:right="20" w:firstLine="656"/>
        <w:spacing w:after="0" w:line="263" w:lineRule="auto"/>
        <w:tabs>
          <w:tab w:leader="none" w:pos="1308"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3" w:lineRule="exact"/>
        <w:rPr>
          <w:rFonts w:ascii="Arial" w:cs="Arial" w:eastAsia="Arial" w:hAnsi="Arial"/>
          <w:sz w:val="18"/>
          <w:szCs w:val="18"/>
          <w:color w:val="auto"/>
        </w:rPr>
      </w:pPr>
    </w:p>
    <w:p>
      <w:pPr>
        <w:ind w:right="180" w:firstLine="656"/>
        <w:spacing w:after="0" w:line="277" w:lineRule="auto"/>
        <w:tabs>
          <w:tab w:leader="none" w:pos="1308"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or more counterparts, none of which need contain the signatures of more than one party, but all such counterparts taken together shall constitute one and the same agreement.</w:t>
      </w:r>
    </w:p>
    <w:p>
      <w:pPr>
        <w:spacing w:after="0" w:line="170" w:lineRule="exact"/>
        <w:rPr>
          <w:rFonts w:ascii="Arial" w:cs="Arial" w:eastAsia="Arial" w:hAnsi="Arial"/>
          <w:sz w:val="18"/>
          <w:szCs w:val="18"/>
          <w:color w:val="auto"/>
        </w:rPr>
      </w:pPr>
    </w:p>
    <w:p>
      <w:pPr>
        <w:ind w:right="40" w:firstLine="656"/>
        <w:spacing w:after="0" w:line="342" w:lineRule="auto"/>
        <w:tabs>
          <w:tab w:leader="none" w:pos="1318"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Descriptive Headings; Interpretation</w:t>
      </w:r>
      <w:r>
        <w:rPr>
          <w:rFonts w:ascii="Arial" w:cs="Arial" w:eastAsia="Arial" w:hAnsi="Arial"/>
          <w:sz w:val="16"/>
          <w:szCs w:val="16"/>
          <w:color w:val="auto"/>
        </w:rPr>
        <w:t>. The descriptive headings of this Agreement are inserted for convenience only and do not constitute a substantive part of this Agreement. The use of the word “including” in this Agreement shall be by way of example rather than by limitation.</w:t>
      </w:r>
    </w:p>
    <w:p>
      <w:pPr>
        <w:spacing w:after="0" w:line="123" w:lineRule="exact"/>
        <w:rPr>
          <w:rFonts w:ascii="Arial" w:cs="Arial" w:eastAsia="Arial" w:hAnsi="Arial"/>
          <w:sz w:val="16"/>
          <w:szCs w:val="16"/>
          <w:color w:val="auto"/>
        </w:rPr>
      </w:pPr>
    </w:p>
    <w:p>
      <w:pPr>
        <w:ind w:right="40" w:firstLine="656"/>
        <w:spacing w:after="0" w:line="254" w:lineRule="auto"/>
        <w:tabs>
          <w:tab w:leader="none" w:pos="134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 shall be construed in accordance with and governed by the laws of New York applicable to contracts wholly performed within the borders of such state, without giving effect to the conflict of law principles thereof. The parties hereto irrevocably submit to the exclusive jurisdiction of any federal court sitting in the Southern District of New York or any state court located in New York County, State of New York, over any suit, action or proceeding arising out of or relating to this Agreement. To the fullest extent they may effectively do so under applicable law, the parties hereto irrevocably waive and agree not to assert, by way of motion, as a defense or otherwise, any claim that they are not subject to the jurisdiction of any such court, any objection that they may now or hereafter have to the laying of the venue of any such suit, action or proceeding brought in any such court and any claim that any such suit, action or proceeding brought in any such court has been brought in an inconvenient forum.</w:t>
      </w:r>
    </w:p>
    <w:p>
      <w:pPr>
        <w:spacing w:after="0" w:line="191" w:lineRule="exact"/>
        <w:rPr>
          <w:rFonts w:ascii="Arial" w:cs="Arial" w:eastAsia="Arial" w:hAnsi="Arial"/>
          <w:sz w:val="18"/>
          <w:szCs w:val="18"/>
          <w:color w:val="auto"/>
        </w:rPr>
      </w:pPr>
    </w:p>
    <w:p>
      <w:pPr>
        <w:ind w:right="680" w:firstLine="656"/>
        <w:spacing w:after="0" w:line="277" w:lineRule="auto"/>
        <w:tabs>
          <w:tab w:leader="none" w:pos="1318"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letter agreement may not be amended, modified or waived as to any particular provision, except by a written instrument executed by all parties hereto.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6" w:name="page127"/>
    <w:bookmarkEnd w:id="126"/>
    <w:p>
      <w:pPr>
        <w:ind w:left="1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to be effective as of the date first set forth above.</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CHURCHILL SPONSOR IV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[Signature Page to Private Placement Warrants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340"/>
          </w:cols>
          <w:pgMar w:left="1440" w:top="904" w:right="111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b w:val="1"/>
          <w:bCs w:val="1"/>
          <w:color w:val="auto"/>
        </w:rPr>
        <w:t>Exhibit 10.5</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5" w:lineRule="exact"/>
        <w:rPr>
          <w:sz w:val="20"/>
          <w:szCs w:val="20"/>
          <w:color w:val="auto"/>
        </w:rPr>
      </w:pPr>
    </w:p>
    <w:p>
      <w:pPr>
        <w:ind w:right="480" w:firstLine="1296"/>
        <w:spacing w:after="0" w:line="282" w:lineRule="auto"/>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July 29, 2020 by and between Churchill Capital Corp IV,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Michael Klein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1296"/>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it is reasonable, prudent and necessary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contractually to obligate itself to indemnify, hold harmless, exonerate and to advance expenses on behalf of, persons who serve the Company and its direct and indirect subsidiaries (collectively, the “</w:t>
      </w:r>
      <w:r>
        <w:rPr>
          <w:rFonts w:ascii="Arial" w:cs="Arial" w:eastAsia="Arial" w:hAnsi="Arial"/>
          <w:sz w:val="17"/>
          <w:szCs w:val="17"/>
          <w:u w:val="single" w:color="auto"/>
          <w:color w:val="auto"/>
        </w:rPr>
        <w:t>Company Group</w:t>
      </w:r>
      <w:r>
        <w:rPr>
          <w:rFonts w:ascii="Arial" w:cs="Arial" w:eastAsia="Arial" w:hAnsi="Arial"/>
          <w:sz w:val="17"/>
          <w:szCs w:val="17"/>
          <w:color w:val="auto"/>
        </w:rPr>
        <w:t>”) to the fullest extent permitted by applicable law;</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this Agreement is a supplement to and in furtherance of the Amended and Restated Certificate of Incorporation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and the Bylaws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and any resolutions adopted pursuant thereto, and shall not be deemed a substitute therefor, nor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diminish or abrogate any rights of Indemnitee thereunder;</w:t>
      </w:r>
    </w:p>
    <w:p>
      <w:pPr>
        <w:spacing w:after="0" w:line="207" w:lineRule="exact"/>
        <w:rPr>
          <w:sz w:val="20"/>
          <w:szCs w:val="20"/>
          <w:color w:val="auto"/>
        </w:rPr>
      </w:pPr>
    </w:p>
    <w:p>
      <w:pPr>
        <w:ind w:right="60"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desires Indemnitee to serve in such capacity. Indemnitee is willing to serve, continue to serve and to take on additional service for or on behalf of the Company on the condition that Indemnitee be so indemnified; and</w:t>
      </w:r>
    </w:p>
    <w:p>
      <w:pPr>
        <w:spacing w:after="0" w:line="176" w:lineRule="exact"/>
        <w:rPr>
          <w:sz w:val="20"/>
          <w:szCs w:val="20"/>
          <w:color w:val="auto"/>
        </w:rPr>
      </w:pPr>
    </w:p>
    <w:p>
      <w:pPr>
        <w:ind w:right="340" w:firstLine="129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and subject to the provisions of the letter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July 29, 2020, the Company and Indemnitee do hereby covenant 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20" w:firstLine="8"/>
        <w:spacing w:after="0" w:line="254" w:lineRule="auto"/>
        <w:tabs>
          <w:tab w:leader="none" w:pos="675"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 consideration of the Company’s covenants and obligations hereunder, Indemnitee will serve or continue to serve as an officer, director, advisor, key employee or any other capacity of any member of the Company Group,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any member of the Company Group, as provided in Section 17. This Agreement, however, shall not impose any obligation on Indemnitee or the Company to continue Indemnitee’s service to the Company Group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8" w:name="page129"/>
    <w:bookmarkEnd w:id="128"/>
    <w:p>
      <w:pPr>
        <w:ind w:left="680" w:hanging="672"/>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225" w:lineRule="exact"/>
        <w:rPr>
          <w:rFonts w:ascii="Arial" w:cs="Arial" w:eastAsia="Arial" w:hAnsi="Arial"/>
          <w:sz w:val="18"/>
          <w:szCs w:val="18"/>
          <w:color w:val="auto"/>
        </w:rPr>
      </w:pPr>
    </w:p>
    <w:p>
      <w:pPr>
        <w:ind w:right="140" w:firstLine="656"/>
        <w:spacing w:after="0" w:line="279" w:lineRule="auto"/>
        <w:tabs>
          <w:tab w:leader="none" w:pos="1387" w:val="left"/>
        </w:tabs>
        <w:numPr>
          <w:ilvl w:val="1"/>
          <w:numId w:val="122"/>
        </w:numPr>
        <w:rPr>
          <w:rFonts w:ascii="Arial" w:cs="Arial" w:eastAsia="Arial" w:hAnsi="Arial"/>
          <w:sz w:val="17"/>
          <w:szCs w:val="17"/>
          <w:color w:val="auto"/>
        </w:rPr>
      </w:pPr>
      <w:r>
        <w:rPr>
          <w:rFonts w:ascii="Arial" w:cs="Arial" w:eastAsia="Arial" w:hAnsi="Arial"/>
          <w:sz w:val="17"/>
          <w:szCs w:val="17"/>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1" w:lineRule="exact"/>
        <w:rPr>
          <w:rFonts w:ascii="Arial" w:cs="Arial" w:eastAsia="Arial" w:hAnsi="Arial"/>
          <w:sz w:val="17"/>
          <w:szCs w:val="17"/>
          <w:color w:val="auto"/>
        </w:rPr>
      </w:pPr>
    </w:p>
    <w:p>
      <w:pPr>
        <w:ind w:right="440" w:firstLine="656"/>
        <w:spacing w:after="0" w:line="277" w:lineRule="auto"/>
        <w:tabs>
          <w:tab w:leader="none" w:pos="139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events:</w:t>
      </w:r>
    </w:p>
    <w:p>
      <w:pPr>
        <w:spacing w:after="0" w:line="210" w:lineRule="exact"/>
        <w:rPr>
          <w:rFonts w:ascii="Arial" w:cs="Arial" w:eastAsia="Arial" w:hAnsi="Arial"/>
          <w:sz w:val="17"/>
          <w:szCs w:val="17"/>
          <w:color w:val="auto"/>
        </w:rPr>
      </w:pPr>
    </w:p>
    <w:p>
      <w:pPr>
        <w:ind w:right="160" w:firstLine="1304"/>
        <w:spacing w:after="0" w:line="273" w:lineRule="auto"/>
        <w:tabs>
          <w:tab w:leader="none" w:pos="2006" w:val="left"/>
        </w:tabs>
        <w:numPr>
          <w:ilvl w:val="2"/>
          <w:numId w:val="122"/>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an affiliate of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ind w:right="60" w:firstLine="1304"/>
        <w:spacing w:after="0" w:line="259" w:lineRule="auto"/>
        <w:tabs>
          <w:tab w:leader="none" w:pos="2056" w:val="left"/>
        </w:tabs>
        <w:numPr>
          <w:ilvl w:val="2"/>
          <w:numId w:val="122"/>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appointment by the Board or nomination for election by the Company’s stockholders was approved by a vote of at least two thirds of the directors then still in office who were directors on the date hereof or whose appointment or nomination for election was previously so approved (collectively, the “</w:t>
      </w:r>
      <w:r>
        <w:rPr>
          <w:rFonts w:ascii="Arial" w:cs="Arial" w:eastAsia="Arial" w:hAnsi="Arial"/>
          <w:sz w:val="18"/>
          <w:szCs w:val="18"/>
          <w:u w:val="single" w:color="auto"/>
          <w:color w:val="auto"/>
        </w:rPr>
        <w:t>Continuing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cease for any reason to constitute a majority of the members of the Board;</w:t>
      </w:r>
    </w:p>
    <w:p>
      <w:pPr>
        <w:spacing w:after="0" w:line="186" w:lineRule="exact"/>
        <w:rPr>
          <w:rFonts w:ascii="Arial" w:cs="Arial" w:eastAsia="Arial" w:hAnsi="Arial"/>
          <w:sz w:val="18"/>
          <w:szCs w:val="18"/>
          <w:color w:val="auto"/>
        </w:rPr>
      </w:pPr>
    </w:p>
    <w:p>
      <w:pPr>
        <w:ind w:firstLine="1304"/>
        <w:spacing w:after="0" w:line="268" w:lineRule="auto"/>
        <w:tabs>
          <w:tab w:leader="none" w:pos="2106" w:val="left"/>
        </w:tabs>
        <w:numPr>
          <w:ilvl w:val="2"/>
          <w:numId w:val="122"/>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of the Company entitled to vote generally in the election of directors immediately prior to such Business Combination beneficially own, directly or indirectly, more than 51% of the combined voting power of the then outstanding securities of the surviving or resulting entity or the ultimate parent entity that controls such surviving or resulting entity (the “</w:t>
      </w:r>
      <w:r>
        <w:rPr>
          <w:rFonts w:ascii="Arial" w:cs="Arial" w:eastAsia="Arial" w:hAnsi="Arial"/>
          <w:sz w:val="17"/>
          <w:szCs w:val="17"/>
          <w:u w:val="single" w:color="auto"/>
          <w:color w:val="auto"/>
        </w:rPr>
        <w:t>Successor</w:t>
      </w:r>
      <w:r>
        <w:rPr>
          <w:rFonts w:ascii="Arial" w:cs="Arial" w:eastAsia="Arial" w:hAnsi="Arial"/>
          <w:sz w:val="17"/>
          <w:szCs w:val="17"/>
          <w:color w:val="auto"/>
        </w:rPr>
        <w:t>”) entitled to vote generally in the election of directors of the Successor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Company, no Person (excluding any corporation resulting from such Business Combination) is the Beneficial Owner, directly or indirectly, of 15% or more of the combined voting power of the then outstanding securities entitled to vote generally in the election of directors of the successor except to the extent that such Person was the Beneficial Owner, directly or indirectly, of 15% or more of the combined voting power of the Company prior to such Business Combination; and (3) a majority of the board of directors (or comparable governing body) of the Successor were Continuing Directors at the time of the execution of the initial agreement, or of the action of the Board of Directors, providing for such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ind w:left="-160" w:firstLine="1304"/>
        <w:spacing w:after="0" w:line="259" w:lineRule="auto"/>
        <w:tabs>
          <w:tab w:leader="none" w:pos="1935"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160" w:right="420" w:firstLine="1304"/>
        <w:spacing w:after="0" w:line="286" w:lineRule="auto"/>
        <w:tabs>
          <w:tab w:leader="none" w:pos="1885" w:val="left"/>
        </w:tabs>
        <w:numPr>
          <w:ilvl w:val="1"/>
          <w:numId w:val="123"/>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65" w:lineRule="exact"/>
        <w:rPr>
          <w:rFonts w:ascii="Arial" w:cs="Arial" w:eastAsia="Arial" w:hAnsi="Arial"/>
          <w:sz w:val="17"/>
          <w:szCs w:val="17"/>
          <w:color w:val="auto"/>
        </w:rPr>
      </w:pPr>
    </w:p>
    <w:p>
      <w:pPr>
        <w:ind w:left="-160" w:right="20" w:firstLine="656"/>
        <w:spacing w:after="0" w:line="263" w:lineRule="auto"/>
        <w:tabs>
          <w:tab w:leader="none" w:pos="123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1240" w:hanging="744"/>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left="-160" w:right="80" w:firstLine="656"/>
        <w:spacing w:after="0" w:line="277" w:lineRule="auto"/>
        <w:tabs>
          <w:tab w:leader="none" w:pos="120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160" w:right="140" w:firstLine="656"/>
        <w:spacing w:after="0" w:line="259" w:lineRule="auto"/>
        <w:tabs>
          <w:tab w:leader="none" w:pos="123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1240" w:hanging="744"/>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30" w:name="page131"/>
    <w:bookmarkEnd w:id="130"/>
    <w:p>
      <w:pPr>
        <w:ind w:left="-8" w:firstLine="656"/>
        <w:spacing w:after="0" w:line="269" w:lineRule="auto"/>
        <w:tabs>
          <w:tab w:leader="none" w:pos="135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 incurred in any Proceeding by or in the right of the Company.</w:t>
      </w:r>
    </w:p>
    <w:p>
      <w:pPr>
        <w:spacing w:after="0" w:line="185" w:lineRule="exact"/>
        <w:rPr>
          <w:rFonts w:ascii="Arial" w:cs="Arial" w:eastAsia="Arial" w:hAnsi="Arial"/>
          <w:sz w:val="17"/>
          <w:szCs w:val="17"/>
          <w:color w:val="auto"/>
        </w:rPr>
      </w:pPr>
    </w:p>
    <w:p>
      <w:pPr>
        <w:ind w:left="-8" w:right="60" w:firstLine="656"/>
        <w:spacing w:after="0" w:line="255" w:lineRule="auto"/>
        <w:tabs>
          <w:tab w:leader="none" w:pos="135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u w:val="single" w:color="auto"/>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ind w:left="-8" w:right="60" w:firstLine="656"/>
        <w:spacing w:after="0" w:line="287" w:lineRule="auto"/>
        <w:tabs>
          <w:tab w:leader="none" w:pos="1389" w:val="left"/>
        </w:tabs>
        <w:numPr>
          <w:ilvl w:val="1"/>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spacing w:after="0" w:line="2" w:lineRule="exact"/>
        <w:rPr>
          <w:rFonts w:ascii="Arial" w:cs="Arial" w:eastAsia="Arial" w:hAnsi="Arial"/>
          <w:sz w:val="16"/>
          <w:szCs w:val="16"/>
          <w:color w:val="auto"/>
        </w:rPr>
      </w:pPr>
    </w:p>
    <w:p>
      <w:pPr>
        <w:ind w:left="-8" w:right="140" w:firstLine="8"/>
        <w:spacing w:after="0" w:line="277" w:lineRule="auto"/>
        <w:tabs>
          <w:tab w:leader="none" w:pos="25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ind w:left="-8" w:right="60" w:firstLine="656"/>
        <w:spacing w:after="0" w:line="273" w:lineRule="auto"/>
        <w:tabs>
          <w:tab w:leader="none" w:pos="135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w:t>
      </w:r>
      <w:r>
        <w:rPr>
          <w:rFonts w:ascii="Arial" w:cs="Arial" w:eastAsia="Arial" w:hAnsi="Arial"/>
          <w:sz w:val="17"/>
          <w:szCs w:val="17"/>
          <w:u w:val="single" w:color="auto"/>
          <w:color w:val="auto"/>
        </w:rPr>
        <w:t>Person</w:t>
      </w:r>
      <w:r>
        <w:rPr>
          <w:rFonts w:ascii="Arial" w:cs="Arial" w:eastAsia="Arial" w:hAnsi="Arial"/>
          <w:sz w:val="17"/>
          <w:szCs w:val="17"/>
          <w:color w:val="auto"/>
        </w:rPr>
        <w:t>”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3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31" w:name="page132"/>
    <w:bookmarkEnd w:id="131"/>
    <w:p>
      <w:pPr>
        <w:ind w:left="-8" w:right="20" w:firstLine="656"/>
        <w:spacing w:after="0" w:line="273" w:lineRule="auto"/>
        <w:tabs>
          <w:tab w:leader="none" w:pos="1439"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of Indemnitee’s Corporate Status, whether or not serving in such capacity at the time any liability or expense is incurred for which indemnification, reimbursement, or advancement of expenses can be provided under this Agreement but shall not include any Enforcement Proceeding pursuant to Section 14.</w:t>
      </w:r>
    </w:p>
    <w:p>
      <w:pPr>
        <w:spacing w:after="0" w:line="177" w:lineRule="exact"/>
        <w:rPr>
          <w:rFonts w:ascii="Arial" w:cs="Arial" w:eastAsia="Arial" w:hAnsi="Arial"/>
          <w:sz w:val="17"/>
          <w:szCs w:val="17"/>
          <w:color w:val="auto"/>
        </w:rPr>
      </w:pPr>
    </w:p>
    <w:p>
      <w:pPr>
        <w:ind w:left="-8" w:right="80" w:firstLine="656"/>
        <w:spacing w:after="0" w:line="342" w:lineRule="auto"/>
        <w:tabs>
          <w:tab w:leader="none" w:pos="1389"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Subsidiary</w:t>
      </w:r>
      <w:r>
        <w:rPr>
          <w:rFonts w:ascii="Arial" w:cs="Arial" w:eastAsia="Arial" w:hAnsi="Arial"/>
          <w:sz w:val="16"/>
          <w:szCs w:val="16"/>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23" w:lineRule="exact"/>
        <w:rPr>
          <w:rFonts w:ascii="Arial" w:cs="Arial" w:eastAsia="Arial" w:hAnsi="Arial"/>
          <w:sz w:val="16"/>
          <w:szCs w:val="16"/>
          <w:color w:val="auto"/>
        </w:rPr>
      </w:pPr>
    </w:p>
    <w:p>
      <w:pPr>
        <w:ind w:left="-8" w:right="120" w:firstLine="8"/>
        <w:spacing w:after="0" w:line="271" w:lineRule="auto"/>
        <w:tabs>
          <w:tab w:leader="none" w:pos="667"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To the fullest 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(including all interest, assessments and other charges paid or payable in connection with or in respect of such Expenses) actually and reasonably incurred by Indemnitee or on Indemnitee’s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Indemnitee’s conduct was unlawful.</w:t>
      </w:r>
    </w:p>
    <w:p>
      <w:pPr>
        <w:spacing w:after="0" w:line="178" w:lineRule="exact"/>
        <w:rPr>
          <w:rFonts w:ascii="Arial" w:cs="Arial" w:eastAsia="Arial" w:hAnsi="Arial"/>
          <w:sz w:val="17"/>
          <w:szCs w:val="17"/>
          <w:color w:val="auto"/>
        </w:rPr>
      </w:pPr>
    </w:p>
    <w:p>
      <w:pPr>
        <w:ind w:left="-8" w:firstLine="8"/>
        <w:spacing w:after="0" w:line="288" w:lineRule="auto"/>
        <w:tabs>
          <w:tab w:leader="none" w:pos="667"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32" w:name="page133"/>
    <w:bookmarkEnd w:id="132"/>
    <w:p>
      <w:pPr>
        <w:ind w:left="-8" w:right="80" w:firstLine="8"/>
        <w:spacing w:after="0" w:line="287" w:lineRule="auto"/>
        <w:tabs>
          <w:tab w:leader="none" w:pos="667"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except for Section 27, to the extent that Indemnitee was or is, by reason of Indemnitee’s Corporate Status, a party to (or a participant in) and is successful, on the merits or otherwise, in defending any Proceeding or in defense of any claim, issue or matter therein, in whole or in part, the defending Company shall, to the fullest extent permitted by applicable law, indemnify, hold harmless and exonerate Indemnitee against all Expenses actually and reasonably incurred by Indemnitee in connection therewith. If Indemnitee is not wholly successful in defense of such Proceeding (or part thereof) but is successful, on the merits or otherwise, in defense of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defense of such Proceeding (or part thereof),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and without limitation, the termination of any claim, issue or matter in such a Proceeding by dismissal, with or without prejudice, shall be deemed to be a successful result as to the defense of such claim, issue or matter.</w:t>
      </w:r>
    </w:p>
    <w:p>
      <w:pPr>
        <w:spacing w:after="0" w:line="167" w:lineRule="exact"/>
        <w:rPr>
          <w:rFonts w:ascii="Arial" w:cs="Arial" w:eastAsia="Arial" w:hAnsi="Arial"/>
          <w:sz w:val="16"/>
          <w:szCs w:val="16"/>
          <w:color w:val="auto"/>
        </w:rPr>
      </w:pPr>
    </w:p>
    <w:p>
      <w:pPr>
        <w:ind w:left="-8" w:right="180" w:firstLine="8"/>
        <w:spacing w:after="0" w:line="279" w:lineRule="auto"/>
        <w:tabs>
          <w:tab w:leader="none" w:pos="667"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except for Section 27, to the extent that Indemnitee is, by reason of Indemnitee’s Corporate Status, a witness or deponent in any Proceeding to which Indemnitee was not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71" w:lineRule="exact"/>
        <w:rPr>
          <w:rFonts w:ascii="Arial" w:cs="Arial" w:eastAsia="Arial" w:hAnsi="Arial"/>
          <w:sz w:val="17"/>
          <w:szCs w:val="17"/>
          <w:color w:val="auto"/>
        </w:rPr>
      </w:pPr>
    </w:p>
    <w:p>
      <w:pPr>
        <w:ind w:left="-8" w:firstLine="8"/>
        <w:spacing w:after="0" w:line="255" w:lineRule="auto"/>
        <w:tabs>
          <w:tab w:leader="none" w:pos="667"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ADDITIONAL INDEMNIFICATION, HOLD HARMLESS AND EXONERATION RIGHTS</w:t>
      </w:r>
      <w:r>
        <w:rPr>
          <w:rFonts w:ascii="Arial" w:cs="Arial" w:eastAsia="Arial" w:hAnsi="Arial"/>
          <w:sz w:val="18"/>
          <w:szCs w:val="18"/>
          <w:color w:val="auto"/>
        </w:rPr>
        <w:t>. Notwithstanding any limitation in Sections 3, 4, or 5, except for Section 27, the Company shall, to the fullest extent permitted by applicable law, indemnify, hold harmless and exonerate Indemnitee if Indemnitee is a party to or threatened to be made a party to any Proceeding against all Expenses and judgments, fines, penalties and amounts paid in settlement in any Proceeding by or in the right of the Company to procure a judgment in its favor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33" w:name="page134"/>
    <w:bookmarkEnd w:id="133"/>
    <w:p>
      <w:pPr>
        <w:ind w:left="672" w:hanging="672"/>
        <w:spacing w:after="0"/>
        <w:tabs>
          <w:tab w:leader="none" w:pos="67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CONTRIBUTION IN THE EVENT OF JOINT 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00" w:firstLine="656"/>
        <w:spacing w:after="0" w:line="296" w:lineRule="auto"/>
        <w:tabs>
          <w:tab w:leader="none" w:pos="1379"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8" w:right="120" w:firstLine="656"/>
        <w:spacing w:after="0" w:line="308" w:lineRule="auto"/>
        <w:tabs>
          <w:tab w:leader="none" w:pos="1389"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46" w:lineRule="exact"/>
        <w:rPr>
          <w:rFonts w:ascii="Arial" w:cs="Arial" w:eastAsia="Arial" w:hAnsi="Arial"/>
          <w:sz w:val="17"/>
          <w:szCs w:val="17"/>
          <w:color w:val="auto"/>
        </w:rPr>
      </w:pPr>
    </w:p>
    <w:p>
      <w:pPr>
        <w:ind w:left="-8" w:right="120" w:firstLine="656"/>
        <w:spacing w:after="0" w:line="277" w:lineRule="auto"/>
        <w:tabs>
          <w:tab w:leader="none" w:pos="137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70" w:lineRule="exact"/>
        <w:rPr>
          <w:rFonts w:ascii="Arial" w:cs="Arial" w:eastAsia="Arial" w:hAnsi="Arial"/>
          <w:sz w:val="18"/>
          <w:szCs w:val="18"/>
          <w:color w:val="auto"/>
        </w:rPr>
      </w:pPr>
    </w:p>
    <w:p>
      <w:pPr>
        <w:ind w:left="-8" w:right="540" w:firstLine="8"/>
        <w:spacing w:after="0" w:line="308" w:lineRule="auto"/>
        <w:tabs>
          <w:tab w:leader="none" w:pos="667"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the Company shall not be obligated under this Agreement to make any indemnification, advance expenses, hold harmless or exoneration payment in connection with any claim made against Indemnitee:</w:t>
      </w:r>
    </w:p>
    <w:p>
      <w:pPr>
        <w:spacing w:after="0" w:line="146" w:lineRule="exact"/>
        <w:rPr>
          <w:rFonts w:ascii="Arial" w:cs="Arial" w:eastAsia="Arial" w:hAnsi="Arial"/>
          <w:sz w:val="17"/>
          <w:szCs w:val="17"/>
          <w:color w:val="auto"/>
        </w:rPr>
      </w:pPr>
    </w:p>
    <w:p>
      <w:pPr>
        <w:ind w:left="-8" w:right="360" w:firstLine="656"/>
        <w:spacing w:after="0" w:line="263" w:lineRule="auto"/>
        <w:tabs>
          <w:tab w:leader="none" w:pos="137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83" w:lineRule="exact"/>
        <w:rPr>
          <w:rFonts w:ascii="Arial" w:cs="Arial" w:eastAsia="Arial" w:hAnsi="Arial"/>
          <w:sz w:val="18"/>
          <w:szCs w:val="18"/>
          <w:color w:val="auto"/>
        </w:rPr>
      </w:pPr>
    </w:p>
    <w:p>
      <w:pPr>
        <w:ind w:left="-8" w:right="40" w:firstLine="656"/>
        <w:spacing w:after="0" w:line="308" w:lineRule="auto"/>
        <w:tabs>
          <w:tab w:leader="none" w:pos="1389" w:val="left"/>
        </w:tabs>
        <w:numPr>
          <w:ilvl w:val="1"/>
          <w:numId w:val="130"/>
        </w:numPr>
        <w:rPr>
          <w:rFonts w:ascii="Arial" w:cs="Arial" w:eastAsia="Arial" w:hAnsi="Arial"/>
          <w:sz w:val="17"/>
          <w:szCs w:val="17"/>
          <w:color w:val="auto"/>
        </w:rPr>
      </w:pPr>
      <w:r>
        <w:rPr>
          <w:rFonts w:ascii="Arial" w:cs="Arial" w:eastAsia="Arial" w:hAnsi="Arial"/>
          <w:sz w:val="17"/>
          <w:szCs w:val="17"/>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46" w:lineRule="exact"/>
        <w:rPr>
          <w:rFonts w:ascii="Arial" w:cs="Arial" w:eastAsia="Arial" w:hAnsi="Arial"/>
          <w:sz w:val="17"/>
          <w:szCs w:val="17"/>
          <w:color w:val="auto"/>
        </w:rPr>
      </w:pPr>
    </w:p>
    <w:p>
      <w:pPr>
        <w:ind w:left="-8" w:firstLine="656"/>
        <w:spacing w:after="0" w:line="273" w:lineRule="auto"/>
        <w:tabs>
          <w:tab w:leader="none" w:pos="1379" w:val="left"/>
        </w:tabs>
        <w:numPr>
          <w:ilvl w:val="1"/>
          <w:numId w:val="130"/>
        </w:numPr>
        <w:rPr>
          <w:rFonts w:ascii="Arial" w:cs="Arial" w:eastAsia="Arial" w:hAnsi="Arial"/>
          <w:sz w:val="17"/>
          <w:szCs w:val="17"/>
          <w:color w:val="auto"/>
        </w:rPr>
      </w:pPr>
      <w:r>
        <w:rPr>
          <w:rFonts w:ascii="Arial" w:cs="Arial" w:eastAsia="Arial" w:hAnsi="Arial"/>
          <w:sz w:val="17"/>
          <w:szCs w:val="17"/>
          <w:color w:val="auto"/>
        </w:rPr>
        <w:t>except as otherwise provided in Sections 14(f)-(g)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39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134" w:name="page135"/>
    <w:bookmarkEnd w:id="134"/>
    <w:p>
      <w:pPr>
        <w:ind w:left="772" w:hanging="772"/>
        <w:spacing w:after="0"/>
        <w:tabs>
          <w:tab w:leader="none" w:pos="77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ADVANCES OF EXPENSES; DEFENSE OF CLAIM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87" w:lineRule="auto"/>
        <w:tabs>
          <w:tab w:leader="none" w:pos="1379" w:val="left"/>
        </w:tabs>
        <w:numPr>
          <w:ilvl w:val="1"/>
          <w:numId w:val="131"/>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except for Section 27, and to the fullest extent not prohibited by applicable law, the Company shall pay the Expenses incurred by Indemnitee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an Enforcement Proceeding (assuming for this purpose all references to a “Proceeding” in the definition of Expenses were deemed related to an Enforcement Proceeding), including Expenses incurred preparing and forwarding statements to the Company to support the advances claimed. This Agreement shall constitute Indemnitee’s undertaking to repay the advanced amounts to the extent that it is ultimately determined that Indemnitee is not entitled to be indemnified, held harmless or exonerated by the Company under the provisions of this Agreement, the Charter, the Bylaws of the Company, applicable law or otherwise, but only if such an undertaking is required by applicable law. This Section 10(a) shall not apply to any Proceeding for which indemnity is not permitted under Section 9 of this Agreement, but shall apply to any Proceeding referenced in Section 9(b) prior to a final determination that Indemnitee is liable therefor.</w:t>
      </w:r>
    </w:p>
    <w:p>
      <w:pPr>
        <w:spacing w:after="0" w:line="167" w:lineRule="exact"/>
        <w:rPr>
          <w:rFonts w:ascii="Arial" w:cs="Arial" w:eastAsia="Arial" w:hAnsi="Arial"/>
          <w:sz w:val="16"/>
          <w:szCs w:val="16"/>
          <w:color w:val="auto"/>
        </w:rPr>
      </w:pPr>
    </w:p>
    <w:p>
      <w:pPr>
        <w:ind w:left="1392" w:hanging="744"/>
        <w:spacing w:after="0"/>
        <w:tabs>
          <w:tab w:leader="none" w:pos="139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8" w:right="180" w:firstLine="656"/>
        <w:spacing w:after="0" w:line="277" w:lineRule="auto"/>
        <w:tabs>
          <w:tab w:leader="none" w:pos="1379"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170" w:lineRule="exact"/>
        <w:rPr>
          <w:rFonts w:ascii="Arial" w:cs="Arial" w:eastAsia="Arial" w:hAnsi="Arial"/>
          <w:sz w:val="18"/>
          <w:szCs w:val="18"/>
          <w:color w:val="auto"/>
        </w:rPr>
      </w:pPr>
    </w:p>
    <w:p>
      <w:pPr>
        <w:ind w:left="752" w:hanging="752"/>
        <w:spacing w:after="0"/>
        <w:tabs>
          <w:tab w:leader="none" w:pos="75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PROCEDURE FOR NOTIFICATION AND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20" w:firstLine="656"/>
        <w:spacing w:after="0" w:line="259" w:lineRule="auto"/>
        <w:tabs>
          <w:tab w:leader="none" w:pos="1379"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86" w:lineRule="exact"/>
        <w:rPr>
          <w:rFonts w:ascii="Arial" w:cs="Arial" w:eastAsia="Arial" w:hAnsi="Arial"/>
          <w:sz w:val="18"/>
          <w:szCs w:val="18"/>
          <w:color w:val="auto"/>
        </w:rPr>
      </w:pPr>
    </w:p>
    <w:p>
      <w:pPr>
        <w:ind w:left="-8" w:right="120" w:firstLine="656"/>
        <w:spacing w:after="0" w:line="259" w:lineRule="auto"/>
        <w:tabs>
          <w:tab w:leader="none" w:pos="1389"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sole discretion. Following such a written application for indemnification by Indemnitee, Indemnitee’s entitlement to indemnification shall be determined according to Section 12(a) of this Agreement.</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35" w:name="page136"/>
    <w:bookmarkEnd w:id="135"/>
    <w:p>
      <w:pPr>
        <w:ind w:left="772" w:hanging="772"/>
        <w:spacing w:after="0"/>
        <w:tabs>
          <w:tab w:leader="none" w:pos="77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directors so direct, by Independent Counsel in a written opinion to the Board, a copy of which shall be delivered to Indemnitee, or (ii) if a Change in Control has occurred, by Independent Counsel in a written opinion to the Board, a copy of which shall be delivered to the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4" w:lineRule="exact"/>
        <w:rPr>
          <w:rFonts w:ascii="Arial" w:cs="Arial" w:eastAsia="Arial" w:hAnsi="Arial"/>
          <w:sz w:val="17"/>
          <w:szCs w:val="17"/>
          <w:color w:val="auto"/>
        </w:rPr>
      </w:pPr>
    </w:p>
    <w:p>
      <w:pPr>
        <w:ind w:left="-8" w:right="20" w:firstLine="656"/>
        <w:spacing w:after="0" w:line="285" w:lineRule="auto"/>
        <w:tabs>
          <w:tab w:leader="none" w:pos="1389"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36" w:name="page137"/>
    <w:bookmarkEnd w:id="136"/>
    <w:p>
      <w:pPr>
        <w:ind w:left="-8" w:right="160" w:firstLine="656"/>
        <w:spacing w:after="0" w:line="263" w:lineRule="auto"/>
        <w:tabs>
          <w:tab w:leader="none" w:pos="1379"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3" w:lineRule="exact"/>
        <w:rPr>
          <w:rFonts w:ascii="Arial" w:cs="Arial" w:eastAsia="Arial" w:hAnsi="Arial"/>
          <w:sz w:val="18"/>
          <w:szCs w:val="18"/>
          <w:color w:val="auto"/>
        </w:rPr>
      </w:pPr>
    </w:p>
    <w:p>
      <w:pPr>
        <w:ind w:left="772" w:hanging="772"/>
        <w:spacing w:after="0"/>
        <w:tabs>
          <w:tab w:leader="none" w:pos="772"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71" w:lineRule="auto"/>
        <w:tabs>
          <w:tab w:leader="none" w:pos="1379"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left="-8" w:right="40" w:firstLine="656"/>
        <w:spacing w:after="0" w:line="271" w:lineRule="auto"/>
        <w:tabs>
          <w:tab w:leader="none" w:pos="1389"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37" w:name="page138"/>
    <w:bookmarkEnd w:id="137"/>
    <w:p>
      <w:pPr>
        <w:ind w:left="-8" w:right="20" w:firstLine="656"/>
        <w:spacing w:after="0" w:line="257" w:lineRule="auto"/>
        <w:tabs>
          <w:tab w:leader="none" w:pos="1379"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8" w:right="60" w:firstLine="656"/>
        <w:spacing w:after="0" w:line="290" w:lineRule="auto"/>
        <w:tabs>
          <w:tab w:leader="none" w:pos="1389" w:val="left"/>
        </w:tabs>
        <w:numPr>
          <w:ilvl w:val="1"/>
          <w:numId w:val="135"/>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65" w:lineRule="exact"/>
        <w:rPr>
          <w:rFonts w:ascii="Arial" w:cs="Arial" w:eastAsia="Arial" w:hAnsi="Arial"/>
          <w:sz w:val="16"/>
          <w:szCs w:val="16"/>
          <w:color w:val="auto"/>
        </w:rPr>
      </w:pPr>
    </w:p>
    <w:p>
      <w:pPr>
        <w:ind w:left="-8" w:right="280" w:firstLine="656"/>
        <w:spacing w:after="0" w:line="342" w:lineRule="auto"/>
        <w:tabs>
          <w:tab w:leader="none" w:pos="1379"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23" w:lineRule="exact"/>
        <w:rPr>
          <w:rFonts w:ascii="Arial" w:cs="Arial" w:eastAsia="Arial" w:hAnsi="Arial"/>
          <w:sz w:val="16"/>
          <w:szCs w:val="16"/>
          <w:color w:val="auto"/>
        </w:rPr>
      </w:pPr>
    </w:p>
    <w:p>
      <w:pPr>
        <w:ind w:left="772" w:hanging="772"/>
        <w:spacing w:after="0"/>
        <w:tabs>
          <w:tab w:leader="none" w:pos="772"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136"/>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 Such adjudication or arbitration proceeding is referred to herein as “Enforcement Proceeding.”</w:t>
      </w:r>
    </w:p>
    <w:p>
      <w:pPr>
        <w:spacing w:after="0" w:line="200" w:lineRule="exact"/>
        <w:rPr>
          <w:sz w:val="20"/>
          <w:szCs w:val="20"/>
          <w:color w:val="auto"/>
        </w:rPr>
      </w:pP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38" w:name="page139"/>
    <w:bookmarkEnd w:id="138"/>
    <w:p>
      <w:pPr>
        <w:ind w:right="120" w:firstLine="656"/>
        <w:spacing w:after="0" w:line="263" w:lineRule="auto"/>
        <w:tabs>
          <w:tab w:leader="none" w:pos="139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Enforcement Proceeding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ind w:firstLine="656"/>
        <w:spacing w:after="0" w:line="293" w:lineRule="auto"/>
        <w:tabs>
          <w:tab w:leader="none" w:pos="138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any Enforcement Proceeding, Indemnitee shall be presumed to be entitled to be indemnified, held harmless, exonerated and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an Enforcement Proceeding,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4" w:lineRule="exact"/>
        <w:rPr>
          <w:rFonts w:ascii="Arial" w:cs="Arial" w:eastAsia="Arial" w:hAnsi="Arial"/>
          <w:sz w:val="16"/>
          <w:szCs w:val="16"/>
          <w:color w:val="auto"/>
        </w:rPr>
      </w:pPr>
    </w:p>
    <w:p>
      <w:pPr>
        <w:ind w:firstLine="656"/>
        <w:spacing w:after="0" w:line="259" w:lineRule="auto"/>
        <w:tabs>
          <w:tab w:leader="none" w:pos="139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Enforcement Proceeding,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right="40" w:firstLine="656"/>
        <w:spacing w:after="0" w:line="263" w:lineRule="auto"/>
        <w:tabs>
          <w:tab w:leader="none" w:pos="138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shall be precluded from asserting in Enforcement Proceeding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right="40" w:firstLine="656"/>
        <w:spacing w:after="0" w:line="270" w:lineRule="auto"/>
        <w:tabs>
          <w:tab w:leader="none" w:pos="136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(assuming for purposes of this sentence that all references to a Proceeding in the definition of Expenses were references to an Enforcement Proceeding) and, if requested by Indemnitee, shall (within ten (10) days after the Company’s receipt of such written request) pay to Indemnitee, to the fullest extent permitted by applicable law, such Expenses which are incurred by Indemnitee in connection with any Enforcement Proceeding brought by Indemnitee: (i) to enforce his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Enforcement Proceeding was not brought by Indemnitee in good faith).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firstLine="656"/>
        <w:spacing w:after="0" w:line="259" w:lineRule="auto"/>
        <w:tabs>
          <w:tab w:leader="none" w:pos="139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or on behalf of the Company.</w:t>
      </w:r>
    </w:p>
    <w:p>
      <w:pPr>
        <w:spacing w:after="0" w:line="186" w:lineRule="exact"/>
        <w:rPr>
          <w:rFonts w:ascii="Arial" w:cs="Arial" w:eastAsia="Arial" w:hAnsi="Arial"/>
          <w:sz w:val="18"/>
          <w:szCs w:val="18"/>
          <w:color w:val="auto"/>
        </w:rPr>
      </w:pPr>
    </w:p>
    <w:p>
      <w:pPr>
        <w:ind w:firstLine="8"/>
        <w:spacing w:after="0" w:line="259" w:lineRule="auto"/>
        <w:tabs>
          <w:tab w:leader="none" w:pos="76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Notwithstanding anything herein to the contrary, except for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86" w:lineRule="exact"/>
        <w:rPr>
          <w:rFonts w:ascii="Arial" w:cs="Arial" w:eastAsia="Arial" w:hAnsi="Arial"/>
          <w:sz w:val="18"/>
          <w:szCs w:val="18"/>
          <w:color w:val="auto"/>
        </w:rPr>
      </w:pPr>
    </w:p>
    <w:p>
      <w:pPr>
        <w:ind w:left="780" w:hanging="772"/>
        <w:spacing w:after="0"/>
        <w:tabs>
          <w:tab w:leader="none" w:pos="78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69" w:lineRule="auto"/>
        <w:tabs>
          <w:tab w:leader="none" w:pos="1387"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repeals, except as may otherwise be expressly set forth in such amendment, alteration or repeals and mutually agreed by Indemnitee and the Company.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ind w:left="-40" w:right="20" w:firstLine="656"/>
        <w:spacing w:after="0" w:line="253" w:lineRule="auto"/>
        <w:tabs>
          <w:tab w:leader="none" w:pos="135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Delaware General Corporation Law (the “DGCL”), the Charter and the Bylaws permit the Company to purchase and maintain insurance or furnish similar protection or make other arrangements including, but not limited to, providing a trust fund, letter of credit, or surety bond (“Indemnification Arrangements”)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96" w:lineRule="exact"/>
        <w:rPr>
          <w:rFonts w:ascii="Arial" w:cs="Arial" w:eastAsia="Arial" w:hAnsi="Arial"/>
          <w:sz w:val="18"/>
          <w:szCs w:val="18"/>
          <w:color w:val="auto"/>
        </w:rPr>
      </w:pPr>
    </w:p>
    <w:p>
      <w:pPr>
        <w:ind w:left="-40" w:right="60" w:firstLine="656"/>
        <w:spacing w:after="0" w:line="270" w:lineRule="auto"/>
        <w:tabs>
          <w:tab w:leader="none" w:pos="134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To the extent that any member of the Company Group maintains an insurance policy or policies providing liability insurance for directors, officers, trustees, partners, managers, managing members, fiduciaries, employees, or agents of the Company Group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or cause to be taken all necessary or desirable action to cause such insurers to pay, on behalf of Indemnitee, all amounts payable as a result of such Proceeding in accordance with the terms of such policies.</w:t>
      </w:r>
    </w:p>
    <w:p>
      <w:pPr>
        <w:spacing w:after="0" w:line="180" w:lineRule="exact"/>
        <w:rPr>
          <w:rFonts w:ascii="Arial" w:cs="Arial" w:eastAsia="Arial" w:hAnsi="Arial"/>
          <w:sz w:val="17"/>
          <w:szCs w:val="17"/>
          <w:color w:val="auto"/>
        </w:rPr>
      </w:pPr>
    </w:p>
    <w:p>
      <w:pPr>
        <w:ind w:left="-40" w:firstLine="656"/>
        <w:spacing w:after="0" w:line="286" w:lineRule="auto"/>
        <w:tabs>
          <w:tab w:leader="none" w:pos="135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141" w:name="page142"/>
    <w:bookmarkEnd w:id="141"/>
    <w:p>
      <w:pPr>
        <w:ind w:left="-8" w:right="60" w:firstLine="656"/>
        <w:spacing w:after="0" w:line="284" w:lineRule="auto"/>
        <w:tabs>
          <w:tab w:leader="none" w:pos="1379"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left="-8" w:right="100" w:firstLine="8"/>
        <w:spacing w:after="0" w:line="323" w:lineRule="auto"/>
        <w:tabs>
          <w:tab w:leader="none" w:pos="25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8" w:lineRule="exact"/>
        <w:rPr>
          <w:rFonts w:ascii="Arial" w:cs="Arial" w:eastAsia="Arial" w:hAnsi="Arial"/>
          <w:sz w:val="16"/>
          <w:szCs w:val="16"/>
          <w:color w:val="auto"/>
        </w:rPr>
      </w:pPr>
    </w:p>
    <w:p>
      <w:pPr>
        <w:ind w:left="-8" w:right="20" w:firstLine="656"/>
        <w:spacing w:after="0" w:line="287" w:lineRule="auto"/>
        <w:tabs>
          <w:tab w:leader="none" w:pos="13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the extent Indemnitee has rights to indemnification, advancement of expenses and/or insurance provided by the Sponsor or its affiliates as applicable, (i) the Company shall be the indemnitor of first resort (i.e., that its obligations to Indemnitee are primary and any obligation of the Sponsor or its affiliates, as applicable, to advance expenses or to provide indemnification for the same expenses or liabilities incurred by Indemnitee are secondary), (ii) the Company shall be required to advance the full amount of expenses incurred by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Agreement, the Company’s organizational documents or other agreement, without regard to any rights Indemnitee may have against the Sponsor or its affiliates, as applicable, and (iii) the Company irrevocably waives, relinquishes and releases the Sponsor and its affiliates, as applicable, from any and all claims against them for contribution, subrogation or any other recovery of any kind in respect thereof. No advancement or payment by the Sponsor or its affiliates, as applicable, on behalf of Indemnitee with respect to any claim for which Indemnitee has sought indemnification from the Company shall affect the foregoing, and the Sponsor and its affiliates, as applicable, shall have a right of contribution and be subrogated to the extent of such advancement or payment to all of the rights of recovery of Indemnitee against the Company.</w:t>
      </w:r>
    </w:p>
    <w:p>
      <w:pPr>
        <w:spacing w:after="0" w:line="168" w:lineRule="exact"/>
        <w:rPr>
          <w:sz w:val="20"/>
          <w:szCs w:val="20"/>
          <w:color w:val="auto"/>
        </w:rPr>
      </w:pPr>
    </w:p>
    <w:p>
      <w:pPr>
        <w:ind w:left="-8" w:firstLine="8"/>
        <w:spacing w:after="0" w:line="273" w:lineRule="auto"/>
        <w:tabs>
          <w:tab w:leader="none" w:pos="757"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All agreements and obligations of the Company contained 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or Enforcement Proceeding (including any rights of appeal thereto) by reason of Indemnitee’s Corporate Status, whether or not Indemnitee is acting in any such capacity at the time any liability or expense is incurred for which indemnification or advancement can be provided under this Agreement.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42" w:name="page143"/>
    <w:bookmarkEnd w:id="142"/>
    <w:p>
      <w:pPr>
        <w:ind w:left="-8" w:right="60" w:firstLine="8"/>
        <w:spacing w:after="0" w:line="271" w:lineRule="auto"/>
        <w:tabs>
          <w:tab w:leader="none" w:pos="757"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8" w:lineRule="exact"/>
        <w:rPr>
          <w:rFonts w:ascii="Arial" w:cs="Arial" w:eastAsia="Arial" w:hAnsi="Arial"/>
          <w:sz w:val="17"/>
          <w:szCs w:val="17"/>
          <w:color w:val="auto"/>
        </w:rPr>
      </w:pPr>
    </w:p>
    <w:p>
      <w:pPr>
        <w:ind w:left="772" w:hanging="772"/>
        <w:spacing w:after="0"/>
        <w:tabs>
          <w:tab w:leader="none" w:pos="77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ENFORCEMENT AND BINDING EFFECT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60" w:firstLine="656"/>
        <w:spacing w:after="0" w:line="286" w:lineRule="auto"/>
        <w:tabs>
          <w:tab w:leader="none" w:pos="1379"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assumed the obligations imposed on it hereby in order to induce Indemnitee to serve as a director, officer or key employee of the Company Group, and the Company acknowledges that Indemnitee is relying upon this Agreement in serving as a director, officer or key employee of the Company Group.</w:t>
      </w:r>
    </w:p>
    <w:p>
      <w:pPr>
        <w:spacing w:after="0" w:line="165" w:lineRule="exact"/>
        <w:rPr>
          <w:rFonts w:ascii="Arial" w:cs="Arial" w:eastAsia="Arial" w:hAnsi="Arial"/>
          <w:sz w:val="17"/>
          <w:szCs w:val="17"/>
          <w:color w:val="auto"/>
        </w:rPr>
      </w:pPr>
    </w:p>
    <w:p>
      <w:pPr>
        <w:ind w:left="-8" w:right="300" w:firstLine="656"/>
        <w:spacing w:after="0" w:line="311" w:lineRule="auto"/>
        <w:tabs>
          <w:tab w:leader="none" w:pos="1389" w:val="left"/>
        </w:tabs>
        <w:numPr>
          <w:ilvl w:val="1"/>
          <w:numId w:val="144"/>
        </w:numPr>
        <w:rPr>
          <w:rFonts w:ascii="Arial" w:cs="Arial" w:eastAsia="Arial" w:hAnsi="Arial"/>
          <w:sz w:val="16"/>
          <w:szCs w:val="16"/>
          <w:color w:val="auto"/>
        </w:rPr>
      </w:pPr>
      <w:r>
        <w:rPr>
          <w:rFonts w:ascii="Arial" w:cs="Arial" w:eastAsia="Arial" w:hAnsi="Arial"/>
          <w:sz w:val="16"/>
          <w:szCs w:val="16"/>
          <w:color w:val="auto"/>
        </w:rPr>
        <w:t>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8" w:lineRule="exact"/>
        <w:rPr>
          <w:rFonts w:ascii="Arial" w:cs="Arial" w:eastAsia="Arial" w:hAnsi="Arial"/>
          <w:sz w:val="16"/>
          <w:szCs w:val="16"/>
          <w:color w:val="auto"/>
        </w:rPr>
      </w:pPr>
    </w:p>
    <w:p>
      <w:pPr>
        <w:ind w:left="-8" w:firstLine="656"/>
        <w:spacing w:after="0" w:line="254" w:lineRule="auto"/>
        <w:tabs>
          <w:tab w:leader="none" w:pos="137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indemnification, hold harmless, exoneration and advancement of expenses rights provided by or granted pursuant to this Agreement shall be binding upon and be enforceable by the parties hereto and their respective successors and permitted assigns (including any direct or indirect successor by purchase, merger, consolidation or otherwise to all or substantially all of the business and/or assets of the Company, but subject to such successor’s compliance with Section 19(d)),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permitted assigns, heirs, devisees, executors and administrators and other legal representatives.</w:t>
      </w:r>
    </w:p>
    <w:p>
      <w:pPr>
        <w:spacing w:after="0" w:line="194" w:lineRule="exact"/>
        <w:rPr>
          <w:rFonts w:ascii="Arial" w:cs="Arial" w:eastAsia="Arial" w:hAnsi="Arial"/>
          <w:sz w:val="18"/>
          <w:szCs w:val="18"/>
          <w:color w:val="auto"/>
        </w:rPr>
      </w:pPr>
    </w:p>
    <w:p>
      <w:pPr>
        <w:jc w:val="both"/>
        <w:ind w:left="-8" w:right="100" w:firstLine="656"/>
        <w:spacing w:after="0" w:line="259" w:lineRule="auto"/>
        <w:tabs>
          <w:tab w:leader="none" w:pos="138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43" w:name="page144"/>
    <w:bookmarkEnd w:id="143"/>
    <w:p>
      <w:pPr>
        <w:ind w:firstLine="656"/>
        <w:spacing w:after="0" w:line="289" w:lineRule="auto"/>
        <w:tabs>
          <w:tab w:leader="none" w:pos="1387"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security in connection therewith. The Company acknowledges that in the absence of a waiver, a bond or other security may be required of Indemnitee by a court of competent jurisdiction. The Company hereby waives any such requirement of such a bond or other security to the fullest extent permitted by law.</w:t>
      </w:r>
    </w:p>
    <w:p>
      <w:pPr>
        <w:spacing w:after="0" w:line="166" w:lineRule="exact"/>
        <w:rPr>
          <w:rFonts w:ascii="Arial" w:cs="Arial" w:eastAsia="Arial" w:hAnsi="Arial"/>
          <w:sz w:val="16"/>
          <w:szCs w:val="16"/>
          <w:color w:val="auto"/>
        </w:rPr>
      </w:pPr>
    </w:p>
    <w:p>
      <w:pPr>
        <w:jc w:val="both"/>
        <w:ind w:right="20" w:firstLine="8"/>
        <w:spacing w:after="0" w:line="259" w:lineRule="auto"/>
        <w:tabs>
          <w:tab w:leader="none" w:pos="765"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Company and Indemnitee. No waiver of any provision of this Agreement shall be enforceable unless in writing and signed by the party against whom it is to be enforced. No waiver of any of the provisions of this Agreement shall be deemed or shall constitute a waiver of any other provisions of this Agreement nor shall any waiver constitute a continuing waiver.</w:t>
      </w:r>
    </w:p>
    <w:p>
      <w:pPr>
        <w:spacing w:after="0" w:line="186" w:lineRule="exact"/>
        <w:rPr>
          <w:rFonts w:ascii="Arial" w:cs="Arial" w:eastAsia="Arial" w:hAnsi="Arial"/>
          <w:sz w:val="18"/>
          <w:szCs w:val="18"/>
          <w:color w:val="auto"/>
        </w:rPr>
      </w:pPr>
    </w:p>
    <w:p>
      <w:pPr>
        <w:ind w:right="40" w:firstLine="8"/>
        <w:spacing w:after="0" w:line="286" w:lineRule="auto"/>
        <w:tabs>
          <w:tab w:leader="none" w:pos="765"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165" w:lineRule="exact"/>
        <w:rPr>
          <w:rFonts w:ascii="Arial" w:cs="Arial" w:eastAsia="Arial" w:hAnsi="Arial"/>
          <w:sz w:val="17"/>
          <w:szCs w:val="17"/>
          <w:color w:val="auto"/>
        </w:rPr>
      </w:pPr>
    </w:p>
    <w:p>
      <w:pPr>
        <w:ind w:right="140" w:firstLine="656"/>
        <w:spacing w:after="0" w:line="277" w:lineRule="auto"/>
        <w:tabs>
          <w:tab w:leader="none" w:pos="138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Jay Taragin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Raphael M. Russo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492-0309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4" w:name="page145"/>
    <w:bookmarkEnd w:id="144"/>
    <w:p>
      <w:pPr>
        <w:ind w:left="-8" w:firstLine="8"/>
        <w:spacing w:after="0" w:line="288" w:lineRule="auto"/>
        <w:tabs>
          <w:tab w:leader="none" w:pos="757"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168" w:lineRule="exact"/>
        <w:rPr>
          <w:rFonts w:ascii="Arial" w:cs="Arial" w:eastAsia="Arial" w:hAnsi="Arial"/>
          <w:sz w:val="16"/>
          <w:szCs w:val="16"/>
          <w:color w:val="auto"/>
        </w:rPr>
      </w:pPr>
    </w:p>
    <w:p>
      <w:pPr>
        <w:ind w:left="-8" w:right="80" w:firstLine="8"/>
        <w:spacing w:after="0" w:line="263" w:lineRule="auto"/>
        <w:tabs>
          <w:tab w:leader="none" w:pos="75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rFonts w:ascii="Arial" w:cs="Arial" w:eastAsia="Arial" w:hAnsi="Arial"/>
          <w:sz w:val="18"/>
          <w:szCs w:val="18"/>
          <w:color w:val="auto"/>
        </w:rPr>
      </w:pPr>
    </w:p>
    <w:p>
      <w:pPr>
        <w:ind w:left="-8" w:right="100" w:firstLine="8"/>
        <w:spacing w:after="0" w:line="263" w:lineRule="auto"/>
        <w:tabs>
          <w:tab w:leader="none" w:pos="75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183" w:lineRule="exact"/>
        <w:rPr>
          <w:rFonts w:ascii="Arial" w:cs="Arial" w:eastAsia="Arial" w:hAnsi="Arial"/>
          <w:sz w:val="18"/>
          <w:szCs w:val="18"/>
          <w:color w:val="auto"/>
        </w:rPr>
      </w:pPr>
    </w:p>
    <w:p>
      <w:pPr>
        <w:ind w:left="-8" w:right="80" w:firstLine="8"/>
        <w:spacing w:after="0" w:line="263" w:lineRule="auto"/>
        <w:tabs>
          <w:tab w:leader="none" w:pos="75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83" w:lineRule="exact"/>
        <w:rPr>
          <w:rFonts w:ascii="Arial" w:cs="Arial" w:eastAsia="Arial" w:hAnsi="Arial"/>
          <w:sz w:val="18"/>
          <w:szCs w:val="18"/>
          <w:color w:val="auto"/>
        </w:rPr>
      </w:pPr>
    </w:p>
    <w:p>
      <w:pPr>
        <w:ind w:left="-8" w:right="80" w:firstLine="8"/>
        <w:spacing w:after="0" w:line="259" w:lineRule="auto"/>
        <w:tabs>
          <w:tab w:leader="none" w:pos="75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WAIVER OF CLAIMS TO TRUST ACCOUNT</w:t>
      </w:r>
      <w:r>
        <w:rPr>
          <w:rFonts w:ascii="Arial" w:cs="Arial" w:eastAsia="Arial" w:hAnsi="Arial"/>
          <w:sz w:val="18"/>
          <w:szCs w:val="18"/>
          <w:color w:val="auto"/>
        </w:rPr>
        <w:t>. Indemnitee hereby agrees that it does not have any right, title, interest or claim of any kind (each, a “Claim”)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45" w:name="page146"/>
    <w:bookmarkEnd w:id="145"/>
    <w:p>
      <w:pPr>
        <w:ind w:left="-8" w:firstLine="8"/>
        <w:spacing w:after="0" w:line="272" w:lineRule="auto"/>
        <w:tabs>
          <w:tab w:leader="none" w:pos="757"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IN WITNESS WHEREOF, the parties hereto have caused this Indemnity Agreement to be signed as of the day and year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Klein</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908" w:right="8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b w:val="1"/>
          <w:bCs w:val="1"/>
          <w:color w:val="auto"/>
        </w:rPr>
        <w:t>Exhibit 10.6</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5" w:lineRule="exact"/>
        <w:rPr>
          <w:sz w:val="20"/>
          <w:szCs w:val="20"/>
          <w:color w:val="auto"/>
        </w:rPr>
      </w:pPr>
    </w:p>
    <w:p>
      <w:pPr>
        <w:ind w:right="480" w:firstLine="1296"/>
        <w:spacing w:after="0" w:line="282" w:lineRule="auto"/>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July 29, 2020 by and between Churchill Capital Corp IV,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Jay Taragin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1296"/>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it is reasonable, prudent and necessary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contractually to obligate itself to indemnify, hold harmless, exonerate and to advance expenses on behalf of, persons who serve the Company and its direct and indirect subsidiaries (collectively, the “</w:t>
      </w:r>
      <w:r>
        <w:rPr>
          <w:rFonts w:ascii="Arial" w:cs="Arial" w:eastAsia="Arial" w:hAnsi="Arial"/>
          <w:sz w:val="17"/>
          <w:szCs w:val="17"/>
          <w:u w:val="single" w:color="auto"/>
          <w:color w:val="auto"/>
        </w:rPr>
        <w:t>Company Group</w:t>
      </w:r>
      <w:r>
        <w:rPr>
          <w:rFonts w:ascii="Arial" w:cs="Arial" w:eastAsia="Arial" w:hAnsi="Arial"/>
          <w:sz w:val="17"/>
          <w:szCs w:val="17"/>
          <w:color w:val="auto"/>
        </w:rPr>
        <w:t>”) to the fullest extent permitted by applicable law;</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this Agreement is a supplement to and in furtherance of the Amended and Restated Certificate of Incorporation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and the Bylaws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and any resolutions adopted pursuant thereto, and shall not be deemed a substitute therefor, nor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diminish or abrogate any rights of Indemnitee thereunder;</w:t>
      </w:r>
    </w:p>
    <w:p>
      <w:pPr>
        <w:spacing w:after="0" w:line="207" w:lineRule="exact"/>
        <w:rPr>
          <w:sz w:val="20"/>
          <w:szCs w:val="20"/>
          <w:color w:val="auto"/>
        </w:rPr>
      </w:pPr>
    </w:p>
    <w:p>
      <w:pPr>
        <w:ind w:right="60"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desires Indemnitee to serve in such capacity. Indemnitee is willing to serve, continue to serve and to take on additional service for or on behalf of the Company on the condition that Indemnitee be so indemnified; and</w:t>
      </w:r>
    </w:p>
    <w:p>
      <w:pPr>
        <w:spacing w:after="0" w:line="176" w:lineRule="exact"/>
        <w:rPr>
          <w:sz w:val="20"/>
          <w:szCs w:val="20"/>
          <w:color w:val="auto"/>
        </w:rPr>
      </w:pPr>
    </w:p>
    <w:p>
      <w:pPr>
        <w:ind w:right="340" w:firstLine="129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and subject to the provisions of the letter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July 29, 2020, the Company and Indemnitee do hereby covenant 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20" w:firstLine="8"/>
        <w:spacing w:after="0" w:line="254" w:lineRule="auto"/>
        <w:tabs>
          <w:tab w:leader="none" w:pos="67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 consideration of the Company’s covenants and obligations hereunder, Indemnitee will serve or continue to serve as an officer, director, advisor, key employee or any other capacity of any member of the Company Group,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any member of the Company Group, as provided in Section 17. This Agreement, however, shall not impose any obligation on Indemnitee or the Company to continue Indemnitee’s service to the Company Group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8" w:name="page149"/>
    <w:bookmarkEnd w:id="148"/>
    <w:p>
      <w:pPr>
        <w:ind w:left="680" w:hanging="672"/>
        <w:spacing w:after="0"/>
        <w:tabs>
          <w:tab w:leader="none" w:pos="6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225" w:lineRule="exact"/>
        <w:rPr>
          <w:rFonts w:ascii="Arial" w:cs="Arial" w:eastAsia="Arial" w:hAnsi="Arial"/>
          <w:sz w:val="18"/>
          <w:szCs w:val="18"/>
          <w:color w:val="auto"/>
        </w:rPr>
      </w:pPr>
    </w:p>
    <w:p>
      <w:pPr>
        <w:ind w:right="140" w:firstLine="656"/>
        <w:spacing w:after="0" w:line="279" w:lineRule="auto"/>
        <w:tabs>
          <w:tab w:leader="none" w:pos="1387" w:val="left"/>
        </w:tabs>
        <w:numPr>
          <w:ilvl w:val="1"/>
          <w:numId w:val="150"/>
        </w:numPr>
        <w:rPr>
          <w:rFonts w:ascii="Arial" w:cs="Arial" w:eastAsia="Arial" w:hAnsi="Arial"/>
          <w:sz w:val="17"/>
          <w:szCs w:val="17"/>
          <w:color w:val="auto"/>
        </w:rPr>
      </w:pPr>
      <w:r>
        <w:rPr>
          <w:rFonts w:ascii="Arial" w:cs="Arial" w:eastAsia="Arial" w:hAnsi="Arial"/>
          <w:sz w:val="17"/>
          <w:szCs w:val="17"/>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1" w:lineRule="exact"/>
        <w:rPr>
          <w:rFonts w:ascii="Arial" w:cs="Arial" w:eastAsia="Arial" w:hAnsi="Arial"/>
          <w:sz w:val="17"/>
          <w:szCs w:val="17"/>
          <w:color w:val="auto"/>
        </w:rPr>
      </w:pPr>
    </w:p>
    <w:p>
      <w:pPr>
        <w:ind w:right="440" w:firstLine="656"/>
        <w:spacing w:after="0" w:line="277" w:lineRule="auto"/>
        <w:tabs>
          <w:tab w:leader="none" w:pos="139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events:</w:t>
      </w:r>
    </w:p>
    <w:p>
      <w:pPr>
        <w:spacing w:after="0" w:line="210" w:lineRule="exact"/>
        <w:rPr>
          <w:rFonts w:ascii="Arial" w:cs="Arial" w:eastAsia="Arial" w:hAnsi="Arial"/>
          <w:sz w:val="17"/>
          <w:szCs w:val="17"/>
          <w:color w:val="auto"/>
        </w:rPr>
      </w:pPr>
    </w:p>
    <w:p>
      <w:pPr>
        <w:ind w:right="160" w:firstLine="1304"/>
        <w:spacing w:after="0" w:line="273" w:lineRule="auto"/>
        <w:tabs>
          <w:tab w:leader="none" w:pos="2006" w:val="left"/>
        </w:tabs>
        <w:numPr>
          <w:ilvl w:val="2"/>
          <w:numId w:val="150"/>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an affiliate of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ind w:right="60" w:firstLine="1304"/>
        <w:spacing w:after="0" w:line="259" w:lineRule="auto"/>
        <w:tabs>
          <w:tab w:leader="none" w:pos="2056" w:val="left"/>
        </w:tabs>
        <w:numPr>
          <w:ilvl w:val="2"/>
          <w:numId w:val="150"/>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appointment by the Board or nomination for election by the Company’s stockholders was approved by a vote of at least two thirds of the directors then still in office who were directors on the date hereof or whose appointment or nomination for election was previously so approved (collectively, the “</w:t>
      </w:r>
      <w:r>
        <w:rPr>
          <w:rFonts w:ascii="Arial" w:cs="Arial" w:eastAsia="Arial" w:hAnsi="Arial"/>
          <w:sz w:val="18"/>
          <w:szCs w:val="18"/>
          <w:u w:val="single" w:color="auto"/>
          <w:color w:val="auto"/>
        </w:rPr>
        <w:t>Continuing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cease for any reason to constitute a majority of the members of the Board;</w:t>
      </w:r>
    </w:p>
    <w:p>
      <w:pPr>
        <w:spacing w:after="0" w:line="186" w:lineRule="exact"/>
        <w:rPr>
          <w:rFonts w:ascii="Arial" w:cs="Arial" w:eastAsia="Arial" w:hAnsi="Arial"/>
          <w:sz w:val="18"/>
          <w:szCs w:val="18"/>
          <w:color w:val="auto"/>
        </w:rPr>
      </w:pPr>
    </w:p>
    <w:p>
      <w:pPr>
        <w:ind w:firstLine="1304"/>
        <w:spacing w:after="0" w:line="268" w:lineRule="auto"/>
        <w:tabs>
          <w:tab w:leader="none" w:pos="2106" w:val="left"/>
        </w:tabs>
        <w:numPr>
          <w:ilvl w:val="2"/>
          <w:numId w:val="150"/>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of the Company entitled to vote generally in the election of directors immediately prior to such Business Combination beneficially own, directly or indirectly, more than 51% of the combined voting power of the then outstanding securities of the surviving or resulting entity or the ultimate parent entity that controls such surviving or resulting entity (the “</w:t>
      </w:r>
      <w:r>
        <w:rPr>
          <w:rFonts w:ascii="Arial" w:cs="Arial" w:eastAsia="Arial" w:hAnsi="Arial"/>
          <w:sz w:val="17"/>
          <w:szCs w:val="17"/>
          <w:u w:val="single" w:color="auto"/>
          <w:color w:val="auto"/>
        </w:rPr>
        <w:t>Successor</w:t>
      </w:r>
      <w:r>
        <w:rPr>
          <w:rFonts w:ascii="Arial" w:cs="Arial" w:eastAsia="Arial" w:hAnsi="Arial"/>
          <w:sz w:val="17"/>
          <w:szCs w:val="17"/>
          <w:color w:val="auto"/>
        </w:rPr>
        <w:t>”) entitled to vote generally in the election of directors of the Successor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Company, no Person (excluding any corporation resulting from such Business Combination) is the Beneficial Owner, directly or indirectly, of 15% or more of the combined voting power of the then outstanding securities entitled to vote generally in the election of directors of the successor except to the extent that such Person was the Beneficial Owner, directly or indirectly, of 15% or more of the combined voting power of the Company prior to such Business Combination; and (3) a majority of the board of directors (or comparable governing body) of the Successor were Continuing Directors at the time of the execution of the initial agreement, or of the action of the Board of Directors, providing for such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ind w:left="-160" w:firstLine="1304"/>
        <w:spacing w:after="0" w:line="259" w:lineRule="auto"/>
        <w:tabs>
          <w:tab w:leader="none" w:pos="1935"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160" w:right="420" w:firstLine="1304"/>
        <w:spacing w:after="0" w:line="286" w:lineRule="auto"/>
        <w:tabs>
          <w:tab w:leader="none" w:pos="1885"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65" w:lineRule="exact"/>
        <w:rPr>
          <w:rFonts w:ascii="Arial" w:cs="Arial" w:eastAsia="Arial" w:hAnsi="Arial"/>
          <w:sz w:val="17"/>
          <w:szCs w:val="17"/>
          <w:color w:val="auto"/>
        </w:rPr>
      </w:pPr>
    </w:p>
    <w:p>
      <w:pPr>
        <w:ind w:left="-160" w:right="20" w:firstLine="656"/>
        <w:spacing w:after="0" w:line="263" w:lineRule="auto"/>
        <w:tabs>
          <w:tab w:leader="none" w:pos="123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1240" w:hanging="744"/>
        <w:spacing w:after="0"/>
        <w:tabs>
          <w:tab w:leader="none" w:pos="12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left="-160" w:right="80" w:firstLine="656"/>
        <w:spacing w:after="0" w:line="277" w:lineRule="auto"/>
        <w:tabs>
          <w:tab w:leader="none" w:pos="120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160" w:right="140" w:firstLine="656"/>
        <w:spacing w:after="0" w:line="259" w:lineRule="auto"/>
        <w:tabs>
          <w:tab w:leader="none" w:pos="123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1240" w:hanging="744"/>
        <w:spacing w:after="0"/>
        <w:tabs>
          <w:tab w:leader="none" w:pos="12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50" w:name="page151"/>
    <w:bookmarkEnd w:id="150"/>
    <w:p>
      <w:pPr>
        <w:ind w:left="-8" w:firstLine="656"/>
        <w:spacing w:after="0" w:line="269" w:lineRule="auto"/>
        <w:tabs>
          <w:tab w:leader="none" w:pos="135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 incurred in any Proceeding by or in the right of the Company.</w:t>
      </w:r>
    </w:p>
    <w:p>
      <w:pPr>
        <w:spacing w:after="0" w:line="185" w:lineRule="exact"/>
        <w:rPr>
          <w:rFonts w:ascii="Arial" w:cs="Arial" w:eastAsia="Arial" w:hAnsi="Arial"/>
          <w:sz w:val="17"/>
          <w:szCs w:val="17"/>
          <w:color w:val="auto"/>
        </w:rPr>
      </w:pPr>
    </w:p>
    <w:p>
      <w:pPr>
        <w:ind w:left="-8" w:right="60" w:firstLine="656"/>
        <w:spacing w:after="0" w:line="255" w:lineRule="auto"/>
        <w:tabs>
          <w:tab w:leader="none" w:pos="135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u w:val="single" w:color="auto"/>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ind w:left="-8" w:right="60" w:firstLine="656"/>
        <w:spacing w:after="0" w:line="287" w:lineRule="auto"/>
        <w:tabs>
          <w:tab w:leader="none" w:pos="1389" w:val="left"/>
        </w:tabs>
        <w:numPr>
          <w:ilvl w:val="1"/>
          <w:numId w:val="1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spacing w:after="0" w:line="2" w:lineRule="exact"/>
        <w:rPr>
          <w:rFonts w:ascii="Arial" w:cs="Arial" w:eastAsia="Arial" w:hAnsi="Arial"/>
          <w:sz w:val="16"/>
          <w:szCs w:val="16"/>
          <w:color w:val="auto"/>
        </w:rPr>
      </w:pPr>
    </w:p>
    <w:p>
      <w:pPr>
        <w:ind w:left="-8" w:right="140" w:firstLine="8"/>
        <w:spacing w:after="0" w:line="277" w:lineRule="auto"/>
        <w:tabs>
          <w:tab w:leader="none" w:pos="25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ind w:left="-8" w:right="60" w:firstLine="656"/>
        <w:spacing w:after="0" w:line="273" w:lineRule="auto"/>
        <w:tabs>
          <w:tab w:leader="none" w:pos="135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w:t>
      </w:r>
      <w:r>
        <w:rPr>
          <w:rFonts w:ascii="Arial" w:cs="Arial" w:eastAsia="Arial" w:hAnsi="Arial"/>
          <w:sz w:val="17"/>
          <w:szCs w:val="17"/>
          <w:u w:val="single" w:color="auto"/>
          <w:color w:val="auto"/>
        </w:rPr>
        <w:t>Person</w:t>
      </w:r>
      <w:r>
        <w:rPr>
          <w:rFonts w:ascii="Arial" w:cs="Arial" w:eastAsia="Arial" w:hAnsi="Arial"/>
          <w:sz w:val="17"/>
          <w:szCs w:val="17"/>
          <w:color w:val="auto"/>
        </w:rPr>
        <w:t>”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3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51" w:name="page152"/>
    <w:bookmarkEnd w:id="151"/>
    <w:p>
      <w:pPr>
        <w:ind w:left="-8" w:right="20" w:firstLine="656"/>
        <w:spacing w:after="0" w:line="273" w:lineRule="auto"/>
        <w:tabs>
          <w:tab w:leader="none" w:pos="1439"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of Indemnitee’s Corporate Status, whether or not serving in such capacity at the time any liability or expense is incurred for which indemnification, reimbursement, or advancement of expenses can be provided under this Agreement but shall not include any Enforcement Proceeding pursuant to Section 14.</w:t>
      </w:r>
    </w:p>
    <w:p>
      <w:pPr>
        <w:spacing w:after="0" w:line="177" w:lineRule="exact"/>
        <w:rPr>
          <w:rFonts w:ascii="Arial" w:cs="Arial" w:eastAsia="Arial" w:hAnsi="Arial"/>
          <w:sz w:val="17"/>
          <w:szCs w:val="17"/>
          <w:color w:val="auto"/>
        </w:rPr>
      </w:pPr>
    </w:p>
    <w:p>
      <w:pPr>
        <w:ind w:left="-8" w:right="80" w:firstLine="656"/>
        <w:spacing w:after="0" w:line="342" w:lineRule="auto"/>
        <w:tabs>
          <w:tab w:leader="none" w:pos="1389"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Subsidiary</w:t>
      </w:r>
      <w:r>
        <w:rPr>
          <w:rFonts w:ascii="Arial" w:cs="Arial" w:eastAsia="Arial" w:hAnsi="Arial"/>
          <w:sz w:val="16"/>
          <w:szCs w:val="16"/>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23" w:lineRule="exact"/>
        <w:rPr>
          <w:rFonts w:ascii="Arial" w:cs="Arial" w:eastAsia="Arial" w:hAnsi="Arial"/>
          <w:sz w:val="16"/>
          <w:szCs w:val="16"/>
          <w:color w:val="auto"/>
        </w:rPr>
      </w:pPr>
    </w:p>
    <w:p>
      <w:pPr>
        <w:ind w:left="-8" w:right="120" w:firstLine="8"/>
        <w:spacing w:after="0" w:line="271" w:lineRule="auto"/>
        <w:tabs>
          <w:tab w:leader="none" w:pos="667"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To the fullest 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(including all interest, assessments and other charges paid or payable in connection with or in respect of such Expenses) actually and reasonably incurred by Indemnitee or on Indemnitee’s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Indemnitee’s conduct was unlawful.</w:t>
      </w:r>
    </w:p>
    <w:p>
      <w:pPr>
        <w:spacing w:after="0" w:line="178" w:lineRule="exact"/>
        <w:rPr>
          <w:rFonts w:ascii="Arial" w:cs="Arial" w:eastAsia="Arial" w:hAnsi="Arial"/>
          <w:sz w:val="17"/>
          <w:szCs w:val="17"/>
          <w:color w:val="auto"/>
        </w:rPr>
      </w:pPr>
    </w:p>
    <w:p>
      <w:pPr>
        <w:ind w:left="-8" w:firstLine="8"/>
        <w:spacing w:after="0" w:line="288" w:lineRule="auto"/>
        <w:tabs>
          <w:tab w:leader="none" w:pos="667"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52" w:name="page153"/>
    <w:bookmarkEnd w:id="152"/>
    <w:p>
      <w:pPr>
        <w:ind w:left="-8" w:right="80" w:firstLine="8"/>
        <w:spacing w:after="0" w:line="287" w:lineRule="auto"/>
        <w:tabs>
          <w:tab w:leader="none" w:pos="667"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except for Section 27, to the extent that Indemnitee was or is, by reason of Indemnitee’s Corporate Status, a party to (or a participant in) and is successful, on the merits or otherwise, in defending any Proceeding or in defense of any claim, issue or matter therein, in whole or in part, the defending Company shall, to the fullest extent permitted by applicable law, indemnify, hold harmless and exonerate Indemnitee against all Expenses actually and reasonably incurred by Indemnitee in connection therewith. If Indemnitee is not wholly successful in defense of such Proceeding (or part thereof) but is successful, on the merits or otherwise, in defense of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defense of such Proceeding (or part thereof),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and without limitation, the termination of any claim, issue or matter in such a Proceeding by dismissal, with or without prejudice, shall be deemed to be a successful result as to the defense of such claim, issue or matter.</w:t>
      </w:r>
    </w:p>
    <w:p>
      <w:pPr>
        <w:spacing w:after="0" w:line="167" w:lineRule="exact"/>
        <w:rPr>
          <w:rFonts w:ascii="Arial" w:cs="Arial" w:eastAsia="Arial" w:hAnsi="Arial"/>
          <w:sz w:val="16"/>
          <w:szCs w:val="16"/>
          <w:color w:val="auto"/>
        </w:rPr>
      </w:pPr>
    </w:p>
    <w:p>
      <w:pPr>
        <w:ind w:left="-8" w:right="180" w:firstLine="8"/>
        <w:spacing w:after="0" w:line="279" w:lineRule="auto"/>
        <w:tabs>
          <w:tab w:leader="none" w:pos="667"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except for Section 27, to the extent that Indemnitee is, by reason of Indemnitee’s Corporate Status, a witness or deponent in any Proceeding to which Indemnitee was not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71" w:lineRule="exact"/>
        <w:rPr>
          <w:rFonts w:ascii="Arial" w:cs="Arial" w:eastAsia="Arial" w:hAnsi="Arial"/>
          <w:sz w:val="17"/>
          <w:szCs w:val="17"/>
          <w:color w:val="auto"/>
        </w:rPr>
      </w:pPr>
    </w:p>
    <w:p>
      <w:pPr>
        <w:ind w:left="-8" w:firstLine="8"/>
        <w:spacing w:after="0" w:line="255" w:lineRule="auto"/>
        <w:tabs>
          <w:tab w:leader="none" w:pos="667"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ADDITIONAL INDEMNIFICATION, HOLD HARMLESS AND EXONERATION RIGHTS</w:t>
      </w:r>
      <w:r>
        <w:rPr>
          <w:rFonts w:ascii="Arial" w:cs="Arial" w:eastAsia="Arial" w:hAnsi="Arial"/>
          <w:sz w:val="18"/>
          <w:szCs w:val="18"/>
          <w:color w:val="auto"/>
        </w:rPr>
        <w:t>. Notwithstanding any limitation in Sections 3, 4, or 5, except for Section 27, the Company shall, to the fullest extent permitted by applicable law, indemnify, hold harmless and exonerate Indemnitee if Indemnitee is a party to or threatened to be made a party to any Proceeding against all Expenses and judgments, fines, penalties and amounts paid in settlement in any Proceeding by or in the right of the Company to procure a judgment in its favor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53" w:name="page154"/>
    <w:bookmarkEnd w:id="153"/>
    <w:p>
      <w:pPr>
        <w:ind w:left="672" w:hanging="672"/>
        <w:spacing w:after="0"/>
        <w:tabs>
          <w:tab w:leader="none" w:pos="67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CONTRIBUTION IN THE EVENT OF JOINT 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00" w:firstLine="656"/>
        <w:spacing w:after="0" w:line="296" w:lineRule="auto"/>
        <w:tabs>
          <w:tab w:leader="none" w:pos="1379"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8" w:right="120" w:firstLine="656"/>
        <w:spacing w:after="0" w:line="308" w:lineRule="auto"/>
        <w:tabs>
          <w:tab w:leader="none" w:pos="1389"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46" w:lineRule="exact"/>
        <w:rPr>
          <w:rFonts w:ascii="Arial" w:cs="Arial" w:eastAsia="Arial" w:hAnsi="Arial"/>
          <w:sz w:val="17"/>
          <w:szCs w:val="17"/>
          <w:color w:val="auto"/>
        </w:rPr>
      </w:pPr>
    </w:p>
    <w:p>
      <w:pPr>
        <w:ind w:left="-8" w:right="120" w:firstLine="656"/>
        <w:spacing w:after="0" w:line="277" w:lineRule="auto"/>
        <w:tabs>
          <w:tab w:leader="none" w:pos="1379"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70" w:lineRule="exact"/>
        <w:rPr>
          <w:rFonts w:ascii="Arial" w:cs="Arial" w:eastAsia="Arial" w:hAnsi="Arial"/>
          <w:sz w:val="18"/>
          <w:szCs w:val="18"/>
          <w:color w:val="auto"/>
        </w:rPr>
      </w:pPr>
    </w:p>
    <w:p>
      <w:pPr>
        <w:ind w:left="-8" w:right="540" w:firstLine="8"/>
        <w:spacing w:after="0" w:line="308" w:lineRule="auto"/>
        <w:tabs>
          <w:tab w:leader="none" w:pos="667"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the Company shall not be obligated under this Agreement to make any indemnification, advance expenses, hold harmless or exoneration payment in connection with any claim made against Indemnitee:</w:t>
      </w:r>
    </w:p>
    <w:p>
      <w:pPr>
        <w:spacing w:after="0" w:line="146" w:lineRule="exact"/>
        <w:rPr>
          <w:rFonts w:ascii="Arial" w:cs="Arial" w:eastAsia="Arial" w:hAnsi="Arial"/>
          <w:sz w:val="17"/>
          <w:szCs w:val="17"/>
          <w:color w:val="auto"/>
        </w:rPr>
      </w:pPr>
    </w:p>
    <w:p>
      <w:pPr>
        <w:ind w:left="-8" w:right="360" w:firstLine="656"/>
        <w:spacing w:after="0" w:line="263" w:lineRule="auto"/>
        <w:tabs>
          <w:tab w:leader="none" w:pos="1379"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83" w:lineRule="exact"/>
        <w:rPr>
          <w:rFonts w:ascii="Arial" w:cs="Arial" w:eastAsia="Arial" w:hAnsi="Arial"/>
          <w:sz w:val="18"/>
          <w:szCs w:val="18"/>
          <w:color w:val="auto"/>
        </w:rPr>
      </w:pPr>
    </w:p>
    <w:p>
      <w:pPr>
        <w:ind w:left="-8" w:right="40" w:firstLine="656"/>
        <w:spacing w:after="0" w:line="308" w:lineRule="auto"/>
        <w:tabs>
          <w:tab w:leader="none" w:pos="1389" w:val="left"/>
        </w:tabs>
        <w:numPr>
          <w:ilvl w:val="1"/>
          <w:numId w:val="158"/>
        </w:numPr>
        <w:rPr>
          <w:rFonts w:ascii="Arial" w:cs="Arial" w:eastAsia="Arial" w:hAnsi="Arial"/>
          <w:sz w:val="17"/>
          <w:szCs w:val="17"/>
          <w:color w:val="auto"/>
        </w:rPr>
      </w:pPr>
      <w:r>
        <w:rPr>
          <w:rFonts w:ascii="Arial" w:cs="Arial" w:eastAsia="Arial" w:hAnsi="Arial"/>
          <w:sz w:val="17"/>
          <w:szCs w:val="17"/>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46" w:lineRule="exact"/>
        <w:rPr>
          <w:rFonts w:ascii="Arial" w:cs="Arial" w:eastAsia="Arial" w:hAnsi="Arial"/>
          <w:sz w:val="17"/>
          <w:szCs w:val="17"/>
          <w:color w:val="auto"/>
        </w:rPr>
      </w:pPr>
    </w:p>
    <w:p>
      <w:pPr>
        <w:ind w:left="-8" w:firstLine="656"/>
        <w:spacing w:after="0" w:line="273" w:lineRule="auto"/>
        <w:tabs>
          <w:tab w:leader="none" w:pos="1379" w:val="left"/>
        </w:tabs>
        <w:numPr>
          <w:ilvl w:val="1"/>
          <w:numId w:val="158"/>
        </w:numPr>
        <w:rPr>
          <w:rFonts w:ascii="Arial" w:cs="Arial" w:eastAsia="Arial" w:hAnsi="Arial"/>
          <w:sz w:val="17"/>
          <w:szCs w:val="17"/>
          <w:color w:val="auto"/>
        </w:rPr>
      </w:pPr>
      <w:r>
        <w:rPr>
          <w:rFonts w:ascii="Arial" w:cs="Arial" w:eastAsia="Arial" w:hAnsi="Arial"/>
          <w:sz w:val="17"/>
          <w:szCs w:val="17"/>
          <w:color w:val="auto"/>
        </w:rPr>
        <w:t>except as otherwise provided in Sections 14(f)-(g)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39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154" w:name="page155"/>
    <w:bookmarkEnd w:id="154"/>
    <w:p>
      <w:pPr>
        <w:ind w:left="772" w:hanging="772"/>
        <w:spacing w:after="0"/>
        <w:tabs>
          <w:tab w:leader="none" w:pos="77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ADVANCES OF EXPENSES; DEFENSE OF CLAIM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87" w:lineRule="auto"/>
        <w:tabs>
          <w:tab w:leader="none" w:pos="1379" w:val="left"/>
        </w:tabs>
        <w:numPr>
          <w:ilvl w:val="1"/>
          <w:numId w:val="159"/>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except for Section 27, and to the fullest extent not prohibited by applicable law, the Company shall pay the Expenses incurred by Indemnitee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an Enforcement Proceeding (assuming for this purpose all references to a “Proceeding” in the definition of Expenses were deemed related to an Enforcement Proceeding), including Expenses incurred preparing and forwarding statements to the Company to support the advances claimed. This Agreement shall constitute Indemnitee’s undertaking to repay the advanced amounts to the extent that it is ultimately determined that Indemnitee is not entitled to be indemnified, held harmless or exonerated by the Company under the provisions of this Agreement, the Charter, the Bylaws of the Company, applicable law or otherwise, but only if such an undertaking is required by applicable law. This Section 10(a) shall not apply to any Proceeding for which indemnity is not permitted under Section 9 of this Agreement, but shall apply to any Proceeding referenced in Section 9(b) prior to a final determination that Indemnitee is liable therefor.</w:t>
      </w:r>
    </w:p>
    <w:p>
      <w:pPr>
        <w:spacing w:after="0" w:line="167" w:lineRule="exact"/>
        <w:rPr>
          <w:rFonts w:ascii="Arial" w:cs="Arial" w:eastAsia="Arial" w:hAnsi="Arial"/>
          <w:sz w:val="16"/>
          <w:szCs w:val="16"/>
          <w:color w:val="auto"/>
        </w:rPr>
      </w:pPr>
    </w:p>
    <w:p>
      <w:pPr>
        <w:ind w:left="1392" w:hanging="744"/>
        <w:spacing w:after="0"/>
        <w:tabs>
          <w:tab w:leader="none" w:pos="139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8" w:right="180" w:firstLine="656"/>
        <w:spacing w:after="0" w:line="277" w:lineRule="auto"/>
        <w:tabs>
          <w:tab w:leader="none" w:pos="137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170" w:lineRule="exact"/>
        <w:rPr>
          <w:rFonts w:ascii="Arial" w:cs="Arial" w:eastAsia="Arial" w:hAnsi="Arial"/>
          <w:sz w:val="18"/>
          <w:szCs w:val="18"/>
          <w:color w:val="auto"/>
        </w:rPr>
      </w:pPr>
    </w:p>
    <w:p>
      <w:pPr>
        <w:ind w:left="752" w:hanging="752"/>
        <w:spacing w:after="0"/>
        <w:tabs>
          <w:tab w:leader="none" w:pos="75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PROCEDURE FOR NOTIFICATION AND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20" w:firstLine="656"/>
        <w:spacing w:after="0" w:line="259" w:lineRule="auto"/>
        <w:tabs>
          <w:tab w:leader="none" w:pos="137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86" w:lineRule="exact"/>
        <w:rPr>
          <w:rFonts w:ascii="Arial" w:cs="Arial" w:eastAsia="Arial" w:hAnsi="Arial"/>
          <w:sz w:val="18"/>
          <w:szCs w:val="18"/>
          <w:color w:val="auto"/>
        </w:rPr>
      </w:pPr>
    </w:p>
    <w:p>
      <w:pPr>
        <w:ind w:left="-8" w:right="120" w:firstLine="656"/>
        <w:spacing w:after="0" w:line="259" w:lineRule="auto"/>
        <w:tabs>
          <w:tab w:leader="none" w:pos="138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sole discretion. Following such a written application for indemnification by Indemnitee, Indemnitee’s entitlement to indemnification shall be determined according to Section 12(a) of this Agreement.</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55" w:name="page156"/>
    <w:bookmarkEnd w:id="155"/>
    <w:p>
      <w:pPr>
        <w:ind w:left="772" w:hanging="772"/>
        <w:spacing w:after="0"/>
        <w:tabs>
          <w:tab w:leader="none" w:pos="772"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directors so direct, by Independent Counsel in a written opinion to the Board, a copy of which shall be delivered to Indemnitee, or (ii) if a Change in Control has occurred, by Independent Counsel in a written opinion to the Board, a copy of which shall be delivered to the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4" w:lineRule="exact"/>
        <w:rPr>
          <w:rFonts w:ascii="Arial" w:cs="Arial" w:eastAsia="Arial" w:hAnsi="Arial"/>
          <w:sz w:val="17"/>
          <w:szCs w:val="17"/>
          <w:color w:val="auto"/>
        </w:rPr>
      </w:pPr>
    </w:p>
    <w:p>
      <w:pPr>
        <w:ind w:left="-8" w:right="20" w:firstLine="656"/>
        <w:spacing w:after="0" w:line="285" w:lineRule="auto"/>
        <w:tabs>
          <w:tab w:leader="none" w:pos="1389"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56" w:name="page157"/>
    <w:bookmarkEnd w:id="156"/>
    <w:p>
      <w:pPr>
        <w:ind w:left="-8" w:right="160" w:firstLine="656"/>
        <w:spacing w:after="0" w:line="263" w:lineRule="auto"/>
        <w:tabs>
          <w:tab w:leader="none" w:pos="1379"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3" w:lineRule="exact"/>
        <w:rPr>
          <w:rFonts w:ascii="Arial" w:cs="Arial" w:eastAsia="Arial" w:hAnsi="Arial"/>
          <w:sz w:val="18"/>
          <w:szCs w:val="18"/>
          <w:color w:val="auto"/>
        </w:rPr>
      </w:pPr>
    </w:p>
    <w:p>
      <w:pPr>
        <w:ind w:left="772" w:hanging="772"/>
        <w:spacing w:after="0"/>
        <w:tabs>
          <w:tab w:leader="none" w:pos="772"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71" w:lineRule="auto"/>
        <w:tabs>
          <w:tab w:leader="none" w:pos="1379" w:val="left"/>
        </w:tabs>
        <w:numPr>
          <w:ilvl w:val="1"/>
          <w:numId w:val="162"/>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left="-8" w:right="40" w:firstLine="656"/>
        <w:spacing w:after="0" w:line="271" w:lineRule="auto"/>
        <w:tabs>
          <w:tab w:leader="none" w:pos="1389" w:val="left"/>
        </w:tabs>
        <w:numPr>
          <w:ilvl w:val="1"/>
          <w:numId w:val="162"/>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57" w:name="page158"/>
    <w:bookmarkEnd w:id="157"/>
    <w:p>
      <w:pPr>
        <w:ind w:left="-8" w:right="20" w:firstLine="656"/>
        <w:spacing w:after="0" w:line="257" w:lineRule="auto"/>
        <w:tabs>
          <w:tab w:leader="none" w:pos="137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8" w:right="60" w:firstLine="656"/>
        <w:spacing w:after="0" w:line="290" w:lineRule="auto"/>
        <w:tabs>
          <w:tab w:leader="none" w:pos="1389" w:val="left"/>
        </w:tabs>
        <w:numPr>
          <w:ilvl w:val="1"/>
          <w:numId w:val="163"/>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65" w:lineRule="exact"/>
        <w:rPr>
          <w:rFonts w:ascii="Arial" w:cs="Arial" w:eastAsia="Arial" w:hAnsi="Arial"/>
          <w:sz w:val="16"/>
          <w:szCs w:val="16"/>
          <w:color w:val="auto"/>
        </w:rPr>
      </w:pPr>
    </w:p>
    <w:p>
      <w:pPr>
        <w:ind w:left="-8" w:right="280" w:firstLine="656"/>
        <w:spacing w:after="0" w:line="342" w:lineRule="auto"/>
        <w:tabs>
          <w:tab w:leader="none" w:pos="1379"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23" w:lineRule="exact"/>
        <w:rPr>
          <w:rFonts w:ascii="Arial" w:cs="Arial" w:eastAsia="Arial" w:hAnsi="Arial"/>
          <w:sz w:val="16"/>
          <w:szCs w:val="16"/>
          <w:color w:val="auto"/>
        </w:rPr>
      </w:pPr>
    </w:p>
    <w:p>
      <w:pPr>
        <w:ind w:left="772" w:hanging="772"/>
        <w:spacing w:after="0"/>
        <w:tabs>
          <w:tab w:leader="none" w:pos="772"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164"/>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 Such adjudication or arbitration proceeding is referred to herein as “Enforcement Proceeding.”</w:t>
      </w:r>
    </w:p>
    <w:p>
      <w:pPr>
        <w:spacing w:after="0" w:line="200" w:lineRule="exact"/>
        <w:rPr>
          <w:sz w:val="20"/>
          <w:szCs w:val="20"/>
          <w:color w:val="auto"/>
        </w:rPr>
      </w:pP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58" w:name="page159"/>
    <w:bookmarkEnd w:id="158"/>
    <w:p>
      <w:pPr>
        <w:ind w:right="120" w:firstLine="656"/>
        <w:spacing w:after="0" w:line="263" w:lineRule="auto"/>
        <w:tabs>
          <w:tab w:leader="none" w:pos="139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Enforcement Proceeding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ind w:firstLine="656"/>
        <w:spacing w:after="0" w:line="293" w:lineRule="auto"/>
        <w:tabs>
          <w:tab w:leader="none" w:pos="138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any Enforcement Proceeding, Indemnitee shall be presumed to be entitled to be indemnified, held harmless, exonerated and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an Enforcement Proceeding,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4" w:lineRule="exact"/>
        <w:rPr>
          <w:rFonts w:ascii="Arial" w:cs="Arial" w:eastAsia="Arial" w:hAnsi="Arial"/>
          <w:sz w:val="16"/>
          <w:szCs w:val="16"/>
          <w:color w:val="auto"/>
        </w:rPr>
      </w:pPr>
    </w:p>
    <w:p>
      <w:pPr>
        <w:ind w:firstLine="656"/>
        <w:spacing w:after="0" w:line="259" w:lineRule="auto"/>
        <w:tabs>
          <w:tab w:leader="none" w:pos="139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Enforcement Proceeding,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right="40" w:firstLine="656"/>
        <w:spacing w:after="0" w:line="263" w:lineRule="auto"/>
        <w:tabs>
          <w:tab w:leader="none" w:pos="138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shall be precluded from asserting in Enforcement Proceeding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right="40" w:firstLine="656"/>
        <w:spacing w:after="0" w:line="270" w:lineRule="auto"/>
        <w:tabs>
          <w:tab w:leader="none" w:pos="136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(assuming for purposes of this sentence that all references to a Proceeding in the definition of Expenses were references to an Enforcement Proceeding) and, if requested by Indemnitee, shall (within ten (10) days after the Company’s receipt of such written request) pay to Indemnitee, to the fullest extent permitted by applicable law, such Expenses which are incurred by Indemnitee in connection with any Enforcement Proceeding brought by Indemnitee: (i) to enforce his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Enforcement Proceeding was not brought by Indemnitee in good faith).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ind w:firstLine="656"/>
        <w:spacing w:after="0" w:line="259" w:lineRule="auto"/>
        <w:tabs>
          <w:tab w:leader="none" w:pos="139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or on behalf of the Company.</w:t>
      </w:r>
    </w:p>
    <w:p>
      <w:pPr>
        <w:spacing w:after="0" w:line="186" w:lineRule="exact"/>
        <w:rPr>
          <w:rFonts w:ascii="Arial" w:cs="Arial" w:eastAsia="Arial" w:hAnsi="Arial"/>
          <w:sz w:val="18"/>
          <w:szCs w:val="18"/>
          <w:color w:val="auto"/>
        </w:rPr>
      </w:pPr>
    </w:p>
    <w:p>
      <w:pPr>
        <w:ind w:firstLine="8"/>
        <w:spacing w:after="0" w:line="259" w:lineRule="auto"/>
        <w:tabs>
          <w:tab w:leader="none" w:pos="765"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Notwithstanding anything herein to the contrary, except for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86" w:lineRule="exact"/>
        <w:rPr>
          <w:rFonts w:ascii="Arial" w:cs="Arial" w:eastAsia="Arial" w:hAnsi="Arial"/>
          <w:sz w:val="18"/>
          <w:szCs w:val="18"/>
          <w:color w:val="auto"/>
        </w:rPr>
      </w:pPr>
    </w:p>
    <w:p>
      <w:pPr>
        <w:ind w:left="780" w:hanging="772"/>
        <w:spacing w:after="0"/>
        <w:tabs>
          <w:tab w:leader="none" w:pos="78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69" w:lineRule="auto"/>
        <w:tabs>
          <w:tab w:leader="none" w:pos="1387"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repeals, except as may otherwise be expressly set forth in such amendment, alteration or repeals and mutually agreed by Indemnitee and the Company.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ind w:left="-40" w:right="20" w:firstLine="656"/>
        <w:spacing w:after="0" w:line="253" w:lineRule="auto"/>
        <w:tabs>
          <w:tab w:leader="none" w:pos="135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Delaware General Corporation Law (the “DGCL”), the Charter and the Bylaws permit the Company to purchase and maintain insurance or furnish similar protection or make other arrangements including, but not limited to, providing a trust fund, letter of credit, or surety bond (“Indemnification Arrangements”)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96" w:lineRule="exact"/>
        <w:rPr>
          <w:rFonts w:ascii="Arial" w:cs="Arial" w:eastAsia="Arial" w:hAnsi="Arial"/>
          <w:sz w:val="18"/>
          <w:szCs w:val="18"/>
          <w:color w:val="auto"/>
        </w:rPr>
      </w:pPr>
    </w:p>
    <w:p>
      <w:pPr>
        <w:ind w:left="-40" w:right="60" w:firstLine="656"/>
        <w:spacing w:after="0" w:line="270" w:lineRule="auto"/>
        <w:tabs>
          <w:tab w:leader="none" w:pos="134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To the extent that any member of the Company Group maintains an insurance policy or policies providing liability insurance for directors, officers, trustees, partners, managers, managing members, fiduciaries, employees, or agents of the Company Group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or cause to be taken all necessary or desirable action to cause such insurers to pay, on behalf of Indemnitee, all amounts payable as a result of such Proceeding in accordance with the terms of such policies.</w:t>
      </w:r>
    </w:p>
    <w:p>
      <w:pPr>
        <w:spacing w:after="0" w:line="180" w:lineRule="exact"/>
        <w:rPr>
          <w:rFonts w:ascii="Arial" w:cs="Arial" w:eastAsia="Arial" w:hAnsi="Arial"/>
          <w:sz w:val="17"/>
          <w:szCs w:val="17"/>
          <w:color w:val="auto"/>
        </w:rPr>
      </w:pPr>
    </w:p>
    <w:p>
      <w:pPr>
        <w:ind w:left="-40" w:firstLine="656"/>
        <w:spacing w:after="0" w:line="286" w:lineRule="auto"/>
        <w:tabs>
          <w:tab w:leader="none" w:pos="135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161" w:name="page162"/>
    <w:bookmarkEnd w:id="161"/>
    <w:p>
      <w:pPr>
        <w:ind w:left="-8" w:right="60" w:firstLine="656"/>
        <w:spacing w:after="0" w:line="284" w:lineRule="auto"/>
        <w:tabs>
          <w:tab w:leader="none" w:pos="1379"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left="-8" w:right="100" w:firstLine="8"/>
        <w:spacing w:after="0" w:line="323" w:lineRule="auto"/>
        <w:tabs>
          <w:tab w:leader="none" w:pos="25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8" w:lineRule="exact"/>
        <w:rPr>
          <w:rFonts w:ascii="Arial" w:cs="Arial" w:eastAsia="Arial" w:hAnsi="Arial"/>
          <w:sz w:val="16"/>
          <w:szCs w:val="16"/>
          <w:color w:val="auto"/>
        </w:rPr>
      </w:pPr>
    </w:p>
    <w:p>
      <w:pPr>
        <w:ind w:left="-8" w:right="20" w:firstLine="656"/>
        <w:spacing w:after="0" w:line="287" w:lineRule="auto"/>
        <w:tabs>
          <w:tab w:leader="none" w:pos="136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To the extent Indemnitee has rights to indemnification, advancement of expenses and/or insurance provided by the Sponsor or its affiliates as applicable, (i) the Company shall be the indemnitor of first resort (i.e., that its obligations to Indemnitee are primary and any obligation of the Sponsor or its affiliates, as applicable, to advance expenses or to provide indemnification for the same expenses or liabilities incurred by Indemnitee are secondary), (ii) the Company shall be required to advance the full amount of expenses incurred by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Agreement, the Company’s organizational documents or other agreement, without regard to any rights Indemnitee may have against the Sponsor or its affiliates, as applicable, and (iii) the Company irrevocably waives, relinquishes and releases the Sponsor and its affiliates, as applicable, from any and all claims against them for contribution, subrogation or any other recovery of any kind in respect thereof. No advancement or payment by the Sponsor or its affiliates, as applicable, on behalf of Indemnitee with respect to any claim for which Indemnitee has sought indemnification from the Company shall affect the foregoing, and the Sponsor and its affiliates, as applicable, shall have a right of contribution and be subrogated to the extent of such advancement or payment to all of the rights of recovery of Indemnitee against the Company.</w:t>
      </w:r>
    </w:p>
    <w:p>
      <w:pPr>
        <w:spacing w:after="0" w:line="168" w:lineRule="exact"/>
        <w:rPr>
          <w:sz w:val="20"/>
          <w:szCs w:val="20"/>
          <w:color w:val="auto"/>
        </w:rPr>
      </w:pPr>
    </w:p>
    <w:p>
      <w:pPr>
        <w:ind w:left="-8" w:firstLine="8"/>
        <w:spacing w:after="0" w:line="273" w:lineRule="auto"/>
        <w:tabs>
          <w:tab w:leader="none" w:pos="757"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All agreements and obligations of the Company contained 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or Enforcement Proceeding (including any rights of appeal thereto) by reason of Indemnitee’s Corporate Status, whether or not Indemnitee is acting in any such capacity at the time any liability or expense is incurred for which indemnification or advancement can be provided under this Agreement.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62" w:name="page163"/>
    <w:bookmarkEnd w:id="162"/>
    <w:p>
      <w:pPr>
        <w:ind w:left="-8" w:right="60" w:firstLine="8"/>
        <w:spacing w:after="0" w:line="271" w:lineRule="auto"/>
        <w:tabs>
          <w:tab w:leader="none" w:pos="757"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8" w:lineRule="exact"/>
        <w:rPr>
          <w:rFonts w:ascii="Arial" w:cs="Arial" w:eastAsia="Arial" w:hAnsi="Arial"/>
          <w:sz w:val="17"/>
          <w:szCs w:val="17"/>
          <w:color w:val="auto"/>
        </w:rPr>
      </w:pPr>
    </w:p>
    <w:p>
      <w:pPr>
        <w:ind w:left="772" w:hanging="772"/>
        <w:spacing w:after="0"/>
        <w:tabs>
          <w:tab w:leader="none" w:pos="772"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ENFORCEMENT AND BINDING EFFECT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60" w:firstLine="656"/>
        <w:spacing w:after="0" w:line="286" w:lineRule="auto"/>
        <w:tabs>
          <w:tab w:leader="none" w:pos="1379"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assumed the obligations imposed on it hereby in order to induce Indemnitee to serve as a director, officer or key employee of the Company Group, and the Company acknowledges that Indemnitee is relying upon this Agreement in serving as a director, officer or key employee of the Company Group.</w:t>
      </w:r>
    </w:p>
    <w:p>
      <w:pPr>
        <w:spacing w:after="0" w:line="165" w:lineRule="exact"/>
        <w:rPr>
          <w:rFonts w:ascii="Arial" w:cs="Arial" w:eastAsia="Arial" w:hAnsi="Arial"/>
          <w:sz w:val="17"/>
          <w:szCs w:val="17"/>
          <w:color w:val="auto"/>
        </w:rPr>
      </w:pPr>
    </w:p>
    <w:p>
      <w:pPr>
        <w:ind w:left="-8" w:right="300" w:firstLine="656"/>
        <w:spacing w:after="0" w:line="311" w:lineRule="auto"/>
        <w:tabs>
          <w:tab w:leader="none" w:pos="138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8" w:lineRule="exact"/>
        <w:rPr>
          <w:rFonts w:ascii="Arial" w:cs="Arial" w:eastAsia="Arial" w:hAnsi="Arial"/>
          <w:sz w:val="16"/>
          <w:szCs w:val="16"/>
          <w:color w:val="auto"/>
        </w:rPr>
      </w:pPr>
    </w:p>
    <w:p>
      <w:pPr>
        <w:ind w:left="-8" w:firstLine="656"/>
        <w:spacing w:after="0" w:line="254" w:lineRule="auto"/>
        <w:tabs>
          <w:tab w:leader="none" w:pos="137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indemnification, hold harmless, exoneration and advancement of expenses rights provided by or granted pursuant to this Agreement shall be binding upon and be enforceable by the parties hereto and their respective successors and permitted assigns (including any direct or indirect successor by purchase, merger, consolidation or otherwise to all or substantially all of the business and/or assets of the Company, but subject to such successor’s compliance with Section 19(d)),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permitted assigns, heirs, devisees, executors and administrators and other legal representatives.</w:t>
      </w:r>
    </w:p>
    <w:p>
      <w:pPr>
        <w:spacing w:after="0" w:line="194" w:lineRule="exact"/>
        <w:rPr>
          <w:rFonts w:ascii="Arial" w:cs="Arial" w:eastAsia="Arial" w:hAnsi="Arial"/>
          <w:sz w:val="18"/>
          <w:szCs w:val="18"/>
          <w:color w:val="auto"/>
        </w:rPr>
      </w:pPr>
    </w:p>
    <w:p>
      <w:pPr>
        <w:jc w:val="both"/>
        <w:ind w:left="-8" w:right="100" w:firstLine="656"/>
        <w:spacing w:after="0" w:line="259" w:lineRule="auto"/>
        <w:tabs>
          <w:tab w:leader="none" w:pos="138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63" w:name="page164"/>
    <w:bookmarkEnd w:id="163"/>
    <w:p>
      <w:pPr>
        <w:ind w:firstLine="656"/>
        <w:spacing w:after="0" w:line="289" w:lineRule="auto"/>
        <w:tabs>
          <w:tab w:leader="none" w:pos="1387"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security in connection therewith. The Company acknowledges that in the absence of a waiver, a bond or other security may be required of Indemnitee by a court of competent jurisdiction. The Company hereby waives any such requirement of such a bond or other security to the fullest extent permitted by law.</w:t>
      </w:r>
    </w:p>
    <w:p>
      <w:pPr>
        <w:spacing w:after="0" w:line="166" w:lineRule="exact"/>
        <w:rPr>
          <w:rFonts w:ascii="Arial" w:cs="Arial" w:eastAsia="Arial" w:hAnsi="Arial"/>
          <w:sz w:val="16"/>
          <w:szCs w:val="16"/>
          <w:color w:val="auto"/>
        </w:rPr>
      </w:pPr>
    </w:p>
    <w:p>
      <w:pPr>
        <w:jc w:val="both"/>
        <w:ind w:right="20" w:firstLine="8"/>
        <w:spacing w:after="0" w:line="259" w:lineRule="auto"/>
        <w:tabs>
          <w:tab w:leader="none" w:pos="765"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Company and Indemnitee. No waiver of any provision of this Agreement shall be enforceable unless in writing and signed by the party against whom it is to be enforced. No waiver of any of the provisions of this Agreement shall be deemed or shall constitute a waiver of any other provisions of this Agreement nor shall any waiver constitute a continuing waiver.</w:t>
      </w:r>
    </w:p>
    <w:p>
      <w:pPr>
        <w:spacing w:after="0" w:line="186" w:lineRule="exact"/>
        <w:rPr>
          <w:rFonts w:ascii="Arial" w:cs="Arial" w:eastAsia="Arial" w:hAnsi="Arial"/>
          <w:sz w:val="18"/>
          <w:szCs w:val="18"/>
          <w:color w:val="auto"/>
        </w:rPr>
      </w:pPr>
    </w:p>
    <w:p>
      <w:pPr>
        <w:ind w:right="40" w:firstLine="8"/>
        <w:spacing w:after="0" w:line="286" w:lineRule="auto"/>
        <w:tabs>
          <w:tab w:leader="none" w:pos="765"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165" w:lineRule="exact"/>
        <w:rPr>
          <w:rFonts w:ascii="Arial" w:cs="Arial" w:eastAsia="Arial" w:hAnsi="Arial"/>
          <w:sz w:val="17"/>
          <w:szCs w:val="17"/>
          <w:color w:val="auto"/>
        </w:rPr>
      </w:pPr>
    </w:p>
    <w:p>
      <w:pPr>
        <w:ind w:right="140" w:firstLine="656"/>
        <w:spacing w:after="0" w:line="277" w:lineRule="auto"/>
        <w:tabs>
          <w:tab w:leader="none" w:pos="138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Jay Taragin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Raphael M. Russo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492-0309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4" w:name="page165"/>
    <w:bookmarkEnd w:id="164"/>
    <w:p>
      <w:pPr>
        <w:ind w:left="-8" w:firstLine="8"/>
        <w:spacing w:after="0" w:line="288" w:lineRule="auto"/>
        <w:tabs>
          <w:tab w:leader="none" w:pos="757"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168" w:lineRule="exact"/>
        <w:rPr>
          <w:rFonts w:ascii="Arial" w:cs="Arial" w:eastAsia="Arial" w:hAnsi="Arial"/>
          <w:sz w:val="16"/>
          <w:szCs w:val="16"/>
          <w:color w:val="auto"/>
        </w:rPr>
      </w:pPr>
    </w:p>
    <w:p>
      <w:pPr>
        <w:ind w:left="-8" w:right="80" w:firstLine="8"/>
        <w:spacing w:after="0" w:line="263" w:lineRule="auto"/>
        <w:tabs>
          <w:tab w:leader="none" w:pos="757"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rFonts w:ascii="Arial" w:cs="Arial" w:eastAsia="Arial" w:hAnsi="Arial"/>
          <w:sz w:val="18"/>
          <w:szCs w:val="18"/>
          <w:color w:val="auto"/>
        </w:rPr>
      </w:pPr>
    </w:p>
    <w:p>
      <w:pPr>
        <w:ind w:left="-8" w:right="100" w:firstLine="8"/>
        <w:spacing w:after="0" w:line="263" w:lineRule="auto"/>
        <w:tabs>
          <w:tab w:leader="none" w:pos="757"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183" w:lineRule="exact"/>
        <w:rPr>
          <w:rFonts w:ascii="Arial" w:cs="Arial" w:eastAsia="Arial" w:hAnsi="Arial"/>
          <w:sz w:val="18"/>
          <w:szCs w:val="18"/>
          <w:color w:val="auto"/>
        </w:rPr>
      </w:pPr>
    </w:p>
    <w:p>
      <w:pPr>
        <w:ind w:left="-8" w:right="80" w:firstLine="8"/>
        <w:spacing w:after="0" w:line="263" w:lineRule="auto"/>
        <w:tabs>
          <w:tab w:leader="none" w:pos="757"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83" w:lineRule="exact"/>
        <w:rPr>
          <w:rFonts w:ascii="Arial" w:cs="Arial" w:eastAsia="Arial" w:hAnsi="Arial"/>
          <w:sz w:val="18"/>
          <w:szCs w:val="18"/>
          <w:color w:val="auto"/>
        </w:rPr>
      </w:pPr>
    </w:p>
    <w:p>
      <w:pPr>
        <w:ind w:left="-8" w:right="80" w:firstLine="8"/>
        <w:spacing w:after="0" w:line="259" w:lineRule="auto"/>
        <w:tabs>
          <w:tab w:leader="none" w:pos="757"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WAIVER OF CLAIMS TO TRUST ACCOUNT</w:t>
      </w:r>
      <w:r>
        <w:rPr>
          <w:rFonts w:ascii="Arial" w:cs="Arial" w:eastAsia="Arial" w:hAnsi="Arial"/>
          <w:sz w:val="18"/>
          <w:szCs w:val="18"/>
          <w:color w:val="auto"/>
        </w:rPr>
        <w:t>. Indemnitee hereby agrees that it does not have any right, title, interest or claim of any kind (each, a “Claim”)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65" w:name="page166"/>
    <w:bookmarkEnd w:id="165"/>
    <w:p>
      <w:pPr>
        <w:ind w:left="-8" w:firstLine="8"/>
        <w:spacing w:after="0" w:line="272" w:lineRule="auto"/>
        <w:tabs>
          <w:tab w:leader="none" w:pos="757"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t>IN WITNESS WHEREOF, the parties hereto have caused this Indemnity Agreement to be signed as of the day and year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Jay Taragin</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908" w:right="8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b w:val="1"/>
          <w:bCs w:val="1"/>
          <w:color w:val="auto"/>
        </w:rPr>
        <w:t>Exhibit 10.7</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5" w:lineRule="exact"/>
        <w:rPr>
          <w:sz w:val="20"/>
          <w:szCs w:val="20"/>
          <w:color w:val="auto"/>
        </w:rPr>
      </w:pPr>
    </w:p>
    <w:p>
      <w:pPr>
        <w:ind w:right="480" w:firstLine="1296"/>
        <w:spacing w:after="0" w:line="282" w:lineRule="auto"/>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July 29, 2020 by and between Churchill Capital Corp IV,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Glenn R. August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1296"/>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it is reasonable, prudent and necessary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contractually to obligate itself to indemnify, hold harmless, exonerate and to advance expenses on behalf of, persons who serve the Company and its direct and indirect subsidiaries (collectively, the “</w:t>
      </w:r>
      <w:r>
        <w:rPr>
          <w:rFonts w:ascii="Arial" w:cs="Arial" w:eastAsia="Arial" w:hAnsi="Arial"/>
          <w:sz w:val="17"/>
          <w:szCs w:val="17"/>
          <w:u w:val="single" w:color="auto"/>
          <w:color w:val="auto"/>
        </w:rPr>
        <w:t>Company Group</w:t>
      </w:r>
      <w:r>
        <w:rPr>
          <w:rFonts w:ascii="Arial" w:cs="Arial" w:eastAsia="Arial" w:hAnsi="Arial"/>
          <w:sz w:val="17"/>
          <w:szCs w:val="17"/>
          <w:color w:val="auto"/>
        </w:rPr>
        <w:t>”) to the fullest extent permitted by applicable law;</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this Agreement is a supplement to and in furtherance of the Amended and Restated Certificate of Incorporation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and the Bylaws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and any resolutions adopted pursuant thereto, and shall not be deemed a substitute therefor, nor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diminish or abrogate any rights of Indemnitee thereunder;</w:t>
      </w:r>
    </w:p>
    <w:p>
      <w:pPr>
        <w:spacing w:after="0" w:line="207" w:lineRule="exact"/>
        <w:rPr>
          <w:sz w:val="20"/>
          <w:szCs w:val="20"/>
          <w:color w:val="auto"/>
        </w:rPr>
      </w:pPr>
    </w:p>
    <w:p>
      <w:pPr>
        <w:ind w:right="60"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desires Indemnitee to serve in such capacity. Indemnitee is willing to serve, continue to serve and to take on additional service for or on behalf of the Company on the condition that Indemnitee be so indemnified; and</w:t>
      </w:r>
    </w:p>
    <w:p>
      <w:pPr>
        <w:spacing w:after="0" w:line="176" w:lineRule="exact"/>
        <w:rPr>
          <w:sz w:val="20"/>
          <w:szCs w:val="20"/>
          <w:color w:val="auto"/>
        </w:rPr>
      </w:pPr>
    </w:p>
    <w:p>
      <w:pPr>
        <w:ind w:right="340" w:firstLine="129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and subject to the provisions of the letter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July 29, 2020, the Company and Indemnitee do hereby covenant 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20" w:firstLine="8"/>
        <w:spacing w:after="0" w:line="254" w:lineRule="auto"/>
        <w:tabs>
          <w:tab w:leader="none" w:pos="67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 consideration of the Company’s covenants and obligations hereunder, Indemnitee will serve or continue to serve as an officer, director, advisor, key employee or any other capacity of any member of the Company Group,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any member of the Company Group, as provided in Section 17. This Agreement, however, shall not impose any obligation on Indemnitee or the Company to continue Indemnitee’s service to the Company Group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8" w:name="page169"/>
    <w:bookmarkEnd w:id="168"/>
    <w:p>
      <w:pPr>
        <w:ind w:left="680" w:hanging="672"/>
        <w:spacing w:after="0"/>
        <w:tabs>
          <w:tab w:leader="none" w:pos="68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225" w:lineRule="exact"/>
        <w:rPr>
          <w:rFonts w:ascii="Arial" w:cs="Arial" w:eastAsia="Arial" w:hAnsi="Arial"/>
          <w:sz w:val="18"/>
          <w:szCs w:val="18"/>
          <w:color w:val="auto"/>
        </w:rPr>
      </w:pPr>
    </w:p>
    <w:p>
      <w:pPr>
        <w:ind w:right="140" w:firstLine="656"/>
        <w:spacing w:after="0" w:line="279" w:lineRule="auto"/>
        <w:tabs>
          <w:tab w:leader="none" w:pos="1387" w:val="left"/>
        </w:tabs>
        <w:numPr>
          <w:ilvl w:val="1"/>
          <w:numId w:val="178"/>
        </w:numPr>
        <w:rPr>
          <w:rFonts w:ascii="Arial" w:cs="Arial" w:eastAsia="Arial" w:hAnsi="Arial"/>
          <w:sz w:val="17"/>
          <w:szCs w:val="17"/>
          <w:color w:val="auto"/>
        </w:rPr>
      </w:pPr>
      <w:r>
        <w:rPr>
          <w:rFonts w:ascii="Arial" w:cs="Arial" w:eastAsia="Arial" w:hAnsi="Arial"/>
          <w:sz w:val="17"/>
          <w:szCs w:val="17"/>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1" w:lineRule="exact"/>
        <w:rPr>
          <w:rFonts w:ascii="Arial" w:cs="Arial" w:eastAsia="Arial" w:hAnsi="Arial"/>
          <w:sz w:val="17"/>
          <w:szCs w:val="17"/>
          <w:color w:val="auto"/>
        </w:rPr>
      </w:pPr>
    </w:p>
    <w:p>
      <w:pPr>
        <w:ind w:right="440" w:firstLine="656"/>
        <w:spacing w:after="0" w:line="277" w:lineRule="auto"/>
        <w:tabs>
          <w:tab w:leader="none" w:pos="139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events:</w:t>
      </w:r>
    </w:p>
    <w:p>
      <w:pPr>
        <w:spacing w:after="0" w:line="210" w:lineRule="exact"/>
        <w:rPr>
          <w:rFonts w:ascii="Arial" w:cs="Arial" w:eastAsia="Arial" w:hAnsi="Arial"/>
          <w:sz w:val="17"/>
          <w:szCs w:val="17"/>
          <w:color w:val="auto"/>
        </w:rPr>
      </w:pPr>
    </w:p>
    <w:p>
      <w:pPr>
        <w:ind w:right="160" w:firstLine="1304"/>
        <w:spacing w:after="0" w:line="273" w:lineRule="auto"/>
        <w:tabs>
          <w:tab w:leader="none" w:pos="2006" w:val="left"/>
        </w:tabs>
        <w:numPr>
          <w:ilvl w:val="2"/>
          <w:numId w:val="178"/>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an affiliate of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ind w:right="60" w:firstLine="1304"/>
        <w:spacing w:after="0" w:line="259" w:lineRule="auto"/>
        <w:tabs>
          <w:tab w:leader="none" w:pos="2056" w:val="left"/>
        </w:tabs>
        <w:numPr>
          <w:ilvl w:val="2"/>
          <w:numId w:val="178"/>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appointment by the Board or nomination for election by the Company’s stockholders was approved by a vote of at least two thirds of the directors then still in office who were directors on the date hereof or whose appointment or nomination for election was previously so approved (collectively, the “</w:t>
      </w:r>
      <w:r>
        <w:rPr>
          <w:rFonts w:ascii="Arial" w:cs="Arial" w:eastAsia="Arial" w:hAnsi="Arial"/>
          <w:sz w:val="18"/>
          <w:szCs w:val="18"/>
          <w:u w:val="single" w:color="auto"/>
          <w:color w:val="auto"/>
        </w:rPr>
        <w:t>Continuing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cease for any reason to constitute a majority of the members of the Board;</w:t>
      </w:r>
    </w:p>
    <w:p>
      <w:pPr>
        <w:spacing w:after="0" w:line="186" w:lineRule="exact"/>
        <w:rPr>
          <w:rFonts w:ascii="Arial" w:cs="Arial" w:eastAsia="Arial" w:hAnsi="Arial"/>
          <w:sz w:val="18"/>
          <w:szCs w:val="18"/>
          <w:color w:val="auto"/>
        </w:rPr>
      </w:pPr>
    </w:p>
    <w:p>
      <w:pPr>
        <w:ind w:firstLine="1304"/>
        <w:spacing w:after="0" w:line="268" w:lineRule="auto"/>
        <w:tabs>
          <w:tab w:leader="none" w:pos="2106" w:val="left"/>
        </w:tabs>
        <w:numPr>
          <w:ilvl w:val="2"/>
          <w:numId w:val="178"/>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of the Company entitled to vote generally in the election of directors immediately prior to such Business Combination beneficially own, directly or indirectly, more than 51% of the combined voting power of the then outstanding securities of the surviving or resulting entity or the ultimate parent entity that controls such surviving or resulting entity (the “</w:t>
      </w:r>
      <w:r>
        <w:rPr>
          <w:rFonts w:ascii="Arial" w:cs="Arial" w:eastAsia="Arial" w:hAnsi="Arial"/>
          <w:sz w:val="17"/>
          <w:szCs w:val="17"/>
          <w:u w:val="single" w:color="auto"/>
          <w:color w:val="auto"/>
        </w:rPr>
        <w:t>Successor</w:t>
      </w:r>
      <w:r>
        <w:rPr>
          <w:rFonts w:ascii="Arial" w:cs="Arial" w:eastAsia="Arial" w:hAnsi="Arial"/>
          <w:sz w:val="17"/>
          <w:szCs w:val="17"/>
          <w:color w:val="auto"/>
        </w:rPr>
        <w:t>”) entitled to vote generally in the election of directors of the Successor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Company, no Person (excluding any corporation resulting from such Business Combination) is the Beneficial Owner, directly or indirectly, of 15% or more of the combined voting power of the then outstanding securities entitled to vote generally in the election of directors of the successor except to the extent that such Person was the Beneficial Owner, directly or indirectly, of 15% or more of the combined voting power of the Company prior to such Business Combination; and (3) a majority of the board of directors (or comparable governing body) of the Successor were Continuing Directors at the time of the execution of the initial agreement, or of the action of the Board of Directors, providing for such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ind w:left="-160" w:firstLine="1304"/>
        <w:spacing w:after="0" w:line="259" w:lineRule="auto"/>
        <w:tabs>
          <w:tab w:leader="none" w:pos="1935"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160" w:right="420" w:firstLine="1304"/>
        <w:spacing w:after="0" w:line="286" w:lineRule="auto"/>
        <w:tabs>
          <w:tab w:leader="none" w:pos="1885" w:val="left"/>
        </w:tabs>
        <w:numPr>
          <w:ilvl w:val="1"/>
          <w:numId w:val="179"/>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65" w:lineRule="exact"/>
        <w:rPr>
          <w:rFonts w:ascii="Arial" w:cs="Arial" w:eastAsia="Arial" w:hAnsi="Arial"/>
          <w:sz w:val="17"/>
          <w:szCs w:val="17"/>
          <w:color w:val="auto"/>
        </w:rPr>
      </w:pPr>
    </w:p>
    <w:p>
      <w:pPr>
        <w:ind w:left="-160" w:right="20" w:firstLine="656"/>
        <w:spacing w:after="0" w:line="263" w:lineRule="auto"/>
        <w:tabs>
          <w:tab w:leader="none" w:pos="123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1240" w:hanging="744"/>
        <w:spacing w:after="0"/>
        <w:tabs>
          <w:tab w:leader="none" w:pos="12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left="-160" w:right="80" w:firstLine="656"/>
        <w:spacing w:after="0" w:line="277" w:lineRule="auto"/>
        <w:tabs>
          <w:tab w:leader="none" w:pos="120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160" w:right="140" w:firstLine="656"/>
        <w:spacing w:after="0" w:line="259" w:lineRule="auto"/>
        <w:tabs>
          <w:tab w:leader="none" w:pos="123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1240" w:hanging="744"/>
        <w:spacing w:after="0"/>
        <w:tabs>
          <w:tab w:leader="none" w:pos="12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70" w:name="page171"/>
    <w:bookmarkEnd w:id="170"/>
    <w:p>
      <w:pPr>
        <w:ind w:left="-8" w:firstLine="656"/>
        <w:spacing w:after="0" w:line="269" w:lineRule="auto"/>
        <w:tabs>
          <w:tab w:leader="none" w:pos="135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 incurred in any Proceeding by or in the right of the Company.</w:t>
      </w:r>
    </w:p>
    <w:p>
      <w:pPr>
        <w:spacing w:after="0" w:line="185" w:lineRule="exact"/>
        <w:rPr>
          <w:rFonts w:ascii="Arial" w:cs="Arial" w:eastAsia="Arial" w:hAnsi="Arial"/>
          <w:sz w:val="17"/>
          <w:szCs w:val="17"/>
          <w:color w:val="auto"/>
        </w:rPr>
      </w:pPr>
    </w:p>
    <w:p>
      <w:pPr>
        <w:ind w:left="-8" w:right="60" w:firstLine="656"/>
        <w:spacing w:after="0" w:line="255" w:lineRule="auto"/>
        <w:tabs>
          <w:tab w:leader="none" w:pos="135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u w:val="single" w:color="auto"/>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ind w:left="-8" w:right="60" w:firstLine="656"/>
        <w:spacing w:after="0" w:line="287" w:lineRule="auto"/>
        <w:tabs>
          <w:tab w:leader="none" w:pos="1389" w:val="left"/>
        </w:tabs>
        <w:numPr>
          <w:ilvl w:val="1"/>
          <w:numId w:val="1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spacing w:after="0" w:line="2" w:lineRule="exact"/>
        <w:rPr>
          <w:rFonts w:ascii="Arial" w:cs="Arial" w:eastAsia="Arial" w:hAnsi="Arial"/>
          <w:sz w:val="16"/>
          <w:szCs w:val="16"/>
          <w:color w:val="auto"/>
        </w:rPr>
      </w:pPr>
    </w:p>
    <w:p>
      <w:pPr>
        <w:ind w:left="-8" w:right="140" w:firstLine="8"/>
        <w:spacing w:after="0" w:line="277" w:lineRule="auto"/>
        <w:tabs>
          <w:tab w:leader="none" w:pos="257"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ind w:left="-8" w:right="60" w:firstLine="656"/>
        <w:spacing w:after="0" w:line="273" w:lineRule="auto"/>
        <w:tabs>
          <w:tab w:leader="none" w:pos="135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w:t>
      </w:r>
      <w:r>
        <w:rPr>
          <w:rFonts w:ascii="Arial" w:cs="Arial" w:eastAsia="Arial" w:hAnsi="Arial"/>
          <w:sz w:val="17"/>
          <w:szCs w:val="17"/>
          <w:u w:val="single" w:color="auto"/>
          <w:color w:val="auto"/>
        </w:rPr>
        <w:t>Person</w:t>
      </w:r>
      <w:r>
        <w:rPr>
          <w:rFonts w:ascii="Arial" w:cs="Arial" w:eastAsia="Arial" w:hAnsi="Arial"/>
          <w:sz w:val="17"/>
          <w:szCs w:val="17"/>
          <w:color w:val="auto"/>
        </w:rPr>
        <w:t>”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3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71" w:name="page172"/>
    <w:bookmarkEnd w:id="171"/>
    <w:p>
      <w:pPr>
        <w:ind w:left="-8" w:right="20" w:firstLine="656"/>
        <w:spacing w:after="0" w:line="273" w:lineRule="auto"/>
        <w:tabs>
          <w:tab w:leader="none" w:pos="1439"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of Indemnitee’s Corporate Status, whether or not serving in such capacity at the time any liability or expense is incurred for which indemnification, reimbursement, or advancement of expenses can be provided under this Agreement but shall not include any Enforcement Proceeding pursuant to Section 14.</w:t>
      </w:r>
    </w:p>
    <w:p>
      <w:pPr>
        <w:spacing w:after="0" w:line="177" w:lineRule="exact"/>
        <w:rPr>
          <w:rFonts w:ascii="Arial" w:cs="Arial" w:eastAsia="Arial" w:hAnsi="Arial"/>
          <w:sz w:val="17"/>
          <w:szCs w:val="17"/>
          <w:color w:val="auto"/>
        </w:rPr>
      </w:pPr>
    </w:p>
    <w:p>
      <w:pPr>
        <w:ind w:left="-8" w:right="80" w:firstLine="656"/>
        <w:spacing w:after="0" w:line="342" w:lineRule="auto"/>
        <w:tabs>
          <w:tab w:leader="none" w:pos="1389"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Subsidiary</w:t>
      </w:r>
      <w:r>
        <w:rPr>
          <w:rFonts w:ascii="Arial" w:cs="Arial" w:eastAsia="Arial" w:hAnsi="Arial"/>
          <w:sz w:val="16"/>
          <w:szCs w:val="16"/>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23" w:lineRule="exact"/>
        <w:rPr>
          <w:rFonts w:ascii="Arial" w:cs="Arial" w:eastAsia="Arial" w:hAnsi="Arial"/>
          <w:sz w:val="16"/>
          <w:szCs w:val="16"/>
          <w:color w:val="auto"/>
        </w:rPr>
      </w:pPr>
    </w:p>
    <w:p>
      <w:pPr>
        <w:ind w:left="-8" w:right="120" w:firstLine="8"/>
        <w:spacing w:after="0" w:line="271" w:lineRule="auto"/>
        <w:tabs>
          <w:tab w:leader="none" w:pos="667"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To the fullest 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(including all interest, assessments and other charges paid or payable in connection with or in respect of such Expenses) actually and reasonably incurred by Indemnitee or on Indemnitee’s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Indemnitee’s conduct was unlawful.</w:t>
      </w:r>
    </w:p>
    <w:p>
      <w:pPr>
        <w:spacing w:after="0" w:line="178" w:lineRule="exact"/>
        <w:rPr>
          <w:rFonts w:ascii="Arial" w:cs="Arial" w:eastAsia="Arial" w:hAnsi="Arial"/>
          <w:sz w:val="17"/>
          <w:szCs w:val="17"/>
          <w:color w:val="auto"/>
        </w:rPr>
      </w:pPr>
    </w:p>
    <w:p>
      <w:pPr>
        <w:ind w:left="-8" w:firstLine="8"/>
        <w:spacing w:after="0" w:line="288" w:lineRule="auto"/>
        <w:tabs>
          <w:tab w:leader="none" w:pos="667"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72" w:name="page173"/>
    <w:bookmarkEnd w:id="172"/>
    <w:p>
      <w:pPr>
        <w:ind w:left="-8" w:right="80" w:firstLine="8"/>
        <w:spacing w:after="0" w:line="287" w:lineRule="auto"/>
        <w:tabs>
          <w:tab w:leader="none" w:pos="667"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except for Section 27, to the extent that Indemnitee was or is, by reason of Indemnitee’s Corporate Status, a party to (or a participant in) and is successful, on the merits or otherwise, in defending any Proceeding or in defense of any claim, issue or matter therein, in whole or in part, the defending Company shall, to the fullest extent permitted by applicable law, indemnify, hold harmless and exonerate Indemnitee against all Expenses actually and reasonably incurred by Indemnitee in connection therewith. If Indemnitee is not wholly successful in defense of such Proceeding (or part thereof) but is successful, on the merits or otherwise, in defense of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defense of such Proceeding (or part thereof),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and without limitation, the termination of any claim, issue or matter in such a Proceeding by dismissal, with or without prejudice, shall be deemed to be a successful result as to the defense of such claim, issue or matter.</w:t>
      </w:r>
    </w:p>
    <w:p>
      <w:pPr>
        <w:spacing w:after="0" w:line="167" w:lineRule="exact"/>
        <w:rPr>
          <w:rFonts w:ascii="Arial" w:cs="Arial" w:eastAsia="Arial" w:hAnsi="Arial"/>
          <w:sz w:val="16"/>
          <w:szCs w:val="16"/>
          <w:color w:val="auto"/>
        </w:rPr>
      </w:pPr>
    </w:p>
    <w:p>
      <w:pPr>
        <w:ind w:left="-8" w:right="180" w:firstLine="8"/>
        <w:spacing w:after="0" w:line="279" w:lineRule="auto"/>
        <w:tabs>
          <w:tab w:leader="none" w:pos="667"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except for Section 27, to the extent that Indemnitee is, by reason of Indemnitee’s Corporate Status, a witness or deponent in any Proceeding to which Indemnitee was not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71" w:lineRule="exact"/>
        <w:rPr>
          <w:rFonts w:ascii="Arial" w:cs="Arial" w:eastAsia="Arial" w:hAnsi="Arial"/>
          <w:sz w:val="17"/>
          <w:szCs w:val="17"/>
          <w:color w:val="auto"/>
        </w:rPr>
      </w:pPr>
    </w:p>
    <w:p>
      <w:pPr>
        <w:ind w:left="-8" w:firstLine="8"/>
        <w:spacing w:after="0" w:line="255" w:lineRule="auto"/>
        <w:tabs>
          <w:tab w:leader="none" w:pos="66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ADDITIONAL INDEMNIFICATION, HOLD HARMLESS AND EXONERATION RIGHTS</w:t>
      </w:r>
      <w:r>
        <w:rPr>
          <w:rFonts w:ascii="Arial" w:cs="Arial" w:eastAsia="Arial" w:hAnsi="Arial"/>
          <w:sz w:val="18"/>
          <w:szCs w:val="18"/>
          <w:color w:val="auto"/>
        </w:rPr>
        <w:t>. Notwithstanding any limitation in Sections 3, 4, or 5, except for Section 27, the Company shall, to the fullest extent permitted by applicable law, indemnify, hold harmless and exonerate Indemnitee if Indemnitee is a party to or threatened to be made a party to any Proceeding against all Expenses and judgments, fines, penalties and amounts paid in settlement in any Proceeding by or in the right of the Company to procure a judgment in its favor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73" w:name="page174"/>
    <w:bookmarkEnd w:id="173"/>
    <w:p>
      <w:pPr>
        <w:ind w:left="672" w:hanging="672"/>
        <w:spacing w:after="0"/>
        <w:tabs>
          <w:tab w:leader="none" w:pos="672"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CONTRIBUTION IN THE EVENT OF JOINT 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00" w:firstLine="656"/>
        <w:spacing w:after="0" w:line="296" w:lineRule="auto"/>
        <w:tabs>
          <w:tab w:leader="none" w:pos="1379"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8" w:right="120" w:firstLine="656"/>
        <w:spacing w:after="0" w:line="308" w:lineRule="auto"/>
        <w:tabs>
          <w:tab w:leader="none" w:pos="1389"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46" w:lineRule="exact"/>
        <w:rPr>
          <w:rFonts w:ascii="Arial" w:cs="Arial" w:eastAsia="Arial" w:hAnsi="Arial"/>
          <w:sz w:val="17"/>
          <w:szCs w:val="17"/>
          <w:color w:val="auto"/>
        </w:rPr>
      </w:pPr>
    </w:p>
    <w:p>
      <w:pPr>
        <w:ind w:left="-8" w:right="120" w:firstLine="656"/>
        <w:spacing w:after="0" w:line="277" w:lineRule="auto"/>
        <w:tabs>
          <w:tab w:leader="none" w:pos="1379"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70" w:lineRule="exact"/>
        <w:rPr>
          <w:rFonts w:ascii="Arial" w:cs="Arial" w:eastAsia="Arial" w:hAnsi="Arial"/>
          <w:sz w:val="18"/>
          <w:szCs w:val="18"/>
          <w:color w:val="auto"/>
        </w:rPr>
      </w:pPr>
    </w:p>
    <w:p>
      <w:pPr>
        <w:ind w:left="-8" w:right="540" w:firstLine="8"/>
        <w:spacing w:after="0" w:line="308" w:lineRule="auto"/>
        <w:tabs>
          <w:tab w:leader="none" w:pos="667"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the Company shall not be obligated under this Agreement to make any indemnification, advance expenses, hold harmless or exoneration payment in connection with any claim made against Indemnitee:</w:t>
      </w:r>
    </w:p>
    <w:p>
      <w:pPr>
        <w:spacing w:after="0" w:line="146" w:lineRule="exact"/>
        <w:rPr>
          <w:rFonts w:ascii="Arial" w:cs="Arial" w:eastAsia="Arial" w:hAnsi="Arial"/>
          <w:sz w:val="17"/>
          <w:szCs w:val="17"/>
          <w:color w:val="auto"/>
        </w:rPr>
      </w:pPr>
    </w:p>
    <w:p>
      <w:pPr>
        <w:ind w:left="-8" w:right="360" w:firstLine="656"/>
        <w:spacing w:after="0" w:line="263" w:lineRule="auto"/>
        <w:tabs>
          <w:tab w:leader="none" w:pos="1379" w:val="left"/>
        </w:tabs>
        <w:numPr>
          <w:ilvl w:val="1"/>
          <w:numId w:val="186"/>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83" w:lineRule="exact"/>
        <w:rPr>
          <w:rFonts w:ascii="Arial" w:cs="Arial" w:eastAsia="Arial" w:hAnsi="Arial"/>
          <w:sz w:val="18"/>
          <w:szCs w:val="18"/>
          <w:color w:val="auto"/>
        </w:rPr>
      </w:pPr>
    </w:p>
    <w:p>
      <w:pPr>
        <w:ind w:left="-8" w:right="40" w:firstLine="656"/>
        <w:spacing w:after="0" w:line="308" w:lineRule="auto"/>
        <w:tabs>
          <w:tab w:leader="none" w:pos="1389" w:val="left"/>
        </w:tabs>
        <w:numPr>
          <w:ilvl w:val="1"/>
          <w:numId w:val="186"/>
        </w:numPr>
        <w:rPr>
          <w:rFonts w:ascii="Arial" w:cs="Arial" w:eastAsia="Arial" w:hAnsi="Arial"/>
          <w:sz w:val="17"/>
          <w:szCs w:val="17"/>
          <w:color w:val="auto"/>
        </w:rPr>
      </w:pPr>
      <w:r>
        <w:rPr>
          <w:rFonts w:ascii="Arial" w:cs="Arial" w:eastAsia="Arial" w:hAnsi="Arial"/>
          <w:sz w:val="17"/>
          <w:szCs w:val="17"/>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46" w:lineRule="exact"/>
        <w:rPr>
          <w:rFonts w:ascii="Arial" w:cs="Arial" w:eastAsia="Arial" w:hAnsi="Arial"/>
          <w:sz w:val="17"/>
          <w:szCs w:val="17"/>
          <w:color w:val="auto"/>
        </w:rPr>
      </w:pPr>
    </w:p>
    <w:p>
      <w:pPr>
        <w:ind w:left="-8" w:firstLine="656"/>
        <w:spacing w:after="0" w:line="273" w:lineRule="auto"/>
        <w:tabs>
          <w:tab w:leader="none" w:pos="1379" w:val="left"/>
        </w:tabs>
        <w:numPr>
          <w:ilvl w:val="1"/>
          <w:numId w:val="186"/>
        </w:numPr>
        <w:rPr>
          <w:rFonts w:ascii="Arial" w:cs="Arial" w:eastAsia="Arial" w:hAnsi="Arial"/>
          <w:sz w:val="17"/>
          <w:szCs w:val="17"/>
          <w:color w:val="auto"/>
        </w:rPr>
      </w:pPr>
      <w:r>
        <w:rPr>
          <w:rFonts w:ascii="Arial" w:cs="Arial" w:eastAsia="Arial" w:hAnsi="Arial"/>
          <w:sz w:val="17"/>
          <w:szCs w:val="17"/>
          <w:color w:val="auto"/>
        </w:rPr>
        <w:t>except as otherwise provided in Sections 14(f)-(g)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39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174" w:name="page175"/>
    <w:bookmarkEnd w:id="174"/>
    <w:p>
      <w:pPr>
        <w:ind w:left="772" w:hanging="772"/>
        <w:spacing w:after="0"/>
        <w:tabs>
          <w:tab w:leader="none" w:pos="772"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ADVANCES OF EXPENSES; DEFENSE OF CLAIM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87" w:lineRule="auto"/>
        <w:tabs>
          <w:tab w:leader="none" w:pos="1379" w:val="left"/>
        </w:tabs>
        <w:numPr>
          <w:ilvl w:val="1"/>
          <w:numId w:val="187"/>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except for Section 27, and to the fullest extent not prohibited by applicable law, the Company shall pay the Expenses incurred by Indemnitee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an Enforcement Proceeding (assuming for this purpose all references to a “Proceeding” in the definition of Expenses were deemed related to an Enforcement Proceeding), including Expenses incurred preparing and forwarding statements to the Company to support the advances claimed. This Agreement shall constitute Indemnitee’s undertaking to repay the advanced amounts to the extent that it is ultimately determined that Indemnitee is not entitled to be indemnified, held harmless or exonerated by the Company under the provisions of this Agreement, the Charter, the Bylaws of the Company, applicable law or otherwise, but only if such an undertaking is required by applicable law. This Section 10(a) shall not apply to any Proceeding for which indemnity is not permitted under Section 9 of this Agreement, but shall apply to any Proceeding referenced in Section 9(b) prior to a final determination that Indemnitee is liable therefor.</w:t>
      </w:r>
    </w:p>
    <w:p>
      <w:pPr>
        <w:spacing w:after="0" w:line="167" w:lineRule="exact"/>
        <w:rPr>
          <w:rFonts w:ascii="Arial" w:cs="Arial" w:eastAsia="Arial" w:hAnsi="Arial"/>
          <w:sz w:val="16"/>
          <w:szCs w:val="16"/>
          <w:color w:val="auto"/>
        </w:rPr>
      </w:pPr>
    </w:p>
    <w:p>
      <w:pPr>
        <w:ind w:left="1392" w:hanging="744"/>
        <w:spacing w:after="0"/>
        <w:tabs>
          <w:tab w:leader="none" w:pos="139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8" w:right="180" w:firstLine="656"/>
        <w:spacing w:after="0" w:line="277" w:lineRule="auto"/>
        <w:tabs>
          <w:tab w:leader="none" w:pos="137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170" w:lineRule="exact"/>
        <w:rPr>
          <w:rFonts w:ascii="Arial" w:cs="Arial" w:eastAsia="Arial" w:hAnsi="Arial"/>
          <w:sz w:val="18"/>
          <w:szCs w:val="18"/>
          <w:color w:val="auto"/>
        </w:rPr>
      </w:pPr>
    </w:p>
    <w:p>
      <w:pPr>
        <w:ind w:left="752" w:hanging="752"/>
        <w:spacing w:after="0"/>
        <w:tabs>
          <w:tab w:leader="none" w:pos="752"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PROCEDURE FOR NOTIFICATION AND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20" w:firstLine="656"/>
        <w:spacing w:after="0" w:line="259" w:lineRule="auto"/>
        <w:tabs>
          <w:tab w:leader="none" w:pos="137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86" w:lineRule="exact"/>
        <w:rPr>
          <w:rFonts w:ascii="Arial" w:cs="Arial" w:eastAsia="Arial" w:hAnsi="Arial"/>
          <w:sz w:val="18"/>
          <w:szCs w:val="18"/>
          <w:color w:val="auto"/>
        </w:rPr>
      </w:pPr>
    </w:p>
    <w:p>
      <w:pPr>
        <w:ind w:left="-8" w:right="120" w:firstLine="656"/>
        <w:spacing w:after="0" w:line="259" w:lineRule="auto"/>
        <w:tabs>
          <w:tab w:leader="none" w:pos="138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sole discretion. Following such a written application for indemnification by Indemnitee, Indemnitee’s entitlement to indemnification shall be determined according to Section 12(a) of this Agreement.</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75" w:name="page176"/>
    <w:bookmarkEnd w:id="175"/>
    <w:p>
      <w:pPr>
        <w:ind w:left="772" w:hanging="772"/>
        <w:spacing w:after="0"/>
        <w:tabs>
          <w:tab w:leader="none" w:pos="772"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188"/>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directors so direct, by Independent Counsel in a written opinion to the Board, a copy of which shall be delivered to Indemnitee, or (ii) if a Change in Control has occurred, by Independent Counsel in a written opinion to the Board, a copy of which shall be delivered to the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4" w:lineRule="exact"/>
        <w:rPr>
          <w:rFonts w:ascii="Arial" w:cs="Arial" w:eastAsia="Arial" w:hAnsi="Arial"/>
          <w:sz w:val="17"/>
          <w:szCs w:val="17"/>
          <w:color w:val="auto"/>
        </w:rPr>
      </w:pPr>
    </w:p>
    <w:p>
      <w:pPr>
        <w:ind w:left="-8" w:right="20" w:firstLine="656"/>
        <w:spacing w:after="0" w:line="285" w:lineRule="auto"/>
        <w:tabs>
          <w:tab w:leader="none" w:pos="1389"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76" w:name="page177"/>
    <w:bookmarkEnd w:id="176"/>
    <w:p>
      <w:pPr>
        <w:ind w:left="-8" w:right="160" w:firstLine="656"/>
        <w:spacing w:after="0" w:line="263" w:lineRule="auto"/>
        <w:tabs>
          <w:tab w:leader="none" w:pos="137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3" w:lineRule="exact"/>
        <w:rPr>
          <w:rFonts w:ascii="Arial" w:cs="Arial" w:eastAsia="Arial" w:hAnsi="Arial"/>
          <w:sz w:val="18"/>
          <w:szCs w:val="18"/>
          <w:color w:val="auto"/>
        </w:rPr>
      </w:pPr>
    </w:p>
    <w:p>
      <w:pPr>
        <w:ind w:left="772" w:hanging="772"/>
        <w:spacing w:after="0"/>
        <w:tabs>
          <w:tab w:leader="none" w:pos="772"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71" w:lineRule="auto"/>
        <w:tabs>
          <w:tab w:leader="none" w:pos="1379" w:val="left"/>
        </w:tabs>
        <w:numPr>
          <w:ilvl w:val="1"/>
          <w:numId w:val="190"/>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left="-8" w:right="40" w:firstLine="656"/>
        <w:spacing w:after="0" w:line="271" w:lineRule="auto"/>
        <w:tabs>
          <w:tab w:leader="none" w:pos="1389" w:val="left"/>
        </w:tabs>
        <w:numPr>
          <w:ilvl w:val="1"/>
          <w:numId w:val="190"/>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77" w:name="page178"/>
    <w:bookmarkEnd w:id="177"/>
    <w:p>
      <w:pPr>
        <w:ind w:left="-8" w:right="20" w:firstLine="656"/>
        <w:spacing w:after="0" w:line="257" w:lineRule="auto"/>
        <w:tabs>
          <w:tab w:leader="none" w:pos="137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8" w:right="60" w:firstLine="656"/>
        <w:spacing w:after="0" w:line="290" w:lineRule="auto"/>
        <w:tabs>
          <w:tab w:leader="none" w:pos="1389" w:val="left"/>
        </w:tabs>
        <w:numPr>
          <w:ilvl w:val="1"/>
          <w:numId w:val="191"/>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65" w:lineRule="exact"/>
        <w:rPr>
          <w:rFonts w:ascii="Arial" w:cs="Arial" w:eastAsia="Arial" w:hAnsi="Arial"/>
          <w:sz w:val="16"/>
          <w:szCs w:val="16"/>
          <w:color w:val="auto"/>
        </w:rPr>
      </w:pPr>
    </w:p>
    <w:p>
      <w:pPr>
        <w:ind w:left="-8" w:right="280" w:firstLine="656"/>
        <w:spacing w:after="0" w:line="342" w:lineRule="auto"/>
        <w:tabs>
          <w:tab w:leader="none" w:pos="1379"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23" w:lineRule="exact"/>
        <w:rPr>
          <w:rFonts w:ascii="Arial" w:cs="Arial" w:eastAsia="Arial" w:hAnsi="Arial"/>
          <w:sz w:val="16"/>
          <w:szCs w:val="16"/>
          <w:color w:val="auto"/>
        </w:rPr>
      </w:pPr>
    </w:p>
    <w:p>
      <w:pPr>
        <w:ind w:left="772" w:hanging="772"/>
        <w:spacing w:after="0"/>
        <w:tabs>
          <w:tab w:leader="none" w:pos="772"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192"/>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 Such adjudication or arbitration proceeding is referred to herein as “Enforcement Proceeding.”</w:t>
      </w:r>
    </w:p>
    <w:p>
      <w:pPr>
        <w:spacing w:after="0" w:line="200" w:lineRule="exact"/>
        <w:rPr>
          <w:sz w:val="20"/>
          <w:szCs w:val="20"/>
          <w:color w:val="auto"/>
        </w:rPr>
      </w:pP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78" w:name="page179"/>
    <w:bookmarkEnd w:id="178"/>
    <w:p>
      <w:pPr>
        <w:ind w:right="120" w:firstLine="656"/>
        <w:spacing w:after="0" w:line="263" w:lineRule="auto"/>
        <w:tabs>
          <w:tab w:leader="none" w:pos="139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Enforcement Proceeding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ind w:firstLine="656"/>
        <w:spacing w:after="0" w:line="293" w:lineRule="auto"/>
        <w:tabs>
          <w:tab w:leader="none" w:pos="138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 any Enforcement Proceeding, Indemnitee shall be presumed to be entitled to be indemnified, held harmless, exonerated and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an Enforcement Proceeding,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4" w:lineRule="exact"/>
        <w:rPr>
          <w:rFonts w:ascii="Arial" w:cs="Arial" w:eastAsia="Arial" w:hAnsi="Arial"/>
          <w:sz w:val="16"/>
          <w:szCs w:val="16"/>
          <w:color w:val="auto"/>
        </w:rPr>
      </w:pPr>
    </w:p>
    <w:p>
      <w:pPr>
        <w:ind w:firstLine="656"/>
        <w:spacing w:after="0" w:line="259" w:lineRule="auto"/>
        <w:tabs>
          <w:tab w:leader="none" w:pos="139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Enforcement Proceeding,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right="40" w:firstLine="656"/>
        <w:spacing w:after="0" w:line="263" w:lineRule="auto"/>
        <w:tabs>
          <w:tab w:leader="none" w:pos="138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Company shall be precluded from asserting in Enforcement Proceeding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right="40" w:firstLine="656"/>
        <w:spacing w:after="0" w:line="270" w:lineRule="auto"/>
        <w:tabs>
          <w:tab w:leader="none" w:pos="136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(assuming for purposes of this sentence that all references to a Proceeding in the definition of Expenses were references to an Enforcement Proceeding) and, if requested by Indemnitee, shall (within ten (10) days after the Company’s receipt of such written request) pay to Indemnitee, to the fullest extent permitted by applicable law, such Expenses which are incurred by Indemnitee in connection with any Enforcement Proceeding brought by Indemnitee: (i) to enforce his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Enforcement Proceeding was not brought by Indemnitee in good faith).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firstLine="656"/>
        <w:spacing w:after="0" w:line="259" w:lineRule="auto"/>
        <w:tabs>
          <w:tab w:leader="none" w:pos="139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or on behalf of the Company.</w:t>
      </w:r>
    </w:p>
    <w:p>
      <w:pPr>
        <w:spacing w:after="0" w:line="186" w:lineRule="exact"/>
        <w:rPr>
          <w:rFonts w:ascii="Arial" w:cs="Arial" w:eastAsia="Arial" w:hAnsi="Arial"/>
          <w:sz w:val="18"/>
          <w:szCs w:val="18"/>
          <w:color w:val="auto"/>
        </w:rPr>
      </w:pPr>
    </w:p>
    <w:p>
      <w:pPr>
        <w:ind w:firstLine="8"/>
        <w:spacing w:after="0" w:line="259" w:lineRule="auto"/>
        <w:tabs>
          <w:tab w:leader="none" w:pos="765"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Notwithstanding anything herein to the contrary, except for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86" w:lineRule="exact"/>
        <w:rPr>
          <w:rFonts w:ascii="Arial" w:cs="Arial" w:eastAsia="Arial" w:hAnsi="Arial"/>
          <w:sz w:val="18"/>
          <w:szCs w:val="18"/>
          <w:color w:val="auto"/>
        </w:rPr>
      </w:pPr>
    </w:p>
    <w:p>
      <w:pPr>
        <w:ind w:left="780" w:hanging="772"/>
        <w:spacing w:after="0"/>
        <w:tabs>
          <w:tab w:leader="none" w:pos="78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69" w:lineRule="auto"/>
        <w:tabs>
          <w:tab w:leader="none" w:pos="1387"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repeals, except as may otherwise be expressly set forth in such amendment, alteration or repeals and mutually agreed by Indemnitee and the Company.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ind w:left="-40" w:right="20" w:firstLine="656"/>
        <w:spacing w:after="0" w:line="253" w:lineRule="auto"/>
        <w:tabs>
          <w:tab w:leader="none" w:pos="135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Delaware General Corporation Law (the “DGCL”), the Charter and the Bylaws permit the Company to purchase and maintain insurance or furnish similar protection or make other arrangements including, but not limited to, providing a trust fund, letter of credit, or surety bond (“Indemnification Arrangements”)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96" w:lineRule="exact"/>
        <w:rPr>
          <w:rFonts w:ascii="Arial" w:cs="Arial" w:eastAsia="Arial" w:hAnsi="Arial"/>
          <w:sz w:val="18"/>
          <w:szCs w:val="18"/>
          <w:color w:val="auto"/>
        </w:rPr>
      </w:pPr>
    </w:p>
    <w:p>
      <w:pPr>
        <w:ind w:left="-40" w:right="60" w:firstLine="656"/>
        <w:spacing w:after="0" w:line="270" w:lineRule="auto"/>
        <w:tabs>
          <w:tab w:leader="none" w:pos="134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To the extent that any member of the Company Group maintains an insurance policy or policies providing liability insurance for directors, officers, trustees, partners, managers, managing members, fiduciaries, employees, or agents of the Company Group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or cause to be taken all necessary or desirable action to cause such insurers to pay, on behalf of Indemnitee, all amounts payable as a result of such Proceeding in accordance with the terms of such policies.</w:t>
      </w:r>
    </w:p>
    <w:p>
      <w:pPr>
        <w:spacing w:after="0" w:line="180" w:lineRule="exact"/>
        <w:rPr>
          <w:rFonts w:ascii="Arial" w:cs="Arial" w:eastAsia="Arial" w:hAnsi="Arial"/>
          <w:sz w:val="17"/>
          <w:szCs w:val="17"/>
          <w:color w:val="auto"/>
        </w:rPr>
      </w:pPr>
    </w:p>
    <w:p>
      <w:pPr>
        <w:ind w:left="-40" w:firstLine="656"/>
        <w:spacing w:after="0" w:line="286" w:lineRule="auto"/>
        <w:tabs>
          <w:tab w:leader="none" w:pos="135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181" w:name="page182"/>
    <w:bookmarkEnd w:id="181"/>
    <w:p>
      <w:pPr>
        <w:ind w:left="-8" w:right="60" w:firstLine="656"/>
        <w:spacing w:after="0" w:line="284" w:lineRule="auto"/>
        <w:tabs>
          <w:tab w:leader="none" w:pos="1379"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left="-8" w:right="100" w:firstLine="8"/>
        <w:spacing w:after="0" w:line="323" w:lineRule="auto"/>
        <w:tabs>
          <w:tab w:leader="none" w:pos="25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8" w:lineRule="exact"/>
        <w:rPr>
          <w:rFonts w:ascii="Arial" w:cs="Arial" w:eastAsia="Arial" w:hAnsi="Arial"/>
          <w:sz w:val="16"/>
          <w:szCs w:val="16"/>
          <w:color w:val="auto"/>
        </w:rPr>
      </w:pPr>
    </w:p>
    <w:p>
      <w:pPr>
        <w:ind w:left="-8" w:right="20" w:firstLine="656"/>
        <w:spacing w:after="0" w:line="287" w:lineRule="auto"/>
        <w:tabs>
          <w:tab w:leader="none" w:pos="136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To the extent Indemnitee has rights to indemnification, advancement of expenses and/or insurance provided by the Sponsor or its affiliates as applicable, (i) the Company shall be the indemnitor of first resort (i.e., that its obligations to Indemnitee are primary and any obligation of the Sponsor or its affiliates, as applicable, to advance expenses or to provide indemnification for the same expenses or liabilities incurred by Indemnitee are secondary), (ii) the Company shall be required to advance the full amount of expenses incurred by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Agreement, the Company’s organizational documents or other agreement, without regard to any rights Indemnitee may have against the Sponsor or its affiliates, as applicable, and (iii) the Company irrevocably waives, relinquishes and releases the Sponsor and its affiliates, as applicable, from any and all claims against them for contribution, subrogation or any other recovery of any kind in respect thereof. No advancement or payment by the Sponsor or its affiliates, as applicable, on behalf of Indemnitee with respect to any claim for which Indemnitee has sought indemnification from the Company shall affect the foregoing, and the Sponsor and its affiliates, as applicable, shall have a right of contribution and be subrogated to the extent of such advancement or payment to all of the rights of recovery of Indemnitee against the Company.</w:t>
      </w:r>
    </w:p>
    <w:p>
      <w:pPr>
        <w:spacing w:after="0" w:line="168" w:lineRule="exact"/>
        <w:rPr>
          <w:sz w:val="20"/>
          <w:szCs w:val="20"/>
          <w:color w:val="auto"/>
        </w:rPr>
      </w:pPr>
    </w:p>
    <w:p>
      <w:pPr>
        <w:ind w:left="-8" w:firstLine="8"/>
        <w:spacing w:after="0" w:line="273" w:lineRule="auto"/>
        <w:tabs>
          <w:tab w:leader="none" w:pos="757"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All agreements and obligations of the Company contained 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or Enforcement Proceeding (including any rights of appeal thereto) by reason of Indemnitee’s Corporate Status, whether or not Indemnitee is acting in any such capacity at the time any liability or expense is incurred for which indemnification or advancement can be provided under this Agreement.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82" w:name="page183"/>
    <w:bookmarkEnd w:id="182"/>
    <w:p>
      <w:pPr>
        <w:ind w:left="-8" w:right="60" w:firstLine="8"/>
        <w:spacing w:after="0" w:line="271" w:lineRule="auto"/>
        <w:tabs>
          <w:tab w:leader="none" w:pos="757"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8" w:lineRule="exact"/>
        <w:rPr>
          <w:rFonts w:ascii="Arial" w:cs="Arial" w:eastAsia="Arial" w:hAnsi="Arial"/>
          <w:sz w:val="17"/>
          <w:szCs w:val="17"/>
          <w:color w:val="auto"/>
        </w:rPr>
      </w:pPr>
    </w:p>
    <w:p>
      <w:pPr>
        <w:ind w:left="772" w:hanging="772"/>
        <w:spacing w:after="0"/>
        <w:tabs>
          <w:tab w:leader="none" w:pos="77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ENFORCEMENT AND BINDING EFFECT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60" w:firstLine="656"/>
        <w:spacing w:after="0" w:line="286" w:lineRule="auto"/>
        <w:tabs>
          <w:tab w:leader="none" w:pos="1379" w:val="left"/>
        </w:tabs>
        <w:numPr>
          <w:ilvl w:val="1"/>
          <w:numId w:val="200"/>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assumed the obligations imposed on it hereby in order to induce Indemnitee to serve as a director, officer or key employee of the Company Group, and the Company acknowledges that Indemnitee is relying upon this Agreement in serving as a director, officer or key employee of the Company Group.</w:t>
      </w:r>
    </w:p>
    <w:p>
      <w:pPr>
        <w:spacing w:after="0" w:line="165" w:lineRule="exact"/>
        <w:rPr>
          <w:rFonts w:ascii="Arial" w:cs="Arial" w:eastAsia="Arial" w:hAnsi="Arial"/>
          <w:sz w:val="17"/>
          <w:szCs w:val="17"/>
          <w:color w:val="auto"/>
        </w:rPr>
      </w:pPr>
    </w:p>
    <w:p>
      <w:pPr>
        <w:ind w:left="-8" w:right="300" w:firstLine="656"/>
        <w:spacing w:after="0" w:line="311" w:lineRule="auto"/>
        <w:tabs>
          <w:tab w:leader="none" w:pos="1389" w:val="left"/>
        </w:tabs>
        <w:numPr>
          <w:ilvl w:val="1"/>
          <w:numId w:val="200"/>
        </w:numPr>
        <w:rPr>
          <w:rFonts w:ascii="Arial" w:cs="Arial" w:eastAsia="Arial" w:hAnsi="Arial"/>
          <w:sz w:val="16"/>
          <w:szCs w:val="16"/>
          <w:color w:val="auto"/>
        </w:rPr>
      </w:pPr>
      <w:r>
        <w:rPr>
          <w:rFonts w:ascii="Arial" w:cs="Arial" w:eastAsia="Arial" w:hAnsi="Arial"/>
          <w:sz w:val="16"/>
          <w:szCs w:val="16"/>
          <w:color w:val="auto"/>
        </w:rPr>
        <w:t>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8" w:lineRule="exact"/>
        <w:rPr>
          <w:rFonts w:ascii="Arial" w:cs="Arial" w:eastAsia="Arial" w:hAnsi="Arial"/>
          <w:sz w:val="16"/>
          <w:szCs w:val="16"/>
          <w:color w:val="auto"/>
        </w:rPr>
      </w:pPr>
    </w:p>
    <w:p>
      <w:pPr>
        <w:ind w:left="-8" w:firstLine="656"/>
        <w:spacing w:after="0" w:line="254" w:lineRule="auto"/>
        <w:tabs>
          <w:tab w:leader="none" w:pos="137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indemnification, hold harmless, exoneration and advancement of expenses rights provided by or granted pursuant to this Agreement shall be binding upon and be enforceable by the parties hereto and their respective successors and permitted assigns (including any direct or indirect successor by purchase, merger, consolidation or otherwise to all or substantially all of the business and/or assets of the Company, but subject to such successor’s compliance with Section 19(d)),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permitted assigns, heirs, devisees, executors and administrators and other legal representatives.</w:t>
      </w:r>
    </w:p>
    <w:p>
      <w:pPr>
        <w:spacing w:after="0" w:line="194" w:lineRule="exact"/>
        <w:rPr>
          <w:rFonts w:ascii="Arial" w:cs="Arial" w:eastAsia="Arial" w:hAnsi="Arial"/>
          <w:sz w:val="18"/>
          <w:szCs w:val="18"/>
          <w:color w:val="auto"/>
        </w:rPr>
      </w:pPr>
    </w:p>
    <w:p>
      <w:pPr>
        <w:jc w:val="both"/>
        <w:ind w:left="-8" w:right="100" w:firstLine="656"/>
        <w:spacing w:after="0" w:line="259" w:lineRule="auto"/>
        <w:tabs>
          <w:tab w:leader="none" w:pos="138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83" w:name="page184"/>
    <w:bookmarkEnd w:id="183"/>
    <w:p>
      <w:pPr>
        <w:ind w:firstLine="656"/>
        <w:spacing w:after="0" w:line="289" w:lineRule="auto"/>
        <w:tabs>
          <w:tab w:leader="none" w:pos="1387"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security in connection therewith. The Company acknowledges that in the absence of a waiver, a bond or other security may be required of Indemnitee by a court of competent jurisdiction. The Company hereby waives any such requirement of such a bond or other security to the fullest extent permitted by law.</w:t>
      </w:r>
    </w:p>
    <w:p>
      <w:pPr>
        <w:spacing w:after="0" w:line="166" w:lineRule="exact"/>
        <w:rPr>
          <w:rFonts w:ascii="Arial" w:cs="Arial" w:eastAsia="Arial" w:hAnsi="Arial"/>
          <w:sz w:val="16"/>
          <w:szCs w:val="16"/>
          <w:color w:val="auto"/>
        </w:rPr>
      </w:pPr>
    </w:p>
    <w:p>
      <w:pPr>
        <w:jc w:val="both"/>
        <w:ind w:right="20" w:firstLine="8"/>
        <w:spacing w:after="0" w:line="259" w:lineRule="auto"/>
        <w:tabs>
          <w:tab w:leader="none" w:pos="765"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Company and Indemnitee. No waiver of any provision of this Agreement shall be enforceable unless in writing and signed by the party against whom it is to be enforced. No waiver of any of the provisions of this Agreement shall be deemed or shall constitute a waiver of any other provisions of this Agreement nor shall any waiver constitute a continuing waiver.</w:t>
      </w:r>
    </w:p>
    <w:p>
      <w:pPr>
        <w:spacing w:after="0" w:line="186" w:lineRule="exact"/>
        <w:rPr>
          <w:rFonts w:ascii="Arial" w:cs="Arial" w:eastAsia="Arial" w:hAnsi="Arial"/>
          <w:sz w:val="18"/>
          <w:szCs w:val="18"/>
          <w:color w:val="auto"/>
        </w:rPr>
      </w:pPr>
    </w:p>
    <w:p>
      <w:pPr>
        <w:ind w:right="40" w:firstLine="8"/>
        <w:spacing w:after="0" w:line="286" w:lineRule="auto"/>
        <w:tabs>
          <w:tab w:leader="none" w:pos="765"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165" w:lineRule="exact"/>
        <w:rPr>
          <w:rFonts w:ascii="Arial" w:cs="Arial" w:eastAsia="Arial" w:hAnsi="Arial"/>
          <w:sz w:val="17"/>
          <w:szCs w:val="17"/>
          <w:color w:val="auto"/>
        </w:rPr>
      </w:pPr>
    </w:p>
    <w:p>
      <w:pPr>
        <w:ind w:right="140" w:firstLine="656"/>
        <w:spacing w:after="0" w:line="277" w:lineRule="auto"/>
        <w:tabs>
          <w:tab w:leader="none" w:pos="1387"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Jay Taragin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Raphael M. Russo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492-0309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4" w:name="page185"/>
    <w:bookmarkEnd w:id="184"/>
    <w:p>
      <w:pPr>
        <w:ind w:left="-8" w:firstLine="8"/>
        <w:spacing w:after="0" w:line="288" w:lineRule="auto"/>
        <w:tabs>
          <w:tab w:leader="none" w:pos="757"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168" w:lineRule="exact"/>
        <w:rPr>
          <w:rFonts w:ascii="Arial" w:cs="Arial" w:eastAsia="Arial" w:hAnsi="Arial"/>
          <w:sz w:val="16"/>
          <w:szCs w:val="16"/>
          <w:color w:val="auto"/>
        </w:rPr>
      </w:pPr>
    </w:p>
    <w:p>
      <w:pPr>
        <w:ind w:left="-8" w:right="80" w:firstLine="8"/>
        <w:spacing w:after="0" w:line="263" w:lineRule="auto"/>
        <w:tabs>
          <w:tab w:leader="none" w:pos="757"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rFonts w:ascii="Arial" w:cs="Arial" w:eastAsia="Arial" w:hAnsi="Arial"/>
          <w:sz w:val="18"/>
          <w:szCs w:val="18"/>
          <w:color w:val="auto"/>
        </w:rPr>
      </w:pPr>
    </w:p>
    <w:p>
      <w:pPr>
        <w:ind w:left="-8" w:right="100" w:firstLine="8"/>
        <w:spacing w:after="0" w:line="263" w:lineRule="auto"/>
        <w:tabs>
          <w:tab w:leader="none" w:pos="757"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183" w:lineRule="exact"/>
        <w:rPr>
          <w:rFonts w:ascii="Arial" w:cs="Arial" w:eastAsia="Arial" w:hAnsi="Arial"/>
          <w:sz w:val="18"/>
          <w:szCs w:val="18"/>
          <w:color w:val="auto"/>
        </w:rPr>
      </w:pPr>
    </w:p>
    <w:p>
      <w:pPr>
        <w:ind w:left="-8" w:right="80" w:firstLine="8"/>
        <w:spacing w:after="0" w:line="263" w:lineRule="auto"/>
        <w:tabs>
          <w:tab w:leader="none" w:pos="757"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83" w:lineRule="exact"/>
        <w:rPr>
          <w:rFonts w:ascii="Arial" w:cs="Arial" w:eastAsia="Arial" w:hAnsi="Arial"/>
          <w:sz w:val="18"/>
          <w:szCs w:val="18"/>
          <w:color w:val="auto"/>
        </w:rPr>
      </w:pPr>
    </w:p>
    <w:p>
      <w:pPr>
        <w:ind w:left="-8" w:right="80" w:firstLine="8"/>
        <w:spacing w:after="0" w:line="259" w:lineRule="auto"/>
        <w:tabs>
          <w:tab w:leader="none" w:pos="757"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WAIVER OF CLAIMS TO TRUST ACCOUNT</w:t>
      </w:r>
      <w:r>
        <w:rPr>
          <w:rFonts w:ascii="Arial" w:cs="Arial" w:eastAsia="Arial" w:hAnsi="Arial"/>
          <w:sz w:val="18"/>
          <w:szCs w:val="18"/>
          <w:color w:val="auto"/>
        </w:rPr>
        <w:t>. Indemnitee hereby agrees that it does not have any right, title, interest or claim of any kind (each, a “Claim”)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85" w:name="page186"/>
    <w:bookmarkEnd w:id="185"/>
    <w:p>
      <w:pPr>
        <w:ind w:left="-8" w:firstLine="8"/>
        <w:spacing w:after="0" w:line="272" w:lineRule="auto"/>
        <w:tabs>
          <w:tab w:leader="none" w:pos="757"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t>IN WITNESS WHEREOF, the parties hereto have caused this Indemnity Agreement to be signed as of the day and year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Glenn R.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Glenn R. August</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908" w:right="8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Exhibit 10.8</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5" w:lineRule="exact"/>
        <w:rPr>
          <w:sz w:val="20"/>
          <w:szCs w:val="20"/>
          <w:color w:val="auto"/>
        </w:rPr>
      </w:pPr>
    </w:p>
    <w:p>
      <w:pPr>
        <w:ind w:right="480" w:firstLine="1296"/>
        <w:spacing w:after="0" w:line="282" w:lineRule="auto"/>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July 29, 2020 by and between Churchill Capital Corp IV,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William J. Bynum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1296"/>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it is reasonable, prudent and necessary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contractually to obligate itself to indemnify, hold harmless, exonerate and to advance expenses on behalf of, persons who serve the Company and its direct and indirect subsidiaries (collectively, the “</w:t>
      </w:r>
      <w:r>
        <w:rPr>
          <w:rFonts w:ascii="Arial" w:cs="Arial" w:eastAsia="Arial" w:hAnsi="Arial"/>
          <w:sz w:val="17"/>
          <w:szCs w:val="17"/>
          <w:u w:val="single" w:color="auto"/>
          <w:color w:val="auto"/>
        </w:rPr>
        <w:t>Company Group</w:t>
      </w:r>
      <w:r>
        <w:rPr>
          <w:rFonts w:ascii="Arial" w:cs="Arial" w:eastAsia="Arial" w:hAnsi="Arial"/>
          <w:sz w:val="17"/>
          <w:szCs w:val="17"/>
          <w:color w:val="auto"/>
        </w:rPr>
        <w:t>”) to the fullest extent permitted by applicable law;</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this Agreement is a supplement to and in furtherance of the Amended and Restated Certificate of Incorporation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and the Bylaws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and any resolutions adopted pursuant thereto, and shall not be deemed a substitute therefor, nor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diminish or abrogate any rights of Indemnitee thereunder;</w:t>
      </w:r>
    </w:p>
    <w:p>
      <w:pPr>
        <w:spacing w:after="0" w:line="207" w:lineRule="exact"/>
        <w:rPr>
          <w:sz w:val="20"/>
          <w:szCs w:val="20"/>
          <w:color w:val="auto"/>
        </w:rPr>
      </w:pPr>
    </w:p>
    <w:p>
      <w:pPr>
        <w:ind w:right="60"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desires Indemnitee to serve in such capacity. Indemnitee is willing to serve, continue to serve and to take on additional service for or on behalf of the Company on the condition that Indemnitee be so indemnified; and</w:t>
      </w:r>
    </w:p>
    <w:p>
      <w:pPr>
        <w:spacing w:after="0" w:line="176" w:lineRule="exact"/>
        <w:rPr>
          <w:sz w:val="20"/>
          <w:szCs w:val="20"/>
          <w:color w:val="auto"/>
        </w:rPr>
      </w:pPr>
    </w:p>
    <w:p>
      <w:pPr>
        <w:ind w:right="340" w:firstLine="129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and subject to the provisions of the letter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July 29, 2020, the Company and Indemnitee do hereby covenant 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20" w:firstLine="8"/>
        <w:spacing w:after="0" w:line="254" w:lineRule="auto"/>
        <w:tabs>
          <w:tab w:leader="none" w:pos="675"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 consideration of the Company’s covenants and obligations hereunder, Indemnitee will serve or continue to serve as an officer, director, advisor, key employee or any other capacity of any member of the Company Group,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any member of the Company Group, as provided in Section 17. This Agreement, however, shall not impose any obligation on Indemnitee or the Company to continue Indemnitee’s service to the Company Group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8" w:name="page189"/>
    <w:bookmarkEnd w:id="188"/>
    <w:p>
      <w:pPr>
        <w:ind w:left="680" w:hanging="672"/>
        <w:spacing w:after="0"/>
        <w:tabs>
          <w:tab w:leader="none" w:pos="68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225" w:lineRule="exact"/>
        <w:rPr>
          <w:rFonts w:ascii="Arial" w:cs="Arial" w:eastAsia="Arial" w:hAnsi="Arial"/>
          <w:sz w:val="18"/>
          <w:szCs w:val="18"/>
          <w:color w:val="auto"/>
        </w:rPr>
      </w:pPr>
    </w:p>
    <w:p>
      <w:pPr>
        <w:ind w:right="140" w:firstLine="656"/>
        <w:spacing w:after="0" w:line="279" w:lineRule="auto"/>
        <w:tabs>
          <w:tab w:leader="none" w:pos="1387" w:val="left"/>
        </w:tabs>
        <w:numPr>
          <w:ilvl w:val="1"/>
          <w:numId w:val="206"/>
        </w:numPr>
        <w:rPr>
          <w:rFonts w:ascii="Arial" w:cs="Arial" w:eastAsia="Arial" w:hAnsi="Arial"/>
          <w:sz w:val="17"/>
          <w:szCs w:val="17"/>
          <w:color w:val="auto"/>
        </w:rPr>
      </w:pPr>
      <w:r>
        <w:rPr>
          <w:rFonts w:ascii="Arial" w:cs="Arial" w:eastAsia="Arial" w:hAnsi="Arial"/>
          <w:sz w:val="17"/>
          <w:szCs w:val="17"/>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1" w:lineRule="exact"/>
        <w:rPr>
          <w:rFonts w:ascii="Arial" w:cs="Arial" w:eastAsia="Arial" w:hAnsi="Arial"/>
          <w:sz w:val="17"/>
          <w:szCs w:val="17"/>
          <w:color w:val="auto"/>
        </w:rPr>
      </w:pPr>
    </w:p>
    <w:p>
      <w:pPr>
        <w:ind w:right="440" w:firstLine="656"/>
        <w:spacing w:after="0" w:line="277" w:lineRule="auto"/>
        <w:tabs>
          <w:tab w:leader="none" w:pos="139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events:</w:t>
      </w:r>
    </w:p>
    <w:p>
      <w:pPr>
        <w:spacing w:after="0" w:line="210" w:lineRule="exact"/>
        <w:rPr>
          <w:rFonts w:ascii="Arial" w:cs="Arial" w:eastAsia="Arial" w:hAnsi="Arial"/>
          <w:sz w:val="17"/>
          <w:szCs w:val="17"/>
          <w:color w:val="auto"/>
        </w:rPr>
      </w:pPr>
    </w:p>
    <w:p>
      <w:pPr>
        <w:ind w:right="160" w:firstLine="1304"/>
        <w:spacing w:after="0" w:line="273" w:lineRule="auto"/>
        <w:tabs>
          <w:tab w:leader="none" w:pos="2006" w:val="left"/>
        </w:tabs>
        <w:numPr>
          <w:ilvl w:val="2"/>
          <w:numId w:val="206"/>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an affiliate of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ind w:right="60" w:firstLine="1304"/>
        <w:spacing w:after="0" w:line="259" w:lineRule="auto"/>
        <w:tabs>
          <w:tab w:leader="none" w:pos="2056" w:val="left"/>
        </w:tabs>
        <w:numPr>
          <w:ilvl w:val="2"/>
          <w:numId w:val="206"/>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appointment by the Board or nomination for election by the Company’s stockholders was approved by a vote of at least two thirds of the directors then still in office who were directors on the date hereof or whose appointment or nomination for election was previously so approved (collectively, the “</w:t>
      </w:r>
      <w:r>
        <w:rPr>
          <w:rFonts w:ascii="Arial" w:cs="Arial" w:eastAsia="Arial" w:hAnsi="Arial"/>
          <w:sz w:val="18"/>
          <w:szCs w:val="18"/>
          <w:u w:val="single" w:color="auto"/>
          <w:color w:val="auto"/>
        </w:rPr>
        <w:t>Continuing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cease for any reason to constitute a majority of the members of the Board;</w:t>
      </w:r>
    </w:p>
    <w:p>
      <w:pPr>
        <w:spacing w:after="0" w:line="186" w:lineRule="exact"/>
        <w:rPr>
          <w:rFonts w:ascii="Arial" w:cs="Arial" w:eastAsia="Arial" w:hAnsi="Arial"/>
          <w:sz w:val="18"/>
          <w:szCs w:val="18"/>
          <w:color w:val="auto"/>
        </w:rPr>
      </w:pPr>
    </w:p>
    <w:p>
      <w:pPr>
        <w:ind w:firstLine="1304"/>
        <w:spacing w:after="0" w:line="268" w:lineRule="auto"/>
        <w:tabs>
          <w:tab w:leader="none" w:pos="2106" w:val="left"/>
        </w:tabs>
        <w:numPr>
          <w:ilvl w:val="2"/>
          <w:numId w:val="206"/>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of the Company entitled to vote generally in the election of directors immediately prior to such Business Combination beneficially own, directly or indirectly, more than 51% of the combined voting power of the then outstanding securities of the surviving or resulting entity or the ultimate parent entity that controls such surviving or resulting entity (the “</w:t>
      </w:r>
      <w:r>
        <w:rPr>
          <w:rFonts w:ascii="Arial" w:cs="Arial" w:eastAsia="Arial" w:hAnsi="Arial"/>
          <w:sz w:val="17"/>
          <w:szCs w:val="17"/>
          <w:u w:val="single" w:color="auto"/>
          <w:color w:val="auto"/>
        </w:rPr>
        <w:t>Successor</w:t>
      </w:r>
      <w:r>
        <w:rPr>
          <w:rFonts w:ascii="Arial" w:cs="Arial" w:eastAsia="Arial" w:hAnsi="Arial"/>
          <w:sz w:val="17"/>
          <w:szCs w:val="17"/>
          <w:color w:val="auto"/>
        </w:rPr>
        <w:t>”) entitled to vote generally in the election of directors of the Successor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Company, no Person (excluding any corporation resulting from such Business Combination) is the Beneficial Owner, directly or indirectly, of 15% or more of the combined voting power of the then outstanding securities entitled to vote generally in the election of directors of the successor except to the extent that such Person was the Beneficial Owner, directly or indirectly, of 15% or more of the combined voting power of the Company prior to such Business Combination; and (3) a majority of the board of directors (or comparable governing body) of the Successor were Continuing Directors at the time of the execution of the initial agreement, or of the action of the Board of Directors, providing for such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ind w:left="-160" w:firstLine="1304"/>
        <w:spacing w:after="0" w:line="259" w:lineRule="auto"/>
        <w:tabs>
          <w:tab w:leader="none" w:pos="1935"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160" w:right="420" w:firstLine="1304"/>
        <w:spacing w:after="0" w:line="286" w:lineRule="auto"/>
        <w:tabs>
          <w:tab w:leader="none" w:pos="1885" w:val="left"/>
        </w:tabs>
        <w:numPr>
          <w:ilvl w:val="1"/>
          <w:numId w:val="207"/>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65" w:lineRule="exact"/>
        <w:rPr>
          <w:rFonts w:ascii="Arial" w:cs="Arial" w:eastAsia="Arial" w:hAnsi="Arial"/>
          <w:sz w:val="17"/>
          <w:szCs w:val="17"/>
          <w:color w:val="auto"/>
        </w:rPr>
      </w:pPr>
    </w:p>
    <w:p>
      <w:pPr>
        <w:ind w:left="-160" w:right="20" w:firstLine="656"/>
        <w:spacing w:after="0" w:line="263" w:lineRule="auto"/>
        <w:tabs>
          <w:tab w:leader="none" w:pos="123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1240" w:hanging="744"/>
        <w:spacing w:after="0"/>
        <w:tabs>
          <w:tab w:leader="none" w:pos="12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left="-160" w:right="80" w:firstLine="656"/>
        <w:spacing w:after="0" w:line="277" w:lineRule="auto"/>
        <w:tabs>
          <w:tab w:leader="none" w:pos="120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160" w:right="140" w:firstLine="656"/>
        <w:spacing w:after="0" w:line="259" w:lineRule="auto"/>
        <w:tabs>
          <w:tab w:leader="none" w:pos="123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1240" w:hanging="744"/>
        <w:spacing w:after="0"/>
        <w:tabs>
          <w:tab w:leader="none" w:pos="12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90" w:name="page191"/>
    <w:bookmarkEnd w:id="190"/>
    <w:p>
      <w:pPr>
        <w:ind w:left="-8" w:firstLine="656"/>
        <w:spacing w:after="0" w:line="269" w:lineRule="auto"/>
        <w:tabs>
          <w:tab w:leader="none" w:pos="135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 incurred in any Proceeding by or in the right of the Company.</w:t>
      </w:r>
    </w:p>
    <w:p>
      <w:pPr>
        <w:spacing w:after="0" w:line="185" w:lineRule="exact"/>
        <w:rPr>
          <w:rFonts w:ascii="Arial" w:cs="Arial" w:eastAsia="Arial" w:hAnsi="Arial"/>
          <w:sz w:val="17"/>
          <w:szCs w:val="17"/>
          <w:color w:val="auto"/>
        </w:rPr>
      </w:pPr>
    </w:p>
    <w:p>
      <w:pPr>
        <w:ind w:left="-8" w:right="60" w:firstLine="656"/>
        <w:spacing w:after="0" w:line="255" w:lineRule="auto"/>
        <w:tabs>
          <w:tab w:leader="none" w:pos="135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u w:val="single" w:color="auto"/>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ind w:left="-8" w:right="60" w:firstLine="656"/>
        <w:spacing w:after="0" w:line="287" w:lineRule="auto"/>
        <w:tabs>
          <w:tab w:leader="none" w:pos="1389" w:val="left"/>
        </w:tabs>
        <w:numPr>
          <w:ilvl w:val="1"/>
          <w:numId w:val="2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spacing w:after="0" w:line="2" w:lineRule="exact"/>
        <w:rPr>
          <w:rFonts w:ascii="Arial" w:cs="Arial" w:eastAsia="Arial" w:hAnsi="Arial"/>
          <w:sz w:val="16"/>
          <w:szCs w:val="16"/>
          <w:color w:val="auto"/>
        </w:rPr>
      </w:pPr>
    </w:p>
    <w:p>
      <w:pPr>
        <w:ind w:left="-8" w:right="140" w:firstLine="8"/>
        <w:spacing w:after="0" w:line="277" w:lineRule="auto"/>
        <w:tabs>
          <w:tab w:leader="none" w:pos="25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ind w:left="-8" w:right="60" w:firstLine="656"/>
        <w:spacing w:after="0" w:line="273" w:lineRule="auto"/>
        <w:tabs>
          <w:tab w:leader="none" w:pos="135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w:t>
      </w:r>
      <w:r>
        <w:rPr>
          <w:rFonts w:ascii="Arial" w:cs="Arial" w:eastAsia="Arial" w:hAnsi="Arial"/>
          <w:sz w:val="17"/>
          <w:szCs w:val="17"/>
          <w:u w:val="single" w:color="auto"/>
          <w:color w:val="auto"/>
        </w:rPr>
        <w:t>Person</w:t>
      </w:r>
      <w:r>
        <w:rPr>
          <w:rFonts w:ascii="Arial" w:cs="Arial" w:eastAsia="Arial" w:hAnsi="Arial"/>
          <w:sz w:val="17"/>
          <w:szCs w:val="17"/>
          <w:color w:val="auto"/>
        </w:rPr>
        <w:t>”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3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91" w:name="page192"/>
    <w:bookmarkEnd w:id="191"/>
    <w:p>
      <w:pPr>
        <w:ind w:left="-8" w:right="20" w:firstLine="656"/>
        <w:spacing w:after="0" w:line="273" w:lineRule="auto"/>
        <w:tabs>
          <w:tab w:leader="none" w:pos="1439"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of Indemnitee’s Corporate Status, whether or not serving in such capacity at the time any liability or expense is incurred for which indemnification, reimbursement, or advancement of expenses can be provided under this Agreement but shall not include any Enforcement Proceeding pursuant to Section 14.</w:t>
      </w:r>
    </w:p>
    <w:p>
      <w:pPr>
        <w:spacing w:after="0" w:line="177" w:lineRule="exact"/>
        <w:rPr>
          <w:rFonts w:ascii="Arial" w:cs="Arial" w:eastAsia="Arial" w:hAnsi="Arial"/>
          <w:sz w:val="17"/>
          <w:szCs w:val="17"/>
          <w:color w:val="auto"/>
        </w:rPr>
      </w:pPr>
    </w:p>
    <w:p>
      <w:pPr>
        <w:ind w:left="-8" w:right="80" w:firstLine="656"/>
        <w:spacing w:after="0" w:line="342" w:lineRule="auto"/>
        <w:tabs>
          <w:tab w:leader="none" w:pos="1389" w:val="left"/>
        </w:tabs>
        <w:numPr>
          <w:ilvl w:val="1"/>
          <w:numId w:val="21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Subsidiary</w:t>
      </w:r>
      <w:r>
        <w:rPr>
          <w:rFonts w:ascii="Arial" w:cs="Arial" w:eastAsia="Arial" w:hAnsi="Arial"/>
          <w:sz w:val="16"/>
          <w:szCs w:val="16"/>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23" w:lineRule="exact"/>
        <w:rPr>
          <w:rFonts w:ascii="Arial" w:cs="Arial" w:eastAsia="Arial" w:hAnsi="Arial"/>
          <w:sz w:val="16"/>
          <w:szCs w:val="16"/>
          <w:color w:val="auto"/>
        </w:rPr>
      </w:pPr>
    </w:p>
    <w:p>
      <w:pPr>
        <w:ind w:left="-8" w:right="120" w:firstLine="8"/>
        <w:spacing w:after="0" w:line="271" w:lineRule="auto"/>
        <w:tabs>
          <w:tab w:leader="none" w:pos="667"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To the fullest 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(including all interest, assessments and other charges paid or payable in connection with or in respect of such Expenses) actually and reasonably incurred by Indemnitee or on Indemnitee’s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Indemnitee’s conduct was unlawful.</w:t>
      </w:r>
    </w:p>
    <w:p>
      <w:pPr>
        <w:spacing w:after="0" w:line="178" w:lineRule="exact"/>
        <w:rPr>
          <w:rFonts w:ascii="Arial" w:cs="Arial" w:eastAsia="Arial" w:hAnsi="Arial"/>
          <w:sz w:val="17"/>
          <w:szCs w:val="17"/>
          <w:color w:val="auto"/>
        </w:rPr>
      </w:pPr>
    </w:p>
    <w:p>
      <w:pPr>
        <w:ind w:left="-8" w:firstLine="8"/>
        <w:spacing w:after="0" w:line="288" w:lineRule="auto"/>
        <w:tabs>
          <w:tab w:leader="none" w:pos="667"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92" w:name="page193"/>
    <w:bookmarkEnd w:id="192"/>
    <w:p>
      <w:pPr>
        <w:ind w:left="-8" w:right="80" w:firstLine="8"/>
        <w:spacing w:after="0" w:line="287" w:lineRule="auto"/>
        <w:tabs>
          <w:tab w:leader="none" w:pos="667"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except for Section 27, to the extent that Indemnitee was or is, by reason of Indemnitee’s Corporate Status, a party to (or a participant in) and is successful, on the merits or otherwise, in defending any Proceeding or in defense of any claim, issue or matter therein, in whole or in part, the defending Company shall, to the fullest extent permitted by applicable law, indemnify, hold harmless and exonerate Indemnitee against all Expenses actually and reasonably incurred by Indemnitee in connection therewith. If Indemnitee is not wholly successful in defense of such Proceeding (or part thereof) but is successful, on the merits or otherwise, in defense of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defense of such Proceeding (or part thereof),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and without limitation, the termination of any claim, issue or matter in such a Proceeding by dismissal, with or without prejudice, shall be deemed to be a successful result as to the defense of such claim, issue or matter.</w:t>
      </w:r>
    </w:p>
    <w:p>
      <w:pPr>
        <w:spacing w:after="0" w:line="167" w:lineRule="exact"/>
        <w:rPr>
          <w:rFonts w:ascii="Arial" w:cs="Arial" w:eastAsia="Arial" w:hAnsi="Arial"/>
          <w:sz w:val="16"/>
          <w:szCs w:val="16"/>
          <w:color w:val="auto"/>
        </w:rPr>
      </w:pPr>
    </w:p>
    <w:p>
      <w:pPr>
        <w:ind w:left="-8" w:right="180" w:firstLine="8"/>
        <w:spacing w:after="0" w:line="279" w:lineRule="auto"/>
        <w:tabs>
          <w:tab w:leader="none" w:pos="667"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except for Section 27, to the extent that Indemnitee is, by reason of Indemnitee’s Corporate Status, a witness or deponent in any Proceeding to which Indemnitee was not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71" w:lineRule="exact"/>
        <w:rPr>
          <w:rFonts w:ascii="Arial" w:cs="Arial" w:eastAsia="Arial" w:hAnsi="Arial"/>
          <w:sz w:val="17"/>
          <w:szCs w:val="17"/>
          <w:color w:val="auto"/>
        </w:rPr>
      </w:pPr>
    </w:p>
    <w:p>
      <w:pPr>
        <w:ind w:left="-8" w:firstLine="8"/>
        <w:spacing w:after="0" w:line="255" w:lineRule="auto"/>
        <w:tabs>
          <w:tab w:leader="none" w:pos="667"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ADDITIONAL INDEMNIFICATION, HOLD HARMLESS AND EXONERATION RIGHTS</w:t>
      </w:r>
      <w:r>
        <w:rPr>
          <w:rFonts w:ascii="Arial" w:cs="Arial" w:eastAsia="Arial" w:hAnsi="Arial"/>
          <w:sz w:val="18"/>
          <w:szCs w:val="18"/>
          <w:color w:val="auto"/>
        </w:rPr>
        <w:t>. Notwithstanding any limitation in Sections 3, 4, or 5, except for Section 27, the Company shall, to the fullest extent permitted by applicable law, indemnify, hold harmless and exonerate Indemnitee if Indemnitee is a party to or threatened to be made a party to any Proceeding against all Expenses and judgments, fines, penalties and amounts paid in settlement in any Proceeding by or in the right of the Company to procure a judgment in its favor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93" w:name="page194"/>
    <w:bookmarkEnd w:id="193"/>
    <w:p>
      <w:pPr>
        <w:ind w:left="672" w:hanging="672"/>
        <w:spacing w:after="0"/>
        <w:tabs>
          <w:tab w:leader="none" w:pos="672"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CONTRIBUTION IN THE EVENT OF JOINT 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00" w:firstLine="656"/>
        <w:spacing w:after="0" w:line="296" w:lineRule="auto"/>
        <w:tabs>
          <w:tab w:leader="none" w:pos="1379"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8" w:right="120" w:firstLine="656"/>
        <w:spacing w:after="0" w:line="308" w:lineRule="auto"/>
        <w:tabs>
          <w:tab w:leader="none" w:pos="1389"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46" w:lineRule="exact"/>
        <w:rPr>
          <w:rFonts w:ascii="Arial" w:cs="Arial" w:eastAsia="Arial" w:hAnsi="Arial"/>
          <w:sz w:val="17"/>
          <w:szCs w:val="17"/>
          <w:color w:val="auto"/>
        </w:rPr>
      </w:pPr>
    </w:p>
    <w:p>
      <w:pPr>
        <w:ind w:left="-8" w:right="120" w:firstLine="656"/>
        <w:spacing w:after="0" w:line="277" w:lineRule="auto"/>
        <w:tabs>
          <w:tab w:leader="none" w:pos="137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70" w:lineRule="exact"/>
        <w:rPr>
          <w:rFonts w:ascii="Arial" w:cs="Arial" w:eastAsia="Arial" w:hAnsi="Arial"/>
          <w:sz w:val="18"/>
          <w:szCs w:val="18"/>
          <w:color w:val="auto"/>
        </w:rPr>
      </w:pPr>
    </w:p>
    <w:p>
      <w:pPr>
        <w:ind w:left="-8" w:right="540" w:firstLine="8"/>
        <w:spacing w:after="0" w:line="308" w:lineRule="auto"/>
        <w:tabs>
          <w:tab w:leader="none" w:pos="667"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the Company shall not be obligated under this Agreement to make any indemnification, advance expenses, hold harmless or exoneration payment in connection with any claim made against Indemnitee:</w:t>
      </w:r>
    </w:p>
    <w:p>
      <w:pPr>
        <w:spacing w:after="0" w:line="146" w:lineRule="exact"/>
        <w:rPr>
          <w:rFonts w:ascii="Arial" w:cs="Arial" w:eastAsia="Arial" w:hAnsi="Arial"/>
          <w:sz w:val="17"/>
          <w:szCs w:val="17"/>
          <w:color w:val="auto"/>
        </w:rPr>
      </w:pPr>
    </w:p>
    <w:p>
      <w:pPr>
        <w:ind w:left="-8" w:right="360" w:firstLine="656"/>
        <w:spacing w:after="0" w:line="263" w:lineRule="auto"/>
        <w:tabs>
          <w:tab w:leader="none" w:pos="137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83" w:lineRule="exact"/>
        <w:rPr>
          <w:rFonts w:ascii="Arial" w:cs="Arial" w:eastAsia="Arial" w:hAnsi="Arial"/>
          <w:sz w:val="18"/>
          <w:szCs w:val="18"/>
          <w:color w:val="auto"/>
        </w:rPr>
      </w:pPr>
    </w:p>
    <w:p>
      <w:pPr>
        <w:ind w:left="-8" w:right="40" w:firstLine="656"/>
        <w:spacing w:after="0" w:line="308" w:lineRule="auto"/>
        <w:tabs>
          <w:tab w:leader="none" w:pos="1389" w:val="left"/>
        </w:tabs>
        <w:numPr>
          <w:ilvl w:val="1"/>
          <w:numId w:val="214"/>
        </w:numPr>
        <w:rPr>
          <w:rFonts w:ascii="Arial" w:cs="Arial" w:eastAsia="Arial" w:hAnsi="Arial"/>
          <w:sz w:val="17"/>
          <w:szCs w:val="17"/>
          <w:color w:val="auto"/>
        </w:rPr>
      </w:pPr>
      <w:r>
        <w:rPr>
          <w:rFonts w:ascii="Arial" w:cs="Arial" w:eastAsia="Arial" w:hAnsi="Arial"/>
          <w:sz w:val="17"/>
          <w:szCs w:val="17"/>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46" w:lineRule="exact"/>
        <w:rPr>
          <w:rFonts w:ascii="Arial" w:cs="Arial" w:eastAsia="Arial" w:hAnsi="Arial"/>
          <w:sz w:val="17"/>
          <w:szCs w:val="17"/>
          <w:color w:val="auto"/>
        </w:rPr>
      </w:pPr>
    </w:p>
    <w:p>
      <w:pPr>
        <w:ind w:left="-8" w:firstLine="656"/>
        <w:spacing w:after="0" w:line="273" w:lineRule="auto"/>
        <w:tabs>
          <w:tab w:leader="none" w:pos="1379" w:val="left"/>
        </w:tabs>
        <w:numPr>
          <w:ilvl w:val="1"/>
          <w:numId w:val="214"/>
        </w:numPr>
        <w:rPr>
          <w:rFonts w:ascii="Arial" w:cs="Arial" w:eastAsia="Arial" w:hAnsi="Arial"/>
          <w:sz w:val="17"/>
          <w:szCs w:val="17"/>
          <w:color w:val="auto"/>
        </w:rPr>
      </w:pPr>
      <w:r>
        <w:rPr>
          <w:rFonts w:ascii="Arial" w:cs="Arial" w:eastAsia="Arial" w:hAnsi="Arial"/>
          <w:sz w:val="17"/>
          <w:szCs w:val="17"/>
          <w:color w:val="auto"/>
        </w:rPr>
        <w:t>except as otherwise provided in Sections 14(f)-(g)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39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194" w:name="page195"/>
    <w:bookmarkEnd w:id="194"/>
    <w:p>
      <w:pPr>
        <w:ind w:left="772" w:hanging="772"/>
        <w:spacing w:after="0"/>
        <w:tabs>
          <w:tab w:leader="none" w:pos="772"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ADVANCES OF EXPENSES; DEFENSE OF CLAIM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87" w:lineRule="auto"/>
        <w:tabs>
          <w:tab w:leader="none" w:pos="1379" w:val="left"/>
        </w:tabs>
        <w:numPr>
          <w:ilvl w:val="1"/>
          <w:numId w:val="215"/>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except for Section 27, and to the fullest extent not prohibited by applicable law, the Company shall pay the Expenses incurred by Indemnitee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an Enforcement Proceeding (assuming for this purpose all references to a “Proceeding” in the definition of Expenses were deemed related to an Enforcement Proceeding), including Expenses incurred preparing and forwarding statements to the Company to support the advances claimed. This Agreement shall constitute Indemnitee’s undertaking to repay the advanced amounts to the extent that it is ultimately determined that Indemnitee is not entitled to be indemnified, held harmless or exonerated by the Company under the provisions of this Agreement, the Charter, the Bylaws of the Company, applicable law or otherwise, but only if such an undertaking is required by applicable law. This Section 10(a) shall not apply to any Proceeding for which indemnity is not permitted under Section 9 of this Agreement, but shall apply to any Proceeding referenced in Section 9(b) prior to a final determination that Indemnitee is liable therefor.</w:t>
      </w:r>
    </w:p>
    <w:p>
      <w:pPr>
        <w:spacing w:after="0" w:line="167" w:lineRule="exact"/>
        <w:rPr>
          <w:rFonts w:ascii="Arial" w:cs="Arial" w:eastAsia="Arial" w:hAnsi="Arial"/>
          <w:sz w:val="16"/>
          <w:szCs w:val="16"/>
          <w:color w:val="auto"/>
        </w:rPr>
      </w:pPr>
    </w:p>
    <w:p>
      <w:pPr>
        <w:ind w:left="1392" w:hanging="744"/>
        <w:spacing w:after="0"/>
        <w:tabs>
          <w:tab w:leader="none" w:pos="139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8" w:right="180" w:firstLine="656"/>
        <w:spacing w:after="0" w:line="277" w:lineRule="auto"/>
        <w:tabs>
          <w:tab w:leader="none" w:pos="1379"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170" w:lineRule="exact"/>
        <w:rPr>
          <w:rFonts w:ascii="Arial" w:cs="Arial" w:eastAsia="Arial" w:hAnsi="Arial"/>
          <w:sz w:val="18"/>
          <w:szCs w:val="18"/>
          <w:color w:val="auto"/>
        </w:rPr>
      </w:pPr>
    </w:p>
    <w:p>
      <w:pPr>
        <w:ind w:left="752" w:hanging="752"/>
        <w:spacing w:after="0"/>
        <w:tabs>
          <w:tab w:leader="none" w:pos="752"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PROCEDURE FOR NOTIFICATION AND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20" w:firstLine="656"/>
        <w:spacing w:after="0" w:line="259" w:lineRule="auto"/>
        <w:tabs>
          <w:tab w:leader="none" w:pos="1379"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86" w:lineRule="exact"/>
        <w:rPr>
          <w:rFonts w:ascii="Arial" w:cs="Arial" w:eastAsia="Arial" w:hAnsi="Arial"/>
          <w:sz w:val="18"/>
          <w:szCs w:val="18"/>
          <w:color w:val="auto"/>
        </w:rPr>
      </w:pPr>
    </w:p>
    <w:p>
      <w:pPr>
        <w:ind w:left="-8" w:right="120" w:firstLine="656"/>
        <w:spacing w:after="0" w:line="259" w:lineRule="auto"/>
        <w:tabs>
          <w:tab w:leader="none" w:pos="1389"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sole discretion. Following such a written application for indemnification by Indemnitee, Indemnitee’s entitlement to indemnification shall be determined according to Section 12(a) of this Agreement.</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95" w:name="page196"/>
    <w:bookmarkEnd w:id="195"/>
    <w:p>
      <w:pPr>
        <w:ind w:left="772" w:hanging="772"/>
        <w:spacing w:after="0"/>
        <w:tabs>
          <w:tab w:leader="none" w:pos="772"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216"/>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directors so direct, by Independent Counsel in a written opinion to the Board, a copy of which shall be delivered to Indemnitee, or (ii) if a Change in Control has occurred, by Independent Counsel in a written opinion to the Board, a copy of which shall be delivered to the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4" w:lineRule="exact"/>
        <w:rPr>
          <w:rFonts w:ascii="Arial" w:cs="Arial" w:eastAsia="Arial" w:hAnsi="Arial"/>
          <w:sz w:val="17"/>
          <w:szCs w:val="17"/>
          <w:color w:val="auto"/>
        </w:rPr>
      </w:pPr>
    </w:p>
    <w:p>
      <w:pPr>
        <w:ind w:left="-8" w:right="20" w:firstLine="656"/>
        <w:spacing w:after="0" w:line="285" w:lineRule="auto"/>
        <w:tabs>
          <w:tab w:leader="none" w:pos="1389" w:val="left"/>
        </w:tabs>
        <w:numPr>
          <w:ilvl w:val="1"/>
          <w:numId w:val="216"/>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96" w:name="page197"/>
    <w:bookmarkEnd w:id="196"/>
    <w:p>
      <w:pPr>
        <w:ind w:left="-8" w:right="160" w:firstLine="656"/>
        <w:spacing w:after="0" w:line="263" w:lineRule="auto"/>
        <w:tabs>
          <w:tab w:leader="none" w:pos="1379"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3" w:lineRule="exact"/>
        <w:rPr>
          <w:rFonts w:ascii="Arial" w:cs="Arial" w:eastAsia="Arial" w:hAnsi="Arial"/>
          <w:sz w:val="18"/>
          <w:szCs w:val="18"/>
          <w:color w:val="auto"/>
        </w:rPr>
      </w:pPr>
    </w:p>
    <w:p>
      <w:pPr>
        <w:ind w:left="772" w:hanging="772"/>
        <w:spacing w:after="0"/>
        <w:tabs>
          <w:tab w:leader="none" w:pos="772"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71" w:lineRule="auto"/>
        <w:tabs>
          <w:tab w:leader="none" w:pos="1379"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left="-8" w:right="40" w:firstLine="656"/>
        <w:spacing w:after="0" w:line="271" w:lineRule="auto"/>
        <w:tabs>
          <w:tab w:leader="none" w:pos="1389"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97" w:name="page198"/>
    <w:bookmarkEnd w:id="197"/>
    <w:p>
      <w:pPr>
        <w:ind w:left="-8" w:right="20" w:firstLine="656"/>
        <w:spacing w:after="0" w:line="257" w:lineRule="auto"/>
        <w:tabs>
          <w:tab w:leader="none" w:pos="1379"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8" w:right="60" w:firstLine="656"/>
        <w:spacing w:after="0" w:line="290" w:lineRule="auto"/>
        <w:tabs>
          <w:tab w:leader="none" w:pos="1389" w:val="left"/>
        </w:tabs>
        <w:numPr>
          <w:ilvl w:val="1"/>
          <w:numId w:val="219"/>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65" w:lineRule="exact"/>
        <w:rPr>
          <w:rFonts w:ascii="Arial" w:cs="Arial" w:eastAsia="Arial" w:hAnsi="Arial"/>
          <w:sz w:val="16"/>
          <w:szCs w:val="16"/>
          <w:color w:val="auto"/>
        </w:rPr>
      </w:pPr>
    </w:p>
    <w:p>
      <w:pPr>
        <w:ind w:left="-8" w:right="280" w:firstLine="656"/>
        <w:spacing w:after="0" w:line="342" w:lineRule="auto"/>
        <w:tabs>
          <w:tab w:leader="none" w:pos="1379"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23" w:lineRule="exact"/>
        <w:rPr>
          <w:rFonts w:ascii="Arial" w:cs="Arial" w:eastAsia="Arial" w:hAnsi="Arial"/>
          <w:sz w:val="16"/>
          <w:szCs w:val="16"/>
          <w:color w:val="auto"/>
        </w:rPr>
      </w:pPr>
    </w:p>
    <w:p>
      <w:pPr>
        <w:ind w:left="772" w:hanging="772"/>
        <w:spacing w:after="0"/>
        <w:tabs>
          <w:tab w:leader="none" w:pos="77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 Such adjudication or arbitration proceeding is referred to herein as “Enforcement Proceeding.”</w:t>
      </w:r>
    </w:p>
    <w:p>
      <w:pPr>
        <w:spacing w:after="0" w:line="200" w:lineRule="exact"/>
        <w:rPr>
          <w:sz w:val="20"/>
          <w:szCs w:val="20"/>
          <w:color w:val="auto"/>
        </w:rPr>
      </w:pP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98" w:name="page199"/>
    <w:bookmarkEnd w:id="198"/>
    <w:p>
      <w:pPr>
        <w:ind w:right="120" w:firstLine="656"/>
        <w:spacing w:after="0" w:line="263" w:lineRule="auto"/>
        <w:tabs>
          <w:tab w:leader="none" w:pos="139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Enforcement Proceeding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ind w:firstLine="656"/>
        <w:spacing w:after="0" w:line="293" w:lineRule="auto"/>
        <w:tabs>
          <w:tab w:leader="none" w:pos="138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 any Enforcement Proceeding, Indemnitee shall be presumed to be entitled to be indemnified, held harmless, exonerated and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an Enforcement Proceeding,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4" w:lineRule="exact"/>
        <w:rPr>
          <w:rFonts w:ascii="Arial" w:cs="Arial" w:eastAsia="Arial" w:hAnsi="Arial"/>
          <w:sz w:val="16"/>
          <w:szCs w:val="16"/>
          <w:color w:val="auto"/>
        </w:rPr>
      </w:pPr>
    </w:p>
    <w:p>
      <w:pPr>
        <w:ind w:firstLine="656"/>
        <w:spacing w:after="0" w:line="259" w:lineRule="auto"/>
        <w:tabs>
          <w:tab w:leader="none" w:pos="139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Enforcement Proceeding,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right="40" w:firstLine="656"/>
        <w:spacing w:after="0" w:line="263" w:lineRule="auto"/>
        <w:tabs>
          <w:tab w:leader="none" w:pos="138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 shall be precluded from asserting in Enforcement Proceeding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right="40" w:firstLine="656"/>
        <w:spacing w:after="0" w:line="270" w:lineRule="auto"/>
        <w:tabs>
          <w:tab w:leader="none" w:pos="136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(assuming for purposes of this sentence that all references to a Proceeding in the definition of Expenses were references to an Enforcement Proceeding) and, if requested by Indemnitee, shall (within ten (10) days after the Company’s receipt of such written request) pay to Indemnitee, to the fullest extent permitted by applicable law, such Expenses which are incurred by Indemnitee in connection with any Enforcement Proceeding brought by Indemnitee: (i) to enforce his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Enforcement Proceeding was not brought by Indemnitee in good faith).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ind w:firstLine="656"/>
        <w:spacing w:after="0" w:line="259" w:lineRule="auto"/>
        <w:tabs>
          <w:tab w:leader="none" w:pos="139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or on behalf of the Company.</w:t>
      </w:r>
    </w:p>
    <w:p>
      <w:pPr>
        <w:spacing w:after="0" w:line="186" w:lineRule="exact"/>
        <w:rPr>
          <w:rFonts w:ascii="Arial" w:cs="Arial" w:eastAsia="Arial" w:hAnsi="Arial"/>
          <w:sz w:val="18"/>
          <w:szCs w:val="18"/>
          <w:color w:val="auto"/>
        </w:rPr>
      </w:pPr>
    </w:p>
    <w:p>
      <w:pPr>
        <w:ind w:firstLine="8"/>
        <w:spacing w:after="0" w:line="259" w:lineRule="auto"/>
        <w:tabs>
          <w:tab w:leader="none" w:pos="765"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Notwithstanding anything herein to the contrary, except for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86" w:lineRule="exact"/>
        <w:rPr>
          <w:rFonts w:ascii="Arial" w:cs="Arial" w:eastAsia="Arial" w:hAnsi="Arial"/>
          <w:sz w:val="18"/>
          <w:szCs w:val="18"/>
          <w:color w:val="auto"/>
        </w:rPr>
      </w:pPr>
    </w:p>
    <w:p>
      <w:pPr>
        <w:ind w:left="780" w:hanging="772"/>
        <w:spacing w:after="0"/>
        <w:tabs>
          <w:tab w:leader="none" w:pos="78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69" w:lineRule="auto"/>
        <w:tabs>
          <w:tab w:leader="none" w:pos="1387"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repeals, except as may otherwise be expressly set forth in such amendment, alteration or repeals and mutually agreed by Indemnitee and the Company.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ind w:left="-40" w:right="20" w:firstLine="656"/>
        <w:spacing w:after="0" w:line="253" w:lineRule="auto"/>
        <w:tabs>
          <w:tab w:leader="none" w:pos="135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Delaware General Corporation Law (the “DGCL”), the Charter and the Bylaws permit the Company to purchase and maintain insurance or furnish similar protection or make other arrangements including, but not limited to, providing a trust fund, letter of credit, or surety bond (“Indemnification Arrangements”)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96" w:lineRule="exact"/>
        <w:rPr>
          <w:rFonts w:ascii="Arial" w:cs="Arial" w:eastAsia="Arial" w:hAnsi="Arial"/>
          <w:sz w:val="18"/>
          <w:szCs w:val="18"/>
          <w:color w:val="auto"/>
        </w:rPr>
      </w:pPr>
    </w:p>
    <w:p>
      <w:pPr>
        <w:ind w:left="-40" w:right="60" w:firstLine="656"/>
        <w:spacing w:after="0" w:line="270" w:lineRule="auto"/>
        <w:tabs>
          <w:tab w:leader="none" w:pos="1347"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To the extent that any member of the Company Group maintains an insurance policy or policies providing liability insurance for directors, officers, trustees, partners, managers, managing members, fiduciaries, employees, or agents of the Company Group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or cause to be taken all necessary or desirable action to cause such insurers to pay, on behalf of Indemnitee, all amounts payable as a result of such Proceeding in accordance with the terms of such policies.</w:t>
      </w:r>
    </w:p>
    <w:p>
      <w:pPr>
        <w:spacing w:after="0" w:line="180" w:lineRule="exact"/>
        <w:rPr>
          <w:rFonts w:ascii="Arial" w:cs="Arial" w:eastAsia="Arial" w:hAnsi="Arial"/>
          <w:sz w:val="17"/>
          <w:szCs w:val="17"/>
          <w:color w:val="auto"/>
        </w:rPr>
      </w:pPr>
    </w:p>
    <w:p>
      <w:pPr>
        <w:ind w:left="-40" w:firstLine="656"/>
        <w:spacing w:after="0" w:line="286" w:lineRule="auto"/>
        <w:tabs>
          <w:tab w:leader="none" w:pos="1357"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201" w:name="page202"/>
    <w:bookmarkEnd w:id="201"/>
    <w:p>
      <w:pPr>
        <w:ind w:left="-8" w:right="60" w:firstLine="656"/>
        <w:spacing w:after="0" w:line="284" w:lineRule="auto"/>
        <w:tabs>
          <w:tab w:leader="none" w:pos="1379"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left="-8" w:right="100" w:firstLine="8"/>
        <w:spacing w:after="0" w:line="323" w:lineRule="auto"/>
        <w:tabs>
          <w:tab w:leader="none" w:pos="25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8" w:lineRule="exact"/>
        <w:rPr>
          <w:rFonts w:ascii="Arial" w:cs="Arial" w:eastAsia="Arial" w:hAnsi="Arial"/>
          <w:sz w:val="16"/>
          <w:szCs w:val="16"/>
          <w:color w:val="auto"/>
        </w:rPr>
      </w:pPr>
    </w:p>
    <w:p>
      <w:pPr>
        <w:ind w:left="-8" w:right="20" w:firstLine="656"/>
        <w:spacing w:after="0" w:line="287" w:lineRule="auto"/>
        <w:tabs>
          <w:tab w:leader="none" w:pos="136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To the extent Indemnitee has rights to indemnification, advancement of expenses and/or insurance provided by the Sponsor or its affiliates as applicable, (i) the Company shall be the indemnitor of first resort (i.e., that its obligations to Indemnitee are primary and any obligation of the Sponsor or its affiliates, as applicable, to advance expenses or to provide indemnification for the same expenses or liabilities incurred by Indemnitee are secondary), (ii) the Company shall be required to advance the full amount of expenses incurred by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Agreement, the Company’s organizational documents or other agreement, without regard to any rights Indemnitee may have against the Sponsor or its affiliates, as applicable, and (iii) the Company irrevocably waives, relinquishes and releases the Sponsor and its affiliates, as applicable, from any and all claims against them for contribution, subrogation or any other recovery of any kind in respect thereof. No advancement or payment by the Sponsor or its affiliates, as applicable, on behalf of Indemnitee with respect to any claim for which Indemnitee has sought indemnification from the Company shall affect the foregoing, and the Sponsor and its affiliates, as applicable, shall have a right of contribution and be subrogated to the extent of such advancement or payment to all of the rights of recovery of Indemnitee against the Company.</w:t>
      </w:r>
    </w:p>
    <w:p>
      <w:pPr>
        <w:spacing w:after="0" w:line="168" w:lineRule="exact"/>
        <w:rPr>
          <w:sz w:val="20"/>
          <w:szCs w:val="20"/>
          <w:color w:val="auto"/>
        </w:rPr>
      </w:pPr>
    </w:p>
    <w:p>
      <w:pPr>
        <w:ind w:left="-8" w:firstLine="8"/>
        <w:spacing w:after="0" w:line="273" w:lineRule="auto"/>
        <w:tabs>
          <w:tab w:leader="none" w:pos="757"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All agreements and obligations of the Company contained 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or Enforcement Proceeding (including any rights of appeal thereto) by reason of Indemnitee’s Corporate Status, whether or not Indemnitee is acting in any such capacity at the time any liability or expense is incurred for which indemnification or advancement can be provided under this Agreement.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02" w:name="page203"/>
    <w:bookmarkEnd w:id="202"/>
    <w:p>
      <w:pPr>
        <w:ind w:left="-8" w:right="60" w:firstLine="8"/>
        <w:spacing w:after="0" w:line="271" w:lineRule="auto"/>
        <w:tabs>
          <w:tab w:leader="none" w:pos="757"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8" w:lineRule="exact"/>
        <w:rPr>
          <w:rFonts w:ascii="Arial" w:cs="Arial" w:eastAsia="Arial" w:hAnsi="Arial"/>
          <w:sz w:val="17"/>
          <w:szCs w:val="17"/>
          <w:color w:val="auto"/>
        </w:rPr>
      </w:pPr>
    </w:p>
    <w:p>
      <w:pPr>
        <w:ind w:left="772" w:hanging="772"/>
        <w:spacing w:after="0"/>
        <w:tabs>
          <w:tab w:leader="none" w:pos="772"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ENFORCEMENT AND BINDING EFFECT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60" w:firstLine="656"/>
        <w:spacing w:after="0" w:line="286" w:lineRule="auto"/>
        <w:tabs>
          <w:tab w:leader="none" w:pos="1379"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assumed the obligations imposed on it hereby in order to induce Indemnitee to serve as a director, officer or key employee of the Company Group, and the Company acknowledges that Indemnitee is relying upon this Agreement in serving as a director, officer or key employee of the Company Group.</w:t>
      </w:r>
    </w:p>
    <w:p>
      <w:pPr>
        <w:spacing w:after="0" w:line="165" w:lineRule="exact"/>
        <w:rPr>
          <w:rFonts w:ascii="Arial" w:cs="Arial" w:eastAsia="Arial" w:hAnsi="Arial"/>
          <w:sz w:val="17"/>
          <w:szCs w:val="17"/>
          <w:color w:val="auto"/>
        </w:rPr>
      </w:pPr>
    </w:p>
    <w:p>
      <w:pPr>
        <w:ind w:left="-8" w:right="300" w:firstLine="656"/>
        <w:spacing w:after="0" w:line="311" w:lineRule="auto"/>
        <w:tabs>
          <w:tab w:leader="none" w:pos="1389" w:val="left"/>
        </w:tabs>
        <w:numPr>
          <w:ilvl w:val="1"/>
          <w:numId w:val="228"/>
        </w:numPr>
        <w:rPr>
          <w:rFonts w:ascii="Arial" w:cs="Arial" w:eastAsia="Arial" w:hAnsi="Arial"/>
          <w:sz w:val="16"/>
          <w:szCs w:val="16"/>
          <w:color w:val="auto"/>
        </w:rPr>
      </w:pPr>
      <w:r>
        <w:rPr>
          <w:rFonts w:ascii="Arial" w:cs="Arial" w:eastAsia="Arial" w:hAnsi="Arial"/>
          <w:sz w:val="16"/>
          <w:szCs w:val="16"/>
          <w:color w:val="auto"/>
        </w:rPr>
        <w:t>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8" w:lineRule="exact"/>
        <w:rPr>
          <w:rFonts w:ascii="Arial" w:cs="Arial" w:eastAsia="Arial" w:hAnsi="Arial"/>
          <w:sz w:val="16"/>
          <w:szCs w:val="16"/>
          <w:color w:val="auto"/>
        </w:rPr>
      </w:pPr>
    </w:p>
    <w:p>
      <w:pPr>
        <w:ind w:left="-8" w:firstLine="656"/>
        <w:spacing w:after="0" w:line="254" w:lineRule="auto"/>
        <w:tabs>
          <w:tab w:leader="none" w:pos="1379"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indemnification, hold harmless, exoneration and advancement of expenses rights provided by or granted pursuant to this Agreement shall be binding upon and be enforceable by the parties hereto and their respective successors and permitted assigns (including any direct or indirect successor by purchase, merger, consolidation or otherwise to all or substantially all of the business and/or assets of the Company, but subject to such successor’s compliance with Section 19(d)),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permitted assigns, heirs, devisees, executors and administrators and other legal representatives.</w:t>
      </w:r>
    </w:p>
    <w:p>
      <w:pPr>
        <w:spacing w:after="0" w:line="194" w:lineRule="exact"/>
        <w:rPr>
          <w:rFonts w:ascii="Arial" w:cs="Arial" w:eastAsia="Arial" w:hAnsi="Arial"/>
          <w:sz w:val="18"/>
          <w:szCs w:val="18"/>
          <w:color w:val="auto"/>
        </w:rPr>
      </w:pPr>
    </w:p>
    <w:p>
      <w:pPr>
        <w:jc w:val="both"/>
        <w:ind w:left="-8" w:right="100" w:firstLine="656"/>
        <w:spacing w:after="0" w:line="259" w:lineRule="auto"/>
        <w:tabs>
          <w:tab w:leader="none" w:pos="1389"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03" w:name="page204"/>
    <w:bookmarkEnd w:id="203"/>
    <w:p>
      <w:pPr>
        <w:ind w:firstLine="656"/>
        <w:spacing w:after="0" w:line="289" w:lineRule="auto"/>
        <w:tabs>
          <w:tab w:leader="none" w:pos="1387"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security in connection therewith. The Company acknowledges that in the absence of a waiver, a bond or other security may be required of Indemnitee by a court of competent jurisdiction. The Company hereby waives any such requirement of such a bond or other security to the fullest extent permitted by law.</w:t>
      </w:r>
    </w:p>
    <w:p>
      <w:pPr>
        <w:spacing w:after="0" w:line="166" w:lineRule="exact"/>
        <w:rPr>
          <w:rFonts w:ascii="Arial" w:cs="Arial" w:eastAsia="Arial" w:hAnsi="Arial"/>
          <w:sz w:val="16"/>
          <w:szCs w:val="16"/>
          <w:color w:val="auto"/>
        </w:rPr>
      </w:pPr>
    </w:p>
    <w:p>
      <w:pPr>
        <w:jc w:val="both"/>
        <w:ind w:right="20" w:firstLine="8"/>
        <w:spacing w:after="0" w:line="259" w:lineRule="auto"/>
        <w:tabs>
          <w:tab w:leader="none" w:pos="765"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Company and Indemnitee. No waiver of any provision of this Agreement shall be enforceable unless in writing and signed by the party against whom it is to be enforced. No waiver of any of the provisions of this Agreement shall be deemed or shall constitute a waiver of any other provisions of this Agreement nor shall any waiver constitute a continuing waiver.</w:t>
      </w:r>
    </w:p>
    <w:p>
      <w:pPr>
        <w:spacing w:after="0" w:line="186" w:lineRule="exact"/>
        <w:rPr>
          <w:rFonts w:ascii="Arial" w:cs="Arial" w:eastAsia="Arial" w:hAnsi="Arial"/>
          <w:sz w:val="18"/>
          <w:szCs w:val="18"/>
          <w:color w:val="auto"/>
        </w:rPr>
      </w:pPr>
    </w:p>
    <w:p>
      <w:pPr>
        <w:ind w:right="40" w:firstLine="8"/>
        <w:spacing w:after="0" w:line="286" w:lineRule="auto"/>
        <w:tabs>
          <w:tab w:leader="none" w:pos="765"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165" w:lineRule="exact"/>
        <w:rPr>
          <w:rFonts w:ascii="Arial" w:cs="Arial" w:eastAsia="Arial" w:hAnsi="Arial"/>
          <w:sz w:val="17"/>
          <w:szCs w:val="17"/>
          <w:color w:val="auto"/>
        </w:rPr>
      </w:pPr>
    </w:p>
    <w:p>
      <w:pPr>
        <w:ind w:right="140" w:firstLine="656"/>
        <w:spacing w:after="0" w:line="277" w:lineRule="auto"/>
        <w:tabs>
          <w:tab w:leader="none" w:pos="138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Jay Taragin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Raphael M. Russo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492-0309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4" w:name="page205"/>
    <w:bookmarkEnd w:id="204"/>
    <w:p>
      <w:pPr>
        <w:ind w:left="-8" w:firstLine="8"/>
        <w:spacing w:after="0" w:line="288" w:lineRule="auto"/>
        <w:tabs>
          <w:tab w:leader="none" w:pos="757"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168" w:lineRule="exact"/>
        <w:rPr>
          <w:rFonts w:ascii="Arial" w:cs="Arial" w:eastAsia="Arial" w:hAnsi="Arial"/>
          <w:sz w:val="16"/>
          <w:szCs w:val="16"/>
          <w:color w:val="auto"/>
        </w:rPr>
      </w:pPr>
    </w:p>
    <w:p>
      <w:pPr>
        <w:ind w:left="-8" w:right="80" w:firstLine="8"/>
        <w:spacing w:after="0" w:line="263" w:lineRule="auto"/>
        <w:tabs>
          <w:tab w:leader="none" w:pos="757"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rFonts w:ascii="Arial" w:cs="Arial" w:eastAsia="Arial" w:hAnsi="Arial"/>
          <w:sz w:val="18"/>
          <w:szCs w:val="18"/>
          <w:color w:val="auto"/>
        </w:rPr>
      </w:pPr>
    </w:p>
    <w:p>
      <w:pPr>
        <w:ind w:left="-8" w:right="100" w:firstLine="8"/>
        <w:spacing w:after="0" w:line="263" w:lineRule="auto"/>
        <w:tabs>
          <w:tab w:leader="none" w:pos="757"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183" w:lineRule="exact"/>
        <w:rPr>
          <w:rFonts w:ascii="Arial" w:cs="Arial" w:eastAsia="Arial" w:hAnsi="Arial"/>
          <w:sz w:val="18"/>
          <w:szCs w:val="18"/>
          <w:color w:val="auto"/>
        </w:rPr>
      </w:pPr>
    </w:p>
    <w:p>
      <w:pPr>
        <w:ind w:left="-8" w:right="80" w:firstLine="8"/>
        <w:spacing w:after="0" w:line="263" w:lineRule="auto"/>
        <w:tabs>
          <w:tab w:leader="none" w:pos="757"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83" w:lineRule="exact"/>
        <w:rPr>
          <w:rFonts w:ascii="Arial" w:cs="Arial" w:eastAsia="Arial" w:hAnsi="Arial"/>
          <w:sz w:val="18"/>
          <w:szCs w:val="18"/>
          <w:color w:val="auto"/>
        </w:rPr>
      </w:pPr>
    </w:p>
    <w:p>
      <w:pPr>
        <w:ind w:left="-8" w:right="80" w:firstLine="8"/>
        <w:spacing w:after="0" w:line="259" w:lineRule="auto"/>
        <w:tabs>
          <w:tab w:leader="none" w:pos="757"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WAIVER OF CLAIMS TO TRUST ACCOUNT</w:t>
      </w:r>
      <w:r>
        <w:rPr>
          <w:rFonts w:ascii="Arial" w:cs="Arial" w:eastAsia="Arial" w:hAnsi="Arial"/>
          <w:sz w:val="18"/>
          <w:szCs w:val="18"/>
          <w:color w:val="auto"/>
        </w:rPr>
        <w:t>. Indemnitee hereby agrees that it does not have any right, title, interest or claim of any kind (each, a “Claim”)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05" w:name="page206"/>
    <w:bookmarkEnd w:id="205"/>
    <w:p>
      <w:pPr>
        <w:ind w:left="-8" w:firstLine="8"/>
        <w:spacing w:after="0" w:line="272" w:lineRule="auto"/>
        <w:tabs>
          <w:tab w:leader="none" w:pos="757"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color w:val="auto"/>
        </w:rPr>
        <w:t>IN WITNESS WHEREOF, the parties hereto have caused this Indemnity Agreement to be signed as of the day and year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William J. Bynum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William J. Bynum</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908" w:right="839" w:bottom="1440" w:gutter="0" w:footer="0" w:header="0"/>
        </w:sectPr>
      </w:pPr>
    </w:p>
    <w:bookmarkStart w:id="207" w:name="page208"/>
    <w:bookmarkEnd w:id="207"/>
    <w:p>
      <w:pPr>
        <w:jc w:val="right"/>
        <w:spacing w:after="0"/>
        <w:rPr>
          <w:sz w:val="20"/>
          <w:szCs w:val="20"/>
          <w:color w:val="auto"/>
        </w:rPr>
      </w:pPr>
      <w:r>
        <w:rPr>
          <w:rFonts w:ascii="Arial" w:cs="Arial" w:eastAsia="Arial" w:hAnsi="Arial"/>
          <w:sz w:val="22"/>
          <w:szCs w:val="22"/>
          <w:b w:val="1"/>
          <w:bCs w:val="1"/>
          <w:color w:val="auto"/>
        </w:rPr>
        <w:t>Exhibit 10.9</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5" w:lineRule="exact"/>
        <w:rPr>
          <w:sz w:val="20"/>
          <w:szCs w:val="20"/>
          <w:color w:val="auto"/>
        </w:rPr>
      </w:pPr>
    </w:p>
    <w:p>
      <w:pPr>
        <w:ind w:right="480" w:firstLine="1296"/>
        <w:spacing w:after="0" w:line="282" w:lineRule="auto"/>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July 29, 2020 by and between Churchill Capital Corp IV,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Bonnie Jonas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1296"/>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it is reasonable, prudent and necessary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contractually to obligate itself to indemnify, hold harmless, exonerate and to advance expenses on behalf of, persons who serve the Company and its direct and indirect subsidiaries (collectively, the “</w:t>
      </w:r>
      <w:r>
        <w:rPr>
          <w:rFonts w:ascii="Arial" w:cs="Arial" w:eastAsia="Arial" w:hAnsi="Arial"/>
          <w:sz w:val="17"/>
          <w:szCs w:val="17"/>
          <w:u w:val="single" w:color="auto"/>
          <w:color w:val="auto"/>
        </w:rPr>
        <w:t>Company Group</w:t>
      </w:r>
      <w:r>
        <w:rPr>
          <w:rFonts w:ascii="Arial" w:cs="Arial" w:eastAsia="Arial" w:hAnsi="Arial"/>
          <w:sz w:val="17"/>
          <w:szCs w:val="17"/>
          <w:color w:val="auto"/>
        </w:rPr>
        <w:t>”) to the fullest extent permitted by applicable law;</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this Agreement is a supplement to and in furtherance of the Amended and Restated Certificate of Incorporation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and the Bylaws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and any resolutions adopted pursuant thereto, and shall not be deemed a substitute therefor, nor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diminish or abrogate any rights of Indemnitee thereunder;</w:t>
      </w:r>
    </w:p>
    <w:p>
      <w:pPr>
        <w:spacing w:after="0" w:line="207" w:lineRule="exact"/>
        <w:rPr>
          <w:sz w:val="20"/>
          <w:szCs w:val="20"/>
          <w:color w:val="auto"/>
        </w:rPr>
      </w:pPr>
    </w:p>
    <w:p>
      <w:pPr>
        <w:ind w:right="60"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desires Indemnitee to serve in such capacity. Indemnitee is willing to serve, continue to serve and to take on additional service for or on behalf of the Company on the condition that Indemnitee be so indemnified; and</w:t>
      </w:r>
    </w:p>
    <w:p>
      <w:pPr>
        <w:spacing w:after="0" w:line="176" w:lineRule="exact"/>
        <w:rPr>
          <w:sz w:val="20"/>
          <w:szCs w:val="20"/>
          <w:color w:val="auto"/>
        </w:rPr>
      </w:pPr>
    </w:p>
    <w:p>
      <w:pPr>
        <w:ind w:right="340" w:firstLine="129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and subject to the provisions of the letter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July 29, 2020, the Company and Indemnitee do hereby covenant 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20" w:firstLine="8"/>
        <w:spacing w:after="0" w:line="254" w:lineRule="auto"/>
        <w:tabs>
          <w:tab w:leader="none" w:pos="675"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 consideration of the Company’s covenants and obligations hereunder, Indemnitee will serve or continue to serve as an officer, director, advisor, key employee or any other capacity of any member of the Company Group,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any member of the Company Group, as provided in Section 17. This Agreement, however, shall not impose any obligation on Indemnitee or the Company to continue Indemnitee’s service to the Company Group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8" w:name="page209"/>
    <w:bookmarkEnd w:id="208"/>
    <w:p>
      <w:pPr>
        <w:ind w:left="680" w:hanging="672"/>
        <w:spacing w:after="0"/>
        <w:tabs>
          <w:tab w:leader="none" w:pos="68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225" w:lineRule="exact"/>
        <w:rPr>
          <w:rFonts w:ascii="Arial" w:cs="Arial" w:eastAsia="Arial" w:hAnsi="Arial"/>
          <w:sz w:val="18"/>
          <w:szCs w:val="18"/>
          <w:color w:val="auto"/>
        </w:rPr>
      </w:pPr>
    </w:p>
    <w:p>
      <w:pPr>
        <w:ind w:right="140" w:firstLine="656"/>
        <w:spacing w:after="0" w:line="279" w:lineRule="auto"/>
        <w:tabs>
          <w:tab w:leader="none" w:pos="1387" w:val="left"/>
        </w:tabs>
        <w:numPr>
          <w:ilvl w:val="1"/>
          <w:numId w:val="234"/>
        </w:numPr>
        <w:rPr>
          <w:rFonts w:ascii="Arial" w:cs="Arial" w:eastAsia="Arial" w:hAnsi="Arial"/>
          <w:sz w:val="17"/>
          <w:szCs w:val="17"/>
          <w:color w:val="auto"/>
        </w:rPr>
      </w:pPr>
      <w:r>
        <w:rPr>
          <w:rFonts w:ascii="Arial" w:cs="Arial" w:eastAsia="Arial" w:hAnsi="Arial"/>
          <w:sz w:val="17"/>
          <w:szCs w:val="17"/>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1" w:lineRule="exact"/>
        <w:rPr>
          <w:rFonts w:ascii="Arial" w:cs="Arial" w:eastAsia="Arial" w:hAnsi="Arial"/>
          <w:sz w:val="17"/>
          <w:szCs w:val="17"/>
          <w:color w:val="auto"/>
        </w:rPr>
      </w:pPr>
    </w:p>
    <w:p>
      <w:pPr>
        <w:ind w:right="440" w:firstLine="656"/>
        <w:spacing w:after="0" w:line="277" w:lineRule="auto"/>
        <w:tabs>
          <w:tab w:leader="none" w:pos="139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events:</w:t>
      </w:r>
    </w:p>
    <w:p>
      <w:pPr>
        <w:spacing w:after="0" w:line="210" w:lineRule="exact"/>
        <w:rPr>
          <w:rFonts w:ascii="Arial" w:cs="Arial" w:eastAsia="Arial" w:hAnsi="Arial"/>
          <w:sz w:val="17"/>
          <w:szCs w:val="17"/>
          <w:color w:val="auto"/>
        </w:rPr>
      </w:pPr>
    </w:p>
    <w:p>
      <w:pPr>
        <w:ind w:right="160" w:firstLine="1304"/>
        <w:spacing w:after="0" w:line="273" w:lineRule="auto"/>
        <w:tabs>
          <w:tab w:leader="none" w:pos="2006" w:val="left"/>
        </w:tabs>
        <w:numPr>
          <w:ilvl w:val="2"/>
          <w:numId w:val="234"/>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an affiliate of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ind w:right="60" w:firstLine="1304"/>
        <w:spacing w:after="0" w:line="259" w:lineRule="auto"/>
        <w:tabs>
          <w:tab w:leader="none" w:pos="2056" w:val="left"/>
        </w:tabs>
        <w:numPr>
          <w:ilvl w:val="2"/>
          <w:numId w:val="234"/>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appointment by the Board or nomination for election by the Company’s stockholders was approved by a vote of at least two thirds of the directors then still in office who were directors on the date hereof or whose appointment or nomination for election was previously so approved (collectively, the “</w:t>
      </w:r>
      <w:r>
        <w:rPr>
          <w:rFonts w:ascii="Arial" w:cs="Arial" w:eastAsia="Arial" w:hAnsi="Arial"/>
          <w:sz w:val="18"/>
          <w:szCs w:val="18"/>
          <w:u w:val="single" w:color="auto"/>
          <w:color w:val="auto"/>
        </w:rPr>
        <w:t>Continuing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cease for any reason to constitute a majority of the members of the Board;</w:t>
      </w:r>
    </w:p>
    <w:p>
      <w:pPr>
        <w:spacing w:after="0" w:line="186" w:lineRule="exact"/>
        <w:rPr>
          <w:rFonts w:ascii="Arial" w:cs="Arial" w:eastAsia="Arial" w:hAnsi="Arial"/>
          <w:sz w:val="18"/>
          <w:szCs w:val="18"/>
          <w:color w:val="auto"/>
        </w:rPr>
      </w:pPr>
    </w:p>
    <w:p>
      <w:pPr>
        <w:ind w:firstLine="1304"/>
        <w:spacing w:after="0" w:line="268" w:lineRule="auto"/>
        <w:tabs>
          <w:tab w:leader="none" w:pos="2106" w:val="left"/>
        </w:tabs>
        <w:numPr>
          <w:ilvl w:val="2"/>
          <w:numId w:val="234"/>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of the Company entitled to vote generally in the election of directors immediately prior to such Business Combination beneficially own, directly or indirectly, more than 51% of the combined voting power of the then outstanding securities of the surviving or resulting entity or the ultimate parent entity that controls such surviving or resulting entity (the “</w:t>
      </w:r>
      <w:r>
        <w:rPr>
          <w:rFonts w:ascii="Arial" w:cs="Arial" w:eastAsia="Arial" w:hAnsi="Arial"/>
          <w:sz w:val="17"/>
          <w:szCs w:val="17"/>
          <w:u w:val="single" w:color="auto"/>
          <w:color w:val="auto"/>
        </w:rPr>
        <w:t>Successor</w:t>
      </w:r>
      <w:r>
        <w:rPr>
          <w:rFonts w:ascii="Arial" w:cs="Arial" w:eastAsia="Arial" w:hAnsi="Arial"/>
          <w:sz w:val="17"/>
          <w:szCs w:val="17"/>
          <w:color w:val="auto"/>
        </w:rPr>
        <w:t>”) entitled to vote generally in the election of directors of the Successor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Company, no Person (excluding any corporation resulting from such Business Combination) is the Beneficial Owner, directly or indirectly, of 15% or more of the combined voting power of the then outstanding securities entitled to vote generally in the election of directors of the successor except to the extent that such Person was the Beneficial Owner, directly or indirectly, of 15% or more of the combined voting power of the Company prior to such Business Combination; and (3) a majority of the board of directors (or comparable governing body) of the Successor were Continuing Directors at the time of the execution of the initial agreement, or of the action of the Board of Directors, providing for such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ind w:left="-160" w:firstLine="1304"/>
        <w:spacing w:after="0" w:line="259" w:lineRule="auto"/>
        <w:tabs>
          <w:tab w:leader="none" w:pos="1935"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160" w:right="420" w:firstLine="1304"/>
        <w:spacing w:after="0" w:line="286" w:lineRule="auto"/>
        <w:tabs>
          <w:tab w:leader="none" w:pos="1885"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65" w:lineRule="exact"/>
        <w:rPr>
          <w:rFonts w:ascii="Arial" w:cs="Arial" w:eastAsia="Arial" w:hAnsi="Arial"/>
          <w:sz w:val="17"/>
          <w:szCs w:val="17"/>
          <w:color w:val="auto"/>
        </w:rPr>
      </w:pPr>
    </w:p>
    <w:p>
      <w:pPr>
        <w:ind w:left="-160" w:right="20" w:firstLine="656"/>
        <w:spacing w:after="0" w:line="263" w:lineRule="auto"/>
        <w:tabs>
          <w:tab w:leader="none" w:pos="123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1240" w:hanging="744"/>
        <w:spacing w:after="0"/>
        <w:tabs>
          <w:tab w:leader="none" w:pos="12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left="-160" w:right="80" w:firstLine="656"/>
        <w:spacing w:after="0" w:line="277" w:lineRule="auto"/>
        <w:tabs>
          <w:tab w:leader="none" w:pos="120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160" w:right="140" w:firstLine="656"/>
        <w:spacing w:after="0" w:line="259" w:lineRule="auto"/>
        <w:tabs>
          <w:tab w:leader="none" w:pos="123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1240" w:hanging="744"/>
        <w:spacing w:after="0"/>
        <w:tabs>
          <w:tab w:leader="none" w:pos="12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210" w:name="page211"/>
    <w:bookmarkEnd w:id="210"/>
    <w:p>
      <w:pPr>
        <w:ind w:left="-8" w:firstLine="656"/>
        <w:spacing w:after="0" w:line="269" w:lineRule="auto"/>
        <w:tabs>
          <w:tab w:leader="none" w:pos="135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 incurred in any Proceeding by or in the right of the Company.</w:t>
      </w:r>
    </w:p>
    <w:p>
      <w:pPr>
        <w:spacing w:after="0" w:line="185" w:lineRule="exact"/>
        <w:rPr>
          <w:rFonts w:ascii="Arial" w:cs="Arial" w:eastAsia="Arial" w:hAnsi="Arial"/>
          <w:sz w:val="17"/>
          <w:szCs w:val="17"/>
          <w:color w:val="auto"/>
        </w:rPr>
      </w:pPr>
    </w:p>
    <w:p>
      <w:pPr>
        <w:ind w:left="-8" w:right="60" w:firstLine="656"/>
        <w:spacing w:after="0" w:line="255" w:lineRule="auto"/>
        <w:tabs>
          <w:tab w:leader="none" w:pos="135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u w:val="single" w:color="auto"/>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ind w:left="-8" w:right="60" w:firstLine="656"/>
        <w:spacing w:after="0" w:line="287" w:lineRule="auto"/>
        <w:tabs>
          <w:tab w:leader="none" w:pos="1389" w:val="left"/>
        </w:tabs>
        <w:numPr>
          <w:ilvl w:val="1"/>
          <w:numId w:val="2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spacing w:after="0" w:line="2" w:lineRule="exact"/>
        <w:rPr>
          <w:rFonts w:ascii="Arial" w:cs="Arial" w:eastAsia="Arial" w:hAnsi="Arial"/>
          <w:sz w:val="16"/>
          <w:szCs w:val="16"/>
          <w:color w:val="auto"/>
        </w:rPr>
      </w:pPr>
    </w:p>
    <w:p>
      <w:pPr>
        <w:ind w:left="-8" w:right="140" w:firstLine="8"/>
        <w:spacing w:after="0" w:line="277" w:lineRule="auto"/>
        <w:tabs>
          <w:tab w:leader="none" w:pos="257"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ind w:left="-8" w:right="60" w:firstLine="656"/>
        <w:spacing w:after="0" w:line="273" w:lineRule="auto"/>
        <w:tabs>
          <w:tab w:leader="none" w:pos="135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w:t>
      </w:r>
      <w:r>
        <w:rPr>
          <w:rFonts w:ascii="Arial" w:cs="Arial" w:eastAsia="Arial" w:hAnsi="Arial"/>
          <w:sz w:val="17"/>
          <w:szCs w:val="17"/>
          <w:u w:val="single" w:color="auto"/>
          <w:color w:val="auto"/>
        </w:rPr>
        <w:t>Person</w:t>
      </w:r>
      <w:r>
        <w:rPr>
          <w:rFonts w:ascii="Arial" w:cs="Arial" w:eastAsia="Arial" w:hAnsi="Arial"/>
          <w:sz w:val="17"/>
          <w:szCs w:val="17"/>
          <w:color w:val="auto"/>
        </w:rPr>
        <w:t>”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3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11" w:name="page212"/>
    <w:bookmarkEnd w:id="211"/>
    <w:p>
      <w:pPr>
        <w:ind w:left="-8" w:right="20" w:firstLine="656"/>
        <w:spacing w:after="0" w:line="273" w:lineRule="auto"/>
        <w:tabs>
          <w:tab w:leader="none" w:pos="1439" w:val="left"/>
        </w:tabs>
        <w:numPr>
          <w:ilvl w:val="1"/>
          <w:numId w:val="23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of Indemnitee’s Corporate Status, whether or not serving in such capacity at the time any liability or expense is incurred for which indemnification, reimbursement, or advancement of expenses can be provided under this Agreement but shall not include any Enforcement Proceeding pursuant to Section 14.</w:t>
      </w:r>
    </w:p>
    <w:p>
      <w:pPr>
        <w:spacing w:after="0" w:line="177" w:lineRule="exact"/>
        <w:rPr>
          <w:rFonts w:ascii="Arial" w:cs="Arial" w:eastAsia="Arial" w:hAnsi="Arial"/>
          <w:sz w:val="17"/>
          <w:szCs w:val="17"/>
          <w:color w:val="auto"/>
        </w:rPr>
      </w:pPr>
    </w:p>
    <w:p>
      <w:pPr>
        <w:ind w:left="-8" w:right="80" w:firstLine="656"/>
        <w:spacing w:after="0" w:line="342" w:lineRule="auto"/>
        <w:tabs>
          <w:tab w:leader="none" w:pos="1389" w:val="left"/>
        </w:tabs>
        <w:numPr>
          <w:ilvl w:val="1"/>
          <w:numId w:val="23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Subsidiary</w:t>
      </w:r>
      <w:r>
        <w:rPr>
          <w:rFonts w:ascii="Arial" w:cs="Arial" w:eastAsia="Arial" w:hAnsi="Arial"/>
          <w:sz w:val="16"/>
          <w:szCs w:val="16"/>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23" w:lineRule="exact"/>
        <w:rPr>
          <w:rFonts w:ascii="Arial" w:cs="Arial" w:eastAsia="Arial" w:hAnsi="Arial"/>
          <w:sz w:val="16"/>
          <w:szCs w:val="16"/>
          <w:color w:val="auto"/>
        </w:rPr>
      </w:pPr>
    </w:p>
    <w:p>
      <w:pPr>
        <w:ind w:left="-8" w:right="120" w:firstLine="8"/>
        <w:spacing w:after="0" w:line="271" w:lineRule="auto"/>
        <w:tabs>
          <w:tab w:leader="none" w:pos="667"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To the fullest 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(including all interest, assessments and other charges paid or payable in connection with or in respect of such Expenses) actually and reasonably incurred by Indemnitee or on Indemnitee’s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Indemnitee’s conduct was unlawful.</w:t>
      </w:r>
    </w:p>
    <w:p>
      <w:pPr>
        <w:spacing w:after="0" w:line="178" w:lineRule="exact"/>
        <w:rPr>
          <w:rFonts w:ascii="Arial" w:cs="Arial" w:eastAsia="Arial" w:hAnsi="Arial"/>
          <w:sz w:val="17"/>
          <w:szCs w:val="17"/>
          <w:color w:val="auto"/>
        </w:rPr>
      </w:pPr>
    </w:p>
    <w:p>
      <w:pPr>
        <w:ind w:left="-8" w:firstLine="8"/>
        <w:spacing w:after="0" w:line="288" w:lineRule="auto"/>
        <w:tabs>
          <w:tab w:leader="none" w:pos="667"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12" w:name="page213"/>
    <w:bookmarkEnd w:id="212"/>
    <w:p>
      <w:pPr>
        <w:ind w:left="-8" w:right="80" w:firstLine="8"/>
        <w:spacing w:after="0" w:line="287" w:lineRule="auto"/>
        <w:tabs>
          <w:tab w:leader="none" w:pos="667"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except for Section 27, to the extent that Indemnitee was or is, by reason of Indemnitee’s Corporate Status, a party to (or a participant in) and is successful, on the merits or otherwise, in defending any Proceeding or in defense of any claim, issue or matter therein, in whole or in part, the defending Company shall, to the fullest extent permitted by applicable law, indemnify, hold harmless and exonerate Indemnitee against all Expenses actually and reasonably incurred by Indemnitee in connection therewith. If Indemnitee is not wholly successful in defense of such Proceeding (or part thereof) but is successful, on the merits or otherwise, in defense of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defense of such Proceeding (or part thereof),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and without limitation, the termination of any claim, issue or matter in such a Proceeding by dismissal, with or without prejudice, shall be deemed to be a successful result as to the defense of such claim, issue or matter.</w:t>
      </w:r>
    </w:p>
    <w:p>
      <w:pPr>
        <w:spacing w:after="0" w:line="167" w:lineRule="exact"/>
        <w:rPr>
          <w:rFonts w:ascii="Arial" w:cs="Arial" w:eastAsia="Arial" w:hAnsi="Arial"/>
          <w:sz w:val="16"/>
          <w:szCs w:val="16"/>
          <w:color w:val="auto"/>
        </w:rPr>
      </w:pPr>
    </w:p>
    <w:p>
      <w:pPr>
        <w:ind w:left="-8" w:right="180" w:firstLine="8"/>
        <w:spacing w:after="0" w:line="279" w:lineRule="auto"/>
        <w:tabs>
          <w:tab w:leader="none" w:pos="667"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except for Section 27, to the extent that Indemnitee is, by reason of Indemnitee’s Corporate Status, a witness or deponent in any Proceeding to which Indemnitee was not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71" w:lineRule="exact"/>
        <w:rPr>
          <w:rFonts w:ascii="Arial" w:cs="Arial" w:eastAsia="Arial" w:hAnsi="Arial"/>
          <w:sz w:val="17"/>
          <w:szCs w:val="17"/>
          <w:color w:val="auto"/>
        </w:rPr>
      </w:pPr>
    </w:p>
    <w:p>
      <w:pPr>
        <w:ind w:left="-8" w:firstLine="8"/>
        <w:spacing w:after="0" w:line="255" w:lineRule="auto"/>
        <w:tabs>
          <w:tab w:leader="none" w:pos="667"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ADDITIONAL INDEMNIFICATION, HOLD HARMLESS AND EXONERATION RIGHTS</w:t>
      </w:r>
      <w:r>
        <w:rPr>
          <w:rFonts w:ascii="Arial" w:cs="Arial" w:eastAsia="Arial" w:hAnsi="Arial"/>
          <w:sz w:val="18"/>
          <w:szCs w:val="18"/>
          <w:color w:val="auto"/>
        </w:rPr>
        <w:t>. Notwithstanding any limitation in Sections 3, 4, or 5, except for Section 27, the Company shall, to the fullest extent permitted by applicable law, indemnify, hold harmless and exonerate Indemnitee if Indemnitee is a party to or threatened to be made a party to any Proceeding against all Expenses and judgments, fines, penalties and amounts paid in settlement in any Proceeding by or in the right of the Company to procure a judgment in its favor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13" w:name="page214"/>
    <w:bookmarkEnd w:id="213"/>
    <w:p>
      <w:pPr>
        <w:ind w:left="672" w:hanging="672"/>
        <w:spacing w:after="0"/>
        <w:tabs>
          <w:tab w:leader="none" w:pos="672"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CONTRIBUTION IN THE EVENT OF JOINT 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00" w:firstLine="656"/>
        <w:spacing w:after="0" w:line="296" w:lineRule="auto"/>
        <w:tabs>
          <w:tab w:leader="none" w:pos="1379"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8" w:right="120" w:firstLine="656"/>
        <w:spacing w:after="0" w:line="308" w:lineRule="auto"/>
        <w:tabs>
          <w:tab w:leader="none" w:pos="1389" w:val="left"/>
        </w:tabs>
        <w:numPr>
          <w:ilvl w:val="1"/>
          <w:numId w:val="242"/>
        </w:numPr>
        <w:rPr>
          <w:rFonts w:ascii="Arial" w:cs="Arial" w:eastAsia="Arial" w:hAnsi="Arial"/>
          <w:sz w:val="17"/>
          <w:szCs w:val="17"/>
          <w:color w:val="auto"/>
        </w:rPr>
      </w:pPr>
      <w:r>
        <w:rPr>
          <w:rFonts w:ascii="Arial" w:cs="Arial" w:eastAsia="Arial" w:hAnsi="Arial"/>
          <w:sz w:val="17"/>
          <w:szCs w:val="17"/>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46" w:lineRule="exact"/>
        <w:rPr>
          <w:rFonts w:ascii="Arial" w:cs="Arial" w:eastAsia="Arial" w:hAnsi="Arial"/>
          <w:sz w:val="17"/>
          <w:szCs w:val="17"/>
          <w:color w:val="auto"/>
        </w:rPr>
      </w:pPr>
    </w:p>
    <w:p>
      <w:pPr>
        <w:ind w:left="-8" w:right="120" w:firstLine="656"/>
        <w:spacing w:after="0" w:line="277" w:lineRule="auto"/>
        <w:tabs>
          <w:tab w:leader="none" w:pos="137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70" w:lineRule="exact"/>
        <w:rPr>
          <w:rFonts w:ascii="Arial" w:cs="Arial" w:eastAsia="Arial" w:hAnsi="Arial"/>
          <w:sz w:val="18"/>
          <w:szCs w:val="18"/>
          <w:color w:val="auto"/>
        </w:rPr>
      </w:pPr>
    </w:p>
    <w:p>
      <w:pPr>
        <w:ind w:left="-8" w:right="540" w:firstLine="8"/>
        <w:spacing w:after="0" w:line="308" w:lineRule="auto"/>
        <w:tabs>
          <w:tab w:leader="none" w:pos="667"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the Company shall not be obligated under this Agreement to make any indemnification, advance expenses, hold harmless or exoneration payment in connection with any claim made against Indemnitee:</w:t>
      </w:r>
    </w:p>
    <w:p>
      <w:pPr>
        <w:spacing w:after="0" w:line="146" w:lineRule="exact"/>
        <w:rPr>
          <w:rFonts w:ascii="Arial" w:cs="Arial" w:eastAsia="Arial" w:hAnsi="Arial"/>
          <w:sz w:val="17"/>
          <w:szCs w:val="17"/>
          <w:color w:val="auto"/>
        </w:rPr>
      </w:pPr>
    </w:p>
    <w:p>
      <w:pPr>
        <w:ind w:left="-8" w:right="360" w:firstLine="656"/>
        <w:spacing w:after="0" w:line="263" w:lineRule="auto"/>
        <w:tabs>
          <w:tab w:leader="none" w:pos="137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83" w:lineRule="exact"/>
        <w:rPr>
          <w:rFonts w:ascii="Arial" w:cs="Arial" w:eastAsia="Arial" w:hAnsi="Arial"/>
          <w:sz w:val="18"/>
          <w:szCs w:val="18"/>
          <w:color w:val="auto"/>
        </w:rPr>
      </w:pPr>
    </w:p>
    <w:p>
      <w:pPr>
        <w:ind w:left="-8" w:right="40" w:firstLine="656"/>
        <w:spacing w:after="0" w:line="308" w:lineRule="auto"/>
        <w:tabs>
          <w:tab w:leader="none" w:pos="1389" w:val="left"/>
        </w:tabs>
        <w:numPr>
          <w:ilvl w:val="1"/>
          <w:numId w:val="242"/>
        </w:numPr>
        <w:rPr>
          <w:rFonts w:ascii="Arial" w:cs="Arial" w:eastAsia="Arial" w:hAnsi="Arial"/>
          <w:sz w:val="17"/>
          <w:szCs w:val="17"/>
          <w:color w:val="auto"/>
        </w:rPr>
      </w:pPr>
      <w:r>
        <w:rPr>
          <w:rFonts w:ascii="Arial" w:cs="Arial" w:eastAsia="Arial" w:hAnsi="Arial"/>
          <w:sz w:val="17"/>
          <w:szCs w:val="17"/>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46" w:lineRule="exact"/>
        <w:rPr>
          <w:rFonts w:ascii="Arial" w:cs="Arial" w:eastAsia="Arial" w:hAnsi="Arial"/>
          <w:sz w:val="17"/>
          <w:szCs w:val="17"/>
          <w:color w:val="auto"/>
        </w:rPr>
      </w:pPr>
    </w:p>
    <w:p>
      <w:pPr>
        <w:ind w:left="-8" w:firstLine="656"/>
        <w:spacing w:after="0" w:line="273" w:lineRule="auto"/>
        <w:tabs>
          <w:tab w:leader="none" w:pos="1379" w:val="left"/>
        </w:tabs>
        <w:numPr>
          <w:ilvl w:val="1"/>
          <w:numId w:val="242"/>
        </w:numPr>
        <w:rPr>
          <w:rFonts w:ascii="Arial" w:cs="Arial" w:eastAsia="Arial" w:hAnsi="Arial"/>
          <w:sz w:val="17"/>
          <w:szCs w:val="17"/>
          <w:color w:val="auto"/>
        </w:rPr>
      </w:pPr>
      <w:r>
        <w:rPr>
          <w:rFonts w:ascii="Arial" w:cs="Arial" w:eastAsia="Arial" w:hAnsi="Arial"/>
          <w:sz w:val="17"/>
          <w:szCs w:val="17"/>
          <w:color w:val="auto"/>
        </w:rPr>
        <w:t>except as otherwise provided in Sections 14(f)-(g)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39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214" w:name="page215"/>
    <w:bookmarkEnd w:id="214"/>
    <w:p>
      <w:pPr>
        <w:ind w:left="772" w:hanging="772"/>
        <w:spacing w:after="0"/>
        <w:tabs>
          <w:tab w:leader="none" w:pos="772"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ADVANCES OF EXPENSES; DEFENSE OF CLAIM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87" w:lineRule="auto"/>
        <w:tabs>
          <w:tab w:leader="none" w:pos="1379" w:val="left"/>
        </w:tabs>
        <w:numPr>
          <w:ilvl w:val="1"/>
          <w:numId w:val="243"/>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except for Section 27, and to the fullest extent not prohibited by applicable law, the Company shall pay the Expenses incurred by Indemnitee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an Enforcement Proceeding (assuming for this purpose all references to a “Proceeding” in the definition of Expenses were deemed related to an Enforcement Proceeding), including Expenses incurred preparing and forwarding statements to the Company to support the advances claimed. This Agreement shall constitute Indemnitee’s undertaking to repay the advanced amounts to the extent that it is ultimately determined that Indemnitee is not entitled to be indemnified, held harmless or exonerated by the Company under the provisions of this Agreement, the Charter, the Bylaws of the Company, applicable law or otherwise, but only if such an undertaking is required by applicable law. This Section 10(a) shall not apply to any Proceeding for which indemnity is not permitted under Section 9 of this Agreement, but shall apply to any Proceeding referenced in Section 9(b) prior to a final determination that Indemnitee is liable therefor.</w:t>
      </w:r>
    </w:p>
    <w:p>
      <w:pPr>
        <w:spacing w:after="0" w:line="167" w:lineRule="exact"/>
        <w:rPr>
          <w:rFonts w:ascii="Arial" w:cs="Arial" w:eastAsia="Arial" w:hAnsi="Arial"/>
          <w:sz w:val="16"/>
          <w:szCs w:val="16"/>
          <w:color w:val="auto"/>
        </w:rPr>
      </w:pPr>
    </w:p>
    <w:p>
      <w:pPr>
        <w:ind w:left="1392" w:hanging="744"/>
        <w:spacing w:after="0"/>
        <w:tabs>
          <w:tab w:leader="none" w:pos="139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8" w:right="180" w:firstLine="656"/>
        <w:spacing w:after="0" w:line="277" w:lineRule="auto"/>
        <w:tabs>
          <w:tab w:leader="none" w:pos="1379"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170" w:lineRule="exact"/>
        <w:rPr>
          <w:rFonts w:ascii="Arial" w:cs="Arial" w:eastAsia="Arial" w:hAnsi="Arial"/>
          <w:sz w:val="18"/>
          <w:szCs w:val="18"/>
          <w:color w:val="auto"/>
        </w:rPr>
      </w:pPr>
    </w:p>
    <w:p>
      <w:pPr>
        <w:ind w:left="752" w:hanging="752"/>
        <w:spacing w:after="0"/>
        <w:tabs>
          <w:tab w:leader="none" w:pos="752"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PROCEDURE FOR NOTIFICATION AND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20" w:firstLine="656"/>
        <w:spacing w:after="0" w:line="259" w:lineRule="auto"/>
        <w:tabs>
          <w:tab w:leader="none" w:pos="1379"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86" w:lineRule="exact"/>
        <w:rPr>
          <w:rFonts w:ascii="Arial" w:cs="Arial" w:eastAsia="Arial" w:hAnsi="Arial"/>
          <w:sz w:val="18"/>
          <w:szCs w:val="18"/>
          <w:color w:val="auto"/>
        </w:rPr>
      </w:pPr>
    </w:p>
    <w:p>
      <w:pPr>
        <w:ind w:left="-8" w:right="120" w:firstLine="656"/>
        <w:spacing w:after="0" w:line="259" w:lineRule="auto"/>
        <w:tabs>
          <w:tab w:leader="none" w:pos="1389"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sole discretion. Following such a written application for indemnification by Indemnitee, Indemnitee’s entitlement to indemnification shall be determined according to Section 12(a) of this Agreement.</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215" w:name="page216"/>
    <w:bookmarkEnd w:id="215"/>
    <w:p>
      <w:pPr>
        <w:ind w:left="772" w:hanging="772"/>
        <w:spacing w:after="0"/>
        <w:tabs>
          <w:tab w:leader="none" w:pos="772"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244"/>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directors so direct, by Independent Counsel in a written opinion to the Board, a copy of which shall be delivered to Indemnitee, or (ii) if a Change in Control has occurred, by Independent Counsel in a written opinion to the Board, a copy of which shall be delivered to the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4" w:lineRule="exact"/>
        <w:rPr>
          <w:rFonts w:ascii="Arial" w:cs="Arial" w:eastAsia="Arial" w:hAnsi="Arial"/>
          <w:sz w:val="17"/>
          <w:szCs w:val="17"/>
          <w:color w:val="auto"/>
        </w:rPr>
      </w:pPr>
    </w:p>
    <w:p>
      <w:pPr>
        <w:ind w:left="-8" w:right="20" w:firstLine="656"/>
        <w:spacing w:after="0" w:line="285" w:lineRule="auto"/>
        <w:tabs>
          <w:tab w:leader="none" w:pos="1389" w:val="left"/>
        </w:tabs>
        <w:numPr>
          <w:ilvl w:val="1"/>
          <w:numId w:val="244"/>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16" w:name="page217"/>
    <w:bookmarkEnd w:id="216"/>
    <w:p>
      <w:pPr>
        <w:ind w:left="-8" w:right="160" w:firstLine="656"/>
        <w:spacing w:after="0" w:line="263" w:lineRule="auto"/>
        <w:tabs>
          <w:tab w:leader="none" w:pos="1379"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3" w:lineRule="exact"/>
        <w:rPr>
          <w:rFonts w:ascii="Arial" w:cs="Arial" w:eastAsia="Arial" w:hAnsi="Arial"/>
          <w:sz w:val="18"/>
          <w:szCs w:val="18"/>
          <w:color w:val="auto"/>
        </w:rPr>
      </w:pPr>
    </w:p>
    <w:p>
      <w:pPr>
        <w:ind w:left="772" w:hanging="772"/>
        <w:spacing w:after="0"/>
        <w:tabs>
          <w:tab w:leader="none" w:pos="772"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71" w:lineRule="auto"/>
        <w:tabs>
          <w:tab w:leader="none" w:pos="1379" w:val="left"/>
        </w:tabs>
        <w:numPr>
          <w:ilvl w:val="1"/>
          <w:numId w:val="246"/>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left="-8" w:right="40" w:firstLine="656"/>
        <w:spacing w:after="0" w:line="271" w:lineRule="auto"/>
        <w:tabs>
          <w:tab w:leader="none" w:pos="1389" w:val="left"/>
        </w:tabs>
        <w:numPr>
          <w:ilvl w:val="1"/>
          <w:numId w:val="246"/>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17" w:name="page218"/>
    <w:bookmarkEnd w:id="217"/>
    <w:p>
      <w:pPr>
        <w:ind w:left="-8" w:right="20" w:firstLine="656"/>
        <w:spacing w:after="0" w:line="257" w:lineRule="auto"/>
        <w:tabs>
          <w:tab w:leader="none" w:pos="1379"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8" w:right="60" w:firstLine="656"/>
        <w:spacing w:after="0" w:line="290" w:lineRule="auto"/>
        <w:tabs>
          <w:tab w:leader="none" w:pos="1389" w:val="left"/>
        </w:tabs>
        <w:numPr>
          <w:ilvl w:val="1"/>
          <w:numId w:val="247"/>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65" w:lineRule="exact"/>
        <w:rPr>
          <w:rFonts w:ascii="Arial" w:cs="Arial" w:eastAsia="Arial" w:hAnsi="Arial"/>
          <w:sz w:val="16"/>
          <w:szCs w:val="16"/>
          <w:color w:val="auto"/>
        </w:rPr>
      </w:pPr>
    </w:p>
    <w:p>
      <w:pPr>
        <w:ind w:left="-8" w:right="280" w:firstLine="656"/>
        <w:spacing w:after="0" w:line="342" w:lineRule="auto"/>
        <w:tabs>
          <w:tab w:leader="none" w:pos="1379" w:val="left"/>
        </w:tabs>
        <w:numPr>
          <w:ilvl w:val="1"/>
          <w:numId w:val="247"/>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23" w:lineRule="exact"/>
        <w:rPr>
          <w:rFonts w:ascii="Arial" w:cs="Arial" w:eastAsia="Arial" w:hAnsi="Arial"/>
          <w:sz w:val="16"/>
          <w:szCs w:val="16"/>
          <w:color w:val="auto"/>
        </w:rPr>
      </w:pPr>
    </w:p>
    <w:p>
      <w:pPr>
        <w:ind w:left="772" w:hanging="772"/>
        <w:spacing w:after="0"/>
        <w:tabs>
          <w:tab w:leader="none" w:pos="772"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248"/>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 Such adjudication or arbitration proceeding is referred to herein as “Enforcement Proceeding.”</w:t>
      </w:r>
    </w:p>
    <w:p>
      <w:pPr>
        <w:spacing w:after="0" w:line="200" w:lineRule="exact"/>
        <w:rPr>
          <w:sz w:val="20"/>
          <w:szCs w:val="20"/>
          <w:color w:val="auto"/>
        </w:rPr>
      </w:pP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18" w:name="page219"/>
    <w:bookmarkEnd w:id="218"/>
    <w:p>
      <w:pPr>
        <w:ind w:right="120" w:firstLine="656"/>
        <w:spacing w:after="0" w:line="263" w:lineRule="auto"/>
        <w:tabs>
          <w:tab w:leader="none" w:pos="139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Enforcement Proceeding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ind w:firstLine="656"/>
        <w:spacing w:after="0" w:line="293" w:lineRule="auto"/>
        <w:tabs>
          <w:tab w:leader="none" w:pos="138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In any Enforcement Proceeding, Indemnitee shall be presumed to be entitled to be indemnified, held harmless, exonerated and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an Enforcement Proceeding,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4" w:lineRule="exact"/>
        <w:rPr>
          <w:rFonts w:ascii="Arial" w:cs="Arial" w:eastAsia="Arial" w:hAnsi="Arial"/>
          <w:sz w:val="16"/>
          <w:szCs w:val="16"/>
          <w:color w:val="auto"/>
        </w:rPr>
      </w:pPr>
    </w:p>
    <w:p>
      <w:pPr>
        <w:ind w:firstLine="656"/>
        <w:spacing w:after="0" w:line="259" w:lineRule="auto"/>
        <w:tabs>
          <w:tab w:leader="none" w:pos="139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Enforcement Proceeding,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right="40" w:firstLine="656"/>
        <w:spacing w:after="0" w:line="263" w:lineRule="auto"/>
        <w:tabs>
          <w:tab w:leader="none" w:pos="138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 shall be precluded from asserting in Enforcement Proceeding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right="40" w:firstLine="656"/>
        <w:spacing w:after="0" w:line="270" w:lineRule="auto"/>
        <w:tabs>
          <w:tab w:leader="none" w:pos="1368"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(assuming for purposes of this sentence that all references to a Proceeding in the definition of Expenses were references to an Enforcement Proceeding) and, if requested by Indemnitee, shall (within ten (10) days after the Company’s receipt of such written request) pay to Indemnitee, to the fullest extent permitted by applicable law, such Expenses which are incurred by Indemnitee in connection with any Enforcement Proceeding brought by Indemnitee: (i) to enforce his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Enforcement Proceeding was not brought by Indemnitee in good faith).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ind w:firstLine="656"/>
        <w:spacing w:after="0" w:line="259" w:lineRule="auto"/>
        <w:tabs>
          <w:tab w:leader="none" w:pos="139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or on behalf of the Company.</w:t>
      </w:r>
    </w:p>
    <w:p>
      <w:pPr>
        <w:spacing w:after="0" w:line="186" w:lineRule="exact"/>
        <w:rPr>
          <w:rFonts w:ascii="Arial" w:cs="Arial" w:eastAsia="Arial" w:hAnsi="Arial"/>
          <w:sz w:val="18"/>
          <w:szCs w:val="18"/>
          <w:color w:val="auto"/>
        </w:rPr>
      </w:pPr>
    </w:p>
    <w:p>
      <w:pPr>
        <w:ind w:firstLine="8"/>
        <w:spacing w:after="0" w:line="259" w:lineRule="auto"/>
        <w:tabs>
          <w:tab w:leader="none" w:pos="765"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Notwithstanding anything herein to the contrary, except for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86" w:lineRule="exact"/>
        <w:rPr>
          <w:rFonts w:ascii="Arial" w:cs="Arial" w:eastAsia="Arial" w:hAnsi="Arial"/>
          <w:sz w:val="18"/>
          <w:szCs w:val="18"/>
          <w:color w:val="auto"/>
        </w:rPr>
      </w:pPr>
    </w:p>
    <w:p>
      <w:pPr>
        <w:ind w:left="780" w:hanging="772"/>
        <w:spacing w:after="0"/>
        <w:tabs>
          <w:tab w:leader="none" w:pos="78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69" w:lineRule="auto"/>
        <w:tabs>
          <w:tab w:leader="none" w:pos="1387" w:val="left"/>
        </w:tabs>
        <w:numPr>
          <w:ilvl w:val="1"/>
          <w:numId w:val="251"/>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repeals, except as may otherwise be expressly set forth in such amendment, alteration or repeals and mutually agreed by Indemnitee and the Company.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ind w:left="-40" w:right="20" w:firstLine="656"/>
        <w:spacing w:after="0" w:line="253" w:lineRule="auto"/>
        <w:tabs>
          <w:tab w:leader="none" w:pos="135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Delaware General Corporation Law (the “DGCL”), the Charter and the Bylaws permit the Company to purchase and maintain insurance or furnish similar protection or make other arrangements including, but not limited to, providing a trust fund, letter of credit, or surety bond (“Indemnification Arrangements”)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96" w:lineRule="exact"/>
        <w:rPr>
          <w:rFonts w:ascii="Arial" w:cs="Arial" w:eastAsia="Arial" w:hAnsi="Arial"/>
          <w:sz w:val="18"/>
          <w:szCs w:val="18"/>
          <w:color w:val="auto"/>
        </w:rPr>
      </w:pPr>
    </w:p>
    <w:p>
      <w:pPr>
        <w:ind w:left="-40" w:right="60" w:firstLine="656"/>
        <w:spacing w:after="0" w:line="270" w:lineRule="auto"/>
        <w:tabs>
          <w:tab w:leader="none" w:pos="1347"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To the extent that any member of the Company Group maintains an insurance policy or policies providing liability insurance for directors, officers, trustees, partners, managers, managing members, fiduciaries, employees, or agents of the Company Group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or cause to be taken all necessary or desirable action to cause such insurers to pay, on behalf of Indemnitee, all amounts payable as a result of such Proceeding in accordance with the terms of such policies.</w:t>
      </w:r>
    </w:p>
    <w:p>
      <w:pPr>
        <w:spacing w:after="0" w:line="180" w:lineRule="exact"/>
        <w:rPr>
          <w:rFonts w:ascii="Arial" w:cs="Arial" w:eastAsia="Arial" w:hAnsi="Arial"/>
          <w:sz w:val="17"/>
          <w:szCs w:val="17"/>
          <w:color w:val="auto"/>
        </w:rPr>
      </w:pPr>
    </w:p>
    <w:p>
      <w:pPr>
        <w:ind w:left="-40" w:firstLine="656"/>
        <w:spacing w:after="0" w:line="286" w:lineRule="auto"/>
        <w:tabs>
          <w:tab w:leader="none" w:pos="1357"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221" w:name="page222"/>
    <w:bookmarkEnd w:id="221"/>
    <w:p>
      <w:pPr>
        <w:ind w:left="-8" w:right="60" w:firstLine="656"/>
        <w:spacing w:after="0" w:line="284" w:lineRule="auto"/>
        <w:tabs>
          <w:tab w:leader="none" w:pos="1379"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left="-8" w:right="100" w:firstLine="8"/>
        <w:spacing w:after="0" w:line="323" w:lineRule="auto"/>
        <w:tabs>
          <w:tab w:leader="none" w:pos="25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8" w:lineRule="exact"/>
        <w:rPr>
          <w:rFonts w:ascii="Arial" w:cs="Arial" w:eastAsia="Arial" w:hAnsi="Arial"/>
          <w:sz w:val="16"/>
          <w:szCs w:val="16"/>
          <w:color w:val="auto"/>
        </w:rPr>
      </w:pPr>
    </w:p>
    <w:p>
      <w:pPr>
        <w:ind w:left="-8" w:right="20" w:firstLine="656"/>
        <w:spacing w:after="0" w:line="287" w:lineRule="auto"/>
        <w:tabs>
          <w:tab w:leader="none" w:pos="136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To the extent Indemnitee has rights to indemnification, advancement of expenses and/or insurance provided by the Sponsor or its affiliates as applicable, (i) the Company shall be the indemnitor of first resort (i.e., that its obligations to Indemnitee are primary and any obligation of the Sponsor or its affiliates, as applicable, to advance expenses or to provide indemnification for the same expenses or liabilities incurred by Indemnitee are secondary), (ii) the Company shall be required to advance the full amount of expenses incurred by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Agreement, the Company’s organizational documents or other agreement, without regard to any rights Indemnitee may have against the Sponsor or its affiliates, as applicable, and (iii) the Company irrevocably waives, relinquishes and releases the Sponsor and its affiliates, as applicable, from any and all claims against them for contribution, subrogation or any other recovery of any kind in respect thereof. No advancement or payment by the Sponsor or its affiliates, as applicable, on behalf of Indemnitee with respect to any claim for which Indemnitee has sought indemnification from the Company shall affect the foregoing, and the Sponsor and its affiliates, as applicable, shall have a right of contribution and be subrogated to the extent of such advancement or payment to all of the rights of recovery of Indemnitee against the Company.</w:t>
      </w:r>
    </w:p>
    <w:p>
      <w:pPr>
        <w:spacing w:after="0" w:line="168" w:lineRule="exact"/>
        <w:rPr>
          <w:sz w:val="20"/>
          <w:szCs w:val="20"/>
          <w:color w:val="auto"/>
        </w:rPr>
      </w:pPr>
    </w:p>
    <w:p>
      <w:pPr>
        <w:ind w:left="-8" w:firstLine="8"/>
        <w:spacing w:after="0" w:line="273" w:lineRule="auto"/>
        <w:tabs>
          <w:tab w:leader="none" w:pos="757"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All agreements and obligations of the Company contained 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or Enforcement Proceeding (including any rights of appeal thereto) by reason of Indemnitee’s Corporate Status, whether or not Indemnitee is acting in any such capacity at the time any liability or expense is incurred for which indemnification or advancement can be provided under this Agreement.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22" w:name="page223"/>
    <w:bookmarkEnd w:id="222"/>
    <w:p>
      <w:pPr>
        <w:ind w:left="-8" w:right="60" w:firstLine="8"/>
        <w:spacing w:after="0" w:line="271" w:lineRule="auto"/>
        <w:tabs>
          <w:tab w:leader="none" w:pos="757"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8" w:lineRule="exact"/>
        <w:rPr>
          <w:rFonts w:ascii="Arial" w:cs="Arial" w:eastAsia="Arial" w:hAnsi="Arial"/>
          <w:sz w:val="17"/>
          <w:szCs w:val="17"/>
          <w:color w:val="auto"/>
        </w:rPr>
      </w:pPr>
    </w:p>
    <w:p>
      <w:pPr>
        <w:ind w:left="772" w:hanging="772"/>
        <w:spacing w:after="0"/>
        <w:tabs>
          <w:tab w:leader="none" w:pos="772"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ENFORCEMENT AND BINDING EFFECT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60" w:firstLine="656"/>
        <w:spacing w:after="0" w:line="286" w:lineRule="auto"/>
        <w:tabs>
          <w:tab w:leader="none" w:pos="1379" w:val="left"/>
        </w:tabs>
        <w:numPr>
          <w:ilvl w:val="1"/>
          <w:numId w:val="256"/>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assumed the obligations imposed on it hereby in order to induce Indemnitee to serve as a director, officer or key employee of the Company Group, and the Company acknowledges that Indemnitee is relying upon this Agreement in serving as a director, officer or key employee of the Company Group.</w:t>
      </w:r>
    </w:p>
    <w:p>
      <w:pPr>
        <w:spacing w:after="0" w:line="165" w:lineRule="exact"/>
        <w:rPr>
          <w:rFonts w:ascii="Arial" w:cs="Arial" w:eastAsia="Arial" w:hAnsi="Arial"/>
          <w:sz w:val="17"/>
          <w:szCs w:val="17"/>
          <w:color w:val="auto"/>
        </w:rPr>
      </w:pPr>
    </w:p>
    <w:p>
      <w:pPr>
        <w:ind w:left="-8" w:right="300" w:firstLine="656"/>
        <w:spacing w:after="0" w:line="311" w:lineRule="auto"/>
        <w:tabs>
          <w:tab w:leader="none" w:pos="1389" w:val="left"/>
        </w:tabs>
        <w:numPr>
          <w:ilvl w:val="1"/>
          <w:numId w:val="256"/>
        </w:numPr>
        <w:rPr>
          <w:rFonts w:ascii="Arial" w:cs="Arial" w:eastAsia="Arial" w:hAnsi="Arial"/>
          <w:sz w:val="16"/>
          <w:szCs w:val="16"/>
          <w:color w:val="auto"/>
        </w:rPr>
      </w:pPr>
      <w:r>
        <w:rPr>
          <w:rFonts w:ascii="Arial" w:cs="Arial" w:eastAsia="Arial" w:hAnsi="Arial"/>
          <w:sz w:val="16"/>
          <w:szCs w:val="16"/>
          <w:color w:val="auto"/>
        </w:rPr>
        <w:t>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8" w:lineRule="exact"/>
        <w:rPr>
          <w:rFonts w:ascii="Arial" w:cs="Arial" w:eastAsia="Arial" w:hAnsi="Arial"/>
          <w:sz w:val="16"/>
          <w:szCs w:val="16"/>
          <w:color w:val="auto"/>
        </w:rPr>
      </w:pPr>
    </w:p>
    <w:p>
      <w:pPr>
        <w:ind w:left="-8" w:firstLine="656"/>
        <w:spacing w:after="0" w:line="254" w:lineRule="auto"/>
        <w:tabs>
          <w:tab w:leader="none" w:pos="1379"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indemnification, hold harmless, exoneration and advancement of expenses rights provided by or granted pursuant to this Agreement shall be binding upon and be enforceable by the parties hereto and their respective successors and permitted assigns (including any direct or indirect successor by purchase, merger, consolidation or otherwise to all or substantially all of the business and/or assets of the Company, but subject to such successor’s compliance with Section 19(d)),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permitted assigns, heirs, devisees, executors and administrators and other legal representatives.</w:t>
      </w:r>
    </w:p>
    <w:p>
      <w:pPr>
        <w:spacing w:after="0" w:line="194" w:lineRule="exact"/>
        <w:rPr>
          <w:rFonts w:ascii="Arial" w:cs="Arial" w:eastAsia="Arial" w:hAnsi="Arial"/>
          <w:sz w:val="18"/>
          <w:szCs w:val="18"/>
          <w:color w:val="auto"/>
        </w:rPr>
      </w:pPr>
    </w:p>
    <w:p>
      <w:pPr>
        <w:jc w:val="both"/>
        <w:ind w:left="-8" w:right="100" w:firstLine="656"/>
        <w:spacing w:after="0" w:line="259" w:lineRule="auto"/>
        <w:tabs>
          <w:tab w:leader="none" w:pos="1389"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23" w:name="page224"/>
    <w:bookmarkEnd w:id="223"/>
    <w:p>
      <w:pPr>
        <w:ind w:firstLine="656"/>
        <w:spacing w:after="0" w:line="289" w:lineRule="auto"/>
        <w:tabs>
          <w:tab w:leader="none" w:pos="1387" w:val="left"/>
        </w:tabs>
        <w:numPr>
          <w:ilvl w:val="1"/>
          <w:numId w:val="257"/>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security in connection therewith. The Company acknowledges that in the absence of a waiver, a bond or other security may be required of Indemnitee by a court of competent jurisdiction. The Company hereby waives any such requirement of such a bond or other security to the fullest extent permitted by law.</w:t>
      </w:r>
    </w:p>
    <w:p>
      <w:pPr>
        <w:spacing w:after="0" w:line="166" w:lineRule="exact"/>
        <w:rPr>
          <w:rFonts w:ascii="Arial" w:cs="Arial" w:eastAsia="Arial" w:hAnsi="Arial"/>
          <w:sz w:val="16"/>
          <w:szCs w:val="16"/>
          <w:color w:val="auto"/>
        </w:rPr>
      </w:pPr>
    </w:p>
    <w:p>
      <w:pPr>
        <w:jc w:val="both"/>
        <w:ind w:right="20" w:firstLine="8"/>
        <w:spacing w:after="0" w:line="259" w:lineRule="auto"/>
        <w:tabs>
          <w:tab w:leader="none" w:pos="765"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Company and Indemnitee. No waiver of any provision of this Agreement shall be enforceable unless in writing and signed by the party against whom it is to be enforced. No waiver of any of the provisions of this Agreement shall be deemed or shall constitute a waiver of any other provisions of this Agreement nor shall any waiver constitute a continuing waiver.</w:t>
      </w:r>
    </w:p>
    <w:p>
      <w:pPr>
        <w:spacing w:after="0" w:line="186" w:lineRule="exact"/>
        <w:rPr>
          <w:rFonts w:ascii="Arial" w:cs="Arial" w:eastAsia="Arial" w:hAnsi="Arial"/>
          <w:sz w:val="18"/>
          <w:szCs w:val="18"/>
          <w:color w:val="auto"/>
        </w:rPr>
      </w:pPr>
    </w:p>
    <w:p>
      <w:pPr>
        <w:ind w:right="40" w:firstLine="8"/>
        <w:spacing w:after="0" w:line="286" w:lineRule="auto"/>
        <w:tabs>
          <w:tab w:leader="none" w:pos="765"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165" w:lineRule="exact"/>
        <w:rPr>
          <w:rFonts w:ascii="Arial" w:cs="Arial" w:eastAsia="Arial" w:hAnsi="Arial"/>
          <w:sz w:val="17"/>
          <w:szCs w:val="17"/>
          <w:color w:val="auto"/>
        </w:rPr>
      </w:pPr>
    </w:p>
    <w:p>
      <w:pPr>
        <w:ind w:right="140" w:firstLine="656"/>
        <w:spacing w:after="0" w:line="277" w:lineRule="auto"/>
        <w:tabs>
          <w:tab w:leader="none" w:pos="138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Jay Taragin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Raphael M. Russo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492-0309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4" w:name="page225"/>
    <w:bookmarkEnd w:id="224"/>
    <w:p>
      <w:pPr>
        <w:ind w:left="-8" w:firstLine="8"/>
        <w:spacing w:after="0" w:line="288" w:lineRule="auto"/>
        <w:tabs>
          <w:tab w:leader="none" w:pos="757"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168" w:lineRule="exact"/>
        <w:rPr>
          <w:rFonts w:ascii="Arial" w:cs="Arial" w:eastAsia="Arial" w:hAnsi="Arial"/>
          <w:sz w:val="16"/>
          <w:szCs w:val="16"/>
          <w:color w:val="auto"/>
        </w:rPr>
      </w:pPr>
    </w:p>
    <w:p>
      <w:pPr>
        <w:ind w:left="-8" w:right="80" w:firstLine="8"/>
        <w:spacing w:after="0" w:line="263" w:lineRule="auto"/>
        <w:tabs>
          <w:tab w:leader="none" w:pos="757"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rFonts w:ascii="Arial" w:cs="Arial" w:eastAsia="Arial" w:hAnsi="Arial"/>
          <w:sz w:val="18"/>
          <w:szCs w:val="18"/>
          <w:color w:val="auto"/>
        </w:rPr>
      </w:pPr>
    </w:p>
    <w:p>
      <w:pPr>
        <w:ind w:left="-8" w:right="100" w:firstLine="8"/>
        <w:spacing w:after="0" w:line="263" w:lineRule="auto"/>
        <w:tabs>
          <w:tab w:leader="none" w:pos="757"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183" w:lineRule="exact"/>
        <w:rPr>
          <w:rFonts w:ascii="Arial" w:cs="Arial" w:eastAsia="Arial" w:hAnsi="Arial"/>
          <w:sz w:val="18"/>
          <w:szCs w:val="18"/>
          <w:color w:val="auto"/>
        </w:rPr>
      </w:pPr>
    </w:p>
    <w:p>
      <w:pPr>
        <w:ind w:left="-8" w:right="80" w:firstLine="8"/>
        <w:spacing w:after="0" w:line="263" w:lineRule="auto"/>
        <w:tabs>
          <w:tab w:leader="none" w:pos="757"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83" w:lineRule="exact"/>
        <w:rPr>
          <w:rFonts w:ascii="Arial" w:cs="Arial" w:eastAsia="Arial" w:hAnsi="Arial"/>
          <w:sz w:val="18"/>
          <w:szCs w:val="18"/>
          <w:color w:val="auto"/>
        </w:rPr>
      </w:pPr>
    </w:p>
    <w:p>
      <w:pPr>
        <w:ind w:left="-8" w:right="80" w:firstLine="8"/>
        <w:spacing w:after="0" w:line="259" w:lineRule="auto"/>
        <w:tabs>
          <w:tab w:leader="none" w:pos="757"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WAIVER OF CLAIMS TO TRUST ACCOUNT</w:t>
      </w:r>
      <w:r>
        <w:rPr>
          <w:rFonts w:ascii="Arial" w:cs="Arial" w:eastAsia="Arial" w:hAnsi="Arial"/>
          <w:sz w:val="18"/>
          <w:szCs w:val="18"/>
          <w:color w:val="auto"/>
        </w:rPr>
        <w:t>. Indemnitee hereby agrees that it does not have any right, title, interest or claim of any kind (each, a “Claim”)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25" w:name="page226"/>
    <w:bookmarkEnd w:id="225"/>
    <w:p>
      <w:pPr>
        <w:ind w:left="-8" w:firstLine="8"/>
        <w:spacing w:after="0" w:line="272" w:lineRule="auto"/>
        <w:tabs>
          <w:tab w:leader="none" w:pos="757"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color w:val="auto"/>
        </w:rPr>
        <w:t>IN WITNESS WHEREOF, the parties hereto have caused this Indemnity Agreement to be signed as of the day and year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Bonnie Jonas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Bonnie Jonas</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908" w:right="839" w:bottom="1440" w:gutter="0" w:footer="0" w:header="0"/>
        </w:sectPr>
      </w:pPr>
    </w:p>
    <w:bookmarkStart w:id="227" w:name="page228"/>
    <w:bookmarkEnd w:id="227"/>
    <w:p>
      <w:pPr>
        <w:jc w:val="right"/>
        <w:spacing w:after="0"/>
        <w:rPr>
          <w:sz w:val="20"/>
          <w:szCs w:val="20"/>
          <w:color w:val="auto"/>
        </w:rPr>
      </w:pPr>
      <w:r>
        <w:rPr>
          <w:rFonts w:ascii="Arial" w:cs="Arial" w:eastAsia="Arial" w:hAnsi="Arial"/>
          <w:sz w:val="22"/>
          <w:szCs w:val="22"/>
          <w:b w:val="1"/>
          <w:bCs w:val="1"/>
          <w:color w:val="auto"/>
        </w:rPr>
        <w:t>Exhibit 10.10</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5" w:lineRule="exact"/>
        <w:rPr>
          <w:sz w:val="20"/>
          <w:szCs w:val="20"/>
          <w:color w:val="auto"/>
        </w:rPr>
      </w:pPr>
    </w:p>
    <w:p>
      <w:pPr>
        <w:ind w:right="480" w:firstLine="1296"/>
        <w:spacing w:after="0" w:line="282" w:lineRule="auto"/>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July 29, 2020 by and between Churchill Capital Corp IV,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Mark Klein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1296"/>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it is reasonable, prudent and necessary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contractually to obligate itself to indemnify, hold harmless, exonerate and to advance expenses on behalf of, persons who serve the Company and its direct and indirect subsidiaries (collectively, the “</w:t>
      </w:r>
      <w:r>
        <w:rPr>
          <w:rFonts w:ascii="Arial" w:cs="Arial" w:eastAsia="Arial" w:hAnsi="Arial"/>
          <w:sz w:val="17"/>
          <w:szCs w:val="17"/>
          <w:u w:val="single" w:color="auto"/>
          <w:color w:val="auto"/>
        </w:rPr>
        <w:t>Company Group</w:t>
      </w:r>
      <w:r>
        <w:rPr>
          <w:rFonts w:ascii="Arial" w:cs="Arial" w:eastAsia="Arial" w:hAnsi="Arial"/>
          <w:sz w:val="17"/>
          <w:szCs w:val="17"/>
          <w:color w:val="auto"/>
        </w:rPr>
        <w:t>”) to the fullest extent permitted by applicable law;</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this Agreement is a supplement to and in furtherance of the Amended and Restated Certificate of Incorporation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and the Bylaws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and any resolutions adopted pursuant thereto, and shall not be deemed a substitute therefor, nor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diminish or abrogate any rights of Indemnitee thereunder;</w:t>
      </w:r>
    </w:p>
    <w:p>
      <w:pPr>
        <w:spacing w:after="0" w:line="207" w:lineRule="exact"/>
        <w:rPr>
          <w:sz w:val="20"/>
          <w:szCs w:val="20"/>
          <w:color w:val="auto"/>
        </w:rPr>
      </w:pPr>
    </w:p>
    <w:p>
      <w:pPr>
        <w:ind w:right="60"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desires Indemnitee to serve in such capacity. Indemnitee is willing to serve, continue to serve and to take on additional service for or on behalf of the Company on the condition that Indemnitee be so indemnified; and</w:t>
      </w:r>
    </w:p>
    <w:p>
      <w:pPr>
        <w:spacing w:after="0" w:line="176" w:lineRule="exact"/>
        <w:rPr>
          <w:sz w:val="20"/>
          <w:szCs w:val="20"/>
          <w:color w:val="auto"/>
        </w:rPr>
      </w:pPr>
    </w:p>
    <w:p>
      <w:pPr>
        <w:ind w:right="340" w:firstLine="129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and subject to the provisions of the letter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July 29, 2020, the Company and Indemnitee do hereby covenant 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20" w:firstLine="8"/>
        <w:spacing w:after="0" w:line="254" w:lineRule="auto"/>
        <w:tabs>
          <w:tab w:leader="none" w:pos="67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 consideration of the Company’s covenants and obligations hereunder, Indemnitee will serve or continue to serve as an officer, director, advisor, key employee or any other capacity of any member of the Company Group,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any member of the Company Group, as provided in Section 17. This Agreement, however, shall not impose any obligation on Indemnitee or the Company to continue Indemnitee’s service to the Company Group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8" w:name="page229"/>
    <w:bookmarkEnd w:id="228"/>
    <w:p>
      <w:pPr>
        <w:ind w:left="680" w:hanging="672"/>
        <w:spacing w:after="0"/>
        <w:tabs>
          <w:tab w:leader="none" w:pos="68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225" w:lineRule="exact"/>
        <w:rPr>
          <w:rFonts w:ascii="Arial" w:cs="Arial" w:eastAsia="Arial" w:hAnsi="Arial"/>
          <w:sz w:val="18"/>
          <w:szCs w:val="18"/>
          <w:color w:val="auto"/>
        </w:rPr>
      </w:pPr>
    </w:p>
    <w:p>
      <w:pPr>
        <w:ind w:right="140" w:firstLine="656"/>
        <w:spacing w:after="0" w:line="279" w:lineRule="auto"/>
        <w:tabs>
          <w:tab w:leader="none" w:pos="1387" w:val="left"/>
        </w:tabs>
        <w:numPr>
          <w:ilvl w:val="1"/>
          <w:numId w:val="262"/>
        </w:numPr>
        <w:rPr>
          <w:rFonts w:ascii="Arial" w:cs="Arial" w:eastAsia="Arial" w:hAnsi="Arial"/>
          <w:sz w:val="17"/>
          <w:szCs w:val="17"/>
          <w:color w:val="auto"/>
        </w:rPr>
      </w:pPr>
      <w:r>
        <w:rPr>
          <w:rFonts w:ascii="Arial" w:cs="Arial" w:eastAsia="Arial" w:hAnsi="Arial"/>
          <w:sz w:val="17"/>
          <w:szCs w:val="17"/>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1" w:lineRule="exact"/>
        <w:rPr>
          <w:rFonts w:ascii="Arial" w:cs="Arial" w:eastAsia="Arial" w:hAnsi="Arial"/>
          <w:sz w:val="17"/>
          <w:szCs w:val="17"/>
          <w:color w:val="auto"/>
        </w:rPr>
      </w:pPr>
    </w:p>
    <w:p>
      <w:pPr>
        <w:ind w:right="440" w:firstLine="656"/>
        <w:spacing w:after="0" w:line="277" w:lineRule="auto"/>
        <w:tabs>
          <w:tab w:leader="none" w:pos="1397"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events:</w:t>
      </w:r>
    </w:p>
    <w:p>
      <w:pPr>
        <w:spacing w:after="0" w:line="210" w:lineRule="exact"/>
        <w:rPr>
          <w:rFonts w:ascii="Arial" w:cs="Arial" w:eastAsia="Arial" w:hAnsi="Arial"/>
          <w:sz w:val="17"/>
          <w:szCs w:val="17"/>
          <w:color w:val="auto"/>
        </w:rPr>
      </w:pPr>
    </w:p>
    <w:p>
      <w:pPr>
        <w:ind w:right="160" w:firstLine="1304"/>
        <w:spacing w:after="0" w:line="273" w:lineRule="auto"/>
        <w:tabs>
          <w:tab w:leader="none" w:pos="2006" w:val="left"/>
        </w:tabs>
        <w:numPr>
          <w:ilvl w:val="2"/>
          <w:numId w:val="262"/>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an affiliate of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ind w:right="60" w:firstLine="1304"/>
        <w:spacing w:after="0" w:line="259" w:lineRule="auto"/>
        <w:tabs>
          <w:tab w:leader="none" w:pos="2056" w:val="left"/>
        </w:tabs>
        <w:numPr>
          <w:ilvl w:val="2"/>
          <w:numId w:val="262"/>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appointment by the Board or nomination for election by the Company’s stockholders was approved by a vote of at least two thirds of the directors then still in office who were directors on the date hereof or whose appointment or nomination for election was previously so approved (collectively, the “</w:t>
      </w:r>
      <w:r>
        <w:rPr>
          <w:rFonts w:ascii="Arial" w:cs="Arial" w:eastAsia="Arial" w:hAnsi="Arial"/>
          <w:sz w:val="18"/>
          <w:szCs w:val="18"/>
          <w:u w:val="single" w:color="auto"/>
          <w:color w:val="auto"/>
        </w:rPr>
        <w:t>Continuing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cease for any reason to constitute a majority of the members of the Board;</w:t>
      </w:r>
    </w:p>
    <w:p>
      <w:pPr>
        <w:spacing w:after="0" w:line="186" w:lineRule="exact"/>
        <w:rPr>
          <w:rFonts w:ascii="Arial" w:cs="Arial" w:eastAsia="Arial" w:hAnsi="Arial"/>
          <w:sz w:val="18"/>
          <w:szCs w:val="18"/>
          <w:color w:val="auto"/>
        </w:rPr>
      </w:pPr>
    </w:p>
    <w:p>
      <w:pPr>
        <w:ind w:firstLine="1304"/>
        <w:spacing w:after="0" w:line="268" w:lineRule="auto"/>
        <w:tabs>
          <w:tab w:leader="none" w:pos="2106" w:val="left"/>
        </w:tabs>
        <w:numPr>
          <w:ilvl w:val="2"/>
          <w:numId w:val="262"/>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of the Company entitled to vote generally in the election of directors immediately prior to such Business Combination beneficially own, directly or indirectly, more than 51% of the combined voting power of the then outstanding securities of the surviving or resulting entity or the ultimate parent entity that controls such surviving or resulting entity (the “</w:t>
      </w:r>
      <w:r>
        <w:rPr>
          <w:rFonts w:ascii="Arial" w:cs="Arial" w:eastAsia="Arial" w:hAnsi="Arial"/>
          <w:sz w:val="17"/>
          <w:szCs w:val="17"/>
          <w:u w:val="single" w:color="auto"/>
          <w:color w:val="auto"/>
        </w:rPr>
        <w:t>Successor</w:t>
      </w:r>
      <w:r>
        <w:rPr>
          <w:rFonts w:ascii="Arial" w:cs="Arial" w:eastAsia="Arial" w:hAnsi="Arial"/>
          <w:sz w:val="17"/>
          <w:szCs w:val="17"/>
          <w:color w:val="auto"/>
        </w:rPr>
        <w:t>”) entitled to vote generally in the election of directors of the Successor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Company, no Person (excluding any corporation resulting from such Business Combination) is the Beneficial Owner, directly or indirectly, of 15% or more of the combined voting power of the then outstanding securities entitled to vote generally in the election of directors of the successor except to the extent that such Person was the Beneficial Owner, directly or indirectly, of 15% or more of the combined voting power of the Company prior to such Business Combination; and (3) a majority of the board of directors (or comparable governing body) of the Successor were Continuing Directors at the time of the execution of the initial agreement, or of the action of the Board of Directors, providing for such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ind w:left="-160" w:firstLine="1304"/>
        <w:spacing w:after="0" w:line="259" w:lineRule="auto"/>
        <w:tabs>
          <w:tab w:leader="none" w:pos="1935"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160" w:right="420" w:firstLine="1304"/>
        <w:spacing w:after="0" w:line="286" w:lineRule="auto"/>
        <w:tabs>
          <w:tab w:leader="none" w:pos="1885" w:val="left"/>
        </w:tabs>
        <w:numPr>
          <w:ilvl w:val="1"/>
          <w:numId w:val="263"/>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65" w:lineRule="exact"/>
        <w:rPr>
          <w:rFonts w:ascii="Arial" w:cs="Arial" w:eastAsia="Arial" w:hAnsi="Arial"/>
          <w:sz w:val="17"/>
          <w:szCs w:val="17"/>
          <w:color w:val="auto"/>
        </w:rPr>
      </w:pPr>
    </w:p>
    <w:p>
      <w:pPr>
        <w:ind w:left="-160" w:right="20" w:firstLine="656"/>
        <w:spacing w:after="0" w:line="263" w:lineRule="auto"/>
        <w:tabs>
          <w:tab w:leader="none" w:pos="123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1240" w:hanging="744"/>
        <w:spacing w:after="0"/>
        <w:tabs>
          <w:tab w:leader="none" w:pos="12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left="-160" w:right="80" w:firstLine="656"/>
        <w:spacing w:after="0" w:line="277" w:lineRule="auto"/>
        <w:tabs>
          <w:tab w:leader="none" w:pos="120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160" w:right="140" w:firstLine="656"/>
        <w:spacing w:after="0" w:line="259" w:lineRule="auto"/>
        <w:tabs>
          <w:tab w:leader="none" w:pos="123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1240" w:hanging="744"/>
        <w:spacing w:after="0"/>
        <w:tabs>
          <w:tab w:leader="none" w:pos="12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230" w:name="page231"/>
    <w:bookmarkEnd w:id="230"/>
    <w:p>
      <w:pPr>
        <w:ind w:left="-8" w:firstLine="656"/>
        <w:spacing w:after="0" w:line="269" w:lineRule="auto"/>
        <w:tabs>
          <w:tab w:leader="none" w:pos="135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 incurred in any Proceeding by or in the right of the Company.</w:t>
      </w:r>
    </w:p>
    <w:p>
      <w:pPr>
        <w:spacing w:after="0" w:line="185" w:lineRule="exact"/>
        <w:rPr>
          <w:rFonts w:ascii="Arial" w:cs="Arial" w:eastAsia="Arial" w:hAnsi="Arial"/>
          <w:sz w:val="17"/>
          <w:szCs w:val="17"/>
          <w:color w:val="auto"/>
        </w:rPr>
      </w:pPr>
    </w:p>
    <w:p>
      <w:pPr>
        <w:ind w:left="-8" w:right="60" w:firstLine="656"/>
        <w:spacing w:after="0" w:line="255" w:lineRule="auto"/>
        <w:tabs>
          <w:tab w:leader="none" w:pos="135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u w:val="single" w:color="auto"/>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ind w:left="-8" w:right="60" w:firstLine="656"/>
        <w:spacing w:after="0" w:line="287" w:lineRule="auto"/>
        <w:tabs>
          <w:tab w:leader="none" w:pos="1389" w:val="left"/>
        </w:tabs>
        <w:numPr>
          <w:ilvl w:val="1"/>
          <w:numId w:val="2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spacing w:after="0" w:line="2" w:lineRule="exact"/>
        <w:rPr>
          <w:rFonts w:ascii="Arial" w:cs="Arial" w:eastAsia="Arial" w:hAnsi="Arial"/>
          <w:sz w:val="16"/>
          <w:szCs w:val="16"/>
          <w:color w:val="auto"/>
        </w:rPr>
      </w:pPr>
    </w:p>
    <w:p>
      <w:pPr>
        <w:ind w:left="-8" w:right="140" w:firstLine="8"/>
        <w:spacing w:after="0" w:line="277" w:lineRule="auto"/>
        <w:tabs>
          <w:tab w:leader="none" w:pos="257" w:val="left"/>
        </w:tabs>
        <w:numPr>
          <w:ilvl w:val="0"/>
          <w:numId w:val="266"/>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ind w:left="-8" w:right="60" w:firstLine="656"/>
        <w:spacing w:after="0" w:line="273" w:lineRule="auto"/>
        <w:tabs>
          <w:tab w:leader="none" w:pos="135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w:t>
      </w:r>
      <w:r>
        <w:rPr>
          <w:rFonts w:ascii="Arial" w:cs="Arial" w:eastAsia="Arial" w:hAnsi="Arial"/>
          <w:sz w:val="17"/>
          <w:szCs w:val="17"/>
          <w:u w:val="single" w:color="auto"/>
          <w:color w:val="auto"/>
        </w:rPr>
        <w:t>Person</w:t>
      </w:r>
      <w:r>
        <w:rPr>
          <w:rFonts w:ascii="Arial" w:cs="Arial" w:eastAsia="Arial" w:hAnsi="Arial"/>
          <w:sz w:val="17"/>
          <w:szCs w:val="17"/>
          <w:color w:val="auto"/>
        </w:rPr>
        <w:t>”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3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31" w:name="page232"/>
    <w:bookmarkEnd w:id="231"/>
    <w:p>
      <w:pPr>
        <w:ind w:left="-8" w:right="20" w:firstLine="656"/>
        <w:spacing w:after="0" w:line="273" w:lineRule="auto"/>
        <w:tabs>
          <w:tab w:leader="none" w:pos="1439"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of Indemnitee’s Corporate Status, whether or not serving in such capacity at the time any liability or expense is incurred for which indemnification, reimbursement, or advancement of expenses can be provided under this Agreement but shall not include any Enforcement Proceeding pursuant to Section 14.</w:t>
      </w:r>
    </w:p>
    <w:p>
      <w:pPr>
        <w:spacing w:after="0" w:line="177" w:lineRule="exact"/>
        <w:rPr>
          <w:rFonts w:ascii="Arial" w:cs="Arial" w:eastAsia="Arial" w:hAnsi="Arial"/>
          <w:sz w:val="17"/>
          <w:szCs w:val="17"/>
          <w:color w:val="auto"/>
        </w:rPr>
      </w:pPr>
    </w:p>
    <w:p>
      <w:pPr>
        <w:ind w:left="-8" w:right="80" w:firstLine="656"/>
        <w:spacing w:after="0" w:line="342" w:lineRule="auto"/>
        <w:tabs>
          <w:tab w:leader="none" w:pos="1389" w:val="left"/>
        </w:tabs>
        <w:numPr>
          <w:ilvl w:val="1"/>
          <w:numId w:val="26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Subsidiary</w:t>
      </w:r>
      <w:r>
        <w:rPr>
          <w:rFonts w:ascii="Arial" w:cs="Arial" w:eastAsia="Arial" w:hAnsi="Arial"/>
          <w:sz w:val="16"/>
          <w:szCs w:val="16"/>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23" w:lineRule="exact"/>
        <w:rPr>
          <w:rFonts w:ascii="Arial" w:cs="Arial" w:eastAsia="Arial" w:hAnsi="Arial"/>
          <w:sz w:val="16"/>
          <w:szCs w:val="16"/>
          <w:color w:val="auto"/>
        </w:rPr>
      </w:pPr>
    </w:p>
    <w:p>
      <w:pPr>
        <w:ind w:left="-8" w:right="120" w:firstLine="8"/>
        <w:spacing w:after="0" w:line="271" w:lineRule="auto"/>
        <w:tabs>
          <w:tab w:leader="none" w:pos="667"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To the fullest 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(including all interest, assessments and other charges paid or payable in connection with or in respect of such Expenses) actually and reasonably incurred by Indemnitee or on Indemnitee’s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Indemnitee’s conduct was unlawful.</w:t>
      </w:r>
    </w:p>
    <w:p>
      <w:pPr>
        <w:spacing w:after="0" w:line="178" w:lineRule="exact"/>
        <w:rPr>
          <w:rFonts w:ascii="Arial" w:cs="Arial" w:eastAsia="Arial" w:hAnsi="Arial"/>
          <w:sz w:val="17"/>
          <w:szCs w:val="17"/>
          <w:color w:val="auto"/>
        </w:rPr>
      </w:pPr>
    </w:p>
    <w:p>
      <w:pPr>
        <w:ind w:left="-8" w:firstLine="8"/>
        <w:spacing w:after="0" w:line="288" w:lineRule="auto"/>
        <w:tabs>
          <w:tab w:leader="none" w:pos="667"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32" w:name="page233"/>
    <w:bookmarkEnd w:id="232"/>
    <w:p>
      <w:pPr>
        <w:ind w:left="-8" w:right="80" w:firstLine="8"/>
        <w:spacing w:after="0" w:line="287" w:lineRule="auto"/>
        <w:tabs>
          <w:tab w:leader="none" w:pos="667"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except for Section 27, to the extent that Indemnitee was or is, by reason of Indemnitee’s Corporate Status, a party to (or a participant in) and is successful, on the merits or otherwise, in defending any Proceeding or in defense of any claim, issue or matter therein, in whole or in part, the defending Company shall, to the fullest extent permitted by applicable law, indemnify, hold harmless and exonerate Indemnitee against all Expenses actually and reasonably incurred by Indemnitee in connection therewith. If Indemnitee is not wholly successful in defense of such Proceeding (or part thereof) but is successful, on the merits or otherwise, in defense of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defense of such Proceeding (or part thereof),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and without limitation, the termination of any claim, issue or matter in such a Proceeding by dismissal, with or without prejudice, shall be deemed to be a successful result as to the defense of such claim, issue or matter.</w:t>
      </w:r>
    </w:p>
    <w:p>
      <w:pPr>
        <w:spacing w:after="0" w:line="167" w:lineRule="exact"/>
        <w:rPr>
          <w:rFonts w:ascii="Arial" w:cs="Arial" w:eastAsia="Arial" w:hAnsi="Arial"/>
          <w:sz w:val="16"/>
          <w:szCs w:val="16"/>
          <w:color w:val="auto"/>
        </w:rPr>
      </w:pPr>
    </w:p>
    <w:p>
      <w:pPr>
        <w:ind w:left="-8" w:right="180" w:firstLine="8"/>
        <w:spacing w:after="0" w:line="279" w:lineRule="auto"/>
        <w:tabs>
          <w:tab w:leader="none" w:pos="667"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except for Section 27, to the extent that Indemnitee is, by reason of Indemnitee’s Corporate Status, a witness or deponent in any Proceeding to which Indemnitee was not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71" w:lineRule="exact"/>
        <w:rPr>
          <w:rFonts w:ascii="Arial" w:cs="Arial" w:eastAsia="Arial" w:hAnsi="Arial"/>
          <w:sz w:val="17"/>
          <w:szCs w:val="17"/>
          <w:color w:val="auto"/>
        </w:rPr>
      </w:pPr>
    </w:p>
    <w:p>
      <w:pPr>
        <w:ind w:left="-8" w:firstLine="8"/>
        <w:spacing w:after="0" w:line="255" w:lineRule="auto"/>
        <w:tabs>
          <w:tab w:leader="none" w:pos="667"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ADDITIONAL INDEMNIFICATION, HOLD HARMLESS AND EXONERATION RIGHTS</w:t>
      </w:r>
      <w:r>
        <w:rPr>
          <w:rFonts w:ascii="Arial" w:cs="Arial" w:eastAsia="Arial" w:hAnsi="Arial"/>
          <w:sz w:val="18"/>
          <w:szCs w:val="18"/>
          <w:color w:val="auto"/>
        </w:rPr>
        <w:t>. Notwithstanding any limitation in Sections 3, 4, or 5, except for Section 27, the Company shall, to the fullest extent permitted by applicable law, indemnify, hold harmless and exonerate Indemnitee if Indemnitee is a party to or threatened to be made a party to any Proceeding against all Expenses and judgments, fines, penalties and amounts paid in settlement in any Proceeding by or in the right of the Company to procure a judgment in its favor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33" w:name="page234"/>
    <w:bookmarkEnd w:id="233"/>
    <w:p>
      <w:pPr>
        <w:ind w:left="672" w:hanging="672"/>
        <w:spacing w:after="0"/>
        <w:tabs>
          <w:tab w:leader="none" w:pos="672"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CONTRIBUTION IN THE EVENT OF JOINT 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00" w:firstLine="656"/>
        <w:spacing w:after="0" w:line="296" w:lineRule="auto"/>
        <w:tabs>
          <w:tab w:leader="none" w:pos="1379" w:val="left"/>
        </w:tabs>
        <w:numPr>
          <w:ilvl w:val="1"/>
          <w:numId w:val="270"/>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8" w:right="120" w:firstLine="656"/>
        <w:spacing w:after="0" w:line="308" w:lineRule="auto"/>
        <w:tabs>
          <w:tab w:leader="none" w:pos="1389"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46" w:lineRule="exact"/>
        <w:rPr>
          <w:rFonts w:ascii="Arial" w:cs="Arial" w:eastAsia="Arial" w:hAnsi="Arial"/>
          <w:sz w:val="17"/>
          <w:szCs w:val="17"/>
          <w:color w:val="auto"/>
        </w:rPr>
      </w:pPr>
    </w:p>
    <w:p>
      <w:pPr>
        <w:ind w:left="-8" w:right="120" w:firstLine="656"/>
        <w:spacing w:after="0" w:line="277" w:lineRule="auto"/>
        <w:tabs>
          <w:tab w:leader="none" w:pos="1379"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70" w:lineRule="exact"/>
        <w:rPr>
          <w:rFonts w:ascii="Arial" w:cs="Arial" w:eastAsia="Arial" w:hAnsi="Arial"/>
          <w:sz w:val="18"/>
          <w:szCs w:val="18"/>
          <w:color w:val="auto"/>
        </w:rPr>
      </w:pPr>
    </w:p>
    <w:p>
      <w:pPr>
        <w:ind w:left="-8" w:right="540" w:firstLine="8"/>
        <w:spacing w:after="0" w:line="308" w:lineRule="auto"/>
        <w:tabs>
          <w:tab w:leader="none" w:pos="667"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the Company shall not be obligated under this Agreement to make any indemnification, advance expenses, hold harmless or exoneration payment in connection with any claim made against Indemnitee:</w:t>
      </w:r>
    </w:p>
    <w:p>
      <w:pPr>
        <w:spacing w:after="0" w:line="146" w:lineRule="exact"/>
        <w:rPr>
          <w:rFonts w:ascii="Arial" w:cs="Arial" w:eastAsia="Arial" w:hAnsi="Arial"/>
          <w:sz w:val="17"/>
          <w:szCs w:val="17"/>
          <w:color w:val="auto"/>
        </w:rPr>
      </w:pPr>
    </w:p>
    <w:p>
      <w:pPr>
        <w:ind w:left="-8" w:right="360" w:firstLine="656"/>
        <w:spacing w:after="0" w:line="263" w:lineRule="auto"/>
        <w:tabs>
          <w:tab w:leader="none" w:pos="1379" w:val="left"/>
        </w:tabs>
        <w:numPr>
          <w:ilvl w:val="1"/>
          <w:numId w:val="270"/>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83" w:lineRule="exact"/>
        <w:rPr>
          <w:rFonts w:ascii="Arial" w:cs="Arial" w:eastAsia="Arial" w:hAnsi="Arial"/>
          <w:sz w:val="18"/>
          <w:szCs w:val="18"/>
          <w:color w:val="auto"/>
        </w:rPr>
      </w:pPr>
    </w:p>
    <w:p>
      <w:pPr>
        <w:ind w:left="-8" w:right="40" w:firstLine="656"/>
        <w:spacing w:after="0" w:line="308" w:lineRule="auto"/>
        <w:tabs>
          <w:tab w:leader="none" w:pos="1389" w:val="left"/>
        </w:tabs>
        <w:numPr>
          <w:ilvl w:val="1"/>
          <w:numId w:val="270"/>
        </w:numPr>
        <w:rPr>
          <w:rFonts w:ascii="Arial" w:cs="Arial" w:eastAsia="Arial" w:hAnsi="Arial"/>
          <w:sz w:val="17"/>
          <w:szCs w:val="17"/>
          <w:color w:val="auto"/>
        </w:rPr>
      </w:pPr>
      <w:r>
        <w:rPr>
          <w:rFonts w:ascii="Arial" w:cs="Arial" w:eastAsia="Arial" w:hAnsi="Arial"/>
          <w:sz w:val="17"/>
          <w:szCs w:val="17"/>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46" w:lineRule="exact"/>
        <w:rPr>
          <w:rFonts w:ascii="Arial" w:cs="Arial" w:eastAsia="Arial" w:hAnsi="Arial"/>
          <w:sz w:val="17"/>
          <w:szCs w:val="17"/>
          <w:color w:val="auto"/>
        </w:rPr>
      </w:pPr>
    </w:p>
    <w:p>
      <w:pPr>
        <w:ind w:left="-8" w:firstLine="656"/>
        <w:spacing w:after="0" w:line="273" w:lineRule="auto"/>
        <w:tabs>
          <w:tab w:leader="none" w:pos="1379" w:val="left"/>
        </w:tabs>
        <w:numPr>
          <w:ilvl w:val="1"/>
          <w:numId w:val="270"/>
        </w:numPr>
        <w:rPr>
          <w:rFonts w:ascii="Arial" w:cs="Arial" w:eastAsia="Arial" w:hAnsi="Arial"/>
          <w:sz w:val="17"/>
          <w:szCs w:val="17"/>
          <w:color w:val="auto"/>
        </w:rPr>
      </w:pPr>
      <w:r>
        <w:rPr>
          <w:rFonts w:ascii="Arial" w:cs="Arial" w:eastAsia="Arial" w:hAnsi="Arial"/>
          <w:sz w:val="17"/>
          <w:szCs w:val="17"/>
          <w:color w:val="auto"/>
        </w:rPr>
        <w:t>except as otherwise provided in Sections 14(f)-(g)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39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234" w:name="page235"/>
    <w:bookmarkEnd w:id="234"/>
    <w:p>
      <w:pPr>
        <w:ind w:left="772" w:hanging="772"/>
        <w:spacing w:after="0"/>
        <w:tabs>
          <w:tab w:leader="none" w:pos="772"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ADVANCES OF EXPENSES; DEFENSE OF CLAIM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87" w:lineRule="auto"/>
        <w:tabs>
          <w:tab w:leader="none" w:pos="1379" w:val="left"/>
        </w:tabs>
        <w:numPr>
          <w:ilvl w:val="1"/>
          <w:numId w:val="271"/>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except for Section 27, and to the fullest extent not prohibited by applicable law, the Company shall pay the Expenses incurred by Indemnitee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an Enforcement Proceeding (assuming for this purpose all references to a “Proceeding” in the definition of Expenses were deemed related to an Enforcement Proceeding), including Expenses incurred preparing and forwarding statements to the Company to support the advances claimed. This Agreement shall constitute Indemnitee’s undertaking to repay the advanced amounts to the extent that it is ultimately determined that Indemnitee is not entitled to be indemnified, held harmless or exonerated by the Company under the provisions of this Agreement, the Charter, the Bylaws of the Company, applicable law or otherwise, but only if such an undertaking is required by applicable law. This Section 10(a) shall not apply to any Proceeding for which indemnity is not permitted under Section 9 of this Agreement, but shall apply to any Proceeding referenced in Section 9(b) prior to a final determination that Indemnitee is liable therefor.</w:t>
      </w:r>
    </w:p>
    <w:p>
      <w:pPr>
        <w:spacing w:after="0" w:line="167" w:lineRule="exact"/>
        <w:rPr>
          <w:rFonts w:ascii="Arial" w:cs="Arial" w:eastAsia="Arial" w:hAnsi="Arial"/>
          <w:sz w:val="16"/>
          <w:szCs w:val="16"/>
          <w:color w:val="auto"/>
        </w:rPr>
      </w:pPr>
    </w:p>
    <w:p>
      <w:pPr>
        <w:ind w:left="1392" w:hanging="744"/>
        <w:spacing w:after="0"/>
        <w:tabs>
          <w:tab w:leader="none" w:pos="139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8" w:right="180" w:firstLine="656"/>
        <w:spacing w:after="0" w:line="277" w:lineRule="auto"/>
        <w:tabs>
          <w:tab w:leader="none" w:pos="137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170" w:lineRule="exact"/>
        <w:rPr>
          <w:rFonts w:ascii="Arial" w:cs="Arial" w:eastAsia="Arial" w:hAnsi="Arial"/>
          <w:sz w:val="18"/>
          <w:szCs w:val="18"/>
          <w:color w:val="auto"/>
        </w:rPr>
      </w:pPr>
    </w:p>
    <w:p>
      <w:pPr>
        <w:ind w:left="752" w:hanging="752"/>
        <w:spacing w:after="0"/>
        <w:tabs>
          <w:tab w:leader="none" w:pos="752"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PROCEDURE FOR NOTIFICATION AND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20" w:firstLine="656"/>
        <w:spacing w:after="0" w:line="259" w:lineRule="auto"/>
        <w:tabs>
          <w:tab w:leader="none" w:pos="137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86" w:lineRule="exact"/>
        <w:rPr>
          <w:rFonts w:ascii="Arial" w:cs="Arial" w:eastAsia="Arial" w:hAnsi="Arial"/>
          <w:sz w:val="18"/>
          <w:szCs w:val="18"/>
          <w:color w:val="auto"/>
        </w:rPr>
      </w:pPr>
    </w:p>
    <w:p>
      <w:pPr>
        <w:ind w:left="-8" w:right="120" w:firstLine="656"/>
        <w:spacing w:after="0" w:line="259" w:lineRule="auto"/>
        <w:tabs>
          <w:tab w:leader="none" w:pos="138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sole discretion. Following such a written application for indemnification by Indemnitee, Indemnitee’s entitlement to indemnification shall be determined according to Section 12(a) of this Agreement.</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235" w:name="page236"/>
    <w:bookmarkEnd w:id="235"/>
    <w:p>
      <w:pPr>
        <w:ind w:left="772" w:hanging="772"/>
        <w:spacing w:after="0"/>
        <w:tabs>
          <w:tab w:leader="none" w:pos="772"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272"/>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directors so direct, by Independent Counsel in a written opinion to the Board, a copy of which shall be delivered to Indemnitee, or (ii) if a Change in Control has occurred, by Independent Counsel in a written opinion to the Board, a copy of which shall be delivered to the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4" w:lineRule="exact"/>
        <w:rPr>
          <w:rFonts w:ascii="Arial" w:cs="Arial" w:eastAsia="Arial" w:hAnsi="Arial"/>
          <w:sz w:val="17"/>
          <w:szCs w:val="17"/>
          <w:color w:val="auto"/>
        </w:rPr>
      </w:pPr>
    </w:p>
    <w:p>
      <w:pPr>
        <w:ind w:left="-8" w:right="20" w:firstLine="656"/>
        <w:spacing w:after="0" w:line="285" w:lineRule="auto"/>
        <w:tabs>
          <w:tab w:leader="none" w:pos="1389" w:val="left"/>
        </w:tabs>
        <w:numPr>
          <w:ilvl w:val="1"/>
          <w:numId w:val="272"/>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36" w:name="page237"/>
    <w:bookmarkEnd w:id="236"/>
    <w:p>
      <w:pPr>
        <w:ind w:left="-8" w:right="160" w:firstLine="656"/>
        <w:spacing w:after="0" w:line="263" w:lineRule="auto"/>
        <w:tabs>
          <w:tab w:leader="none" w:pos="1379"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3" w:lineRule="exact"/>
        <w:rPr>
          <w:rFonts w:ascii="Arial" w:cs="Arial" w:eastAsia="Arial" w:hAnsi="Arial"/>
          <w:sz w:val="18"/>
          <w:szCs w:val="18"/>
          <w:color w:val="auto"/>
        </w:rPr>
      </w:pPr>
    </w:p>
    <w:p>
      <w:pPr>
        <w:ind w:left="772" w:hanging="772"/>
        <w:spacing w:after="0"/>
        <w:tabs>
          <w:tab w:leader="none" w:pos="772"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71" w:lineRule="auto"/>
        <w:tabs>
          <w:tab w:leader="none" w:pos="1379" w:val="left"/>
        </w:tabs>
        <w:numPr>
          <w:ilvl w:val="1"/>
          <w:numId w:val="274"/>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left="-8" w:right="40" w:firstLine="656"/>
        <w:spacing w:after="0" w:line="271" w:lineRule="auto"/>
        <w:tabs>
          <w:tab w:leader="none" w:pos="1389" w:val="left"/>
        </w:tabs>
        <w:numPr>
          <w:ilvl w:val="1"/>
          <w:numId w:val="274"/>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37" w:name="page238"/>
    <w:bookmarkEnd w:id="237"/>
    <w:p>
      <w:pPr>
        <w:ind w:left="-8" w:right="20" w:firstLine="656"/>
        <w:spacing w:after="0" w:line="257" w:lineRule="auto"/>
        <w:tabs>
          <w:tab w:leader="none" w:pos="1379"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8" w:right="60" w:firstLine="656"/>
        <w:spacing w:after="0" w:line="290" w:lineRule="auto"/>
        <w:tabs>
          <w:tab w:leader="none" w:pos="1389" w:val="left"/>
        </w:tabs>
        <w:numPr>
          <w:ilvl w:val="1"/>
          <w:numId w:val="275"/>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65" w:lineRule="exact"/>
        <w:rPr>
          <w:rFonts w:ascii="Arial" w:cs="Arial" w:eastAsia="Arial" w:hAnsi="Arial"/>
          <w:sz w:val="16"/>
          <w:szCs w:val="16"/>
          <w:color w:val="auto"/>
        </w:rPr>
      </w:pPr>
    </w:p>
    <w:p>
      <w:pPr>
        <w:ind w:left="-8" w:right="280" w:firstLine="656"/>
        <w:spacing w:after="0" w:line="342" w:lineRule="auto"/>
        <w:tabs>
          <w:tab w:leader="none" w:pos="1379"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23" w:lineRule="exact"/>
        <w:rPr>
          <w:rFonts w:ascii="Arial" w:cs="Arial" w:eastAsia="Arial" w:hAnsi="Arial"/>
          <w:sz w:val="16"/>
          <w:szCs w:val="16"/>
          <w:color w:val="auto"/>
        </w:rPr>
      </w:pPr>
    </w:p>
    <w:p>
      <w:pPr>
        <w:ind w:left="772" w:hanging="772"/>
        <w:spacing w:after="0"/>
        <w:tabs>
          <w:tab w:leader="none" w:pos="772"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276"/>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 Such adjudication or arbitration proceeding is referred to herein as “Enforcement Proceeding.”</w:t>
      </w:r>
    </w:p>
    <w:p>
      <w:pPr>
        <w:spacing w:after="0" w:line="200" w:lineRule="exact"/>
        <w:rPr>
          <w:sz w:val="20"/>
          <w:szCs w:val="20"/>
          <w:color w:val="auto"/>
        </w:rPr>
      </w:pP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38" w:name="page239"/>
    <w:bookmarkEnd w:id="238"/>
    <w:p>
      <w:pPr>
        <w:ind w:right="120" w:firstLine="656"/>
        <w:spacing w:after="0" w:line="263" w:lineRule="auto"/>
        <w:tabs>
          <w:tab w:leader="none" w:pos="139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Enforcement Proceeding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ind w:firstLine="656"/>
        <w:spacing w:after="0" w:line="293" w:lineRule="auto"/>
        <w:tabs>
          <w:tab w:leader="none" w:pos="1387"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In any Enforcement Proceeding, Indemnitee shall be presumed to be entitled to be indemnified, held harmless, exonerated and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an Enforcement Proceeding,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4" w:lineRule="exact"/>
        <w:rPr>
          <w:rFonts w:ascii="Arial" w:cs="Arial" w:eastAsia="Arial" w:hAnsi="Arial"/>
          <w:sz w:val="16"/>
          <w:szCs w:val="16"/>
          <w:color w:val="auto"/>
        </w:rPr>
      </w:pPr>
    </w:p>
    <w:p>
      <w:pPr>
        <w:ind w:firstLine="656"/>
        <w:spacing w:after="0" w:line="259" w:lineRule="auto"/>
        <w:tabs>
          <w:tab w:leader="none" w:pos="139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Enforcement Proceeding,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right="40" w:firstLine="656"/>
        <w:spacing w:after="0" w:line="263" w:lineRule="auto"/>
        <w:tabs>
          <w:tab w:leader="none" w:pos="138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Company shall be precluded from asserting in Enforcement Proceeding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right="40" w:firstLine="656"/>
        <w:spacing w:after="0" w:line="270" w:lineRule="auto"/>
        <w:tabs>
          <w:tab w:leader="none" w:pos="136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(assuming for purposes of this sentence that all references to a Proceeding in the definition of Expenses were references to an Enforcement Proceeding) and, if requested by Indemnitee, shall (within ten (10) days after the Company’s receipt of such written request) pay to Indemnitee, to the fullest extent permitted by applicable law, such Expenses which are incurred by Indemnitee in connection with any Enforcement Proceeding brought by Indemnitee: (i) to enforce his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Enforcement Proceeding was not brought by Indemnitee in good faith).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ind w:firstLine="656"/>
        <w:spacing w:after="0" w:line="259" w:lineRule="auto"/>
        <w:tabs>
          <w:tab w:leader="none" w:pos="1397"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or on behalf of the Company.</w:t>
      </w:r>
    </w:p>
    <w:p>
      <w:pPr>
        <w:spacing w:after="0" w:line="186" w:lineRule="exact"/>
        <w:rPr>
          <w:rFonts w:ascii="Arial" w:cs="Arial" w:eastAsia="Arial" w:hAnsi="Arial"/>
          <w:sz w:val="18"/>
          <w:szCs w:val="18"/>
          <w:color w:val="auto"/>
        </w:rPr>
      </w:pPr>
    </w:p>
    <w:p>
      <w:pPr>
        <w:ind w:firstLine="8"/>
        <w:spacing w:after="0" w:line="259" w:lineRule="auto"/>
        <w:tabs>
          <w:tab w:leader="none" w:pos="765"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Notwithstanding anything herein to the contrary, except for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86" w:lineRule="exact"/>
        <w:rPr>
          <w:rFonts w:ascii="Arial" w:cs="Arial" w:eastAsia="Arial" w:hAnsi="Arial"/>
          <w:sz w:val="18"/>
          <w:szCs w:val="18"/>
          <w:color w:val="auto"/>
        </w:rPr>
      </w:pPr>
    </w:p>
    <w:p>
      <w:pPr>
        <w:ind w:left="780" w:hanging="772"/>
        <w:spacing w:after="0"/>
        <w:tabs>
          <w:tab w:leader="none" w:pos="78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69" w:lineRule="auto"/>
        <w:tabs>
          <w:tab w:leader="none" w:pos="1387" w:val="left"/>
        </w:tabs>
        <w:numPr>
          <w:ilvl w:val="1"/>
          <w:numId w:val="279"/>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repeals, except as may otherwise be expressly set forth in such amendment, alteration or repeals and mutually agreed by Indemnitee and the Company.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ind w:left="-40" w:right="20" w:firstLine="656"/>
        <w:spacing w:after="0" w:line="253" w:lineRule="auto"/>
        <w:tabs>
          <w:tab w:leader="none" w:pos="135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Delaware General Corporation Law (the “DGCL”), the Charter and the Bylaws permit the Company to purchase and maintain insurance or furnish similar protection or make other arrangements including, but not limited to, providing a trust fund, letter of credit, or surety bond (“Indemnification Arrangements”)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96" w:lineRule="exact"/>
        <w:rPr>
          <w:rFonts w:ascii="Arial" w:cs="Arial" w:eastAsia="Arial" w:hAnsi="Arial"/>
          <w:sz w:val="18"/>
          <w:szCs w:val="18"/>
          <w:color w:val="auto"/>
        </w:rPr>
      </w:pPr>
    </w:p>
    <w:p>
      <w:pPr>
        <w:ind w:left="-40" w:right="60" w:firstLine="656"/>
        <w:spacing w:after="0" w:line="270" w:lineRule="auto"/>
        <w:tabs>
          <w:tab w:leader="none" w:pos="1347"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To the extent that any member of the Company Group maintains an insurance policy or policies providing liability insurance for directors, officers, trustees, partners, managers, managing members, fiduciaries, employees, or agents of the Company Group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or cause to be taken all necessary or desirable action to cause such insurers to pay, on behalf of Indemnitee, all amounts payable as a result of such Proceeding in accordance with the terms of such policies.</w:t>
      </w:r>
    </w:p>
    <w:p>
      <w:pPr>
        <w:spacing w:after="0" w:line="180" w:lineRule="exact"/>
        <w:rPr>
          <w:rFonts w:ascii="Arial" w:cs="Arial" w:eastAsia="Arial" w:hAnsi="Arial"/>
          <w:sz w:val="17"/>
          <w:szCs w:val="17"/>
          <w:color w:val="auto"/>
        </w:rPr>
      </w:pPr>
    </w:p>
    <w:p>
      <w:pPr>
        <w:ind w:left="-40" w:firstLine="656"/>
        <w:spacing w:after="0" w:line="286" w:lineRule="auto"/>
        <w:tabs>
          <w:tab w:leader="none" w:pos="1357" w:val="left"/>
        </w:tabs>
        <w:numPr>
          <w:ilvl w:val="0"/>
          <w:numId w:val="280"/>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241" w:name="page242"/>
    <w:bookmarkEnd w:id="241"/>
    <w:p>
      <w:pPr>
        <w:ind w:left="-8" w:right="60" w:firstLine="656"/>
        <w:spacing w:after="0" w:line="284" w:lineRule="auto"/>
        <w:tabs>
          <w:tab w:leader="none" w:pos="1379" w:val="left"/>
        </w:tabs>
        <w:numPr>
          <w:ilvl w:val="1"/>
          <w:numId w:val="281"/>
        </w:numPr>
        <w:rPr>
          <w:rFonts w:ascii="Arial" w:cs="Arial" w:eastAsia="Arial" w:hAnsi="Arial"/>
          <w:sz w:val="16"/>
          <w:szCs w:val="16"/>
          <w:color w:val="auto"/>
        </w:rPr>
      </w:pPr>
      <w:r>
        <w:rPr>
          <w:rFonts w:ascii="Arial" w:cs="Arial" w:eastAsia="Arial" w:hAnsi="Arial"/>
          <w:sz w:val="16"/>
          <w:szCs w:val="16"/>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left="-8" w:right="100" w:firstLine="8"/>
        <w:spacing w:after="0" w:line="323" w:lineRule="auto"/>
        <w:tabs>
          <w:tab w:leader="none" w:pos="257"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8" w:lineRule="exact"/>
        <w:rPr>
          <w:rFonts w:ascii="Arial" w:cs="Arial" w:eastAsia="Arial" w:hAnsi="Arial"/>
          <w:sz w:val="16"/>
          <w:szCs w:val="16"/>
          <w:color w:val="auto"/>
        </w:rPr>
      </w:pPr>
    </w:p>
    <w:p>
      <w:pPr>
        <w:ind w:left="-8" w:right="20" w:firstLine="656"/>
        <w:spacing w:after="0" w:line="287" w:lineRule="auto"/>
        <w:tabs>
          <w:tab w:leader="none" w:pos="136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To the extent Indemnitee has rights to indemnification, advancement of expenses and/or insurance provided by the Sponsor or its affiliates as applicable, (i) the Company shall be the indemnitor of first resort (i.e., that its obligations to Indemnitee are primary and any obligation of the Sponsor or its affiliates, as applicable, to advance expenses or to provide indemnification for the same expenses or liabilities incurred by Indemnitee are secondary), (ii) the Company shall be required to advance the full amount of expenses incurred by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Agreement, the Company’s organizational documents or other agreement, without regard to any rights Indemnitee may have against the Sponsor or its affiliates, as applicable, and (iii) the Company irrevocably waives, relinquishes and releases the Sponsor and its affiliates, as applicable, from any and all claims against them for contribution, subrogation or any other recovery of any kind in respect thereof. No advancement or payment by the Sponsor or its affiliates, as applicable, on behalf of Indemnitee with respect to any claim for which Indemnitee has sought indemnification from the Company shall affect the foregoing, and the Sponsor and its affiliates, as applicable, shall have a right of contribution and be subrogated to the extent of such advancement or payment to all of the rights of recovery of Indemnitee against the Company.</w:t>
      </w:r>
    </w:p>
    <w:p>
      <w:pPr>
        <w:spacing w:after="0" w:line="168" w:lineRule="exact"/>
        <w:rPr>
          <w:sz w:val="20"/>
          <w:szCs w:val="20"/>
          <w:color w:val="auto"/>
        </w:rPr>
      </w:pPr>
    </w:p>
    <w:p>
      <w:pPr>
        <w:ind w:left="-8" w:firstLine="8"/>
        <w:spacing w:after="0" w:line="273" w:lineRule="auto"/>
        <w:tabs>
          <w:tab w:leader="none" w:pos="757"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All agreements and obligations of the Company contained 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or Enforcement Proceeding (including any rights of appeal thereto) by reason of Indemnitee’s Corporate Status, whether or not Indemnitee is acting in any such capacity at the time any liability or expense is incurred for which indemnification or advancement can be provided under this Agreement.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42" w:name="page243"/>
    <w:bookmarkEnd w:id="242"/>
    <w:p>
      <w:pPr>
        <w:ind w:left="-8" w:right="60" w:firstLine="8"/>
        <w:spacing w:after="0" w:line="271" w:lineRule="auto"/>
        <w:tabs>
          <w:tab w:leader="none" w:pos="757"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8" w:lineRule="exact"/>
        <w:rPr>
          <w:rFonts w:ascii="Arial" w:cs="Arial" w:eastAsia="Arial" w:hAnsi="Arial"/>
          <w:sz w:val="17"/>
          <w:szCs w:val="17"/>
          <w:color w:val="auto"/>
        </w:rPr>
      </w:pPr>
    </w:p>
    <w:p>
      <w:pPr>
        <w:ind w:left="772" w:hanging="772"/>
        <w:spacing w:after="0"/>
        <w:tabs>
          <w:tab w:leader="none" w:pos="772"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ENFORCEMENT AND BINDING EFFECT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60" w:firstLine="656"/>
        <w:spacing w:after="0" w:line="286" w:lineRule="auto"/>
        <w:tabs>
          <w:tab w:leader="none" w:pos="1379"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assumed the obligations imposed on it hereby in order to induce Indemnitee to serve as a director, officer or key employee of the Company Group, and the Company acknowledges that Indemnitee is relying upon this Agreement in serving as a director, officer or key employee of the Company Group.</w:t>
      </w:r>
    </w:p>
    <w:p>
      <w:pPr>
        <w:spacing w:after="0" w:line="165" w:lineRule="exact"/>
        <w:rPr>
          <w:rFonts w:ascii="Arial" w:cs="Arial" w:eastAsia="Arial" w:hAnsi="Arial"/>
          <w:sz w:val="17"/>
          <w:szCs w:val="17"/>
          <w:color w:val="auto"/>
        </w:rPr>
      </w:pPr>
    </w:p>
    <w:p>
      <w:pPr>
        <w:ind w:left="-8" w:right="300" w:firstLine="656"/>
        <w:spacing w:after="0" w:line="311" w:lineRule="auto"/>
        <w:tabs>
          <w:tab w:leader="none" w:pos="1389" w:val="left"/>
        </w:tabs>
        <w:numPr>
          <w:ilvl w:val="1"/>
          <w:numId w:val="284"/>
        </w:numPr>
        <w:rPr>
          <w:rFonts w:ascii="Arial" w:cs="Arial" w:eastAsia="Arial" w:hAnsi="Arial"/>
          <w:sz w:val="16"/>
          <w:szCs w:val="16"/>
          <w:color w:val="auto"/>
        </w:rPr>
      </w:pPr>
      <w:r>
        <w:rPr>
          <w:rFonts w:ascii="Arial" w:cs="Arial" w:eastAsia="Arial" w:hAnsi="Arial"/>
          <w:sz w:val="16"/>
          <w:szCs w:val="16"/>
          <w:color w:val="auto"/>
        </w:rPr>
        <w:t>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8" w:lineRule="exact"/>
        <w:rPr>
          <w:rFonts w:ascii="Arial" w:cs="Arial" w:eastAsia="Arial" w:hAnsi="Arial"/>
          <w:sz w:val="16"/>
          <w:szCs w:val="16"/>
          <w:color w:val="auto"/>
        </w:rPr>
      </w:pPr>
    </w:p>
    <w:p>
      <w:pPr>
        <w:ind w:left="-8" w:firstLine="656"/>
        <w:spacing w:after="0" w:line="254" w:lineRule="auto"/>
        <w:tabs>
          <w:tab w:leader="none" w:pos="1379"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indemnification, hold harmless, exoneration and advancement of expenses rights provided by or granted pursuant to this Agreement shall be binding upon and be enforceable by the parties hereto and their respective successors and permitted assigns (including any direct or indirect successor by purchase, merger, consolidation or otherwise to all or substantially all of the business and/or assets of the Company, but subject to such successor’s compliance with Section 19(d)),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permitted assigns, heirs, devisees, executors and administrators and other legal representatives.</w:t>
      </w:r>
    </w:p>
    <w:p>
      <w:pPr>
        <w:spacing w:after="0" w:line="194" w:lineRule="exact"/>
        <w:rPr>
          <w:rFonts w:ascii="Arial" w:cs="Arial" w:eastAsia="Arial" w:hAnsi="Arial"/>
          <w:sz w:val="18"/>
          <w:szCs w:val="18"/>
          <w:color w:val="auto"/>
        </w:rPr>
      </w:pPr>
    </w:p>
    <w:p>
      <w:pPr>
        <w:jc w:val="both"/>
        <w:ind w:left="-8" w:right="100" w:firstLine="656"/>
        <w:spacing w:after="0" w:line="259" w:lineRule="auto"/>
        <w:tabs>
          <w:tab w:leader="none" w:pos="1389"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43" w:name="page244"/>
    <w:bookmarkEnd w:id="243"/>
    <w:p>
      <w:pPr>
        <w:ind w:firstLine="656"/>
        <w:spacing w:after="0" w:line="289" w:lineRule="auto"/>
        <w:tabs>
          <w:tab w:leader="none" w:pos="1387" w:val="left"/>
        </w:tabs>
        <w:numPr>
          <w:ilvl w:val="1"/>
          <w:numId w:val="285"/>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security in connection therewith. The Company acknowledges that in the absence of a waiver, a bond or other security may be required of Indemnitee by a court of competent jurisdiction. The Company hereby waives any such requirement of such a bond or other security to the fullest extent permitted by law.</w:t>
      </w:r>
    </w:p>
    <w:p>
      <w:pPr>
        <w:spacing w:after="0" w:line="166" w:lineRule="exact"/>
        <w:rPr>
          <w:rFonts w:ascii="Arial" w:cs="Arial" w:eastAsia="Arial" w:hAnsi="Arial"/>
          <w:sz w:val="16"/>
          <w:szCs w:val="16"/>
          <w:color w:val="auto"/>
        </w:rPr>
      </w:pPr>
    </w:p>
    <w:p>
      <w:pPr>
        <w:jc w:val="both"/>
        <w:ind w:right="20" w:firstLine="8"/>
        <w:spacing w:after="0" w:line="259" w:lineRule="auto"/>
        <w:tabs>
          <w:tab w:leader="none" w:pos="765"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Company and Indemnitee. No waiver of any provision of this Agreement shall be enforceable unless in writing and signed by the party against whom it is to be enforced. No waiver of any of the provisions of this Agreement shall be deemed or shall constitute a waiver of any other provisions of this Agreement nor shall any waiver constitute a continuing waiver.</w:t>
      </w:r>
    </w:p>
    <w:p>
      <w:pPr>
        <w:spacing w:after="0" w:line="186" w:lineRule="exact"/>
        <w:rPr>
          <w:rFonts w:ascii="Arial" w:cs="Arial" w:eastAsia="Arial" w:hAnsi="Arial"/>
          <w:sz w:val="18"/>
          <w:szCs w:val="18"/>
          <w:color w:val="auto"/>
        </w:rPr>
      </w:pPr>
    </w:p>
    <w:p>
      <w:pPr>
        <w:ind w:right="40" w:firstLine="8"/>
        <w:spacing w:after="0" w:line="286" w:lineRule="auto"/>
        <w:tabs>
          <w:tab w:leader="none" w:pos="765"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165" w:lineRule="exact"/>
        <w:rPr>
          <w:rFonts w:ascii="Arial" w:cs="Arial" w:eastAsia="Arial" w:hAnsi="Arial"/>
          <w:sz w:val="17"/>
          <w:szCs w:val="17"/>
          <w:color w:val="auto"/>
        </w:rPr>
      </w:pPr>
    </w:p>
    <w:p>
      <w:pPr>
        <w:ind w:right="140" w:firstLine="656"/>
        <w:spacing w:after="0" w:line="277" w:lineRule="auto"/>
        <w:tabs>
          <w:tab w:leader="none" w:pos="138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Jay Taragin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Raphael M. Russo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492-0309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4" w:name="page245"/>
    <w:bookmarkEnd w:id="244"/>
    <w:p>
      <w:pPr>
        <w:ind w:left="-8" w:firstLine="8"/>
        <w:spacing w:after="0" w:line="288" w:lineRule="auto"/>
        <w:tabs>
          <w:tab w:leader="none" w:pos="757"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168" w:lineRule="exact"/>
        <w:rPr>
          <w:rFonts w:ascii="Arial" w:cs="Arial" w:eastAsia="Arial" w:hAnsi="Arial"/>
          <w:sz w:val="16"/>
          <w:szCs w:val="16"/>
          <w:color w:val="auto"/>
        </w:rPr>
      </w:pPr>
    </w:p>
    <w:p>
      <w:pPr>
        <w:ind w:left="-8" w:right="80" w:firstLine="8"/>
        <w:spacing w:after="0" w:line="263" w:lineRule="auto"/>
        <w:tabs>
          <w:tab w:leader="none" w:pos="757"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rFonts w:ascii="Arial" w:cs="Arial" w:eastAsia="Arial" w:hAnsi="Arial"/>
          <w:sz w:val="18"/>
          <w:szCs w:val="18"/>
          <w:color w:val="auto"/>
        </w:rPr>
      </w:pPr>
    </w:p>
    <w:p>
      <w:pPr>
        <w:ind w:left="-8" w:right="100" w:firstLine="8"/>
        <w:spacing w:after="0" w:line="263" w:lineRule="auto"/>
        <w:tabs>
          <w:tab w:leader="none" w:pos="757"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183" w:lineRule="exact"/>
        <w:rPr>
          <w:rFonts w:ascii="Arial" w:cs="Arial" w:eastAsia="Arial" w:hAnsi="Arial"/>
          <w:sz w:val="18"/>
          <w:szCs w:val="18"/>
          <w:color w:val="auto"/>
        </w:rPr>
      </w:pPr>
    </w:p>
    <w:p>
      <w:pPr>
        <w:ind w:left="-8" w:right="80" w:firstLine="8"/>
        <w:spacing w:after="0" w:line="263" w:lineRule="auto"/>
        <w:tabs>
          <w:tab w:leader="none" w:pos="757"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83" w:lineRule="exact"/>
        <w:rPr>
          <w:rFonts w:ascii="Arial" w:cs="Arial" w:eastAsia="Arial" w:hAnsi="Arial"/>
          <w:sz w:val="18"/>
          <w:szCs w:val="18"/>
          <w:color w:val="auto"/>
        </w:rPr>
      </w:pPr>
    </w:p>
    <w:p>
      <w:pPr>
        <w:ind w:left="-8" w:right="80" w:firstLine="8"/>
        <w:spacing w:after="0" w:line="259" w:lineRule="auto"/>
        <w:tabs>
          <w:tab w:leader="none" w:pos="757"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WAIVER OF CLAIMS TO TRUST ACCOUNT</w:t>
      </w:r>
      <w:r>
        <w:rPr>
          <w:rFonts w:ascii="Arial" w:cs="Arial" w:eastAsia="Arial" w:hAnsi="Arial"/>
          <w:sz w:val="18"/>
          <w:szCs w:val="18"/>
          <w:color w:val="auto"/>
        </w:rPr>
        <w:t>. Indemnitee hereby agrees that it does not have any right, title, interest or claim of any kind (each, a “Claim”)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45" w:name="page246"/>
    <w:bookmarkEnd w:id="245"/>
    <w:p>
      <w:pPr>
        <w:ind w:left="-8" w:firstLine="8"/>
        <w:spacing w:after="0" w:line="272" w:lineRule="auto"/>
        <w:tabs>
          <w:tab w:leader="none" w:pos="757"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color w:val="auto"/>
        </w:rPr>
        <w:t>IN WITNESS WHEREOF, the parties hereto have caused this Indemnity Agreement to be signed as of the day and year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Klein</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908" w:right="839" w:bottom="1440" w:gutter="0" w:footer="0" w:header="0"/>
        </w:sectPr>
      </w:pPr>
    </w:p>
    <w:bookmarkStart w:id="247" w:name="page248"/>
    <w:bookmarkEnd w:id="247"/>
    <w:p>
      <w:pPr>
        <w:jc w:val="right"/>
        <w:spacing w:after="0"/>
        <w:rPr>
          <w:sz w:val="20"/>
          <w:szCs w:val="20"/>
          <w:color w:val="auto"/>
        </w:rPr>
      </w:pPr>
      <w:r>
        <w:rPr>
          <w:rFonts w:ascii="Arial" w:cs="Arial" w:eastAsia="Arial" w:hAnsi="Arial"/>
          <w:sz w:val="22"/>
          <w:szCs w:val="22"/>
          <w:b w:val="1"/>
          <w:bCs w:val="1"/>
          <w:color w:val="auto"/>
        </w:rPr>
        <w:t>Exhibit 10.11</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5" w:lineRule="exact"/>
        <w:rPr>
          <w:sz w:val="20"/>
          <w:szCs w:val="20"/>
          <w:color w:val="auto"/>
        </w:rPr>
      </w:pPr>
    </w:p>
    <w:p>
      <w:pPr>
        <w:ind w:right="480" w:firstLine="1296"/>
        <w:spacing w:after="0" w:line="282" w:lineRule="auto"/>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July 29, 2020 by and between Churchill Capital Corp IV,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Malcolm S. McDermid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1296"/>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it is reasonable, prudent and necessary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contractually to obligate itself to indemnify, hold harmless, exonerate and to advance expenses on behalf of, persons who serve the Company and its direct and indirect subsidiaries (collectively, the “</w:t>
      </w:r>
      <w:r>
        <w:rPr>
          <w:rFonts w:ascii="Arial" w:cs="Arial" w:eastAsia="Arial" w:hAnsi="Arial"/>
          <w:sz w:val="17"/>
          <w:szCs w:val="17"/>
          <w:u w:val="single" w:color="auto"/>
          <w:color w:val="auto"/>
        </w:rPr>
        <w:t>Company Group</w:t>
      </w:r>
      <w:r>
        <w:rPr>
          <w:rFonts w:ascii="Arial" w:cs="Arial" w:eastAsia="Arial" w:hAnsi="Arial"/>
          <w:sz w:val="17"/>
          <w:szCs w:val="17"/>
          <w:color w:val="auto"/>
        </w:rPr>
        <w:t>”) to the fullest extent permitted by applicable law;</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this Agreement is a supplement to and in furtherance of the Amended and Restated Certificate of Incorporation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and the Bylaws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and any resolutions adopted pursuant thereto, and shall not be deemed a substitute therefor, nor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diminish or abrogate any rights of Indemnitee thereunder;</w:t>
      </w:r>
    </w:p>
    <w:p>
      <w:pPr>
        <w:spacing w:after="0" w:line="207" w:lineRule="exact"/>
        <w:rPr>
          <w:sz w:val="20"/>
          <w:szCs w:val="20"/>
          <w:color w:val="auto"/>
        </w:rPr>
      </w:pPr>
    </w:p>
    <w:p>
      <w:pPr>
        <w:ind w:right="60"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desires Indemnitee to serve in such capacity. Indemnitee is willing to serve, continue to serve and to take on additional service for or on behalf of the Company on the condition that Indemnitee be so indemnified; and</w:t>
      </w:r>
    </w:p>
    <w:p>
      <w:pPr>
        <w:spacing w:after="0" w:line="176" w:lineRule="exact"/>
        <w:rPr>
          <w:sz w:val="20"/>
          <w:szCs w:val="20"/>
          <w:color w:val="auto"/>
        </w:rPr>
      </w:pPr>
    </w:p>
    <w:p>
      <w:pPr>
        <w:ind w:right="340" w:firstLine="129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and subject to the provisions of the letter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July 29, 2020, the Company and Indemnitee do hereby covenant 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20" w:firstLine="8"/>
        <w:spacing w:after="0" w:line="254" w:lineRule="auto"/>
        <w:tabs>
          <w:tab w:leader="none" w:pos="675"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 consideration of the Company’s covenants and obligations hereunder, Indemnitee will serve or continue to serve as an officer, director, advisor, key employee or any other capacity of any member of the Company Group,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any member of the Company Group, as provided in Section 17. This Agreement, however, shall not impose any obligation on Indemnitee or the Company to continue Indemnitee’s service to the Company Group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48" w:name="page249"/>
    <w:bookmarkEnd w:id="248"/>
    <w:p>
      <w:pPr>
        <w:ind w:left="680" w:hanging="672"/>
        <w:spacing w:after="0"/>
        <w:tabs>
          <w:tab w:leader="none" w:pos="68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225" w:lineRule="exact"/>
        <w:rPr>
          <w:rFonts w:ascii="Arial" w:cs="Arial" w:eastAsia="Arial" w:hAnsi="Arial"/>
          <w:sz w:val="18"/>
          <w:szCs w:val="18"/>
          <w:color w:val="auto"/>
        </w:rPr>
      </w:pPr>
    </w:p>
    <w:p>
      <w:pPr>
        <w:ind w:right="140" w:firstLine="656"/>
        <w:spacing w:after="0" w:line="279" w:lineRule="auto"/>
        <w:tabs>
          <w:tab w:leader="none" w:pos="1387" w:val="left"/>
        </w:tabs>
        <w:numPr>
          <w:ilvl w:val="1"/>
          <w:numId w:val="290"/>
        </w:numPr>
        <w:rPr>
          <w:rFonts w:ascii="Arial" w:cs="Arial" w:eastAsia="Arial" w:hAnsi="Arial"/>
          <w:sz w:val="17"/>
          <w:szCs w:val="17"/>
          <w:color w:val="auto"/>
        </w:rPr>
      </w:pPr>
      <w:r>
        <w:rPr>
          <w:rFonts w:ascii="Arial" w:cs="Arial" w:eastAsia="Arial" w:hAnsi="Arial"/>
          <w:sz w:val="17"/>
          <w:szCs w:val="17"/>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1" w:lineRule="exact"/>
        <w:rPr>
          <w:rFonts w:ascii="Arial" w:cs="Arial" w:eastAsia="Arial" w:hAnsi="Arial"/>
          <w:sz w:val="17"/>
          <w:szCs w:val="17"/>
          <w:color w:val="auto"/>
        </w:rPr>
      </w:pPr>
    </w:p>
    <w:p>
      <w:pPr>
        <w:ind w:right="440" w:firstLine="656"/>
        <w:spacing w:after="0" w:line="277" w:lineRule="auto"/>
        <w:tabs>
          <w:tab w:leader="none" w:pos="1397"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events:</w:t>
      </w:r>
    </w:p>
    <w:p>
      <w:pPr>
        <w:spacing w:after="0" w:line="210" w:lineRule="exact"/>
        <w:rPr>
          <w:rFonts w:ascii="Arial" w:cs="Arial" w:eastAsia="Arial" w:hAnsi="Arial"/>
          <w:sz w:val="17"/>
          <w:szCs w:val="17"/>
          <w:color w:val="auto"/>
        </w:rPr>
      </w:pPr>
    </w:p>
    <w:p>
      <w:pPr>
        <w:ind w:right="160" w:firstLine="1304"/>
        <w:spacing w:after="0" w:line="273" w:lineRule="auto"/>
        <w:tabs>
          <w:tab w:leader="none" w:pos="2006" w:val="left"/>
        </w:tabs>
        <w:numPr>
          <w:ilvl w:val="2"/>
          <w:numId w:val="290"/>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an affiliate of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ind w:right="60" w:firstLine="1304"/>
        <w:spacing w:after="0" w:line="259" w:lineRule="auto"/>
        <w:tabs>
          <w:tab w:leader="none" w:pos="2056" w:val="left"/>
        </w:tabs>
        <w:numPr>
          <w:ilvl w:val="2"/>
          <w:numId w:val="290"/>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appointment by the Board or nomination for election by the Company’s stockholders was approved by a vote of at least two thirds of the directors then still in office who were directors on the date hereof or whose appointment or nomination for election was previously so approved (collectively, the “</w:t>
      </w:r>
      <w:r>
        <w:rPr>
          <w:rFonts w:ascii="Arial" w:cs="Arial" w:eastAsia="Arial" w:hAnsi="Arial"/>
          <w:sz w:val="18"/>
          <w:szCs w:val="18"/>
          <w:u w:val="single" w:color="auto"/>
          <w:color w:val="auto"/>
        </w:rPr>
        <w:t>Continuing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cease for any reason to constitute a majority of the members of the Board;</w:t>
      </w:r>
    </w:p>
    <w:p>
      <w:pPr>
        <w:spacing w:after="0" w:line="186" w:lineRule="exact"/>
        <w:rPr>
          <w:rFonts w:ascii="Arial" w:cs="Arial" w:eastAsia="Arial" w:hAnsi="Arial"/>
          <w:sz w:val="18"/>
          <w:szCs w:val="18"/>
          <w:color w:val="auto"/>
        </w:rPr>
      </w:pPr>
    </w:p>
    <w:p>
      <w:pPr>
        <w:ind w:firstLine="1304"/>
        <w:spacing w:after="0" w:line="268" w:lineRule="auto"/>
        <w:tabs>
          <w:tab w:leader="none" w:pos="2106" w:val="left"/>
        </w:tabs>
        <w:numPr>
          <w:ilvl w:val="2"/>
          <w:numId w:val="290"/>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of the Company entitled to vote generally in the election of directors immediately prior to such Business Combination beneficially own, directly or indirectly, more than 51% of the combined voting power of the then outstanding securities of the surviving or resulting entity or the ultimate parent entity that controls such surviving or resulting entity (the “</w:t>
      </w:r>
      <w:r>
        <w:rPr>
          <w:rFonts w:ascii="Arial" w:cs="Arial" w:eastAsia="Arial" w:hAnsi="Arial"/>
          <w:sz w:val="17"/>
          <w:szCs w:val="17"/>
          <w:u w:val="single" w:color="auto"/>
          <w:color w:val="auto"/>
        </w:rPr>
        <w:t>Successor</w:t>
      </w:r>
      <w:r>
        <w:rPr>
          <w:rFonts w:ascii="Arial" w:cs="Arial" w:eastAsia="Arial" w:hAnsi="Arial"/>
          <w:sz w:val="17"/>
          <w:szCs w:val="17"/>
          <w:color w:val="auto"/>
        </w:rPr>
        <w:t>”) entitled to vote generally in the election of directors of the Successor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Company, no Person (excluding any corporation resulting from such Business Combination) is the Beneficial Owner, directly or indirectly, of 15% or more of the combined voting power of the then outstanding securities entitled to vote generally in the election of directors of the successor except to the extent that such Person was the Beneficial Owner, directly or indirectly, of 15% or more of the combined voting power of the Company prior to such Business Combination; and (3) a majority of the board of directors (or comparable governing body) of the Successor were Continuing Directors at the time of the execution of the initial agreement, or of the action of the Board of Directors, providing for such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ind w:left="-160" w:firstLine="1304"/>
        <w:spacing w:after="0" w:line="259" w:lineRule="auto"/>
        <w:tabs>
          <w:tab w:leader="none" w:pos="1935"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160" w:right="420" w:firstLine="1304"/>
        <w:spacing w:after="0" w:line="286" w:lineRule="auto"/>
        <w:tabs>
          <w:tab w:leader="none" w:pos="1885" w:val="left"/>
        </w:tabs>
        <w:numPr>
          <w:ilvl w:val="1"/>
          <w:numId w:val="291"/>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65" w:lineRule="exact"/>
        <w:rPr>
          <w:rFonts w:ascii="Arial" w:cs="Arial" w:eastAsia="Arial" w:hAnsi="Arial"/>
          <w:sz w:val="17"/>
          <w:szCs w:val="17"/>
          <w:color w:val="auto"/>
        </w:rPr>
      </w:pPr>
    </w:p>
    <w:p>
      <w:pPr>
        <w:ind w:left="-160" w:right="20" w:firstLine="656"/>
        <w:spacing w:after="0" w:line="263" w:lineRule="auto"/>
        <w:tabs>
          <w:tab w:leader="none" w:pos="123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1240" w:hanging="744"/>
        <w:spacing w:after="0"/>
        <w:tabs>
          <w:tab w:leader="none" w:pos="12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left="-160" w:right="80" w:firstLine="656"/>
        <w:spacing w:after="0" w:line="277" w:lineRule="auto"/>
        <w:tabs>
          <w:tab w:leader="none" w:pos="120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160" w:right="140" w:firstLine="656"/>
        <w:spacing w:after="0" w:line="259" w:lineRule="auto"/>
        <w:tabs>
          <w:tab w:leader="none" w:pos="123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1240" w:hanging="744"/>
        <w:spacing w:after="0"/>
        <w:tabs>
          <w:tab w:leader="none" w:pos="12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250" w:name="page251"/>
    <w:bookmarkEnd w:id="250"/>
    <w:p>
      <w:pPr>
        <w:ind w:left="-8" w:firstLine="656"/>
        <w:spacing w:after="0" w:line="269" w:lineRule="auto"/>
        <w:tabs>
          <w:tab w:leader="none" w:pos="1350" w:val="left"/>
        </w:tabs>
        <w:numPr>
          <w:ilvl w:val="1"/>
          <w:numId w:val="2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 incurred in any Proceeding by or in the right of the Company.</w:t>
      </w:r>
    </w:p>
    <w:p>
      <w:pPr>
        <w:spacing w:after="0" w:line="185" w:lineRule="exact"/>
        <w:rPr>
          <w:rFonts w:ascii="Arial" w:cs="Arial" w:eastAsia="Arial" w:hAnsi="Arial"/>
          <w:sz w:val="17"/>
          <w:szCs w:val="17"/>
          <w:color w:val="auto"/>
        </w:rPr>
      </w:pPr>
    </w:p>
    <w:p>
      <w:pPr>
        <w:ind w:left="-8" w:right="60" w:firstLine="656"/>
        <w:spacing w:after="0" w:line="255" w:lineRule="auto"/>
        <w:tabs>
          <w:tab w:leader="none" w:pos="135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u w:val="single" w:color="auto"/>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ind w:left="-8" w:right="60" w:firstLine="656"/>
        <w:spacing w:after="0" w:line="287" w:lineRule="auto"/>
        <w:tabs>
          <w:tab w:leader="none" w:pos="1389" w:val="left"/>
        </w:tabs>
        <w:numPr>
          <w:ilvl w:val="1"/>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spacing w:after="0" w:line="2" w:lineRule="exact"/>
        <w:rPr>
          <w:rFonts w:ascii="Arial" w:cs="Arial" w:eastAsia="Arial" w:hAnsi="Arial"/>
          <w:sz w:val="16"/>
          <w:szCs w:val="16"/>
          <w:color w:val="auto"/>
        </w:rPr>
      </w:pPr>
    </w:p>
    <w:p>
      <w:pPr>
        <w:ind w:left="-8" w:right="140" w:firstLine="8"/>
        <w:spacing w:after="0" w:line="277" w:lineRule="auto"/>
        <w:tabs>
          <w:tab w:leader="none" w:pos="257"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ind w:left="-8" w:right="60" w:firstLine="656"/>
        <w:spacing w:after="0" w:line="273" w:lineRule="auto"/>
        <w:tabs>
          <w:tab w:leader="none" w:pos="135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w:t>
      </w:r>
      <w:r>
        <w:rPr>
          <w:rFonts w:ascii="Arial" w:cs="Arial" w:eastAsia="Arial" w:hAnsi="Arial"/>
          <w:sz w:val="17"/>
          <w:szCs w:val="17"/>
          <w:u w:val="single" w:color="auto"/>
          <w:color w:val="auto"/>
        </w:rPr>
        <w:t>Person</w:t>
      </w:r>
      <w:r>
        <w:rPr>
          <w:rFonts w:ascii="Arial" w:cs="Arial" w:eastAsia="Arial" w:hAnsi="Arial"/>
          <w:sz w:val="17"/>
          <w:szCs w:val="17"/>
          <w:color w:val="auto"/>
        </w:rPr>
        <w:t>”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3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51" w:name="page252"/>
    <w:bookmarkEnd w:id="251"/>
    <w:p>
      <w:pPr>
        <w:ind w:left="-8" w:right="20" w:firstLine="656"/>
        <w:spacing w:after="0" w:line="273" w:lineRule="auto"/>
        <w:tabs>
          <w:tab w:leader="none" w:pos="1439" w:val="left"/>
        </w:tabs>
        <w:numPr>
          <w:ilvl w:val="1"/>
          <w:numId w:val="295"/>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of Indemnitee’s Corporate Status, whether or not serving in such capacity at the time any liability or expense is incurred for which indemnification, reimbursement, or advancement of expenses can be provided under this Agreement but shall not include any Enforcement Proceeding pursuant to Section 14.</w:t>
      </w:r>
    </w:p>
    <w:p>
      <w:pPr>
        <w:spacing w:after="0" w:line="177" w:lineRule="exact"/>
        <w:rPr>
          <w:rFonts w:ascii="Arial" w:cs="Arial" w:eastAsia="Arial" w:hAnsi="Arial"/>
          <w:sz w:val="17"/>
          <w:szCs w:val="17"/>
          <w:color w:val="auto"/>
        </w:rPr>
      </w:pPr>
    </w:p>
    <w:p>
      <w:pPr>
        <w:ind w:left="-8" w:right="80" w:firstLine="656"/>
        <w:spacing w:after="0" w:line="342" w:lineRule="auto"/>
        <w:tabs>
          <w:tab w:leader="none" w:pos="1389" w:val="left"/>
        </w:tabs>
        <w:numPr>
          <w:ilvl w:val="1"/>
          <w:numId w:val="295"/>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Subsidiary</w:t>
      </w:r>
      <w:r>
        <w:rPr>
          <w:rFonts w:ascii="Arial" w:cs="Arial" w:eastAsia="Arial" w:hAnsi="Arial"/>
          <w:sz w:val="16"/>
          <w:szCs w:val="16"/>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23" w:lineRule="exact"/>
        <w:rPr>
          <w:rFonts w:ascii="Arial" w:cs="Arial" w:eastAsia="Arial" w:hAnsi="Arial"/>
          <w:sz w:val="16"/>
          <w:szCs w:val="16"/>
          <w:color w:val="auto"/>
        </w:rPr>
      </w:pPr>
    </w:p>
    <w:p>
      <w:pPr>
        <w:ind w:left="-8" w:right="120" w:firstLine="8"/>
        <w:spacing w:after="0" w:line="271" w:lineRule="auto"/>
        <w:tabs>
          <w:tab w:leader="none" w:pos="667"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To the fullest 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(including all interest, assessments and other charges paid or payable in connection with or in respect of such Expenses) actually and reasonably incurred by Indemnitee or on Indemnitee’s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Indemnitee’s conduct was unlawful.</w:t>
      </w:r>
    </w:p>
    <w:p>
      <w:pPr>
        <w:spacing w:after="0" w:line="178" w:lineRule="exact"/>
        <w:rPr>
          <w:rFonts w:ascii="Arial" w:cs="Arial" w:eastAsia="Arial" w:hAnsi="Arial"/>
          <w:sz w:val="17"/>
          <w:szCs w:val="17"/>
          <w:color w:val="auto"/>
        </w:rPr>
      </w:pPr>
    </w:p>
    <w:p>
      <w:pPr>
        <w:ind w:left="-8" w:firstLine="8"/>
        <w:spacing w:after="0" w:line="288" w:lineRule="auto"/>
        <w:tabs>
          <w:tab w:leader="none" w:pos="667"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52" w:name="page253"/>
    <w:bookmarkEnd w:id="252"/>
    <w:p>
      <w:pPr>
        <w:ind w:left="-8" w:right="80" w:firstLine="8"/>
        <w:spacing w:after="0" w:line="287" w:lineRule="auto"/>
        <w:tabs>
          <w:tab w:leader="none" w:pos="667"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except for Section 27, to the extent that Indemnitee was or is, by reason of Indemnitee’s Corporate Status, a party to (or a participant in) and is successful, on the merits or otherwise, in defending any Proceeding or in defense of any claim, issue or matter therein, in whole or in part, the defending Company shall, to the fullest extent permitted by applicable law, indemnify, hold harmless and exonerate Indemnitee against all Expenses actually and reasonably incurred by Indemnitee in connection therewith. If Indemnitee is not wholly successful in defense of such Proceeding (or part thereof) but is successful, on the merits or otherwise, in defense of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defense of such Proceeding (or part thereof),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and without limitation, the termination of any claim, issue or matter in such a Proceeding by dismissal, with or without prejudice, shall be deemed to be a successful result as to the defense of such claim, issue or matter.</w:t>
      </w:r>
    </w:p>
    <w:p>
      <w:pPr>
        <w:spacing w:after="0" w:line="167" w:lineRule="exact"/>
        <w:rPr>
          <w:rFonts w:ascii="Arial" w:cs="Arial" w:eastAsia="Arial" w:hAnsi="Arial"/>
          <w:sz w:val="16"/>
          <w:szCs w:val="16"/>
          <w:color w:val="auto"/>
        </w:rPr>
      </w:pPr>
    </w:p>
    <w:p>
      <w:pPr>
        <w:ind w:left="-8" w:right="180" w:firstLine="8"/>
        <w:spacing w:after="0" w:line="279" w:lineRule="auto"/>
        <w:tabs>
          <w:tab w:leader="none" w:pos="667"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except for Section 27, to the extent that Indemnitee is, by reason of Indemnitee’s Corporate Status, a witness or deponent in any Proceeding to which Indemnitee was not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71" w:lineRule="exact"/>
        <w:rPr>
          <w:rFonts w:ascii="Arial" w:cs="Arial" w:eastAsia="Arial" w:hAnsi="Arial"/>
          <w:sz w:val="17"/>
          <w:szCs w:val="17"/>
          <w:color w:val="auto"/>
        </w:rPr>
      </w:pPr>
    </w:p>
    <w:p>
      <w:pPr>
        <w:ind w:left="-8" w:firstLine="8"/>
        <w:spacing w:after="0" w:line="255" w:lineRule="auto"/>
        <w:tabs>
          <w:tab w:leader="none" w:pos="667"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ADDITIONAL INDEMNIFICATION, HOLD HARMLESS AND EXONERATION RIGHTS</w:t>
      </w:r>
      <w:r>
        <w:rPr>
          <w:rFonts w:ascii="Arial" w:cs="Arial" w:eastAsia="Arial" w:hAnsi="Arial"/>
          <w:sz w:val="18"/>
          <w:szCs w:val="18"/>
          <w:color w:val="auto"/>
        </w:rPr>
        <w:t>. Notwithstanding any limitation in Sections 3, 4, or 5, except for Section 27, the Company shall, to the fullest extent permitted by applicable law, indemnify, hold harmless and exonerate Indemnitee if Indemnitee is a party to or threatened to be made a party to any Proceeding against all Expenses and judgments, fines, penalties and amounts paid in settlement in any Proceeding by or in the right of the Company to procure a judgment in its favor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53" w:name="page254"/>
    <w:bookmarkEnd w:id="253"/>
    <w:p>
      <w:pPr>
        <w:ind w:left="672" w:hanging="672"/>
        <w:spacing w:after="0"/>
        <w:tabs>
          <w:tab w:leader="none" w:pos="672"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CONTRIBUTION IN THE EVENT OF JOINT 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00" w:firstLine="656"/>
        <w:spacing w:after="0" w:line="296" w:lineRule="auto"/>
        <w:tabs>
          <w:tab w:leader="none" w:pos="1379" w:val="left"/>
        </w:tabs>
        <w:numPr>
          <w:ilvl w:val="1"/>
          <w:numId w:val="298"/>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8" w:right="120" w:firstLine="656"/>
        <w:spacing w:after="0" w:line="308" w:lineRule="auto"/>
        <w:tabs>
          <w:tab w:leader="none" w:pos="1389" w:val="left"/>
        </w:tabs>
        <w:numPr>
          <w:ilvl w:val="1"/>
          <w:numId w:val="298"/>
        </w:numPr>
        <w:rPr>
          <w:rFonts w:ascii="Arial" w:cs="Arial" w:eastAsia="Arial" w:hAnsi="Arial"/>
          <w:sz w:val="17"/>
          <w:szCs w:val="17"/>
          <w:color w:val="auto"/>
        </w:rPr>
      </w:pPr>
      <w:r>
        <w:rPr>
          <w:rFonts w:ascii="Arial" w:cs="Arial" w:eastAsia="Arial" w:hAnsi="Arial"/>
          <w:sz w:val="17"/>
          <w:szCs w:val="17"/>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46" w:lineRule="exact"/>
        <w:rPr>
          <w:rFonts w:ascii="Arial" w:cs="Arial" w:eastAsia="Arial" w:hAnsi="Arial"/>
          <w:sz w:val="17"/>
          <w:szCs w:val="17"/>
          <w:color w:val="auto"/>
        </w:rPr>
      </w:pPr>
    </w:p>
    <w:p>
      <w:pPr>
        <w:ind w:left="-8" w:right="120" w:firstLine="656"/>
        <w:spacing w:after="0" w:line="277" w:lineRule="auto"/>
        <w:tabs>
          <w:tab w:leader="none" w:pos="1379"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70" w:lineRule="exact"/>
        <w:rPr>
          <w:rFonts w:ascii="Arial" w:cs="Arial" w:eastAsia="Arial" w:hAnsi="Arial"/>
          <w:sz w:val="18"/>
          <w:szCs w:val="18"/>
          <w:color w:val="auto"/>
        </w:rPr>
      </w:pPr>
    </w:p>
    <w:p>
      <w:pPr>
        <w:ind w:left="-8" w:right="540" w:firstLine="8"/>
        <w:spacing w:after="0" w:line="308" w:lineRule="auto"/>
        <w:tabs>
          <w:tab w:leader="none" w:pos="667"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the Company shall not be obligated under this Agreement to make any indemnification, advance expenses, hold harmless or exoneration payment in connection with any claim made against Indemnitee:</w:t>
      </w:r>
    </w:p>
    <w:p>
      <w:pPr>
        <w:spacing w:after="0" w:line="146" w:lineRule="exact"/>
        <w:rPr>
          <w:rFonts w:ascii="Arial" w:cs="Arial" w:eastAsia="Arial" w:hAnsi="Arial"/>
          <w:sz w:val="17"/>
          <w:szCs w:val="17"/>
          <w:color w:val="auto"/>
        </w:rPr>
      </w:pPr>
    </w:p>
    <w:p>
      <w:pPr>
        <w:ind w:left="-8" w:right="360" w:firstLine="656"/>
        <w:spacing w:after="0" w:line="263" w:lineRule="auto"/>
        <w:tabs>
          <w:tab w:leader="none" w:pos="1379" w:val="left"/>
        </w:tabs>
        <w:numPr>
          <w:ilvl w:val="1"/>
          <w:numId w:val="298"/>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83" w:lineRule="exact"/>
        <w:rPr>
          <w:rFonts w:ascii="Arial" w:cs="Arial" w:eastAsia="Arial" w:hAnsi="Arial"/>
          <w:sz w:val="18"/>
          <w:szCs w:val="18"/>
          <w:color w:val="auto"/>
        </w:rPr>
      </w:pPr>
    </w:p>
    <w:p>
      <w:pPr>
        <w:ind w:left="-8" w:right="40" w:firstLine="656"/>
        <w:spacing w:after="0" w:line="308" w:lineRule="auto"/>
        <w:tabs>
          <w:tab w:leader="none" w:pos="1389" w:val="left"/>
        </w:tabs>
        <w:numPr>
          <w:ilvl w:val="1"/>
          <w:numId w:val="298"/>
        </w:numPr>
        <w:rPr>
          <w:rFonts w:ascii="Arial" w:cs="Arial" w:eastAsia="Arial" w:hAnsi="Arial"/>
          <w:sz w:val="17"/>
          <w:szCs w:val="17"/>
          <w:color w:val="auto"/>
        </w:rPr>
      </w:pPr>
      <w:r>
        <w:rPr>
          <w:rFonts w:ascii="Arial" w:cs="Arial" w:eastAsia="Arial" w:hAnsi="Arial"/>
          <w:sz w:val="17"/>
          <w:szCs w:val="17"/>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46" w:lineRule="exact"/>
        <w:rPr>
          <w:rFonts w:ascii="Arial" w:cs="Arial" w:eastAsia="Arial" w:hAnsi="Arial"/>
          <w:sz w:val="17"/>
          <w:szCs w:val="17"/>
          <w:color w:val="auto"/>
        </w:rPr>
      </w:pPr>
    </w:p>
    <w:p>
      <w:pPr>
        <w:ind w:left="-8" w:firstLine="656"/>
        <w:spacing w:after="0" w:line="273" w:lineRule="auto"/>
        <w:tabs>
          <w:tab w:leader="none" w:pos="1379" w:val="left"/>
        </w:tabs>
        <w:numPr>
          <w:ilvl w:val="1"/>
          <w:numId w:val="298"/>
        </w:numPr>
        <w:rPr>
          <w:rFonts w:ascii="Arial" w:cs="Arial" w:eastAsia="Arial" w:hAnsi="Arial"/>
          <w:sz w:val="17"/>
          <w:szCs w:val="17"/>
          <w:color w:val="auto"/>
        </w:rPr>
      </w:pPr>
      <w:r>
        <w:rPr>
          <w:rFonts w:ascii="Arial" w:cs="Arial" w:eastAsia="Arial" w:hAnsi="Arial"/>
          <w:sz w:val="17"/>
          <w:szCs w:val="17"/>
          <w:color w:val="auto"/>
        </w:rPr>
        <w:t>except as otherwise provided in Sections 14(f)-(g)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39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254" w:name="page255"/>
    <w:bookmarkEnd w:id="254"/>
    <w:p>
      <w:pPr>
        <w:ind w:left="772" w:hanging="772"/>
        <w:spacing w:after="0"/>
        <w:tabs>
          <w:tab w:leader="none" w:pos="772"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ADVANCES OF EXPENSES; DEFENSE OF CLAIM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87" w:lineRule="auto"/>
        <w:tabs>
          <w:tab w:leader="none" w:pos="1379" w:val="left"/>
        </w:tabs>
        <w:numPr>
          <w:ilvl w:val="1"/>
          <w:numId w:val="299"/>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except for Section 27, and to the fullest extent not prohibited by applicable law, the Company shall pay the Expenses incurred by Indemnitee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an Enforcement Proceeding (assuming for this purpose all references to a “Proceeding” in the definition of Expenses were deemed related to an Enforcement Proceeding), including Expenses incurred preparing and forwarding statements to the Company to support the advances claimed. This Agreement shall constitute Indemnitee’s undertaking to repay the advanced amounts to the extent that it is ultimately determined that Indemnitee is not entitled to be indemnified, held harmless or exonerated by the Company under the provisions of this Agreement, the Charter, the Bylaws of the Company, applicable law or otherwise, but only if such an undertaking is required by applicable law. This Section 10(a) shall not apply to any Proceeding for which indemnity is not permitted under Section 9 of this Agreement, but shall apply to any Proceeding referenced in Section 9(b) prior to a final determination that Indemnitee is liable therefor.</w:t>
      </w:r>
    </w:p>
    <w:p>
      <w:pPr>
        <w:spacing w:after="0" w:line="167" w:lineRule="exact"/>
        <w:rPr>
          <w:rFonts w:ascii="Arial" w:cs="Arial" w:eastAsia="Arial" w:hAnsi="Arial"/>
          <w:sz w:val="16"/>
          <w:szCs w:val="16"/>
          <w:color w:val="auto"/>
        </w:rPr>
      </w:pPr>
    </w:p>
    <w:p>
      <w:pPr>
        <w:ind w:left="1392" w:hanging="744"/>
        <w:spacing w:after="0"/>
        <w:tabs>
          <w:tab w:leader="none" w:pos="1392"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8" w:right="180" w:firstLine="656"/>
        <w:spacing w:after="0" w:line="277" w:lineRule="auto"/>
        <w:tabs>
          <w:tab w:leader="none" w:pos="1379"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170" w:lineRule="exact"/>
        <w:rPr>
          <w:rFonts w:ascii="Arial" w:cs="Arial" w:eastAsia="Arial" w:hAnsi="Arial"/>
          <w:sz w:val="18"/>
          <w:szCs w:val="18"/>
          <w:color w:val="auto"/>
        </w:rPr>
      </w:pPr>
    </w:p>
    <w:p>
      <w:pPr>
        <w:ind w:left="752" w:hanging="752"/>
        <w:spacing w:after="0"/>
        <w:tabs>
          <w:tab w:leader="none" w:pos="752"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PROCEDURE FOR NOTIFICATION AND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20" w:firstLine="656"/>
        <w:spacing w:after="0" w:line="259" w:lineRule="auto"/>
        <w:tabs>
          <w:tab w:leader="none" w:pos="1379"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86" w:lineRule="exact"/>
        <w:rPr>
          <w:rFonts w:ascii="Arial" w:cs="Arial" w:eastAsia="Arial" w:hAnsi="Arial"/>
          <w:sz w:val="18"/>
          <w:szCs w:val="18"/>
          <w:color w:val="auto"/>
        </w:rPr>
      </w:pPr>
    </w:p>
    <w:p>
      <w:pPr>
        <w:ind w:left="-8" w:right="120" w:firstLine="656"/>
        <w:spacing w:after="0" w:line="259" w:lineRule="auto"/>
        <w:tabs>
          <w:tab w:leader="none" w:pos="1389"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sole discretion. Following such a written application for indemnification by Indemnitee, Indemnitee’s entitlement to indemnification shall be determined according to Section 12(a) of this Agreement.</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255" w:name="page256"/>
    <w:bookmarkEnd w:id="255"/>
    <w:p>
      <w:pPr>
        <w:ind w:left="772" w:hanging="772"/>
        <w:spacing w:after="0"/>
        <w:tabs>
          <w:tab w:leader="none" w:pos="772"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300"/>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directors so direct, by Independent Counsel in a written opinion to the Board, a copy of which shall be delivered to Indemnitee, or (ii) if a Change in Control has occurred, by Independent Counsel in a written opinion to the Board, a copy of which shall be delivered to the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4" w:lineRule="exact"/>
        <w:rPr>
          <w:rFonts w:ascii="Arial" w:cs="Arial" w:eastAsia="Arial" w:hAnsi="Arial"/>
          <w:sz w:val="17"/>
          <w:szCs w:val="17"/>
          <w:color w:val="auto"/>
        </w:rPr>
      </w:pPr>
    </w:p>
    <w:p>
      <w:pPr>
        <w:ind w:left="-8" w:right="20" w:firstLine="656"/>
        <w:spacing w:after="0" w:line="285" w:lineRule="auto"/>
        <w:tabs>
          <w:tab w:leader="none" w:pos="1389" w:val="left"/>
        </w:tabs>
        <w:numPr>
          <w:ilvl w:val="1"/>
          <w:numId w:val="300"/>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56" w:name="page257"/>
    <w:bookmarkEnd w:id="256"/>
    <w:p>
      <w:pPr>
        <w:ind w:left="-8" w:right="160" w:firstLine="656"/>
        <w:spacing w:after="0" w:line="263" w:lineRule="auto"/>
        <w:tabs>
          <w:tab w:leader="none" w:pos="1379"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3" w:lineRule="exact"/>
        <w:rPr>
          <w:rFonts w:ascii="Arial" w:cs="Arial" w:eastAsia="Arial" w:hAnsi="Arial"/>
          <w:sz w:val="18"/>
          <w:szCs w:val="18"/>
          <w:color w:val="auto"/>
        </w:rPr>
      </w:pPr>
    </w:p>
    <w:p>
      <w:pPr>
        <w:ind w:left="772" w:hanging="772"/>
        <w:spacing w:after="0"/>
        <w:tabs>
          <w:tab w:leader="none" w:pos="772"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71" w:lineRule="auto"/>
        <w:tabs>
          <w:tab w:leader="none" w:pos="1379" w:val="left"/>
        </w:tabs>
        <w:numPr>
          <w:ilvl w:val="1"/>
          <w:numId w:val="302"/>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left="-8" w:right="40" w:firstLine="656"/>
        <w:spacing w:after="0" w:line="271" w:lineRule="auto"/>
        <w:tabs>
          <w:tab w:leader="none" w:pos="1389" w:val="left"/>
        </w:tabs>
        <w:numPr>
          <w:ilvl w:val="1"/>
          <w:numId w:val="302"/>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57" w:name="page258"/>
    <w:bookmarkEnd w:id="257"/>
    <w:p>
      <w:pPr>
        <w:ind w:left="-8" w:right="20" w:firstLine="656"/>
        <w:spacing w:after="0" w:line="257" w:lineRule="auto"/>
        <w:tabs>
          <w:tab w:leader="none" w:pos="1379"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8" w:right="60" w:firstLine="656"/>
        <w:spacing w:after="0" w:line="290" w:lineRule="auto"/>
        <w:tabs>
          <w:tab w:leader="none" w:pos="1389" w:val="left"/>
        </w:tabs>
        <w:numPr>
          <w:ilvl w:val="1"/>
          <w:numId w:val="303"/>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65" w:lineRule="exact"/>
        <w:rPr>
          <w:rFonts w:ascii="Arial" w:cs="Arial" w:eastAsia="Arial" w:hAnsi="Arial"/>
          <w:sz w:val="16"/>
          <w:szCs w:val="16"/>
          <w:color w:val="auto"/>
        </w:rPr>
      </w:pPr>
    </w:p>
    <w:p>
      <w:pPr>
        <w:ind w:left="-8" w:right="280" w:firstLine="656"/>
        <w:spacing w:after="0" w:line="342" w:lineRule="auto"/>
        <w:tabs>
          <w:tab w:leader="none" w:pos="1379" w:val="left"/>
        </w:tabs>
        <w:numPr>
          <w:ilvl w:val="1"/>
          <w:numId w:val="303"/>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23" w:lineRule="exact"/>
        <w:rPr>
          <w:rFonts w:ascii="Arial" w:cs="Arial" w:eastAsia="Arial" w:hAnsi="Arial"/>
          <w:sz w:val="16"/>
          <w:szCs w:val="16"/>
          <w:color w:val="auto"/>
        </w:rPr>
      </w:pPr>
    </w:p>
    <w:p>
      <w:pPr>
        <w:ind w:left="772" w:hanging="772"/>
        <w:spacing w:after="0"/>
        <w:tabs>
          <w:tab w:leader="none" w:pos="772"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304"/>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 Such adjudication or arbitration proceeding is referred to herein as “Enforcement Proceeding.”</w:t>
      </w:r>
    </w:p>
    <w:p>
      <w:pPr>
        <w:spacing w:after="0" w:line="200" w:lineRule="exact"/>
        <w:rPr>
          <w:sz w:val="20"/>
          <w:szCs w:val="20"/>
          <w:color w:val="auto"/>
        </w:rPr>
      </w:pP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58" w:name="page259"/>
    <w:bookmarkEnd w:id="258"/>
    <w:p>
      <w:pPr>
        <w:ind w:right="120" w:firstLine="656"/>
        <w:spacing w:after="0" w:line="263" w:lineRule="auto"/>
        <w:tabs>
          <w:tab w:leader="none" w:pos="139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Enforcement Proceeding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ind w:firstLine="656"/>
        <w:spacing w:after="0" w:line="293" w:lineRule="auto"/>
        <w:tabs>
          <w:tab w:leader="none" w:pos="1387" w:val="left"/>
        </w:tabs>
        <w:numPr>
          <w:ilvl w:val="0"/>
          <w:numId w:val="305"/>
        </w:numPr>
        <w:rPr>
          <w:rFonts w:ascii="Arial" w:cs="Arial" w:eastAsia="Arial" w:hAnsi="Arial"/>
          <w:sz w:val="16"/>
          <w:szCs w:val="16"/>
          <w:color w:val="auto"/>
        </w:rPr>
      </w:pPr>
      <w:r>
        <w:rPr>
          <w:rFonts w:ascii="Arial" w:cs="Arial" w:eastAsia="Arial" w:hAnsi="Arial"/>
          <w:sz w:val="16"/>
          <w:szCs w:val="16"/>
          <w:color w:val="auto"/>
        </w:rPr>
        <w:t>In any Enforcement Proceeding, Indemnitee shall be presumed to be entitled to be indemnified, held harmless, exonerated and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an Enforcement Proceeding,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4" w:lineRule="exact"/>
        <w:rPr>
          <w:rFonts w:ascii="Arial" w:cs="Arial" w:eastAsia="Arial" w:hAnsi="Arial"/>
          <w:sz w:val="16"/>
          <w:szCs w:val="16"/>
          <w:color w:val="auto"/>
        </w:rPr>
      </w:pPr>
    </w:p>
    <w:p>
      <w:pPr>
        <w:ind w:firstLine="656"/>
        <w:spacing w:after="0" w:line="259" w:lineRule="auto"/>
        <w:tabs>
          <w:tab w:leader="none" w:pos="139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Enforcement Proceeding,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right="40" w:firstLine="656"/>
        <w:spacing w:after="0" w:line="263" w:lineRule="auto"/>
        <w:tabs>
          <w:tab w:leader="none" w:pos="138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Company shall be precluded from asserting in Enforcement Proceeding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right="40" w:firstLine="656"/>
        <w:spacing w:after="0" w:line="270" w:lineRule="auto"/>
        <w:tabs>
          <w:tab w:leader="none" w:pos="1368"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(assuming for purposes of this sentence that all references to a Proceeding in the definition of Expenses were references to an Enforcement Proceeding) and, if requested by Indemnitee, shall (within ten (10) days after the Company’s receipt of such written request) pay to Indemnitee, to the fullest extent permitted by applicable law, such Expenses which are incurred by Indemnitee in connection with any Enforcement Proceeding brought by Indemnitee: (i) to enforce his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Enforcement Proceeding was not brought by Indemnitee in good faith).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9" w:name="page260"/>
    <w:bookmarkEnd w:id="259"/>
    <w:p>
      <w:pPr>
        <w:ind w:firstLine="656"/>
        <w:spacing w:after="0" w:line="259" w:lineRule="auto"/>
        <w:tabs>
          <w:tab w:leader="none" w:pos="139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or on behalf of the Company.</w:t>
      </w:r>
    </w:p>
    <w:p>
      <w:pPr>
        <w:spacing w:after="0" w:line="186" w:lineRule="exact"/>
        <w:rPr>
          <w:rFonts w:ascii="Arial" w:cs="Arial" w:eastAsia="Arial" w:hAnsi="Arial"/>
          <w:sz w:val="18"/>
          <w:szCs w:val="18"/>
          <w:color w:val="auto"/>
        </w:rPr>
      </w:pPr>
    </w:p>
    <w:p>
      <w:pPr>
        <w:ind w:firstLine="8"/>
        <w:spacing w:after="0" w:line="259" w:lineRule="auto"/>
        <w:tabs>
          <w:tab w:leader="none" w:pos="76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Notwithstanding anything herein to the contrary, except for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86" w:lineRule="exact"/>
        <w:rPr>
          <w:rFonts w:ascii="Arial" w:cs="Arial" w:eastAsia="Arial" w:hAnsi="Arial"/>
          <w:sz w:val="18"/>
          <w:szCs w:val="18"/>
          <w:color w:val="auto"/>
        </w:rPr>
      </w:pPr>
    </w:p>
    <w:p>
      <w:pPr>
        <w:ind w:left="780" w:hanging="772"/>
        <w:spacing w:after="0"/>
        <w:tabs>
          <w:tab w:leader="none" w:pos="78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69" w:lineRule="auto"/>
        <w:tabs>
          <w:tab w:leader="none" w:pos="1387" w:val="left"/>
        </w:tabs>
        <w:numPr>
          <w:ilvl w:val="1"/>
          <w:numId w:val="307"/>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repeals, except as may otherwise be expressly set forth in such amendment, alteration or repeals and mutually agreed by Indemnitee and the Company.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0" w:name="page261"/>
    <w:bookmarkEnd w:id="260"/>
    <w:p>
      <w:pPr>
        <w:ind w:left="-40" w:right="20" w:firstLine="656"/>
        <w:spacing w:after="0" w:line="253" w:lineRule="auto"/>
        <w:tabs>
          <w:tab w:leader="none" w:pos="135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Delaware General Corporation Law (the “DGCL”), the Charter and the Bylaws permit the Company to purchase and maintain insurance or furnish similar protection or make other arrangements including, but not limited to, providing a trust fund, letter of credit, or surety bond (“Indemnification Arrangements”)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96" w:lineRule="exact"/>
        <w:rPr>
          <w:rFonts w:ascii="Arial" w:cs="Arial" w:eastAsia="Arial" w:hAnsi="Arial"/>
          <w:sz w:val="18"/>
          <w:szCs w:val="18"/>
          <w:color w:val="auto"/>
        </w:rPr>
      </w:pPr>
    </w:p>
    <w:p>
      <w:pPr>
        <w:ind w:left="-40" w:right="60" w:firstLine="656"/>
        <w:spacing w:after="0" w:line="270" w:lineRule="auto"/>
        <w:tabs>
          <w:tab w:leader="none" w:pos="1347"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To the extent that any member of the Company Group maintains an insurance policy or policies providing liability insurance for directors, officers, trustees, partners, managers, managing members, fiduciaries, employees, or agents of the Company Group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or cause to be taken all necessary or desirable action to cause such insurers to pay, on behalf of Indemnitee, all amounts payable as a result of such Proceeding in accordance with the terms of such policies.</w:t>
      </w:r>
    </w:p>
    <w:p>
      <w:pPr>
        <w:spacing w:after="0" w:line="180" w:lineRule="exact"/>
        <w:rPr>
          <w:rFonts w:ascii="Arial" w:cs="Arial" w:eastAsia="Arial" w:hAnsi="Arial"/>
          <w:sz w:val="17"/>
          <w:szCs w:val="17"/>
          <w:color w:val="auto"/>
        </w:rPr>
      </w:pPr>
    </w:p>
    <w:p>
      <w:pPr>
        <w:ind w:left="-40" w:firstLine="656"/>
        <w:spacing w:after="0" w:line="286" w:lineRule="auto"/>
        <w:tabs>
          <w:tab w:leader="none" w:pos="1357" w:val="left"/>
        </w:tabs>
        <w:numPr>
          <w:ilvl w:val="0"/>
          <w:numId w:val="308"/>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261" w:name="page262"/>
    <w:bookmarkEnd w:id="261"/>
    <w:p>
      <w:pPr>
        <w:ind w:left="-8" w:right="60" w:firstLine="656"/>
        <w:spacing w:after="0" w:line="284" w:lineRule="auto"/>
        <w:tabs>
          <w:tab w:leader="none" w:pos="1379" w:val="left"/>
        </w:tabs>
        <w:numPr>
          <w:ilvl w:val="1"/>
          <w:numId w:val="309"/>
        </w:numPr>
        <w:rPr>
          <w:rFonts w:ascii="Arial" w:cs="Arial" w:eastAsia="Arial" w:hAnsi="Arial"/>
          <w:sz w:val="16"/>
          <w:szCs w:val="16"/>
          <w:color w:val="auto"/>
        </w:rPr>
      </w:pPr>
      <w:r>
        <w:rPr>
          <w:rFonts w:ascii="Arial" w:cs="Arial" w:eastAsia="Arial" w:hAnsi="Arial"/>
          <w:sz w:val="16"/>
          <w:szCs w:val="16"/>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left="-8" w:right="100" w:firstLine="8"/>
        <w:spacing w:after="0" w:line="323" w:lineRule="auto"/>
        <w:tabs>
          <w:tab w:leader="none" w:pos="257"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8" w:lineRule="exact"/>
        <w:rPr>
          <w:rFonts w:ascii="Arial" w:cs="Arial" w:eastAsia="Arial" w:hAnsi="Arial"/>
          <w:sz w:val="16"/>
          <w:szCs w:val="16"/>
          <w:color w:val="auto"/>
        </w:rPr>
      </w:pPr>
    </w:p>
    <w:p>
      <w:pPr>
        <w:ind w:left="-8" w:right="20" w:firstLine="656"/>
        <w:spacing w:after="0" w:line="287" w:lineRule="auto"/>
        <w:tabs>
          <w:tab w:leader="none" w:pos="136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To the extent Indemnitee has rights to indemnification, advancement of expenses and/or insurance provided by the Sponsor or its affiliates as applicable, (i) the Company shall be the indemnitor of first resort (i.e., that its obligations to Indemnitee are primary and any obligation of the Sponsor or its affiliates, as applicable, to advance expenses or to provide indemnification for the same expenses or liabilities incurred by Indemnitee are secondary), (ii) the Company shall be required to advance the full amount of expenses incurred by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Agreement, the Company’s organizational documents or other agreement, without regard to any rights Indemnitee may have against the Sponsor or its affiliates, as applicable, and (iii) the Company irrevocably waives, relinquishes and releases the Sponsor and its affiliates, as applicable, from any and all claims against them for contribution, subrogation or any other recovery of any kind in respect thereof. No advancement or payment by the Sponsor or its affiliates, as applicable, on behalf of Indemnitee with respect to any claim for which Indemnitee has sought indemnification from the Company shall affect the foregoing, and the Sponsor and its affiliates, as applicable, shall have a right of contribution and be subrogated to the extent of such advancement or payment to all of the rights of recovery of Indemnitee against the Company.</w:t>
      </w:r>
    </w:p>
    <w:p>
      <w:pPr>
        <w:spacing w:after="0" w:line="168" w:lineRule="exact"/>
        <w:rPr>
          <w:sz w:val="20"/>
          <w:szCs w:val="20"/>
          <w:color w:val="auto"/>
        </w:rPr>
      </w:pPr>
    </w:p>
    <w:p>
      <w:pPr>
        <w:ind w:left="-8" w:firstLine="8"/>
        <w:spacing w:after="0" w:line="273" w:lineRule="auto"/>
        <w:tabs>
          <w:tab w:leader="none" w:pos="757"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All agreements and obligations of the Company contained 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or Enforcement Proceeding (including any rights of appeal thereto) by reason of Indemnitee’s Corporate Status, whether or not Indemnitee is acting in any such capacity at the time any liability or expense is incurred for which indemnification or advancement can be provided under this Agreement.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62" w:name="page263"/>
    <w:bookmarkEnd w:id="262"/>
    <w:p>
      <w:pPr>
        <w:ind w:left="-8" w:right="60" w:firstLine="8"/>
        <w:spacing w:after="0" w:line="271" w:lineRule="auto"/>
        <w:tabs>
          <w:tab w:leader="none" w:pos="757"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8" w:lineRule="exact"/>
        <w:rPr>
          <w:rFonts w:ascii="Arial" w:cs="Arial" w:eastAsia="Arial" w:hAnsi="Arial"/>
          <w:sz w:val="17"/>
          <w:szCs w:val="17"/>
          <w:color w:val="auto"/>
        </w:rPr>
      </w:pPr>
    </w:p>
    <w:p>
      <w:pPr>
        <w:ind w:left="772" w:hanging="772"/>
        <w:spacing w:after="0"/>
        <w:tabs>
          <w:tab w:leader="none" w:pos="772"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ENFORCEMENT AND BINDING EFFECT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60" w:firstLine="656"/>
        <w:spacing w:after="0" w:line="286" w:lineRule="auto"/>
        <w:tabs>
          <w:tab w:leader="none" w:pos="1379" w:val="left"/>
        </w:tabs>
        <w:numPr>
          <w:ilvl w:val="1"/>
          <w:numId w:val="312"/>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assumed the obligations imposed on it hereby in order to induce Indemnitee to serve as a director, officer or key employee of the Company Group, and the Company acknowledges that Indemnitee is relying upon this Agreement in serving as a director, officer or key employee of the Company Group.</w:t>
      </w:r>
    </w:p>
    <w:p>
      <w:pPr>
        <w:spacing w:after="0" w:line="165" w:lineRule="exact"/>
        <w:rPr>
          <w:rFonts w:ascii="Arial" w:cs="Arial" w:eastAsia="Arial" w:hAnsi="Arial"/>
          <w:sz w:val="17"/>
          <w:szCs w:val="17"/>
          <w:color w:val="auto"/>
        </w:rPr>
      </w:pPr>
    </w:p>
    <w:p>
      <w:pPr>
        <w:ind w:left="-8" w:right="300" w:firstLine="656"/>
        <w:spacing w:after="0" w:line="311" w:lineRule="auto"/>
        <w:tabs>
          <w:tab w:leader="none" w:pos="1389" w:val="left"/>
        </w:tabs>
        <w:numPr>
          <w:ilvl w:val="1"/>
          <w:numId w:val="312"/>
        </w:numPr>
        <w:rPr>
          <w:rFonts w:ascii="Arial" w:cs="Arial" w:eastAsia="Arial" w:hAnsi="Arial"/>
          <w:sz w:val="16"/>
          <w:szCs w:val="16"/>
          <w:color w:val="auto"/>
        </w:rPr>
      </w:pPr>
      <w:r>
        <w:rPr>
          <w:rFonts w:ascii="Arial" w:cs="Arial" w:eastAsia="Arial" w:hAnsi="Arial"/>
          <w:sz w:val="16"/>
          <w:szCs w:val="16"/>
          <w:color w:val="auto"/>
        </w:rPr>
        <w:t>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8" w:lineRule="exact"/>
        <w:rPr>
          <w:rFonts w:ascii="Arial" w:cs="Arial" w:eastAsia="Arial" w:hAnsi="Arial"/>
          <w:sz w:val="16"/>
          <w:szCs w:val="16"/>
          <w:color w:val="auto"/>
        </w:rPr>
      </w:pPr>
    </w:p>
    <w:p>
      <w:pPr>
        <w:ind w:left="-8" w:firstLine="656"/>
        <w:spacing w:after="0" w:line="254" w:lineRule="auto"/>
        <w:tabs>
          <w:tab w:leader="none" w:pos="1379"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indemnification, hold harmless, exoneration and advancement of expenses rights provided by or granted pursuant to this Agreement shall be binding upon and be enforceable by the parties hereto and their respective successors and permitted assigns (including any direct or indirect successor by purchase, merger, consolidation or otherwise to all or substantially all of the business and/or assets of the Company, but subject to such successor’s compliance with Section 19(d)),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permitted assigns, heirs, devisees, executors and administrators and other legal representatives.</w:t>
      </w:r>
    </w:p>
    <w:p>
      <w:pPr>
        <w:spacing w:after="0" w:line="194" w:lineRule="exact"/>
        <w:rPr>
          <w:rFonts w:ascii="Arial" w:cs="Arial" w:eastAsia="Arial" w:hAnsi="Arial"/>
          <w:sz w:val="18"/>
          <w:szCs w:val="18"/>
          <w:color w:val="auto"/>
        </w:rPr>
      </w:pPr>
    </w:p>
    <w:p>
      <w:pPr>
        <w:jc w:val="both"/>
        <w:ind w:left="-8" w:right="100" w:firstLine="656"/>
        <w:spacing w:after="0" w:line="259" w:lineRule="auto"/>
        <w:tabs>
          <w:tab w:leader="none" w:pos="1389"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63" w:name="page264"/>
    <w:bookmarkEnd w:id="263"/>
    <w:p>
      <w:pPr>
        <w:ind w:firstLine="656"/>
        <w:spacing w:after="0" w:line="289" w:lineRule="auto"/>
        <w:tabs>
          <w:tab w:leader="none" w:pos="1387"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security in connection therewith. The Company acknowledges that in the absence of a waiver, a bond or other security may be required of Indemnitee by a court of competent jurisdiction. The Company hereby waives any such requirement of such a bond or other security to the fullest extent permitted by law.</w:t>
      </w:r>
    </w:p>
    <w:p>
      <w:pPr>
        <w:spacing w:after="0" w:line="166" w:lineRule="exact"/>
        <w:rPr>
          <w:rFonts w:ascii="Arial" w:cs="Arial" w:eastAsia="Arial" w:hAnsi="Arial"/>
          <w:sz w:val="16"/>
          <w:szCs w:val="16"/>
          <w:color w:val="auto"/>
        </w:rPr>
      </w:pPr>
    </w:p>
    <w:p>
      <w:pPr>
        <w:jc w:val="both"/>
        <w:ind w:right="20" w:firstLine="8"/>
        <w:spacing w:after="0" w:line="259" w:lineRule="auto"/>
        <w:tabs>
          <w:tab w:leader="none" w:pos="765"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Company and Indemnitee. No waiver of any provision of this Agreement shall be enforceable unless in writing and signed by the party against whom it is to be enforced. No waiver of any of the provisions of this Agreement shall be deemed or shall constitute a waiver of any other provisions of this Agreement nor shall any waiver constitute a continuing waiver.</w:t>
      </w:r>
    </w:p>
    <w:p>
      <w:pPr>
        <w:spacing w:after="0" w:line="186" w:lineRule="exact"/>
        <w:rPr>
          <w:rFonts w:ascii="Arial" w:cs="Arial" w:eastAsia="Arial" w:hAnsi="Arial"/>
          <w:sz w:val="18"/>
          <w:szCs w:val="18"/>
          <w:color w:val="auto"/>
        </w:rPr>
      </w:pPr>
    </w:p>
    <w:p>
      <w:pPr>
        <w:ind w:right="40" w:firstLine="8"/>
        <w:spacing w:after="0" w:line="286" w:lineRule="auto"/>
        <w:tabs>
          <w:tab w:leader="none" w:pos="765"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165" w:lineRule="exact"/>
        <w:rPr>
          <w:rFonts w:ascii="Arial" w:cs="Arial" w:eastAsia="Arial" w:hAnsi="Arial"/>
          <w:sz w:val="17"/>
          <w:szCs w:val="17"/>
          <w:color w:val="auto"/>
        </w:rPr>
      </w:pPr>
    </w:p>
    <w:p>
      <w:pPr>
        <w:ind w:right="140" w:firstLine="656"/>
        <w:spacing w:after="0" w:line="277" w:lineRule="auto"/>
        <w:tabs>
          <w:tab w:leader="none" w:pos="1387"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Jay Taragin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Raphael M. Russo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492-0309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4" w:name="page265"/>
    <w:bookmarkEnd w:id="264"/>
    <w:p>
      <w:pPr>
        <w:ind w:left="-8" w:firstLine="8"/>
        <w:spacing w:after="0" w:line="288" w:lineRule="auto"/>
        <w:tabs>
          <w:tab w:leader="none" w:pos="757"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168" w:lineRule="exact"/>
        <w:rPr>
          <w:rFonts w:ascii="Arial" w:cs="Arial" w:eastAsia="Arial" w:hAnsi="Arial"/>
          <w:sz w:val="16"/>
          <w:szCs w:val="16"/>
          <w:color w:val="auto"/>
        </w:rPr>
      </w:pPr>
    </w:p>
    <w:p>
      <w:pPr>
        <w:ind w:left="-8" w:right="80" w:firstLine="8"/>
        <w:spacing w:after="0" w:line="263" w:lineRule="auto"/>
        <w:tabs>
          <w:tab w:leader="none" w:pos="757"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rFonts w:ascii="Arial" w:cs="Arial" w:eastAsia="Arial" w:hAnsi="Arial"/>
          <w:sz w:val="18"/>
          <w:szCs w:val="18"/>
          <w:color w:val="auto"/>
        </w:rPr>
      </w:pPr>
    </w:p>
    <w:p>
      <w:pPr>
        <w:ind w:left="-8" w:right="100" w:firstLine="8"/>
        <w:spacing w:after="0" w:line="263" w:lineRule="auto"/>
        <w:tabs>
          <w:tab w:leader="none" w:pos="757"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183" w:lineRule="exact"/>
        <w:rPr>
          <w:rFonts w:ascii="Arial" w:cs="Arial" w:eastAsia="Arial" w:hAnsi="Arial"/>
          <w:sz w:val="18"/>
          <w:szCs w:val="18"/>
          <w:color w:val="auto"/>
        </w:rPr>
      </w:pPr>
    </w:p>
    <w:p>
      <w:pPr>
        <w:ind w:left="-8" w:right="80" w:firstLine="8"/>
        <w:spacing w:after="0" w:line="263" w:lineRule="auto"/>
        <w:tabs>
          <w:tab w:leader="none" w:pos="757"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83" w:lineRule="exact"/>
        <w:rPr>
          <w:rFonts w:ascii="Arial" w:cs="Arial" w:eastAsia="Arial" w:hAnsi="Arial"/>
          <w:sz w:val="18"/>
          <w:szCs w:val="18"/>
          <w:color w:val="auto"/>
        </w:rPr>
      </w:pPr>
    </w:p>
    <w:p>
      <w:pPr>
        <w:ind w:left="-8" w:right="80" w:firstLine="8"/>
        <w:spacing w:after="0" w:line="259" w:lineRule="auto"/>
        <w:tabs>
          <w:tab w:leader="none" w:pos="757"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WAIVER OF CLAIMS TO TRUST ACCOUNT</w:t>
      </w:r>
      <w:r>
        <w:rPr>
          <w:rFonts w:ascii="Arial" w:cs="Arial" w:eastAsia="Arial" w:hAnsi="Arial"/>
          <w:sz w:val="18"/>
          <w:szCs w:val="18"/>
          <w:color w:val="auto"/>
        </w:rPr>
        <w:t>. Indemnitee hereby agrees that it does not have any right, title, interest or claim of any kind (each, a “Claim”)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65" w:name="page266"/>
    <w:bookmarkEnd w:id="265"/>
    <w:p>
      <w:pPr>
        <w:ind w:left="-8" w:firstLine="8"/>
        <w:spacing w:after="0" w:line="272" w:lineRule="auto"/>
        <w:tabs>
          <w:tab w:leader="none" w:pos="757"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color w:val="auto"/>
        </w:rPr>
        <w:t>IN WITNESS WHEREOF, the parties hereto have caused this Indemnity Agreement to be signed as of the day and year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Malcolm S. McDermid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Malcolm S. McDermid</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908" w:right="839" w:bottom="1440" w:gutter="0" w:footer="0" w:header="0"/>
        </w:sectPr>
      </w:pPr>
    </w:p>
    <w:bookmarkStart w:id="267" w:name="page268"/>
    <w:bookmarkEnd w:id="267"/>
    <w:p>
      <w:pPr>
        <w:jc w:val="right"/>
        <w:spacing w:after="0"/>
        <w:rPr>
          <w:sz w:val="20"/>
          <w:szCs w:val="20"/>
          <w:color w:val="auto"/>
        </w:rPr>
      </w:pPr>
      <w:r>
        <w:rPr>
          <w:rFonts w:ascii="Arial" w:cs="Arial" w:eastAsia="Arial" w:hAnsi="Arial"/>
          <w:sz w:val="22"/>
          <w:szCs w:val="22"/>
          <w:b w:val="1"/>
          <w:bCs w:val="1"/>
          <w:color w:val="auto"/>
        </w:rPr>
        <w:t>Exhibit 10.12</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5" w:lineRule="exact"/>
        <w:rPr>
          <w:sz w:val="20"/>
          <w:szCs w:val="20"/>
          <w:color w:val="auto"/>
        </w:rPr>
      </w:pPr>
    </w:p>
    <w:p>
      <w:pPr>
        <w:ind w:right="480" w:firstLine="1296"/>
        <w:spacing w:after="0" w:line="282" w:lineRule="auto"/>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July 29, 2020 by and between Churchill Capital Corp IV,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Karen G. Mills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1296"/>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it is reasonable, prudent and necessary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contractually to obligate itself to indemnify, hold harmless, exonerate and to advance expenses on behalf of, persons who serve the Company and its direct and indirect subsidiaries (collectively, the “</w:t>
      </w:r>
      <w:r>
        <w:rPr>
          <w:rFonts w:ascii="Arial" w:cs="Arial" w:eastAsia="Arial" w:hAnsi="Arial"/>
          <w:sz w:val="17"/>
          <w:szCs w:val="17"/>
          <w:u w:val="single" w:color="auto"/>
          <w:color w:val="auto"/>
        </w:rPr>
        <w:t>Company Group</w:t>
      </w:r>
      <w:r>
        <w:rPr>
          <w:rFonts w:ascii="Arial" w:cs="Arial" w:eastAsia="Arial" w:hAnsi="Arial"/>
          <w:sz w:val="17"/>
          <w:szCs w:val="17"/>
          <w:color w:val="auto"/>
        </w:rPr>
        <w:t>”) to the fullest extent permitted by applicable law;</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this Agreement is a supplement to and in furtherance of the Amended and Restated Certificate of Incorporation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and the Bylaws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and any resolutions adopted pursuant thereto, and shall not be deemed a substitute therefor, nor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diminish or abrogate any rights of Indemnitee thereunder;</w:t>
      </w:r>
    </w:p>
    <w:p>
      <w:pPr>
        <w:spacing w:after="0" w:line="207" w:lineRule="exact"/>
        <w:rPr>
          <w:sz w:val="20"/>
          <w:szCs w:val="20"/>
          <w:color w:val="auto"/>
        </w:rPr>
      </w:pPr>
    </w:p>
    <w:p>
      <w:pPr>
        <w:ind w:right="60"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desires Indemnitee to serve in such capacity. Indemnitee is willing to serve, continue to serve and to take on additional service for or on behalf of the Company on the condition that Indemnitee be so indemnified; and</w:t>
      </w:r>
    </w:p>
    <w:p>
      <w:pPr>
        <w:spacing w:after="0" w:line="176" w:lineRule="exact"/>
        <w:rPr>
          <w:sz w:val="20"/>
          <w:szCs w:val="20"/>
          <w:color w:val="auto"/>
        </w:rPr>
      </w:pPr>
    </w:p>
    <w:p>
      <w:pPr>
        <w:ind w:right="340" w:firstLine="129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and subject to the provisions of the letter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July 29, 2020, the Company and Indemnitee do hereby covenant 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20" w:firstLine="8"/>
        <w:spacing w:after="0" w:line="254" w:lineRule="auto"/>
        <w:tabs>
          <w:tab w:leader="none" w:pos="675"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 consideration of the Company’s covenants and obligations hereunder, Indemnitee will serve or continue to serve as an officer, director, advisor, key employee or any other capacity of any member of the Company Group,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any member of the Company Group, as provided in Section 17. This Agreement, however, shall not impose any obligation on Indemnitee or the Company to continue Indemnitee’s service to the Company Group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8" w:name="page269"/>
    <w:bookmarkEnd w:id="268"/>
    <w:p>
      <w:pPr>
        <w:ind w:left="680" w:hanging="672"/>
        <w:spacing w:after="0"/>
        <w:tabs>
          <w:tab w:leader="none" w:pos="68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225" w:lineRule="exact"/>
        <w:rPr>
          <w:rFonts w:ascii="Arial" w:cs="Arial" w:eastAsia="Arial" w:hAnsi="Arial"/>
          <w:sz w:val="18"/>
          <w:szCs w:val="18"/>
          <w:color w:val="auto"/>
        </w:rPr>
      </w:pPr>
    </w:p>
    <w:p>
      <w:pPr>
        <w:ind w:right="140" w:firstLine="656"/>
        <w:spacing w:after="0" w:line="279" w:lineRule="auto"/>
        <w:tabs>
          <w:tab w:leader="none" w:pos="1387" w:val="left"/>
        </w:tabs>
        <w:numPr>
          <w:ilvl w:val="1"/>
          <w:numId w:val="318"/>
        </w:numPr>
        <w:rPr>
          <w:rFonts w:ascii="Arial" w:cs="Arial" w:eastAsia="Arial" w:hAnsi="Arial"/>
          <w:sz w:val="17"/>
          <w:szCs w:val="17"/>
          <w:color w:val="auto"/>
        </w:rPr>
      </w:pPr>
      <w:r>
        <w:rPr>
          <w:rFonts w:ascii="Arial" w:cs="Arial" w:eastAsia="Arial" w:hAnsi="Arial"/>
          <w:sz w:val="17"/>
          <w:szCs w:val="17"/>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1" w:lineRule="exact"/>
        <w:rPr>
          <w:rFonts w:ascii="Arial" w:cs="Arial" w:eastAsia="Arial" w:hAnsi="Arial"/>
          <w:sz w:val="17"/>
          <w:szCs w:val="17"/>
          <w:color w:val="auto"/>
        </w:rPr>
      </w:pPr>
    </w:p>
    <w:p>
      <w:pPr>
        <w:ind w:right="440" w:firstLine="656"/>
        <w:spacing w:after="0" w:line="277" w:lineRule="auto"/>
        <w:tabs>
          <w:tab w:leader="none" w:pos="1397"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events:</w:t>
      </w:r>
    </w:p>
    <w:p>
      <w:pPr>
        <w:spacing w:after="0" w:line="210" w:lineRule="exact"/>
        <w:rPr>
          <w:rFonts w:ascii="Arial" w:cs="Arial" w:eastAsia="Arial" w:hAnsi="Arial"/>
          <w:sz w:val="17"/>
          <w:szCs w:val="17"/>
          <w:color w:val="auto"/>
        </w:rPr>
      </w:pPr>
    </w:p>
    <w:p>
      <w:pPr>
        <w:ind w:right="160" w:firstLine="1304"/>
        <w:spacing w:after="0" w:line="273" w:lineRule="auto"/>
        <w:tabs>
          <w:tab w:leader="none" w:pos="2006" w:val="left"/>
        </w:tabs>
        <w:numPr>
          <w:ilvl w:val="2"/>
          <w:numId w:val="318"/>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an affiliate of Churchill Sponsor IV LLC (the “</w:t>
      </w:r>
      <w:r>
        <w:rPr>
          <w:rFonts w:ascii="Arial" w:cs="Arial" w:eastAsia="Arial" w:hAnsi="Arial"/>
          <w:sz w:val="17"/>
          <w:szCs w:val="17"/>
          <w:u w:val="single" w:color="auto"/>
          <w:color w:val="auto"/>
        </w:rPr>
        <w:t>Sponsor</w:t>
      </w:r>
      <w:r>
        <w:rPr>
          <w:rFonts w:ascii="Arial" w:cs="Arial" w:eastAsia="Arial" w:hAnsi="Arial"/>
          <w:sz w:val="17"/>
          <w:szCs w:val="17"/>
          <w:color w:val="auto"/>
        </w:rPr>
        <w:t>”),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ind w:right="60" w:firstLine="1304"/>
        <w:spacing w:after="0" w:line="259" w:lineRule="auto"/>
        <w:tabs>
          <w:tab w:leader="none" w:pos="2056" w:val="left"/>
        </w:tabs>
        <w:numPr>
          <w:ilvl w:val="2"/>
          <w:numId w:val="318"/>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appointment by the Board or nomination for election by the Company’s stockholders was approved by a vote of at least two thirds of the directors then still in office who were directors on the date hereof or whose appointment or nomination for election was previously so approved (collectively, the “</w:t>
      </w:r>
      <w:r>
        <w:rPr>
          <w:rFonts w:ascii="Arial" w:cs="Arial" w:eastAsia="Arial" w:hAnsi="Arial"/>
          <w:sz w:val="18"/>
          <w:szCs w:val="18"/>
          <w:u w:val="single" w:color="auto"/>
          <w:color w:val="auto"/>
        </w:rPr>
        <w:t>Continuing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cease for any reason to constitute a majority of the members of the Board;</w:t>
      </w:r>
    </w:p>
    <w:p>
      <w:pPr>
        <w:spacing w:after="0" w:line="186" w:lineRule="exact"/>
        <w:rPr>
          <w:rFonts w:ascii="Arial" w:cs="Arial" w:eastAsia="Arial" w:hAnsi="Arial"/>
          <w:sz w:val="18"/>
          <w:szCs w:val="18"/>
          <w:color w:val="auto"/>
        </w:rPr>
      </w:pPr>
    </w:p>
    <w:p>
      <w:pPr>
        <w:ind w:firstLine="1304"/>
        <w:spacing w:after="0" w:line="268" w:lineRule="auto"/>
        <w:tabs>
          <w:tab w:leader="none" w:pos="2106" w:val="left"/>
        </w:tabs>
        <w:numPr>
          <w:ilvl w:val="2"/>
          <w:numId w:val="318"/>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of the Company entitled to vote generally in the election of directors immediately prior to such Business Combination beneficially own, directly or indirectly, more than 51% of the combined voting power of the then outstanding securities of the surviving or resulting entity or the ultimate parent entity that controls such surviving or resulting entity (the “</w:t>
      </w:r>
      <w:r>
        <w:rPr>
          <w:rFonts w:ascii="Arial" w:cs="Arial" w:eastAsia="Arial" w:hAnsi="Arial"/>
          <w:sz w:val="17"/>
          <w:szCs w:val="17"/>
          <w:u w:val="single" w:color="auto"/>
          <w:color w:val="auto"/>
        </w:rPr>
        <w:t>Successor</w:t>
      </w:r>
      <w:r>
        <w:rPr>
          <w:rFonts w:ascii="Arial" w:cs="Arial" w:eastAsia="Arial" w:hAnsi="Arial"/>
          <w:sz w:val="17"/>
          <w:szCs w:val="17"/>
          <w:color w:val="auto"/>
        </w:rPr>
        <w:t>”) entitled to vote generally in the election of directors of the Successor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Company, no Person (excluding any corporation resulting from such Business Combination) is the Beneficial Owner, directly or indirectly, of 15% or more of the combined voting power of the then outstanding securities entitled to vote generally in the election of directors of the successor except to the extent that such Person was the Beneficial Owner, directly or indirectly, of 15% or more of the combined voting power of the Company prior to such Business Combination; and (3) a majority of the board of directors (or comparable governing body) of the Successor were Continuing Directors at the time of the execution of the initial agreement, or of the action of the Board of Directors, providing for such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ind w:left="-160" w:firstLine="1304"/>
        <w:spacing w:after="0" w:line="259" w:lineRule="auto"/>
        <w:tabs>
          <w:tab w:leader="none" w:pos="1935"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160" w:right="420" w:firstLine="1304"/>
        <w:spacing w:after="0" w:line="286" w:lineRule="auto"/>
        <w:tabs>
          <w:tab w:leader="none" w:pos="1885" w:val="left"/>
        </w:tabs>
        <w:numPr>
          <w:ilvl w:val="1"/>
          <w:numId w:val="319"/>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65" w:lineRule="exact"/>
        <w:rPr>
          <w:rFonts w:ascii="Arial" w:cs="Arial" w:eastAsia="Arial" w:hAnsi="Arial"/>
          <w:sz w:val="17"/>
          <w:szCs w:val="17"/>
          <w:color w:val="auto"/>
        </w:rPr>
      </w:pPr>
    </w:p>
    <w:p>
      <w:pPr>
        <w:ind w:left="-160" w:right="20" w:firstLine="656"/>
        <w:spacing w:after="0" w:line="263" w:lineRule="auto"/>
        <w:tabs>
          <w:tab w:leader="none" w:pos="123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1240" w:hanging="744"/>
        <w:spacing w:after="0"/>
        <w:tabs>
          <w:tab w:leader="none" w:pos="12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left="-160" w:right="80" w:firstLine="656"/>
        <w:spacing w:after="0" w:line="277" w:lineRule="auto"/>
        <w:tabs>
          <w:tab w:leader="none" w:pos="120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160" w:right="140" w:firstLine="656"/>
        <w:spacing w:after="0" w:line="259" w:lineRule="auto"/>
        <w:tabs>
          <w:tab w:leader="none" w:pos="123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1240" w:hanging="744"/>
        <w:spacing w:after="0"/>
        <w:tabs>
          <w:tab w:leader="none" w:pos="12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270" w:name="page271"/>
    <w:bookmarkEnd w:id="270"/>
    <w:p>
      <w:pPr>
        <w:ind w:left="-8" w:firstLine="656"/>
        <w:spacing w:after="0" w:line="269" w:lineRule="auto"/>
        <w:tabs>
          <w:tab w:leader="none" w:pos="135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 incurred in any Proceeding by or in the right of the Company.</w:t>
      </w:r>
    </w:p>
    <w:p>
      <w:pPr>
        <w:spacing w:after="0" w:line="185" w:lineRule="exact"/>
        <w:rPr>
          <w:rFonts w:ascii="Arial" w:cs="Arial" w:eastAsia="Arial" w:hAnsi="Arial"/>
          <w:sz w:val="17"/>
          <w:szCs w:val="17"/>
          <w:color w:val="auto"/>
        </w:rPr>
      </w:pPr>
    </w:p>
    <w:p>
      <w:pPr>
        <w:ind w:left="-8" w:right="60" w:firstLine="656"/>
        <w:spacing w:after="0" w:line="255" w:lineRule="auto"/>
        <w:tabs>
          <w:tab w:leader="none" w:pos="135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u w:val="single" w:color="auto"/>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ind w:left="-8" w:right="60" w:firstLine="656"/>
        <w:spacing w:after="0" w:line="287" w:lineRule="auto"/>
        <w:tabs>
          <w:tab w:leader="none" w:pos="1389" w:val="left"/>
        </w:tabs>
        <w:numPr>
          <w:ilvl w:val="1"/>
          <w:numId w:val="3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spacing w:after="0" w:line="2" w:lineRule="exact"/>
        <w:rPr>
          <w:rFonts w:ascii="Arial" w:cs="Arial" w:eastAsia="Arial" w:hAnsi="Arial"/>
          <w:sz w:val="16"/>
          <w:szCs w:val="16"/>
          <w:color w:val="auto"/>
        </w:rPr>
      </w:pPr>
    </w:p>
    <w:p>
      <w:pPr>
        <w:ind w:left="-8" w:right="140" w:firstLine="8"/>
        <w:spacing w:after="0" w:line="277" w:lineRule="auto"/>
        <w:tabs>
          <w:tab w:leader="none" w:pos="257"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ind w:left="-8" w:right="60" w:firstLine="656"/>
        <w:spacing w:after="0" w:line="273" w:lineRule="auto"/>
        <w:tabs>
          <w:tab w:leader="none" w:pos="135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w:t>
      </w:r>
      <w:r>
        <w:rPr>
          <w:rFonts w:ascii="Arial" w:cs="Arial" w:eastAsia="Arial" w:hAnsi="Arial"/>
          <w:sz w:val="17"/>
          <w:szCs w:val="17"/>
          <w:u w:val="single" w:color="auto"/>
          <w:color w:val="auto"/>
        </w:rPr>
        <w:t>Person</w:t>
      </w:r>
      <w:r>
        <w:rPr>
          <w:rFonts w:ascii="Arial" w:cs="Arial" w:eastAsia="Arial" w:hAnsi="Arial"/>
          <w:sz w:val="17"/>
          <w:szCs w:val="17"/>
          <w:color w:val="auto"/>
        </w:rPr>
        <w:t>”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3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71" w:name="page272"/>
    <w:bookmarkEnd w:id="271"/>
    <w:p>
      <w:pPr>
        <w:ind w:left="-8" w:right="20" w:firstLine="656"/>
        <w:spacing w:after="0" w:line="273" w:lineRule="auto"/>
        <w:tabs>
          <w:tab w:leader="none" w:pos="1439" w:val="left"/>
        </w:tabs>
        <w:numPr>
          <w:ilvl w:val="1"/>
          <w:numId w:val="32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of Indemnitee’s Corporate Status, whether or not serving in such capacity at the time any liability or expense is incurred for which indemnification, reimbursement, or advancement of expenses can be provided under this Agreement but shall not include any Enforcement Proceeding pursuant to Section 14.</w:t>
      </w:r>
    </w:p>
    <w:p>
      <w:pPr>
        <w:spacing w:after="0" w:line="177" w:lineRule="exact"/>
        <w:rPr>
          <w:rFonts w:ascii="Arial" w:cs="Arial" w:eastAsia="Arial" w:hAnsi="Arial"/>
          <w:sz w:val="17"/>
          <w:szCs w:val="17"/>
          <w:color w:val="auto"/>
        </w:rPr>
      </w:pPr>
    </w:p>
    <w:p>
      <w:pPr>
        <w:ind w:left="-8" w:right="80" w:firstLine="656"/>
        <w:spacing w:after="0" w:line="342" w:lineRule="auto"/>
        <w:tabs>
          <w:tab w:leader="none" w:pos="1389" w:val="left"/>
        </w:tabs>
        <w:numPr>
          <w:ilvl w:val="1"/>
          <w:numId w:val="32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Subsidiary</w:t>
      </w:r>
      <w:r>
        <w:rPr>
          <w:rFonts w:ascii="Arial" w:cs="Arial" w:eastAsia="Arial" w:hAnsi="Arial"/>
          <w:sz w:val="16"/>
          <w:szCs w:val="16"/>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23" w:lineRule="exact"/>
        <w:rPr>
          <w:rFonts w:ascii="Arial" w:cs="Arial" w:eastAsia="Arial" w:hAnsi="Arial"/>
          <w:sz w:val="16"/>
          <w:szCs w:val="16"/>
          <w:color w:val="auto"/>
        </w:rPr>
      </w:pPr>
    </w:p>
    <w:p>
      <w:pPr>
        <w:ind w:left="-8" w:right="120" w:firstLine="8"/>
        <w:spacing w:after="0" w:line="271" w:lineRule="auto"/>
        <w:tabs>
          <w:tab w:leader="none" w:pos="667"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To the fullest 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(including all interest, assessments and other charges paid or payable in connection with or in respect of such Expenses) actually and reasonably incurred by Indemnitee or on Indemnitee’s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Indemnitee’s conduct was unlawful.</w:t>
      </w:r>
    </w:p>
    <w:p>
      <w:pPr>
        <w:spacing w:after="0" w:line="178" w:lineRule="exact"/>
        <w:rPr>
          <w:rFonts w:ascii="Arial" w:cs="Arial" w:eastAsia="Arial" w:hAnsi="Arial"/>
          <w:sz w:val="17"/>
          <w:szCs w:val="17"/>
          <w:color w:val="auto"/>
        </w:rPr>
      </w:pPr>
    </w:p>
    <w:p>
      <w:pPr>
        <w:ind w:left="-8" w:firstLine="8"/>
        <w:spacing w:after="0" w:line="288" w:lineRule="auto"/>
        <w:tabs>
          <w:tab w:leader="none" w:pos="667"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72" w:name="page273"/>
    <w:bookmarkEnd w:id="272"/>
    <w:p>
      <w:pPr>
        <w:ind w:left="-8" w:right="80" w:firstLine="8"/>
        <w:spacing w:after="0" w:line="287" w:lineRule="auto"/>
        <w:tabs>
          <w:tab w:leader="none" w:pos="667"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except for Section 27, to the extent that Indemnitee was or is, by reason of Indemnitee’s Corporate Status, a party to (or a participant in) and is successful, on the merits or otherwise, in defending any Proceeding or in defense of any claim, issue or matter therein, in whole or in part, the defending Company shall, to the fullest extent permitted by applicable law, indemnify, hold harmless and exonerate Indemnitee against all Expenses actually and reasonably incurred by Indemnitee in connection therewith. If Indemnitee is not wholly successful in defense of such Proceeding (or part thereof) but is successful, on the merits or otherwise, in defense of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defense of such Proceeding (or part thereof),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and without limitation, the termination of any claim, issue or matter in such a Proceeding by dismissal, with or without prejudice, shall be deemed to be a successful result as to the defense of such claim, issue or matter.</w:t>
      </w:r>
    </w:p>
    <w:p>
      <w:pPr>
        <w:spacing w:after="0" w:line="167" w:lineRule="exact"/>
        <w:rPr>
          <w:rFonts w:ascii="Arial" w:cs="Arial" w:eastAsia="Arial" w:hAnsi="Arial"/>
          <w:sz w:val="16"/>
          <w:szCs w:val="16"/>
          <w:color w:val="auto"/>
        </w:rPr>
      </w:pPr>
    </w:p>
    <w:p>
      <w:pPr>
        <w:ind w:left="-8" w:right="180" w:firstLine="8"/>
        <w:spacing w:after="0" w:line="279" w:lineRule="auto"/>
        <w:tabs>
          <w:tab w:leader="none" w:pos="667"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except for Section 27, to the extent that Indemnitee is, by reason of Indemnitee’s Corporate Status, a witness or deponent in any Proceeding to which Indemnitee was not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71" w:lineRule="exact"/>
        <w:rPr>
          <w:rFonts w:ascii="Arial" w:cs="Arial" w:eastAsia="Arial" w:hAnsi="Arial"/>
          <w:sz w:val="17"/>
          <w:szCs w:val="17"/>
          <w:color w:val="auto"/>
        </w:rPr>
      </w:pPr>
    </w:p>
    <w:p>
      <w:pPr>
        <w:ind w:left="-8" w:firstLine="8"/>
        <w:spacing w:after="0" w:line="255" w:lineRule="auto"/>
        <w:tabs>
          <w:tab w:leader="none" w:pos="667"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ADDITIONAL INDEMNIFICATION, HOLD HARMLESS AND EXONERATION RIGHTS</w:t>
      </w:r>
      <w:r>
        <w:rPr>
          <w:rFonts w:ascii="Arial" w:cs="Arial" w:eastAsia="Arial" w:hAnsi="Arial"/>
          <w:sz w:val="18"/>
          <w:szCs w:val="18"/>
          <w:color w:val="auto"/>
        </w:rPr>
        <w:t>. Notwithstanding any limitation in Sections 3, 4, or 5, except for Section 27, the Company shall, to the fullest extent permitted by applicable law, indemnify, hold harmless and exonerate Indemnitee if Indemnitee is a party to or threatened to be made a party to any Proceeding against all Expenses and judgments, fines, penalties and amounts paid in settlement in any Proceeding by or in the right of the Company to procure a judgment in its favor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73" w:name="page274"/>
    <w:bookmarkEnd w:id="273"/>
    <w:p>
      <w:pPr>
        <w:ind w:left="672" w:hanging="672"/>
        <w:spacing w:after="0"/>
        <w:tabs>
          <w:tab w:leader="none" w:pos="672"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CONTRIBUTION IN THE EVENT OF JOINT 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00" w:firstLine="656"/>
        <w:spacing w:after="0" w:line="296" w:lineRule="auto"/>
        <w:tabs>
          <w:tab w:leader="none" w:pos="1379"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8" w:right="120" w:firstLine="656"/>
        <w:spacing w:after="0" w:line="308" w:lineRule="auto"/>
        <w:tabs>
          <w:tab w:leader="none" w:pos="1389"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46" w:lineRule="exact"/>
        <w:rPr>
          <w:rFonts w:ascii="Arial" w:cs="Arial" w:eastAsia="Arial" w:hAnsi="Arial"/>
          <w:sz w:val="17"/>
          <w:szCs w:val="17"/>
          <w:color w:val="auto"/>
        </w:rPr>
      </w:pPr>
    </w:p>
    <w:p>
      <w:pPr>
        <w:ind w:left="-8" w:right="120" w:firstLine="656"/>
        <w:spacing w:after="0" w:line="277" w:lineRule="auto"/>
        <w:tabs>
          <w:tab w:leader="none" w:pos="1379"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70" w:lineRule="exact"/>
        <w:rPr>
          <w:rFonts w:ascii="Arial" w:cs="Arial" w:eastAsia="Arial" w:hAnsi="Arial"/>
          <w:sz w:val="18"/>
          <w:szCs w:val="18"/>
          <w:color w:val="auto"/>
        </w:rPr>
      </w:pPr>
    </w:p>
    <w:p>
      <w:pPr>
        <w:ind w:left="-8" w:right="540" w:firstLine="8"/>
        <w:spacing w:after="0" w:line="308" w:lineRule="auto"/>
        <w:tabs>
          <w:tab w:leader="none" w:pos="667"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the Company shall not be obligated under this Agreement to make any indemnification, advance expenses, hold harmless or exoneration payment in connection with any claim made against Indemnitee:</w:t>
      </w:r>
    </w:p>
    <w:p>
      <w:pPr>
        <w:spacing w:after="0" w:line="146" w:lineRule="exact"/>
        <w:rPr>
          <w:rFonts w:ascii="Arial" w:cs="Arial" w:eastAsia="Arial" w:hAnsi="Arial"/>
          <w:sz w:val="17"/>
          <w:szCs w:val="17"/>
          <w:color w:val="auto"/>
        </w:rPr>
      </w:pPr>
    </w:p>
    <w:p>
      <w:pPr>
        <w:ind w:left="-8" w:right="360" w:firstLine="656"/>
        <w:spacing w:after="0" w:line="263" w:lineRule="auto"/>
        <w:tabs>
          <w:tab w:leader="none" w:pos="1379" w:val="left"/>
        </w:tabs>
        <w:numPr>
          <w:ilvl w:val="1"/>
          <w:numId w:val="326"/>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83" w:lineRule="exact"/>
        <w:rPr>
          <w:rFonts w:ascii="Arial" w:cs="Arial" w:eastAsia="Arial" w:hAnsi="Arial"/>
          <w:sz w:val="18"/>
          <w:szCs w:val="18"/>
          <w:color w:val="auto"/>
        </w:rPr>
      </w:pPr>
    </w:p>
    <w:p>
      <w:pPr>
        <w:ind w:left="-8" w:right="40" w:firstLine="656"/>
        <w:spacing w:after="0" w:line="308" w:lineRule="auto"/>
        <w:tabs>
          <w:tab w:leader="none" w:pos="1389" w:val="left"/>
        </w:tabs>
        <w:numPr>
          <w:ilvl w:val="1"/>
          <w:numId w:val="326"/>
        </w:numPr>
        <w:rPr>
          <w:rFonts w:ascii="Arial" w:cs="Arial" w:eastAsia="Arial" w:hAnsi="Arial"/>
          <w:sz w:val="17"/>
          <w:szCs w:val="17"/>
          <w:color w:val="auto"/>
        </w:rPr>
      </w:pPr>
      <w:r>
        <w:rPr>
          <w:rFonts w:ascii="Arial" w:cs="Arial" w:eastAsia="Arial" w:hAnsi="Arial"/>
          <w:sz w:val="17"/>
          <w:szCs w:val="17"/>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46" w:lineRule="exact"/>
        <w:rPr>
          <w:rFonts w:ascii="Arial" w:cs="Arial" w:eastAsia="Arial" w:hAnsi="Arial"/>
          <w:sz w:val="17"/>
          <w:szCs w:val="17"/>
          <w:color w:val="auto"/>
        </w:rPr>
      </w:pPr>
    </w:p>
    <w:p>
      <w:pPr>
        <w:ind w:left="-8" w:firstLine="656"/>
        <w:spacing w:after="0" w:line="273" w:lineRule="auto"/>
        <w:tabs>
          <w:tab w:leader="none" w:pos="1379" w:val="left"/>
        </w:tabs>
        <w:numPr>
          <w:ilvl w:val="1"/>
          <w:numId w:val="326"/>
        </w:numPr>
        <w:rPr>
          <w:rFonts w:ascii="Arial" w:cs="Arial" w:eastAsia="Arial" w:hAnsi="Arial"/>
          <w:sz w:val="17"/>
          <w:szCs w:val="17"/>
          <w:color w:val="auto"/>
        </w:rPr>
      </w:pPr>
      <w:r>
        <w:rPr>
          <w:rFonts w:ascii="Arial" w:cs="Arial" w:eastAsia="Arial" w:hAnsi="Arial"/>
          <w:sz w:val="17"/>
          <w:szCs w:val="17"/>
          <w:color w:val="auto"/>
        </w:rPr>
        <w:t>except as otherwise provided in Sections 14(f)-(g)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39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274" w:name="page275"/>
    <w:bookmarkEnd w:id="274"/>
    <w:p>
      <w:pPr>
        <w:ind w:left="772" w:hanging="772"/>
        <w:spacing w:after="0"/>
        <w:tabs>
          <w:tab w:leader="none" w:pos="772"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ADVANCES OF EXPENSES; DEFENSE OF CLAIM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87" w:lineRule="auto"/>
        <w:tabs>
          <w:tab w:leader="none" w:pos="1379" w:val="left"/>
        </w:tabs>
        <w:numPr>
          <w:ilvl w:val="1"/>
          <w:numId w:val="327"/>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except for Section 27, and to the fullest extent not prohibited by applicable law, the Company shall pay the Expenses incurred by Indemnitee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an Enforcement Proceeding (assuming for this purpose all references to a “Proceeding” in the definition of Expenses were deemed related to an Enforcement Proceeding), including Expenses incurred preparing and forwarding statements to the Company to support the advances claimed. This Agreement shall constitute Indemnitee’s undertaking to repay the advanced amounts to the extent that it is ultimately determined that Indemnitee is not entitled to be indemnified, held harmless or exonerated by the Company under the provisions of this Agreement, the Charter, the Bylaws of the Company, applicable law or otherwise, but only if such an undertaking is required by applicable law. This Section 10(a) shall not apply to any Proceeding for which indemnity is not permitted under Section 9 of this Agreement, but shall apply to any Proceeding referenced in Section 9(b) prior to a final determination that Indemnitee is liable therefor.</w:t>
      </w:r>
    </w:p>
    <w:p>
      <w:pPr>
        <w:spacing w:after="0" w:line="167" w:lineRule="exact"/>
        <w:rPr>
          <w:rFonts w:ascii="Arial" w:cs="Arial" w:eastAsia="Arial" w:hAnsi="Arial"/>
          <w:sz w:val="16"/>
          <w:szCs w:val="16"/>
          <w:color w:val="auto"/>
        </w:rPr>
      </w:pPr>
    </w:p>
    <w:p>
      <w:pPr>
        <w:ind w:left="1392" w:hanging="744"/>
        <w:spacing w:after="0"/>
        <w:tabs>
          <w:tab w:leader="none" w:pos="139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8" w:right="180" w:firstLine="656"/>
        <w:spacing w:after="0" w:line="277" w:lineRule="auto"/>
        <w:tabs>
          <w:tab w:leader="none" w:pos="1379"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170" w:lineRule="exact"/>
        <w:rPr>
          <w:rFonts w:ascii="Arial" w:cs="Arial" w:eastAsia="Arial" w:hAnsi="Arial"/>
          <w:sz w:val="18"/>
          <w:szCs w:val="18"/>
          <w:color w:val="auto"/>
        </w:rPr>
      </w:pPr>
    </w:p>
    <w:p>
      <w:pPr>
        <w:ind w:left="752" w:hanging="752"/>
        <w:spacing w:after="0"/>
        <w:tabs>
          <w:tab w:leader="none" w:pos="752"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PROCEDURE FOR NOTIFICATION AND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20" w:firstLine="656"/>
        <w:spacing w:after="0" w:line="259" w:lineRule="auto"/>
        <w:tabs>
          <w:tab w:leader="none" w:pos="1379"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86" w:lineRule="exact"/>
        <w:rPr>
          <w:rFonts w:ascii="Arial" w:cs="Arial" w:eastAsia="Arial" w:hAnsi="Arial"/>
          <w:sz w:val="18"/>
          <w:szCs w:val="18"/>
          <w:color w:val="auto"/>
        </w:rPr>
      </w:pPr>
    </w:p>
    <w:p>
      <w:pPr>
        <w:ind w:left="-8" w:right="120" w:firstLine="656"/>
        <w:spacing w:after="0" w:line="259" w:lineRule="auto"/>
        <w:tabs>
          <w:tab w:leader="none" w:pos="1389"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sole discretion. Following such a written application for indemnification by Indemnitee, Indemnitee’s entitlement to indemnification shall be determined according to Section 12(a) of this Agreement.</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275" w:name="page276"/>
    <w:bookmarkEnd w:id="275"/>
    <w:p>
      <w:pPr>
        <w:ind w:left="772" w:hanging="772"/>
        <w:spacing w:after="0"/>
        <w:tabs>
          <w:tab w:leader="none" w:pos="772"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328"/>
        </w:numPr>
        <w:rPr>
          <w:rFonts w:ascii="Arial" w:cs="Arial" w:eastAsia="Arial" w:hAnsi="Arial"/>
          <w:sz w:val="17"/>
          <w:szCs w:val="17"/>
          <w:color w:val="auto"/>
        </w:rPr>
      </w:pPr>
      <w:r>
        <w:rPr>
          <w:rFonts w:ascii="Arial" w:cs="Arial" w:eastAsia="Arial" w:hAnsi="Arial"/>
          <w:sz w:val="17"/>
          <w:szCs w:val="17"/>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directors so direct, by Independent Counsel in a written opinion to the Board, a copy of which shall be delivered to Indemnitee, or (ii) if a Change in Control has occurred, by Independent Counsel in a written opinion to the Board, a copy of which shall be delivered to the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4" w:lineRule="exact"/>
        <w:rPr>
          <w:rFonts w:ascii="Arial" w:cs="Arial" w:eastAsia="Arial" w:hAnsi="Arial"/>
          <w:sz w:val="17"/>
          <w:szCs w:val="17"/>
          <w:color w:val="auto"/>
        </w:rPr>
      </w:pPr>
    </w:p>
    <w:p>
      <w:pPr>
        <w:ind w:left="-8" w:right="20" w:firstLine="656"/>
        <w:spacing w:after="0" w:line="285" w:lineRule="auto"/>
        <w:tabs>
          <w:tab w:leader="none" w:pos="1389" w:val="left"/>
        </w:tabs>
        <w:numPr>
          <w:ilvl w:val="1"/>
          <w:numId w:val="328"/>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76" w:name="page277"/>
    <w:bookmarkEnd w:id="276"/>
    <w:p>
      <w:pPr>
        <w:ind w:left="-8" w:right="160" w:firstLine="656"/>
        <w:spacing w:after="0" w:line="263" w:lineRule="auto"/>
        <w:tabs>
          <w:tab w:leader="none" w:pos="1379"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3" w:lineRule="exact"/>
        <w:rPr>
          <w:rFonts w:ascii="Arial" w:cs="Arial" w:eastAsia="Arial" w:hAnsi="Arial"/>
          <w:sz w:val="18"/>
          <w:szCs w:val="18"/>
          <w:color w:val="auto"/>
        </w:rPr>
      </w:pPr>
    </w:p>
    <w:p>
      <w:pPr>
        <w:ind w:left="772" w:hanging="772"/>
        <w:spacing w:after="0"/>
        <w:tabs>
          <w:tab w:leader="none" w:pos="772"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71" w:lineRule="auto"/>
        <w:tabs>
          <w:tab w:leader="none" w:pos="1379" w:val="left"/>
        </w:tabs>
        <w:numPr>
          <w:ilvl w:val="1"/>
          <w:numId w:val="330"/>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left="-8" w:right="40" w:firstLine="656"/>
        <w:spacing w:after="0" w:line="271" w:lineRule="auto"/>
        <w:tabs>
          <w:tab w:leader="none" w:pos="1389" w:val="left"/>
        </w:tabs>
        <w:numPr>
          <w:ilvl w:val="1"/>
          <w:numId w:val="330"/>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77" w:name="page278"/>
    <w:bookmarkEnd w:id="277"/>
    <w:p>
      <w:pPr>
        <w:ind w:left="-8" w:right="20" w:firstLine="656"/>
        <w:spacing w:after="0" w:line="257" w:lineRule="auto"/>
        <w:tabs>
          <w:tab w:leader="none" w:pos="1379"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8" w:right="60" w:firstLine="656"/>
        <w:spacing w:after="0" w:line="290" w:lineRule="auto"/>
        <w:tabs>
          <w:tab w:leader="none" w:pos="1389" w:val="left"/>
        </w:tabs>
        <w:numPr>
          <w:ilvl w:val="1"/>
          <w:numId w:val="331"/>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65" w:lineRule="exact"/>
        <w:rPr>
          <w:rFonts w:ascii="Arial" w:cs="Arial" w:eastAsia="Arial" w:hAnsi="Arial"/>
          <w:sz w:val="16"/>
          <w:szCs w:val="16"/>
          <w:color w:val="auto"/>
        </w:rPr>
      </w:pPr>
    </w:p>
    <w:p>
      <w:pPr>
        <w:ind w:left="-8" w:right="280" w:firstLine="656"/>
        <w:spacing w:after="0" w:line="342" w:lineRule="auto"/>
        <w:tabs>
          <w:tab w:leader="none" w:pos="1379"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23" w:lineRule="exact"/>
        <w:rPr>
          <w:rFonts w:ascii="Arial" w:cs="Arial" w:eastAsia="Arial" w:hAnsi="Arial"/>
          <w:sz w:val="16"/>
          <w:szCs w:val="16"/>
          <w:color w:val="auto"/>
        </w:rPr>
      </w:pPr>
    </w:p>
    <w:p>
      <w:pPr>
        <w:ind w:left="772" w:hanging="772"/>
        <w:spacing w:after="0"/>
        <w:tabs>
          <w:tab w:leader="none" w:pos="772"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8" w:lineRule="auto"/>
        <w:tabs>
          <w:tab w:leader="none" w:pos="1379" w:val="left"/>
        </w:tabs>
        <w:numPr>
          <w:ilvl w:val="1"/>
          <w:numId w:val="332"/>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 Such adjudication or arbitration proceeding is referred to herein as “Enforcement Proceeding.”</w:t>
      </w:r>
    </w:p>
    <w:p>
      <w:pPr>
        <w:spacing w:after="0" w:line="200" w:lineRule="exact"/>
        <w:rPr>
          <w:sz w:val="20"/>
          <w:szCs w:val="20"/>
          <w:color w:val="auto"/>
        </w:rPr>
      </w:pP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78" w:name="page279"/>
    <w:bookmarkEnd w:id="278"/>
    <w:p>
      <w:pPr>
        <w:ind w:right="120" w:firstLine="656"/>
        <w:spacing w:after="0" w:line="263" w:lineRule="auto"/>
        <w:tabs>
          <w:tab w:leader="none" w:pos="139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Enforcement Proceeding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ind w:firstLine="656"/>
        <w:spacing w:after="0" w:line="293" w:lineRule="auto"/>
        <w:tabs>
          <w:tab w:leader="none" w:pos="1387" w:val="left"/>
        </w:tabs>
        <w:numPr>
          <w:ilvl w:val="0"/>
          <w:numId w:val="333"/>
        </w:numPr>
        <w:rPr>
          <w:rFonts w:ascii="Arial" w:cs="Arial" w:eastAsia="Arial" w:hAnsi="Arial"/>
          <w:sz w:val="16"/>
          <w:szCs w:val="16"/>
          <w:color w:val="auto"/>
        </w:rPr>
      </w:pPr>
      <w:r>
        <w:rPr>
          <w:rFonts w:ascii="Arial" w:cs="Arial" w:eastAsia="Arial" w:hAnsi="Arial"/>
          <w:sz w:val="16"/>
          <w:szCs w:val="16"/>
          <w:color w:val="auto"/>
        </w:rPr>
        <w:t>In any Enforcement Proceeding, Indemnitee shall be presumed to be entitled to be indemnified, held harmless, exonerated and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an Enforcement Proceeding,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4" w:lineRule="exact"/>
        <w:rPr>
          <w:rFonts w:ascii="Arial" w:cs="Arial" w:eastAsia="Arial" w:hAnsi="Arial"/>
          <w:sz w:val="16"/>
          <w:szCs w:val="16"/>
          <w:color w:val="auto"/>
        </w:rPr>
      </w:pPr>
    </w:p>
    <w:p>
      <w:pPr>
        <w:ind w:firstLine="656"/>
        <w:spacing w:after="0" w:line="259" w:lineRule="auto"/>
        <w:tabs>
          <w:tab w:leader="none" w:pos="139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Enforcement Proceeding,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right="40" w:firstLine="656"/>
        <w:spacing w:after="0" w:line="263" w:lineRule="auto"/>
        <w:tabs>
          <w:tab w:leader="none" w:pos="138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Company shall be precluded from asserting in Enforcement Proceeding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right="40" w:firstLine="656"/>
        <w:spacing w:after="0" w:line="270" w:lineRule="auto"/>
        <w:tabs>
          <w:tab w:leader="none" w:pos="1368"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(assuming for purposes of this sentence that all references to a Proceeding in the definition of Expenses were references to an Enforcement Proceeding) and, if requested by Indemnitee, shall (within ten (10) days after the Company’s receipt of such written request) pay to Indemnitee, to the fullest extent permitted by applicable law, such Expenses which are incurred by Indemnitee in connection with any Enforcement Proceeding brought by Indemnitee: (i) to enforce his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Enforcement Proceeding was not brought by Indemnitee in good faith).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9" w:name="page280"/>
    <w:bookmarkEnd w:id="279"/>
    <w:p>
      <w:pPr>
        <w:ind w:firstLine="656"/>
        <w:spacing w:after="0" w:line="259" w:lineRule="auto"/>
        <w:tabs>
          <w:tab w:leader="none" w:pos="1397"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or on behalf of the Company.</w:t>
      </w:r>
    </w:p>
    <w:p>
      <w:pPr>
        <w:spacing w:after="0" w:line="186" w:lineRule="exact"/>
        <w:rPr>
          <w:rFonts w:ascii="Arial" w:cs="Arial" w:eastAsia="Arial" w:hAnsi="Arial"/>
          <w:sz w:val="18"/>
          <w:szCs w:val="18"/>
          <w:color w:val="auto"/>
        </w:rPr>
      </w:pPr>
    </w:p>
    <w:p>
      <w:pPr>
        <w:ind w:firstLine="8"/>
        <w:spacing w:after="0" w:line="259" w:lineRule="auto"/>
        <w:tabs>
          <w:tab w:leader="none" w:pos="765"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Notwithstanding anything herein to the contrary, except for Section 27,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86" w:lineRule="exact"/>
        <w:rPr>
          <w:rFonts w:ascii="Arial" w:cs="Arial" w:eastAsia="Arial" w:hAnsi="Arial"/>
          <w:sz w:val="18"/>
          <w:szCs w:val="18"/>
          <w:color w:val="auto"/>
        </w:rPr>
      </w:pPr>
    </w:p>
    <w:p>
      <w:pPr>
        <w:ind w:left="780" w:hanging="772"/>
        <w:spacing w:after="0"/>
        <w:tabs>
          <w:tab w:leader="none" w:pos="78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69" w:lineRule="auto"/>
        <w:tabs>
          <w:tab w:leader="none" w:pos="1387" w:val="left"/>
        </w:tabs>
        <w:numPr>
          <w:ilvl w:val="1"/>
          <w:numId w:val="335"/>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repeals, except as may otherwise be expressly set forth in such amendment, alteration or repeals and mutually agreed by Indemnitee and the Company.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0" w:name="page281"/>
    <w:bookmarkEnd w:id="280"/>
    <w:p>
      <w:pPr>
        <w:ind w:left="-40" w:right="20" w:firstLine="656"/>
        <w:spacing w:after="0" w:line="253" w:lineRule="auto"/>
        <w:tabs>
          <w:tab w:leader="none" w:pos="135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Delaware General Corporation Law (the “DGCL”), the Charter and the Bylaws permit the Company to purchase and maintain insurance or furnish similar protection or make other arrangements including, but not limited to, providing a trust fund, letter of credit, or surety bond (“Indemnification Arrangements”)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96" w:lineRule="exact"/>
        <w:rPr>
          <w:rFonts w:ascii="Arial" w:cs="Arial" w:eastAsia="Arial" w:hAnsi="Arial"/>
          <w:sz w:val="18"/>
          <w:szCs w:val="18"/>
          <w:color w:val="auto"/>
        </w:rPr>
      </w:pPr>
    </w:p>
    <w:p>
      <w:pPr>
        <w:ind w:left="-40" w:right="60" w:firstLine="656"/>
        <w:spacing w:after="0" w:line="270" w:lineRule="auto"/>
        <w:tabs>
          <w:tab w:leader="none" w:pos="1347"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To the extent that any member of the Company Group maintains an insurance policy or policies providing liability insurance for directors, officers, trustees, partners, managers, managing members, fiduciaries, employees, or agents of the Company Group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or cause to be taken all necessary or desirable action to cause such insurers to pay, on behalf of Indemnitee, all amounts payable as a result of such Proceeding in accordance with the terms of such policies.</w:t>
      </w:r>
    </w:p>
    <w:p>
      <w:pPr>
        <w:spacing w:after="0" w:line="180" w:lineRule="exact"/>
        <w:rPr>
          <w:rFonts w:ascii="Arial" w:cs="Arial" w:eastAsia="Arial" w:hAnsi="Arial"/>
          <w:sz w:val="17"/>
          <w:szCs w:val="17"/>
          <w:color w:val="auto"/>
        </w:rPr>
      </w:pPr>
    </w:p>
    <w:p>
      <w:pPr>
        <w:ind w:left="-40" w:firstLine="656"/>
        <w:spacing w:after="0" w:line="286" w:lineRule="auto"/>
        <w:tabs>
          <w:tab w:leader="none" w:pos="1357" w:val="left"/>
        </w:tabs>
        <w:numPr>
          <w:ilvl w:val="0"/>
          <w:numId w:val="336"/>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281" w:name="page282"/>
    <w:bookmarkEnd w:id="281"/>
    <w:p>
      <w:pPr>
        <w:ind w:left="-8" w:right="60" w:firstLine="656"/>
        <w:spacing w:after="0" w:line="284" w:lineRule="auto"/>
        <w:tabs>
          <w:tab w:leader="none" w:pos="1379" w:val="left"/>
        </w:tabs>
        <w:numPr>
          <w:ilvl w:val="1"/>
          <w:numId w:val="337"/>
        </w:numPr>
        <w:rPr>
          <w:rFonts w:ascii="Arial" w:cs="Arial" w:eastAsia="Arial" w:hAnsi="Arial"/>
          <w:sz w:val="16"/>
          <w:szCs w:val="16"/>
          <w:color w:val="auto"/>
        </w:rPr>
      </w:pPr>
      <w:r>
        <w:rPr>
          <w:rFonts w:ascii="Arial" w:cs="Arial" w:eastAsia="Arial" w:hAnsi="Arial"/>
          <w:sz w:val="16"/>
          <w:szCs w:val="16"/>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left="-8" w:right="100" w:firstLine="8"/>
        <w:spacing w:after="0" w:line="323" w:lineRule="auto"/>
        <w:tabs>
          <w:tab w:leader="none" w:pos="257"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8" w:lineRule="exact"/>
        <w:rPr>
          <w:rFonts w:ascii="Arial" w:cs="Arial" w:eastAsia="Arial" w:hAnsi="Arial"/>
          <w:sz w:val="16"/>
          <w:szCs w:val="16"/>
          <w:color w:val="auto"/>
        </w:rPr>
      </w:pPr>
    </w:p>
    <w:p>
      <w:pPr>
        <w:ind w:left="-8" w:right="20" w:firstLine="656"/>
        <w:spacing w:after="0" w:line="287" w:lineRule="auto"/>
        <w:tabs>
          <w:tab w:leader="none" w:pos="136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To the extent Indemnitee has rights to indemnification, advancement of expenses and/or insurance provided by the Sponsor or its affiliates as applicable, (i) the Company shall be the indemnitor of first resort (i.e., that its obligations to Indemnitee are primary and any obligation of the Sponsor or its affiliates, as applicable, to advance expenses or to provide indemnification for the same expenses or liabilities incurred by Indemnitee are secondary), (ii) the Company shall be required to advance the full amount of expenses incurred by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Agreement, the Company’s organizational documents or other agreement, without regard to any rights Indemnitee may have against the Sponsor or its affiliates, as applicable, and (iii) the Company irrevocably waives, relinquishes and releases the Sponsor and its affiliates, as applicable, from any and all claims against them for contribution, subrogation or any other recovery of any kind in respect thereof. No advancement or payment by the Sponsor or its affiliates, as applicable, on behalf of Indemnitee with respect to any claim for which Indemnitee has sought indemnification from the Company shall affect the foregoing, and the Sponsor and its affiliates, as applicable, shall have a right of contribution and be subrogated to the extent of such advancement or payment to all of the rights of recovery of Indemnitee against the Company.</w:t>
      </w:r>
    </w:p>
    <w:p>
      <w:pPr>
        <w:spacing w:after="0" w:line="168" w:lineRule="exact"/>
        <w:rPr>
          <w:sz w:val="20"/>
          <w:szCs w:val="20"/>
          <w:color w:val="auto"/>
        </w:rPr>
      </w:pPr>
    </w:p>
    <w:p>
      <w:pPr>
        <w:ind w:left="-8" w:firstLine="8"/>
        <w:spacing w:after="0" w:line="273" w:lineRule="auto"/>
        <w:tabs>
          <w:tab w:leader="none" w:pos="757"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All agreements and obligations of the Company contained 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or Enforcement Proceeding (including any rights of appeal thereto) by reason of Indemnitee’s Corporate Status, whether or not Indemnitee is acting in any such capacity at the time any liability or expense is incurred for which indemnification or advancement can be provided under this Agreement.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82" w:name="page283"/>
    <w:bookmarkEnd w:id="282"/>
    <w:p>
      <w:pPr>
        <w:ind w:left="-8" w:right="60" w:firstLine="8"/>
        <w:spacing w:after="0" w:line="271" w:lineRule="auto"/>
        <w:tabs>
          <w:tab w:leader="none" w:pos="757"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8" w:lineRule="exact"/>
        <w:rPr>
          <w:rFonts w:ascii="Arial" w:cs="Arial" w:eastAsia="Arial" w:hAnsi="Arial"/>
          <w:sz w:val="17"/>
          <w:szCs w:val="17"/>
          <w:color w:val="auto"/>
        </w:rPr>
      </w:pPr>
    </w:p>
    <w:p>
      <w:pPr>
        <w:ind w:left="772" w:hanging="772"/>
        <w:spacing w:after="0"/>
        <w:tabs>
          <w:tab w:leader="none" w:pos="772"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ENFORCEMENT AND BINDING EFFECT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60" w:firstLine="656"/>
        <w:spacing w:after="0" w:line="286" w:lineRule="auto"/>
        <w:tabs>
          <w:tab w:leader="none" w:pos="1379" w:val="left"/>
        </w:tabs>
        <w:numPr>
          <w:ilvl w:val="1"/>
          <w:numId w:val="340"/>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assumed the obligations imposed on it hereby in order to induce Indemnitee to serve as a director, officer or key employee of the Company Group, and the Company acknowledges that Indemnitee is relying upon this Agreement in serving as a director, officer or key employee of the Company Group.</w:t>
      </w:r>
    </w:p>
    <w:p>
      <w:pPr>
        <w:spacing w:after="0" w:line="165" w:lineRule="exact"/>
        <w:rPr>
          <w:rFonts w:ascii="Arial" w:cs="Arial" w:eastAsia="Arial" w:hAnsi="Arial"/>
          <w:sz w:val="17"/>
          <w:szCs w:val="17"/>
          <w:color w:val="auto"/>
        </w:rPr>
      </w:pPr>
    </w:p>
    <w:p>
      <w:pPr>
        <w:ind w:left="-8" w:right="300" w:firstLine="656"/>
        <w:spacing w:after="0" w:line="311" w:lineRule="auto"/>
        <w:tabs>
          <w:tab w:leader="none" w:pos="1389" w:val="left"/>
        </w:tabs>
        <w:numPr>
          <w:ilvl w:val="1"/>
          <w:numId w:val="340"/>
        </w:numPr>
        <w:rPr>
          <w:rFonts w:ascii="Arial" w:cs="Arial" w:eastAsia="Arial" w:hAnsi="Arial"/>
          <w:sz w:val="16"/>
          <w:szCs w:val="16"/>
          <w:color w:val="auto"/>
        </w:rPr>
      </w:pPr>
      <w:r>
        <w:rPr>
          <w:rFonts w:ascii="Arial" w:cs="Arial" w:eastAsia="Arial" w:hAnsi="Arial"/>
          <w:sz w:val="16"/>
          <w:szCs w:val="16"/>
          <w:color w:val="auto"/>
        </w:rPr>
        <w:t>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8" w:lineRule="exact"/>
        <w:rPr>
          <w:rFonts w:ascii="Arial" w:cs="Arial" w:eastAsia="Arial" w:hAnsi="Arial"/>
          <w:sz w:val="16"/>
          <w:szCs w:val="16"/>
          <w:color w:val="auto"/>
        </w:rPr>
      </w:pPr>
    </w:p>
    <w:p>
      <w:pPr>
        <w:ind w:left="-8" w:firstLine="656"/>
        <w:spacing w:after="0" w:line="254" w:lineRule="auto"/>
        <w:tabs>
          <w:tab w:leader="none" w:pos="1379"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indemnification, hold harmless, exoneration and advancement of expenses rights provided by or granted pursuant to this Agreement shall be binding upon and be enforceable by the parties hereto and their respective successors and permitted assigns (including any direct or indirect successor by purchase, merger, consolidation or otherwise to all or substantially all of the business and/or assets of the Company, but subject to such successor’s compliance with Section 19(d)),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permitted assigns, heirs, devisees, executors and administrators and other legal representatives.</w:t>
      </w:r>
    </w:p>
    <w:p>
      <w:pPr>
        <w:spacing w:after="0" w:line="194" w:lineRule="exact"/>
        <w:rPr>
          <w:rFonts w:ascii="Arial" w:cs="Arial" w:eastAsia="Arial" w:hAnsi="Arial"/>
          <w:sz w:val="18"/>
          <w:szCs w:val="18"/>
          <w:color w:val="auto"/>
        </w:rPr>
      </w:pPr>
    </w:p>
    <w:p>
      <w:pPr>
        <w:jc w:val="both"/>
        <w:ind w:left="-8" w:right="100" w:firstLine="656"/>
        <w:spacing w:after="0" w:line="259" w:lineRule="auto"/>
        <w:tabs>
          <w:tab w:leader="none" w:pos="1389"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83" w:name="page284"/>
    <w:bookmarkEnd w:id="283"/>
    <w:p>
      <w:pPr>
        <w:ind w:firstLine="656"/>
        <w:spacing w:after="0" w:line="289" w:lineRule="auto"/>
        <w:tabs>
          <w:tab w:leader="none" w:pos="1387" w:val="left"/>
        </w:tabs>
        <w:numPr>
          <w:ilvl w:val="1"/>
          <w:numId w:val="341"/>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security in connection therewith. The Company acknowledges that in the absence of a waiver, a bond or other security may be required of Indemnitee by a court of competent jurisdiction. The Company hereby waives any such requirement of such a bond or other security to the fullest extent permitted by law.</w:t>
      </w:r>
    </w:p>
    <w:p>
      <w:pPr>
        <w:spacing w:after="0" w:line="166" w:lineRule="exact"/>
        <w:rPr>
          <w:rFonts w:ascii="Arial" w:cs="Arial" w:eastAsia="Arial" w:hAnsi="Arial"/>
          <w:sz w:val="16"/>
          <w:szCs w:val="16"/>
          <w:color w:val="auto"/>
        </w:rPr>
      </w:pPr>
    </w:p>
    <w:p>
      <w:pPr>
        <w:jc w:val="both"/>
        <w:ind w:right="20" w:firstLine="8"/>
        <w:spacing w:after="0" w:line="259" w:lineRule="auto"/>
        <w:tabs>
          <w:tab w:leader="none" w:pos="765"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Company and Indemnitee. No waiver of any provision of this Agreement shall be enforceable unless in writing and signed by the party against whom it is to be enforced. No waiver of any of the provisions of this Agreement shall be deemed or shall constitute a waiver of any other provisions of this Agreement nor shall any waiver constitute a continuing waiver.</w:t>
      </w:r>
    </w:p>
    <w:p>
      <w:pPr>
        <w:spacing w:after="0" w:line="186" w:lineRule="exact"/>
        <w:rPr>
          <w:rFonts w:ascii="Arial" w:cs="Arial" w:eastAsia="Arial" w:hAnsi="Arial"/>
          <w:sz w:val="18"/>
          <w:szCs w:val="18"/>
          <w:color w:val="auto"/>
        </w:rPr>
      </w:pPr>
    </w:p>
    <w:p>
      <w:pPr>
        <w:ind w:right="40" w:firstLine="8"/>
        <w:spacing w:after="0" w:line="286" w:lineRule="auto"/>
        <w:tabs>
          <w:tab w:leader="none" w:pos="765" w:val="left"/>
        </w:tabs>
        <w:numPr>
          <w:ilvl w:val="0"/>
          <w:numId w:val="34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165" w:lineRule="exact"/>
        <w:rPr>
          <w:rFonts w:ascii="Arial" w:cs="Arial" w:eastAsia="Arial" w:hAnsi="Arial"/>
          <w:sz w:val="17"/>
          <w:szCs w:val="17"/>
          <w:color w:val="auto"/>
        </w:rPr>
      </w:pPr>
    </w:p>
    <w:p>
      <w:pPr>
        <w:ind w:right="140" w:firstLine="656"/>
        <w:spacing w:after="0" w:line="277" w:lineRule="auto"/>
        <w:tabs>
          <w:tab w:leader="none" w:pos="1387"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Jay Taragin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Raphael M. Russo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492-0309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84" w:name="page285"/>
    <w:bookmarkEnd w:id="284"/>
    <w:p>
      <w:pPr>
        <w:ind w:left="-8" w:firstLine="8"/>
        <w:spacing w:after="0" w:line="288" w:lineRule="auto"/>
        <w:tabs>
          <w:tab w:leader="none" w:pos="757"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168" w:lineRule="exact"/>
        <w:rPr>
          <w:rFonts w:ascii="Arial" w:cs="Arial" w:eastAsia="Arial" w:hAnsi="Arial"/>
          <w:sz w:val="16"/>
          <w:szCs w:val="16"/>
          <w:color w:val="auto"/>
        </w:rPr>
      </w:pPr>
    </w:p>
    <w:p>
      <w:pPr>
        <w:ind w:left="-8" w:right="80" w:firstLine="8"/>
        <w:spacing w:after="0" w:line="263" w:lineRule="auto"/>
        <w:tabs>
          <w:tab w:leader="none" w:pos="757"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rFonts w:ascii="Arial" w:cs="Arial" w:eastAsia="Arial" w:hAnsi="Arial"/>
          <w:sz w:val="18"/>
          <w:szCs w:val="18"/>
          <w:color w:val="auto"/>
        </w:rPr>
      </w:pPr>
    </w:p>
    <w:p>
      <w:pPr>
        <w:ind w:left="-8" w:right="100" w:firstLine="8"/>
        <w:spacing w:after="0" w:line="263" w:lineRule="auto"/>
        <w:tabs>
          <w:tab w:leader="none" w:pos="757"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183" w:lineRule="exact"/>
        <w:rPr>
          <w:rFonts w:ascii="Arial" w:cs="Arial" w:eastAsia="Arial" w:hAnsi="Arial"/>
          <w:sz w:val="18"/>
          <w:szCs w:val="18"/>
          <w:color w:val="auto"/>
        </w:rPr>
      </w:pPr>
    </w:p>
    <w:p>
      <w:pPr>
        <w:ind w:left="-8" w:right="80" w:firstLine="8"/>
        <w:spacing w:after="0" w:line="263" w:lineRule="auto"/>
        <w:tabs>
          <w:tab w:leader="none" w:pos="757"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83" w:lineRule="exact"/>
        <w:rPr>
          <w:rFonts w:ascii="Arial" w:cs="Arial" w:eastAsia="Arial" w:hAnsi="Arial"/>
          <w:sz w:val="18"/>
          <w:szCs w:val="18"/>
          <w:color w:val="auto"/>
        </w:rPr>
      </w:pPr>
    </w:p>
    <w:p>
      <w:pPr>
        <w:ind w:left="-8" w:right="80" w:firstLine="8"/>
        <w:spacing w:after="0" w:line="259" w:lineRule="auto"/>
        <w:tabs>
          <w:tab w:leader="none" w:pos="757"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WAIVER OF CLAIMS TO TRUST ACCOUNT</w:t>
      </w:r>
      <w:r>
        <w:rPr>
          <w:rFonts w:ascii="Arial" w:cs="Arial" w:eastAsia="Arial" w:hAnsi="Arial"/>
          <w:sz w:val="18"/>
          <w:szCs w:val="18"/>
          <w:color w:val="auto"/>
        </w:rPr>
        <w:t>. Indemnitee hereby agrees that it does not have any right, title, interest or claim of any kind (each, a “Claim”)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85" w:name="page286"/>
    <w:bookmarkEnd w:id="285"/>
    <w:p>
      <w:pPr>
        <w:ind w:left="-8" w:firstLine="8"/>
        <w:spacing w:after="0" w:line="272" w:lineRule="auto"/>
        <w:tabs>
          <w:tab w:leader="none" w:pos="757" w:val="left"/>
        </w:tabs>
        <w:numPr>
          <w:ilvl w:val="0"/>
          <w:numId w:val="344"/>
        </w:numPr>
        <w:rPr>
          <w:rFonts w:ascii="Arial" w:cs="Arial" w:eastAsia="Arial" w:hAnsi="Arial"/>
          <w:sz w:val="17"/>
          <w:szCs w:val="17"/>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use commercially reasonable efforts to 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color w:val="auto"/>
        </w:rPr>
        <w:t>IN WITNESS WHEREOF, the parties hereto have caused this Indemnity Agreement to be signed as of the day and year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Karen G.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Karen G. Mills</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908" w:right="8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640 Fifth Avenue, 12th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10019</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Klein Associates, Inc.</w:t>
      </w:r>
    </w:p>
    <w:p>
      <w:pPr>
        <w:spacing w:after="0" w:line="202" w:lineRule="auto"/>
        <w:rPr>
          <w:sz w:val="20"/>
          <w:szCs w:val="20"/>
          <w:color w:val="auto"/>
        </w:rPr>
      </w:pPr>
      <w:r>
        <w:rPr>
          <w:rFonts w:ascii="Arial" w:cs="Arial" w:eastAsia="Arial" w:hAnsi="Arial"/>
          <w:sz w:val="18"/>
          <w:szCs w:val="18"/>
          <w:color w:val="auto"/>
        </w:rPr>
        <w:t>640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 Administrative Services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letter agreement by and between Churchill Capital Corp IV,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M. Klein Associates, Inc., a New York corporation (the “</w:t>
      </w:r>
      <w:r>
        <w:rPr>
          <w:rFonts w:ascii="Arial" w:cs="Arial" w:eastAsia="Arial" w:hAnsi="Arial"/>
          <w:sz w:val="17"/>
          <w:szCs w:val="17"/>
          <w:b w:val="1"/>
          <w:bCs w:val="1"/>
          <w:i w:val="1"/>
          <w:iCs w:val="1"/>
          <w:color w:val="auto"/>
        </w:rPr>
        <w:t>Services Provider</w:t>
      </w:r>
      <w:r>
        <w:rPr>
          <w:rFonts w:ascii="Arial" w:cs="Arial" w:eastAsia="Arial" w:hAnsi="Arial"/>
          <w:sz w:val="17"/>
          <w:szCs w:val="17"/>
          <w:color w:val="auto"/>
        </w:rPr>
        <w:t>”), dated as of the date hereof, will confirm our agreement that, commencing on the date that securities of the Company are first listed on the New York Stock Exchange (the “</w:t>
      </w:r>
      <w:r>
        <w:rPr>
          <w:rFonts w:ascii="Arial" w:cs="Arial" w:eastAsia="Arial" w:hAnsi="Arial"/>
          <w:sz w:val="17"/>
          <w:szCs w:val="17"/>
          <w:b w:val="1"/>
          <w:bCs w:val="1"/>
          <w:i w:val="1"/>
          <w:iCs w:val="1"/>
          <w:color w:val="auto"/>
        </w:rPr>
        <w:t>Listing Date</w:t>
      </w:r>
      <w:r>
        <w:rPr>
          <w:rFonts w:ascii="Arial" w:cs="Arial" w:eastAsia="Arial" w:hAnsi="Arial"/>
          <w:sz w:val="17"/>
          <w:szCs w:val="17"/>
          <w:color w:val="auto"/>
        </w:rPr>
        <w:t>”) and continuing until the earlier of the consummation by the Company of an initial business combination and the Company’s liquidation (in each case as described in the Registration Statement on Form S-1 (File No. 333-239856) filed with the Securities and Exchange Commission) (such earlier date hereinafter referred to as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176" w:lineRule="exact"/>
        <w:rPr>
          <w:sz w:val="20"/>
          <w:szCs w:val="20"/>
          <w:color w:val="auto"/>
        </w:rPr>
      </w:pPr>
    </w:p>
    <w:p>
      <w:pPr>
        <w:ind w:left="660" w:right="120" w:hanging="652"/>
        <w:spacing w:after="0" w:line="257" w:lineRule="auto"/>
        <w:tabs>
          <w:tab w:leader="none" w:pos="6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Services Provider (and/or any of its affiliates designated by the Services Provider) shall make available to the Company, at the address of the Services Provider referred to above (or any successor location or other existing office locations of the Services Provider or any of its affiliates), office space and administrative and support services as may be reasonably requested by the Company. In exchange therefor, the Company shall pay to the Services Provider, on the first day of each month, the sum of $50,000 per month commencing on the Listing Date and continuing monthly thereafter until the Termination Date; and</w:t>
      </w:r>
    </w:p>
    <w:p>
      <w:pPr>
        <w:spacing w:after="0" w:line="187" w:lineRule="exact"/>
        <w:rPr>
          <w:rFonts w:ascii="Arial" w:cs="Arial" w:eastAsia="Arial" w:hAnsi="Arial"/>
          <w:sz w:val="18"/>
          <w:szCs w:val="18"/>
          <w:color w:val="auto"/>
        </w:rPr>
      </w:pPr>
    </w:p>
    <w:p>
      <w:pPr>
        <w:ind w:left="660" w:right="40" w:hanging="652"/>
        <w:spacing w:after="0" w:line="272" w:lineRule="auto"/>
        <w:tabs>
          <w:tab w:leader="none" w:pos="66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The Services Provider hereby irrevocably waives any and all right, title, interest, causes of action and claims of any kind or nature whatsoever (each,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in or to, and any and all right to seek payment of any amounts due to it out of, the trust account established for the benefit of the public stockholders of the Company and into which substantially all of the proceeds of the Company’s initial public offering will be deposited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and hereby irrevocably waives any Claim it presently has or may have in the future as a result of, or arising out of, this letter agreement,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8" w:name="page289"/>
    <w:bookmarkEnd w:id="288"/>
    <w:p>
      <w:pPr>
        <w:ind w:right="360"/>
        <w:spacing w:after="0" w:line="263" w:lineRule="auto"/>
        <w:rPr>
          <w:sz w:val="20"/>
          <w:szCs w:val="20"/>
          <w:color w:val="auto"/>
        </w:rPr>
      </w:pPr>
      <w:r>
        <w:rPr>
          <w:rFonts w:ascii="Arial" w:cs="Arial" w:eastAsia="Arial" w:hAnsi="Arial"/>
          <w:sz w:val="18"/>
          <w:szCs w:val="18"/>
          <w:color w:val="auto"/>
        </w:rPr>
        <w:t>This letter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This letter agreement may not be amended, modified or waived as to any particular provision, except by a written instrument executed by all parties hereto.</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party hereto may assign either this letter agreement or any of its rights, interests, or obligations hereunder without the prior written approval of the other party, provided that the Services Provider may assign this letter agreement or any of its rights, interests, or obligations hereunder to an affiliate without the prior written approval of the Company. Any purported assignment in violation of this paragraph shall be void and ineffectual and shall not operate to transfer or assign any interest or title to the purported assignee.</w:t>
      </w:r>
    </w:p>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This letter agreement constitutes the entire relationship of the parties hereto with respect to the subject matter described herein and any litigation between the parties (whether grounded in contract, tort, statute, law or equity) shall be governed by and construed in accordance with the laws of the State of New York.</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letter agreement may be executed in one or more counterparts, each of which shall for all purposes be deemed to be an original but all of which together shall constitute one and the same letter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89" w:name="page290"/>
    <w:bookmarkEnd w:id="289"/>
    <w:p>
      <w:pPr>
        <w:ind w:left="5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KLEIN ASSOCIATES, INC.</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Authorized Person</w:t>
      </w:r>
    </w:p>
    <w:p>
      <w:pPr>
        <w:spacing w:after="0" w:line="21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[Signature Page to Administrative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E60401"/>
    <w:multiLevelType w:val="hybridMultilevel"/>
    <w:lvl w:ilvl="0">
      <w:lvlJc w:val="left"/>
      <w:lvlText w:val="☐"/>
      <w:numFmt w:val="bullet"/>
      <w:start w:val="1"/>
    </w:lvl>
  </w:abstractNum>
  <w:abstractNum w:abstractNumId="1">
    <w:nsid w:val="2A6AD9BE"/>
    <w:multiLevelType w:val="hybridMultilevel"/>
    <w:lvl w:ilvl="0">
      <w:lvlJc w:val="left"/>
      <w:lvlText w:val="(%1)"/>
      <w:numFmt w:val="lowerRoman"/>
      <w:start w:val="1"/>
    </w:lvl>
  </w:abstractNum>
  <w:abstractNum w:abstractNumId="2">
    <w:nsid w:val="BAAC1B4"/>
    <w:multiLevelType w:val="hybridMultilevel"/>
    <w:lvl w:ilvl="0">
      <w:lvlJc w:val="left"/>
      <w:lvlText w:val="·"/>
      <w:numFmt w:val="bullet"/>
      <w:start w:val="1"/>
    </w:lvl>
  </w:abstractNum>
  <w:abstractNum w:abstractNumId="3">
    <w:nsid w:val="36B2ACBC"/>
    <w:multiLevelType w:val="hybridMultilevel"/>
    <w:lvl w:ilvl="0">
      <w:lvlJc w:val="left"/>
      <w:lvlText w:val="·"/>
      <w:numFmt w:val="bullet"/>
      <w:start w:val="1"/>
    </w:lvl>
  </w:abstractNum>
  <w:abstractNum w:abstractNumId="4">
    <w:nsid w:val="779D8544"/>
    <w:multiLevelType w:val="hybridMultilevel"/>
    <w:lvl w:ilvl="0">
      <w:lvlJc w:val="left"/>
      <w:lvlText w:val="(%1)"/>
      <w:numFmt w:val="lowerLetter"/>
      <w:start w:val="4"/>
    </w:lvl>
  </w:abstractNum>
  <w:abstractNum w:abstractNumId="5">
    <w:nsid w:val="4AB26E78"/>
    <w:multiLevelType w:val="hybridMultilevel"/>
    <w:lvl w:ilvl="0">
      <w:lvlJc w:val="left"/>
      <w:lvlText w:val="1"/>
      <w:numFmt w:val="bullet"/>
      <w:start w:val="1"/>
    </w:lvl>
  </w:abstractNum>
  <w:abstractNum w:abstractNumId="6">
    <w:nsid w:val="21FAA2F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7">
    <w:nsid w:val="5451CF49"/>
    <w:multiLevelType w:val="hybridMultilevel"/>
    <w:lvl w:ilvl="0">
      <w:lvlJc w:val="left"/>
      <w:lvlText w:val="(%1)"/>
      <w:numFmt w:val="decimal"/>
      <w:start w:val="3"/>
    </w:lvl>
  </w:abstractNum>
  <w:abstractNum w:abstractNumId="8">
    <w:nsid w:val="6181EF69"/>
    <w:multiLevelType w:val="hybridMultilevel"/>
    <w:lvl w:ilvl="0">
      <w:lvlJc w:val="left"/>
      <w:lvlText w:val="(%1)"/>
      <w:numFmt w:val="decimal"/>
      <w:start w:val="9"/>
    </w:lvl>
    <w:lvl w:ilvl="1">
      <w:lvlJc w:val="left"/>
      <w:lvlText w:val="(%2)"/>
      <w:numFmt w:val="lowerRoman"/>
      <w:start w:val="1"/>
    </w:lvl>
  </w:abstractNum>
  <w:abstractNum w:abstractNumId="9">
    <w:nsid w:val="3E6400E6"/>
    <w:multiLevelType w:val="hybridMultilevel"/>
    <w:lvl w:ilvl="0">
      <w:lvlJc w:val="left"/>
      <w:lvlText w:val="(%1)"/>
      <w:numFmt w:val="decimal"/>
      <w:start w:val="13"/>
    </w:lvl>
    <w:lvl w:ilvl="1">
      <w:lvlJc w:val="left"/>
      <w:lvlText w:val="(%2)"/>
      <w:numFmt w:val="lowerRoman"/>
      <w:start w:val="1"/>
    </w:lvl>
  </w:abstractNum>
  <w:abstractNum w:abstractNumId="10">
    <w:nsid w:val="14217E23"/>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8"/>
    </w:lvl>
  </w:abstractNum>
  <w:abstractNum w:abstractNumId="11">
    <w:nsid w:val="710757D0"/>
    <w:multiLevelType w:val="hybridMultilevel"/>
    <w:lvl w:ilvl="0">
      <w:lvlJc w:val="left"/>
      <w:lvlText w:val="%1"/>
      <w:numFmt w:val="lowerRoman"/>
      <w:start w:val="1"/>
    </w:lvl>
    <w:lvl w:ilvl="1">
      <w:lvlJc w:val="left"/>
      <w:lvlText w:val="(%2)"/>
      <w:numFmt w:val="decimal"/>
      <w:start w:val="15"/>
    </w:lvl>
    <w:lvl w:ilvl="2">
      <w:lvlJc w:val="left"/>
      <w:lvlText w:val="%3"/>
      <w:numFmt w:val="lowerRoman"/>
      <w:start w:val="1"/>
    </w:lvl>
  </w:abstractNum>
  <w:abstractNum w:abstractNumId="12">
    <w:nsid w:val="5015CD1A"/>
    <w:multiLevelType w:val="hybridMultilevel"/>
    <w:lvl w:ilvl="0">
      <w:lvlJc w:val="left"/>
      <w:lvlText w:val="(%1)"/>
      <w:numFmt w:val="lowerRoman"/>
      <w:start w:val="4"/>
    </w:lvl>
    <w:lvl w:ilvl="1">
      <w:lvlJc w:val="left"/>
      <w:lvlText w:val="(%2)"/>
      <w:numFmt w:val="decimal"/>
      <w:start w:val="18"/>
    </w:lvl>
    <w:lvl w:ilvl="2">
      <w:lvlJc w:val="left"/>
      <w:lvlText w:val="%3"/>
      <w:numFmt w:val="lowerRoman"/>
      <w:start w:val="1"/>
    </w:lvl>
  </w:abstractNum>
  <w:abstractNum w:abstractNumId="13">
    <w:nsid w:val="424479DA"/>
    <w:multiLevelType w:val="hybridMultilevel"/>
    <w:lvl w:ilvl="0">
      <w:lvlJc w:val="left"/>
      <w:lvlText w:val="(%1)"/>
      <w:numFmt w:val="decimal"/>
      <w:start w:val="22"/>
    </w:lvl>
    <w:lvl w:ilvl="1">
      <w:lvlJc w:val="left"/>
      <w:lvlText w:val="(%2)"/>
      <w:numFmt w:val="lowerRoman"/>
      <w:start w:val="1"/>
    </w:lvl>
  </w:abstractNum>
  <w:abstractNum w:abstractNumId="14">
    <w:nsid w:val="1A9A9E6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5">
    <w:nsid w:val="475E256A"/>
    <w:multiLevelType w:val="hybridMultilevel"/>
    <w:lvl w:ilvl="0">
      <w:lvlJc w:val="left"/>
      <w:lvlText w:val="(%1)"/>
      <w:numFmt w:val="lowerLetter"/>
      <w:start w:val="3"/>
    </w:lvl>
    <w:lvl w:ilvl="1">
      <w:lvlJc w:val="left"/>
      <w:lvlText w:val="(%2)"/>
      <w:numFmt w:val="decimal"/>
      <w:start w:val="32"/>
    </w:lvl>
    <w:lvl w:ilvl="2">
      <w:lvlJc w:val="left"/>
      <w:lvlText w:val="%3"/>
      <w:numFmt w:val="lowerRoman"/>
      <w:start w:val="1"/>
    </w:lvl>
  </w:abstractNum>
  <w:abstractNum w:abstractNumId="16">
    <w:nsid w:val="368DB37E"/>
    <w:multiLevelType w:val="hybridMultilevel"/>
    <w:lvl w:ilvl="0">
      <w:lvlJc w:val="left"/>
      <w:lvlText w:val="%1"/>
      <w:numFmt w:val="lowerRoman"/>
      <w:start w:val="1"/>
    </w:lvl>
    <w:lvl w:ilvl="1">
      <w:lvlJc w:val="left"/>
      <w:lvlText w:val="(%2)"/>
      <w:numFmt w:val="decimal"/>
      <w:start w:val="34"/>
    </w:lvl>
    <w:lvl w:ilvl="2">
      <w:lvlJc w:val="left"/>
      <w:lvlText w:val="(%3)"/>
      <w:numFmt w:val="lowerRoman"/>
      <w:start w:val="1"/>
    </w:lvl>
  </w:abstractNum>
  <w:abstractNum w:abstractNumId="17">
    <w:nsid w:val="6A3B714C"/>
    <w:multiLevelType w:val="hybridMultilevel"/>
    <w:lvl w:ilvl="0">
      <w:lvlJc w:val="left"/>
      <w:lvlText w:val="(%1)"/>
      <w:numFmt w:val="lowerRoman"/>
      <w:start w:val="2"/>
    </w:lvl>
    <w:lvl w:ilvl="1">
      <w:lvlJc w:val="left"/>
      <w:lvlText w:val="%2"/>
      <w:numFmt w:val="decimal"/>
      <w:start w:val="1"/>
    </w:lvl>
    <w:lvl w:ilvl="2">
      <w:lvlJc w:val="left"/>
      <w:lvlText w:val="(%3)"/>
      <w:numFmt w:val="lowerRoman"/>
      <w:start w:val="3"/>
    </w:lvl>
  </w:abstractNum>
  <w:abstractNum w:abstractNumId="18">
    <w:nsid w:val="327B517E"/>
    <w:multiLevelType w:val="hybridMultilevel"/>
    <w:lvl w:ilvl="0">
      <w:lvlJc w:val="left"/>
      <w:lvlText w:val="(%1)"/>
      <w:numFmt w:val="decimal"/>
      <w:start w:val="35"/>
    </w:lvl>
  </w:abstractNum>
  <w:abstractNum w:abstractNumId="19">
    <w:nsid w:val="1F461B51"/>
    <w:multiLevelType w:val="hybridMultilevel"/>
    <w:lvl w:ilvl="0">
      <w:lvlJc w:val="left"/>
      <w:lvlText w:val="%1."/>
      <w:numFmt w:val="decimal"/>
      <w:start w:val="2"/>
    </w:lvl>
    <w:lvl w:ilvl="1">
      <w:lvlJc w:val="left"/>
      <w:lvlText w:val="(%2)"/>
      <w:numFmt w:val="lowerLetter"/>
      <w:start w:val="1"/>
    </w:lvl>
  </w:abstractNum>
  <w:abstractNum w:abstractNumId="20">
    <w:nsid w:val="29BACF2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1">
    <w:nsid w:val="5D5BABB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2">
    <w:nsid w:val="51BF6B4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3">
    <w:nsid w:val="7E0F6384"/>
    <w:multiLevelType w:val="hybridMultilevel"/>
    <w:lvl w:ilvl="0">
      <w:lvlJc w:val="left"/>
      <w:lvlText w:val="%1"/>
      <w:numFmt w:val="decimal"/>
      <w:start w:val="1"/>
    </w:lvl>
    <w:lvl w:ilvl="1">
      <w:lvlJc w:val="left"/>
      <w:lvlText w:val="(%2)"/>
      <w:numFmt w:val="lowerLetter"/>
      <w:start w:val="4"/>
    </w:lvl>
  </w:abstractNum>
  <w:abstractNum w:abstractNumId="24">
    <w:nsid w:val="2B4B8B53"/>
    <w:multiLevelType w:val="hybridMultilevel"/>
    <w:lvl w:ilvl="0">
      <w:lvlJc w:val="left"/>
      <w:lvlText w:val="(%1)"/>
      <w:numFmt w:val="decimal"/>
      <w:start w:val="2"/>
    </w:lvl>
    <w:lvl w:ilvl="1">
      <w:lvlJc w:val="left"/>
      <w:lvlText w:val="(%2)"/>
      <w:numFmt w:val="lowerLetter"/>
      <w:start w:val="8"/>
    </w:lvl>
  </w:abstractNum>
  <w:abstractNum w:abstractNumId="25">
    <w:nsid w:val="72E3413A"/>
    <w:multiLevelType w:val="hybridMultilevel"/>
    <w:lvl w:ilvl="0">
      <w:lvlJc w:val="left"/>
      <w:lvlText w:val="(%1)"/>
      <w:numFmt w:val="lowerLetter"/>
      <w:start w:val="10"/>
    </w:lvl>
    <w:lvl w:ilvl="1">
      <w:lvlJc w:val="left"/>
      <w:lvlText w:val="(%2)"/>
      <w:numFmt w:val="decimal"/>
      <w:start w:val="1"/>
    </w:lvl>
  </w:abstractNum>
  <w:abstractNum w:abstractNumId="26">
    <w:nsid w:val="116AE494"/>
    <w:multiLevelType w:val="hybridMultilevel"/>
    <w:lvl w:ilvl="0">
      <w:lvlJc w:val="left"/>
      <w:lvlText w:val="%1"/>
      <w:numFmt w:val="lowerLetter"/>
      <w:start w:val="1"/>
    </w:lvl>
    <w:lvl w:ilvl="1">
      <w:lvlJc w:val="left"/>
      <w:lvlText w:val="(%2)"/>
      <w:numFmt w:val="decimal"/>
      <w:start w:val="2"/>
    </w:lvl>
  </w:abstractNum>
  <w:abstractNum w:abstractNumId="27">
    <w:nsid w:val="3494B2FB"/>
    <w:multiLevelType w:val="hybridMultilevel"/>
    <w:lvl w:ilvl="0">
      <w:lvlJc w:val="left"/>
      <w:lvlText w:val="(%1)"/>
      <w:numFmt w:val="lowerLetter"/>
      <w:start w:val="18"/>
    </w:lvl>
    <w:lvl w:ilvl="1">
      <w:lvlJc w:val="left"/>
      <w:lvlText w:val="%2"/>
      <w:numFmt w:val="decimal"/>
      <w:start w:val="1"/>
    </w:lvl>
  </w:abstractNum>
  <w:abstractNum w:abstractNumId="28">
    <w:nsid w:val="B13A31"/>
    <w:multiLevelType w:val="hybridMultilevel"/>
    <w:lvl w:ilvl="0">
      <w:lvlJc w:val="left"/>
      <w:lvlText w:val="(%1)"/>
      <w:numFmt w:val="lowerLetter"/>
      <w:start w:val="27"/>
    </w:lvl>
    <w:lvl w:ilvl="1">
      <w:lvlJc w:val="left"/>
      <w:lvlText w:val="(%2)"/>
      <w:numFmt w:val="decimal"/>
      <w:start w:val="1"/>
    </w:lvl>
  </w:abstractNum>
  <w:abstractNum w:abstractNumId="29">
    <w:nsid w:val="64429599"/>
    <w:multiLevelType w:val="hybridMultilevel"/>
    <w:lvl w:ilvl="0">
      <w:lvlJc w:val="left"/>
      <w:lvlText w:val="%1"/>
      <w:numFmt w:val="lowerRoman"/>
      <w:start w:val="1"/>
    </w:lvl>
    <w:lvl w:ilvl="1">
      <w:lvlJc w:val="left"/>
      <w:lvlText w:val="(%2)"/>
      <w:numFmt w:val="decimal"/>
      <w:start w:val="2"/>
    </w:lvl>
  </w:abstractNum>
  <w:abstractNum w:abstractNumId="30">
    <w:nsid w:val="631F1690"/>
    <w:multiLevelType w:val="hybridMultilevel"/>
    <w:lvl w:ilvl="0">
      <w:lvlJc w:val="left"/>
      <w:lvlText w:val="(%1)"/>
      <w:numFmt w:val="lowerRoman"/>
      <w:start w:val="10"/>
    </w:lvl>
    <w:lvl w:ilvl="1">
      <w:lvlJc w:val="left"/>
      <w:lvlText w:val="%2"/>
      <w:numFmt w:val="decimal"/>
      <w:start w:val="1"/>
    </w:lvl>
  </w:abstractNum>
  <w:abstractNum w:abstractNumId="31">
    <w:nsid w:val="25973E32"/>
    <w:multiLevelType w:val="hybridMultilevel"/>
    <w:lvl w:ilvl="0">
      <w:lvlJc w:val="left"/>
      <w:lvlText w:val="%1"/>
      <w:numFmt w:val="lowerLetter"/>
      <w:start w:val="1"/>
    </w:lvl>
    <w:lvl w:ilvl="1">
      <w:lvlJc w:val="left"/>
      <w:lvlText w:val="(%2)"/>
      <w:numFmt w:val="decimal"/>
      <w:start w:val="3"/>
    </w:lvl>
  </w:abstractNum>
  <w:abstractNum w:abstractNumId="32">
    <w:nsid w:val="EAD6F57"/>
    <w:multiLevelType w:val="hybridMultilevel"/>
    <w:lvl w:ilvl="0">
      <w:lvlJc w:val="left"/>
      <w:lvlText w:val="(%1)"/>
      <w:numFmt w:val="lowerLetter"/>
      <w:start w:val="28"/>
    </w:lvl>
    <w:lvl w:ilvl="1">
      <w:lvlJc w:val="left"/>
      <w:lvlText w:val="%2"/>
      <w:numFmt w:val="decimal"/>
      <w:start w:val="1"/>
    </w:lvl>
  </w:abstractNum>
  <w:abstractNum w:abstractNumId="33">
    <w:nsid w:val="6EC9D844"/>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34">
    <w:nsid w:val="5C49EAEE"/>
    <w:multiLevelType w:val="hybridMultilevel"/>
    <w:lvl w:ilvl="0">
      <w:lvlJc w:val="left"/>
      <w:lvlText w:val="(%1)"/>
      <w:numFmt w:val="lowerRoman"/>
      <w:start w:val="3"/>
    </w:lvl>
  </w:abstractNum>
  <w:abstractNum w:abstractNumId="35">
    <w:nsid w:val="64AF49B"/>
    <w:multiLevelType w:val="hybridMultilevel"/>
    <w:lvl w:ilvl="0">
      <w:lvlJc w:val="left"/>
      <w:lvlText w:val="(%1)"/>
      <w:numFmt w:val="lowerLetter"/>
      <w:start w:val="7"/>
    </w:lvl>
  </w:abstractNum>
  <w:abstractNum w:abstractNumId="36">
    <w:nsid w:val="397C46BC"/>
    <w:multiLevelType w:val="hybridMultilevel"/>
    <w:lvl w:ilvl="0">
      <w:lvlJc w:val="left"/>
      <w:lvlText w:val="%1."/>
      <w:numFmt w:val="decimal"/>
      <w:start w:val="7"/>
    </w:lvl>
  </w:abstractNum>
  <w:abstractNum w:abstractNumId="37">
    <w:nsid w:val="7E448DE9"/>
    <w:multiLevelType w:val="hybridMultilevel"/>
    <w:lvl w:ilvl="0">
      <w:lvlJc w:val="left"/>
      <w:lvlText w:val="%1."/>
      <w:numFmt w:val="decimal"/>
      <w:start w:val="8"/>
    </w:lvl>
    <w:lvl w:ilvl="1">
      <w:lvlJc w:val="left"/>
      <w:lvlText w:val="(%2)"/>
      <w:numFmt w:val="lowerLetter"/>
      <w:start w:val="1"/>
    </w:lvl>
  </w:abstractNum>
  <w:abstractNum w:abstractNumId="38">
    <w:nsid w:val="5A9CC3E5"/>
    <w:multiLevelType w:val="hybridMultilevel"/>
    <w:lvl w:ilvl="0">
      <w:lvlJc w:val="left"/>
      <w:lvlText w:val="%1"/>
      <w:numFmt w:val="lowerLetter"/>
      <w:start w:val="1"/>
    </w:lvl>
    <w:lvl w:ilvl="1">
      <w:lvlJc w:val="left"/>
      <w:lvlText w:val="(%2)"/>
      <w:numFmt w:val="lowerLetter"/>
      <w:start w:val="3"/>
    </w:lvl>
  </w:abstractNum>
  <w:abstractNum w:abstractNumId="39">
    <w:nsid w:val="1AFE3625"/>
    <w:multiLevelType w:val="hybridMultilevel"/>
    <w:lvl w:ilvl="0">
      <w:lvlJc w:val="left"/>
      <w:lvlText w:val="(%1)"/>
      <w:numFmt w:val="lowerLetter"/>
      <w:start w:val="35"/>
    </w:lvl>
    <w:lvl w:ilvl="1">
      <w:lvlJc w:val="left"/>
      <w:lvlText w:val="%2"/>
      <w:numFmt w:val="lowerLetter"/>
      <w:start w:val="1"/>
    </w:lvl>
  </w:abstractNum>
  <w:abstractNum w:abstractNumId="40">
    <w:nsid w:val="3CA88ECF"/>
    <w:multiLevelType w:val="hybridMultilevel"/>
    <w:lvl w:ilvl="0">
      <w:lvlJc w:val="left"/>
      <w:lvlText w:val="%1"/>
      <w:numFmt w:val="decimal"/>
      <w:start w:val="1"/>
    </w:lvl>
    <w:lvl w:ilvl="1">
      <w:lvlJc w:val="left"/>
      <w:lvlText w:val="(%2)"/>
      <w:numFmt w:val="lowerLetter"/>
      <w:start w:val="4"/>
    </w:lvl>
  </w:abstractNum>
  <w:abstractNum w:abstractNumId="41">
    <w:nsid w:val="6EBE4208"/>
    <w:multiLevelType w:val="hybridMultilevel"/>
    <w:lvl w:ilvl="0">
      <w:lvlJc w:val="left"/>
      <w:lvlText w:val="%1."/>
      <w:numFmt w:val="decimal"/>
      <w:start w:val="9"/>
    </w:lvl>
    <w:lvl w:ilvl="1">
      <w:lvlJc w:val="left"/>
      <w:lvlText w:val="%2"/>
      <w:numFmt w:val="lowerLetter"/>
      <w:start w:val="1"/>
    </w:lvl>
  </w:abstractNum>
  <w:abstractNum w:abstractNumId="42">
    <w:nsid w:val="C058DF5"/>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43">
    <w:nsid w:val="CBE5BE9"/>
    <w:multiLevelType w:val="hybridMultilevel"/>
    <w:lvl w:ilvl="0">
      <w:lvlJc w:val="left"/>
      <w:lvlText w:val="(%1)"/>
      <w:numFmt w:val="decimal"/>
      <w:start w:val="646"/>
    </w:lvl>
    <w:lvl w:ilvl="1">
      <w:lvlJc w:val="left"/>
      <w:lvlText w:val="%2."/>
      <w:numFmt w:val="decimal"/>
      <w:start w:val="14"/>
    </w:lvl>
    <w:lvl w:ilvl="2">
      <w:lvlJc w:val="left"/>
      <w:lvlText w:val="%3"/>
      <w:numFmt w:val="lowerLetter"/>
      <w:start w:val="1"/>
    </w:lvl>
  </w:abstractNum>
  <w:abstractNum w:abstractNumId="44">
    <w:nsid w:val="3102BBE2"/>
    <w:multiLevelType w:val="hybridMultilevel"/>
    <w:lvl w:ilvl="0">
      <w:lvlJc w:val="left"/>
      <w:lvlText w:val="%1."/>
      <w:numFmt w:val="decimal"/>
      <w:start w:val="19"/>
    </w:lvl>
  </w:abstractNum>
  <w:abstractNum w:abstractNumId="45">
    <w:nsid w:val="26A02C5E"/>
    <w:multiLevelType w:val="hybridMultilevel"/>
    <w:lvl w:ilvl="0">
      <w:lvlJc w:val="left"/>
      <w:lvlText w:val="§"/>
      <w:numFmt w:val="bullet"/>
      <w:start w:val="1"/>
    </w:lvl>
  </w:abstractNum>
  <w:abstractNum w:abstractNumId="46">
    <w:nsid w:val="541C8153"/>
    <w:multiLevelType w:val="hybridMultilevel"/>
    <w:lvl w:ilvl="0">
      <w:lvlJc w:val="left"/>
      <w:lvlText w:val="%1."/>
      <w:numFmt w:val="decimal"/>
      <w:start w:val="1"/>
    </w:lvl>
  </w:abstractNum>
  <w:abstractNum w:abstractNumId="47">
    <w:nsid w:val="67906F60"/>
    <w:multiLevelType w:val="hybridMultilevel"/>
    <w:lvl w:ilvl="0">
      <w:lvlJc w:val="left"/>
      <w:lvlText w:val="%1."/>
      <w:numFmt w:val="decimal"/>
      <w:start w:val="1"/>
    </w:lvl>
  </w:abstractNum>
  <w:abstractNum w:abstractNumId="48">
    <w:nsid w:val="10DB9DAA"/>
    <w:multiLevelType w:val="hybridMultilevel"/>
    <w:lvl w:ilvl="0">
      <w:lvlJc w:val="left"/>
      <w:lvlText w:val="(%1)"/>
      <w:numFmt w:val="lowerLetter"/>
      <w:start w:val="1"/>
    </w:lvl>
  </w:abstractNum>
  <w:abstractNum w:abstractNumId="49">
    <w:nsid w:val="697D2D2"/>
    <w:multiLevelType w:val="hybridMultilevel"/>
    <w:lvl w:ilvl="0">
      <w:lvlJc w:val="left"/>
      <w:lvlText w:val="%1"/>
      <w:numFmt w:val="decimal"/>
      <w:start w:val="1"/>
    </w:lvl>
    <w:lvl w:ilvl="1">
      <w:lvlJc w:val="left"/>
      <w:lvlText w:val="(%2)"/>
      <w:numFmt w:val="lowerRoman"/>
      <w:start w:val="1"/>
    </w:lvl>
  </w:abstractNum>
  <w:abstractNum w:abstractNumId="50">
    <w:nsid w:val="6D68AB2"/>
    <w:multiLevelType w:val="hybridMultilevel"/>
    <w:lvl w:ilvl="0">
      <w:lvlJc w:val="left"/>
      <w:lvlText w:val="%1."/>
      <w:numFmt w:val="decimal"/>
      <w:start w:val="3"/>
    </w:lvl>
    <w:lvl w:ilvl="1">
      <w:lvlJc w:val="left"/>
      <w:lvlText w:val="%2"/>
      <w:numFmt w:val="lowerRoman"/>
      <w:start w:val="1"/>
    </w:lvl>
  </w:abstractNum>
  <w:abstractNum w:abstractNumId="51">
    <w:nsid w:val="3A966CD0"/>
    <w:multiLevelType w:val="hybridMultilevel"/>
    <w:lvl w:ilvl="0">
      <w:lvlJc w:val="left"/>
      <w:lvlText w:val="(%1)"/>
      <w:numFmt w:val="lowerRoman"/>
      <w:start w:val="2"/>
    </w:lvl>
  </w:abstractNum>
  <w:abstractNum w:abstractNumId="52">
    <w:nsid w:val="63F37E85"/>
    <w:multiLevelType w:val="hybridMultilevel"/>
    <w:lvl w:ilvl="0">
      <w:lvlJc w:val="left"/>
      <w:lvlText w:val="(%1)"/>
      <w:numFmt w:val="lowerLetter"/>
      <w:start w:val="1"/>
    </w:lvl>
  </w:abstractNum>
  <w:abstractNum w:abstractNumId="53">
    <w:nsid w:val="5895F5FA"/>
    <w:multiLevelType w:val="hybridMultilevel"/>
    <w:lvl w:ilvl="0">
      <w:lvlJc w:val="left"/>
      <w:lvlText w:val="(%1)"/>
      <w:numFmt w:val="lowerLetter"/>
      <w:start w:val="2"/>
    </w:lvl>
  </w:abstractNum>
  <w:abstractNum w:abstractNumId="54">
    <w:nsid w:val="38A5D054"/>
    <w:multiLevelType w:val="hybridMultilevel"/>
    <w:lvl w:ilvl="0">
      <w:lvlJc w:val="left"/>
      <w:lvlText w:val="(%1)"/>
      <w:numFmt w:val="decimal"/>
      <w:start w:val="10"/>
    </w:lvl>
    <w:lvl w:ilvl="1">
      <w:lvlJc w:val="left"/>
      <w:lvlText w:val="(%2)"/>
      <w:numFmt w:val="lowerLetter"/>
      <w:start w:val="3"/>
    </w:lvl>
  </w:abstractNum>
  <w:abstractNum w:abstractNumId="55">
    <w:nsid w:val="F3F09D8"/>
    <w:multiLevelType w:val="hybridMultilevel"/>
    <w:lvl w:ilvl="0">
      <w:lvlJc w:val="left"/>
      <w:lvlText w:val="(%1)"/>
      <w:numFmt w:val="decimal"/>
      <w:start w:val="2"/>
    </w:lvl>
  </w:abstractNum>
  <w:abstractNum w:abstractNumId="56">
    <w:nsid w:val="4B793735"/>
    <w:multiLevelType w:val="hybridMultilevel"/>
    <w:lvl w:ilvl="0">
      <w:lvlJc w:val="left"/>
      <w:lvlText w:val="%1."/>
      <w:numFmt w:val="decimal"/>
      <w:start w:val="4"/>
    </w:lvl>
  </w:abstractNum>
  <w:abstractNum w:abstractNumId="57">
    <w:nsid w:val="4A10B4E8"/>
    <w:multiLevelType w:val="hybridMultilevel"/>
    <w:lvl w:ilvl="0">
      <w:lvlJc w:val="left"/>
      <w:lvlText w:val="(%1)"/>
      <w:numFmt w:val="lowerRoman"/>
      <w:start w:val="1"/>
    </w:lvl>
  </w:abstractNum>
  <w:abstractNum w:abstractNumId="58">
    <w:nsid w:val="43D3BCD4"/>
    <w:multiLevelType w:val="hybridMultilevel"/>
    <w:lvl w:ilvl="0">
      <w:lvlJc w:val="left"/>
      <w:lvlText w:val="(%1)"/>
      <w:numFmt w:val="lowerLetter"/>
      <w:start w:val="1"/>
    </w:lvl>
  </w:abstractNum>
  <w:abstractNum w:abstractNumId="59">
    <w:nsid w:val="4C2A7166"/>
    <w:multiLevelType w:val="hybridMultilevel"/>
    <w:lvl w:ilvl="0">
      <w:lvlJc w:val="left"/>
      <w:lvlText w:val="(%1)"/>
      <w:numFmt w:val="decimal"/>
      <w:start w:val="1"/>
    </w:lvl>
  </w:abstractNum>
  <w:abstractNum w:abstractNumId="60">
    <w:nsid w:val="2E534A82"/>
    <w:multiLevelType w:val="hybridMultilevel"/>
    <w:lvl w:ilvl="0">
      <w:lvlJc w:val="left"/>
      <w:lvlText w:val="%1."/>
      <w:numFmt w:val="decimal"/>
      <w:start w:val="5"/>
    </w:lvl>
  </w:abstractNum>
  <w:abstractNum w:abstractNumId="61">
    <w:nsid w:val="26F2D364"/>
    <w:multiLevelType w:val="hybridMultilevel"/>
    <w:lvl w:ilvl="0">
      <w:lvlJc w:val="left"/>
      <w:lvlText w:val="%1."/>
      <w:numFmt w:val="decimal"/>
      <w:start w:val="6"/>
    </w:lvl>
  </w:abstractNum>
  <w:abstractNum w:abstractNumId="62">
    <w:nsid w:val="71C1AF98"/>
    <w:multiLevelType w:val="hybridMultilevel"/>
    <w:lvl w:ilvl="0">
      <w:lvlJc w:val="left"/>
      <w:lvlText w:val="%1."/>
      <w:numFmt w:val="decimal"/>
      <w:start w:val="7"/>
    </w:lvl>
  </w:abstractNum>
  <w:abstractNum w:abstractNumId="63">
    <w:nsid w:val="3D00B9D9"/>
    <w:multiLevelType w:val="hybridMultilevel"/>
    <w:lvl w:ilvl="0">
      <w:lvlJc w:val="left"/>
      <w:lvlText w:val="%1."/>
      <w:numFmt w:val="decimal"/>
      <w:start w:val="8"/>
    </w:lvl>
  </w:abstractNum>
  <w:abstractNum w:abstractNumId="64">
    <w:nsid w:val="15BCABA8"/>
    <w:multiLevelType w:val="hybridMultilevel"/>
    <w:lvl w:ilvl="0">
      <w:lvlJc w:val="left"/>
      <w:lvlText w:val="%1."/>
      <w:numFmt w:val="decimal"/>
      <w:start w:val="9"/>
    </w:lvl>
  </w:abstractNum>
  <w:abstractNum w:abstractNumId="65">
    <w:nsid w:val="4E0B9A87"/>
    <w:multiLevelType w:val="hybridMultilevel"/>
    <w:lvl w:ilvl="0">
      <w:lvlJc w:val="left"/>
      <w:lvlText w:val="(%1)"/>
      <w:numFmt w:val="decimal"/>
      <w:start w:val="5"/>
    </w:lvl>
  </w:abstractNum>
  <w:abstractNum w:abstractNumId="66">
    <w:nsid w:val="434BAE75"/>
    <w:multiLevelType w:val="hybridMultilevel"/>
    <w:lvl w:ilvl="0">
      <w:lvlJc w:val="left"/>
      <w:lvlText w:val="%1."/>
      <w:numFmt w:val="decimal"/>
      <w:start w:val="1"/>
    </w:lvl>
  </w:abstractNum>
  <w:abstractNum w:abstractNumId="67">
    <w:nsid w:val="4F38F265"/>
    <w:multiLevelType w:val="hybridMultilevel"/>
    <w:lvl w:ilvl="0">
      <w:lvlJc w:val="left"/>
      <w:lvlText w:val="%1."/>
      <w:numFmt w:val="decimal"/>
      <w:start w:val="2"/>
    </w:lvl>
  </w:abstractNum>
  <w:abstractNum w:abstractNumId="68">
    <w:nsid w:val="4C502870"/>
    <w:multiLevelType w:val="hybridMultilevel"/>
    <w:lvl w:ilvl="0">
      <w:lvlJc w:val="left"/>
      <w:lvlText w:val="%1"/>
      <w:numFmt w:val="lowerRoman"/>
      <w:start w:val="1"/>
    </w:lvl>
    <w:lvl w:ilvl="1">
      <w:lvlJc w:val="left"/>
      <w:lvlText w:val="%2."/>
      <w:numFmt w:val="decimal"/>
      <w:start w:val="3"/>
    </w:lvl>
  </w:abstractNum>
  <w:abstractNum w:abstractNumId="69">
    <w:nsid w:val="1DE8725A"/>
    <w:multiLevelType w:val="hybridMultilevel"/>
    <w:lvl w:ilvl="0">
      <w:lvlJc w:val="left"/>
      <w:lvlText w:val="(%1)"/>
      <w:numFmt w:val="lowerRoman"/>
      <w:start w:val="2"/>
    </w:lvl>
    <w:lvl w:ilvl="1">
      <w:lvlJc w:val="left"/>
      <w:lvlText w:val="%2"/>
      <w:numFmt w:val="decimal"/>
      <w:start w:val="1"/>
    </w:lvl>
  </w:abstractNum>
  <w:abstractNum w:abstractNumId="70">
    <w:nsid w:val="6A37288A"/>
    <w:multiLevelType w:val="hybridMultilevel"/>
    <w:lvl w:ilvl="0">
      <w:lvlJc w:val="left"/>
      <w:lvlText w:val="(%1)"/>
      <w:numFmt w:val="lowerRoman"/>
      <w:start w:val="2"/>
    </w:lvl>
    <w:lvl w:ilvl="1">
      <w:lvlJc w:val="left"/>
      <w:lvlText w:val="%2."/>
      <w:numFmt w:val="decimal"/>
      <w:start w:val="4"/>
    </w:lvl>
  </w:abstractNum>
  <w:abstractNum w:abstractNumId="71">
    <w:nsid w:val="8F8B73F"/>
    <w:multiLevelType w:val="hybridMultilevel"/>
    <w:lvl w:ilvl="0">
      <w:lvlJc w:val="left"/>
      <w:lvlText w:val="%1"/>
      <w:numFmt w:val="upperLetter"/>
      <w:start w:val="1"/>
    </w:lvl>
    <w:lvl w:ilvl="1">
      <w:lvlJc w:val="left"/>
      <w:lvlText w:val="%2."/>
      <w:numFmt w:val="decimal"/>
      <w:start w:val="5"/>
    </w:lvl>
  </w:abstractNum>
  <w:abstractNum w:abstractNumId="72">
    <w:nsid w:val="CA6B462"/>
    <w:multiLevelType w:val="hybridMultilevel"/>
    <w:lvl w:ilvl="0">
      <w:lvlJc w:val="left"/>
      <w:lvlText w:val="(%1)"/>
      <w:numFmt w:val="upperLetter"/>
      <w:start w:val="2"/>
    </w:lvl>
    <w:lvl w:ilvl="1">
      <w:lvlJc w:val="left"/>
      <w:lvlText w:val="%2"/>
      <w:numFmt w:val="decimal"/>
      <w:start w:val="1"/>
    </w:lvl>
  </w:abstractNum>
  <w:abstractNum w:abstractNumId="73">
    <w:nsid w:val="763CB68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4">
    <w:nsid w:val="15B71329"/>
    <w:multiLevelType w:val="hybridMultilevel"/>
    <w:lvl w:ilvl="0">
      <w:lvlJc w:val="left"/>
      <w:lvlText w:val="(%1)"/>
      <w:numFmt w:val="lowerLetter"/>
      <w:start w:val="6"/>
    </w:lvl>
    <w:lvl w:ilvl="1">
      <w:lvlJc w:val="left"/>
      <w:lvlText w:val="%2."/>
      <w:numFmt w:val="decimal"/>
      <w:start w:val="8"/>
    </w:lvl>
    <w:lvl w:ilvl="2">
      <w:lvlJc w:val="left"/>
      <w:lvlText w:val="%3"/>
      <w:numFmt w:val="lowerLetter"/>
      <w:start w:val="1"/>
    </w:lvl>
  </w:abstractNum>
  <w:abstractNum w:abstractNumId="75">
    <w:nsid w:val="3DA9704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76">
    <w:nsid w:val="1CDCE2DE"/>
    <w:multiLevelType w:val="hybridMultilevel"/>
    <w:lvl w:ilvl="0">
      <w:lvlJc w:val="left"/>
      <w:lvlText w:val="%1."/>
      <w:numFmt w:val="decimal"/>
      <w:start w:val="9"/>
    </w:lvl>
  </w:abstractNum>
  <w:abstractNum w:abstractNumId="77">
    <w:nsid w:val="69D3947C"/>
    <w:multiLevelType w:val="hybridMultilevel"/>
    <w:lvl w:ilvl="0">
      <w:lvlJc w:val="left"/>
      <w:lvlText w:val="%1"/>
      <w:numFmt w:val="lowerRoman"/>
      <w:start w:val="1"/>
    </w:lvl>
    <w:lvl w:ilvl="1">
      <w:lvlJc w:val="left"/>
      <w:lvlText w:val="%2."/>
      <w:numFmt w:val="decimal"/>
      <w:start w:val="11"/>
    </w:lvl>
  </w:abstractNum>
  <w:abstractNum w:abstractNumId="78">
    <w:nsid w:val="2539DFA5"/>
    <w:multiLevelType w:val="hybridMultilevel"/>
    <w:lvl w:ilvl="0">
      <w:lvlJc w:val="left"/>
      <w:lvlText w:val="(%1)"/>
      <w:numFmt w:val="lowerRoman"/>
      <w:start w:val="5"/>
    </w:lvl>
    <w:lvl w:ilvl="1">
      <w:lvlJc w:val="left"/>
      <w:lvlText w:val="%2."/>
      <w:numFmt w:val="decimal"/>
      <w:start w:val="12"/>
    </w:lvl>
  </w:abstractNum>
  <w:abstractNum w:abstractNumId="79">
    <w:nsid w:val="2DB88089"/>
    <w:multiLevelType w:val="hybridMultilevel"/>
    <w:lvl w:ilvl="0">
      <w:lvlJc w:val="left"/>
      <w:lvlText w:val="%1."/>
      <w:numFmt w:val="decimal"/>
      <w:start w:val="15"/>
    </w:lvl>
  </w:abstractNum>
  <w:abstractNum w:abstractNumId="80">
    <w:nsid w:val="706B674E"/>
    <w:multiLevelType w:val="hybridMultilevel"/>
    <w:lvl w:ilvl="0">
      <w:lvlJc w:val="left"/>
      <w:lvlText w:val="%1."/>
      <w:numFmt w:val="decimal"/>
      <w:start w:val="1"/>
    </w:lvl>
    <w:lvl w:ilvl="1">
      <w:lvlJc w:val="left"/>
      <w:lvlText w:val="(%2)"/>
      <w:numFmt w:val="lowerLetter"/>
      <w:start w:val="1"/>
    </w:lvl>
  </w:abstractNum>
  <w:abstractNum w:abstractNumId="81">
    <w:nsid w:val="2C106A57"/>
    <w:multiLevelType w:val="hybridMultilevel"/>
    <w:lvl w:ilvl="0">
      <w:lvlJc w:val="left"/>
      <w:lvlText w:val="(%1)"/>
      <w:numFmt w:val="lowerLetter"/>
      <w:start w:val="2"/>
    </w:lvl>
  </w:abstractNum>
  <w:abstractNum w:abstractNumId="82">
    <w:nsid w:val="684EED59"/>
    <w:multiLevelType w:val="hybridMultilevel"/>
    <w:lvl w:ilvl="0">
      <w:lvlJc w:val="left"/>
      <w:lvlText w:val="(%1)"/>
      <w:numFmt w:val="lowerLetter"/>
      <w:start w:val="10"/>
    </w:lvl>
  </w:abstractNum>
  <w:abstractNum w:abstractNumId="83">
    <w:nsid w:val="545EE5D3"/>
    <w:multiLevelType w:val="hybridMultilevel"/>
    <w:lvl w:ilvl="0">
      <w:lvlJc w:val="left"/>
      <w:lvlText w:val="(%1)"/>
      <w:numFmt w:val="lowerLetter"/>
      <w:start w:val="13"/>
    </w:lvl>
  </w:abstractNum>
  <w:abstractNum w:abstractNumId="84">
    <w:nsid w:val="4A66051"/>
    <w:multiLevelType w:val="hybridMultilevel"/>
    <w:lvl w:ilvl="0">
      <w:lvlJc w:val="left"/>
      <w:lvlText w:val="(%1)"/>
      <w:numFmt w:val="lowerLetter"/>
      <w:start w:val="12"/>
    </w:lvl>
  </w:abstractNum>
  <w:abstractNum w:abstractNumId="85">
    <w:nsid w:val="20F4BDAD"/>
    <w:multiLevelType w:val="hybridMultilevel"/>
    <w:lvl w:ilvl="0">
      <w:lvlJc w:val="left"/>
      <w:lvlText w:val="%1."/>
      <w:numFmt w:val="decimal"/>
      <w:start w:val="2"/>
    </w:lvl>
    <w:lvl w:ilvl="1">
      <w:lvlJc w:val="left"/>
      <w:lvlText w:val="(%2)"/>
      <w:numFmt w:val="lowerLetter"/>
      <w:start w:val="1"/>
    </w:lvl>
  </w:abstractNum>
  <w:abstractNum w:abstractNumId="86">
    <w:nsid w:val="639DEFAC"/>
    <w:multiLevelType w:val="hybridMultilevel"/>
    <w:lvl w:ilvl="0">
      <w:lvlJc w:val="left"/>
      <w:lvlText w:val="%1"/>
      <w:numFmt w:val="decimal"/>
      <w:start w:val="1"/>
    </w:lvl>
    <w:lvl w:ilvl="1">
      <w:lvlJc w:val="left"/>
      <w:lvlText w:val="(%2)"/>
      <w:numFmt w:val="lowerLetter"/>
      <w:start w:val="4"/>
    </w:lvl>
  </w:abstractNum>
  <w:abstractNum w:abstractNumId="87">
    <w:nsid w:val="501F9786"/>
    <w:multiLevelType w:val="hybridMultilevel"/>
    <w:lvl w:ilvl="0">
      <w:lvlJc w:val="left"/>
      <w:lvlText w:val="%1."/>
      <w:numFmt w:val="decimal"/>
      <w:start w:val="3"/>
    </w:lvl>
    <w:lvl w:ilvl="1">
      <w:lvlJc w:val="left"/>
      <w:lvlText w:val="(%2)"/>
      <w:numFmt w:val="lowerLetter"/>
      <w:start w:val="1"/>
    </w:lvl>
  </w:abstractNum>
  <w:abstractNum w:abstractNumId="88">
    <w:nsid w:val="6B057295"/>
    <w:multiLevelType w:val="hybridMultilevel"/>
    <w:lvl w:ilvl="0">
      <w:lvlJc w:val="left"/>
      <w:lvlText w:val="%1"/>
      <w:numFmt w:val="decimal"/>
      <w:start w:val="1"/>
    </w:lvl>
    <w:lvl w:ilvl="1">
      <w:lvlJc w:val="left"/>
      <w:lvlText w:val="(%2)"/>
      <w:numFmt w:val="lowerLetter"/>
      <w:start w:val="4"/>
    </w:lvl>
  </w:abstractNum>
  <w:abstractNum w:abstractNumId="89">
    <w:nsid w:val="2771AC80"/>
    <w:multiLevelType w:val="hybridMultilevel"/>
    <w:lvl w:ilvl="0">
      <w:lvlJc w:val="left"/>
      <w:lvlText w:val="%1."/>
      <w:numFmt w:val="decimal"/>
      <w:start w:val="4"/>
    </w:lvl>
    <w:lvl w:ilvl="1">
      <w:lvlJc w:val="left"/>
      <w:lvlText w:val="%2"/>
      <w:numFmt w:val="lowerLetter"/>
      <w:start w:val="1"/>
    </w:lvl>
  </w:abstractNum>
  <w:abstractNum w:abstractNumId="90">
    <w:nsid w:val="1C4A08EC"/>
    <w:multiLevelType w:val="hybridMultilevel"/>
    <w:lvl w:ilvl="0">
      <w:lvlJc w:val="left"/>
      <w:lvlText w:val="%1."/>
      <w:numFmt w:val="decimal"/>
      <w:start w:val="5"/>
    </w:lvl>
    <w:lvl w:ilvl="1">
      <w:lvlJc w:val="left"/>
      <w:lvlText w:val="(%2)"/>
      <w:numFmt w:val="lowerLetter"/>
      <w:start w:val="1"/>
    </w:lvl>
  </w:abstractNum>
  <w:abstractNum w:abstractNumId="91">
    <w:nsid w:val="1958BD17"/>
    <w:multiLevelType w:val="hybridMultilevel"/>
    <w:lvl w:ilvl="0">
      <w:lvlJc w:val="left"/>
      <w:lvlText w:val="%1"/>
      <w:numFmt w:val="lowerLetter"/>
      <w:start w:val="1"/>
    </w:lvl>
    <w:lvl w:ilvl="1">
      <w:lvlJc w:val="left"/>
      <w:lvlText w:val="(%2)"/>
      <w:numFmt w:val="lowerLetter"/>
      <w:start w:val="3"/>
    </w:lvl>
  </w:abstractNum>
  <w:abstractNum w:abstractNumId="92">
    <w:nsid w:val="4E647FE4"/>
    <w:multiLevelType w:val="hybridMultilevel"/>
    <w:lvl w:ilvl="0">
      <w:lvlJc w:val="left"/>
      <w:lvlText w:val="(%1)"/>
      <w:numFmt w:val="lowerLetter"/>
      <w:start w:val="9"/>
    </w:lvl>
    <w:lvl w:ilvl="1">
      <w:lvlJc w:val="left"/>
      <w:lvlText w:val="(%2)"/>
      <w:numFmt w:val="lowerLetter"/>
      <w:start w:val="5"/>
    </w:lvl>
  </w:abstractNum>
  <w:abstractNum w:abstractNumId="93">
    <w:nsid w:val="E0BB885"/>
    <w:multiLevelType w:val="hybridMultilevel"/>
    <w:lvl w:ilvl="0">
      <w:lvlJc w:val="left"/>
      <w:lvlText w:val="(%1)"/>
      <w:numFmt w:val="lowerLetter"/>
      <w:start w:val="7"/>
    </w:lvl>
  </w:abstractNum>
  <w:abstractNum w:abstractNumId="94">
    <w:nsid w:val="565976F1"/>
    <w:multiLevelType w:val="hybridMultilevel"/>
    <w:lvl w:ilvl="0">
      <w:lvlJc w:val="left"/>
      <w:lvlText w:val="%1:"/>
      <w:numFmt w:val="lowerLetter"/>
      <w:start w:val="29"/>
    </w:lvl>
  </w:abstractNum>
  <w:abstractNum w:abstractNumId="95">
    <w:nsid w:val="64212B8C"/>
    <w:multiLevelType w:val="hybridMultilevel"/>
    <w:lvl w:ilvl="0">
      <w:lvlJc w:val="left"/>
      <w:lvlText w:val="%1:"/>
      <w:numFmt w:val="lowerLetter"/>
      <w:start w:val="29"/>
    </w:lvl>
  </w:abstractNum>
  <w:abstractNum w:abstractNumId="96">
    <w:nsid w:val="5C17530C"/>
    <w:multiLevelType w:val="hybridMultilevel"/>
    <w:lvl w:ilvl="0">
      <w:lvlJc w:val="left"/>
      <w:lvlText w:val="%1:"/>
      <w:numFmt w:val="lowerLetter"/>
      <w:start w:val="29"/>
    </w:lvl>
  </w:abstractNum>
  <w:abstractNum w:abstractNumId="97">
    <w:nsid w:val="19A52566"/>
    <w:multiLevelType w:val="hybridMultilevel"/>
    <w:lvl w:ilvl="0">
      <w:lvlJc w:val="left"/>
      <w:lvlText w:val="%1:"/>
      <w:numFmt w:val="lowerLetter"/>
      <w:start w:val="29"/>
    </w:lvl>
  </w:abstractNum>
  <w:abstractNum w:abstractNumId="98">
    <w:nsid w:val="335A1DF1"/>
    <w:multiLevelType w:val="hybridMultilevel"/>
    <w:lvl w:ilvl="0">
      <w:lvlJc w:val="left"/>
      <w:lvlText w:val="(%1)"/>
      <w:numFmt w:val="upperLetter"/>
      <w:start w:val="1"/>
    </w:lvl>
  </w:abstractNum>
  <w:abstractNum w:abstractNumId="99">
    <w:nsid w:val="28677B7C"/>
    <w:multiLevelType w:val="hybridMultilevel"/>
    <w:lvl w:ilvl="0">
      <w:lvlJc w:val="left"/>
      <w:lvlText w:val="(%1)"/>
      <w:numFmt w:val="upperLetter"/>
      <w:start w:val="4"/>
    </w:lvl>
  </w:abstractNum>
  <w:abstractNum w:abstractNumId="100">
    <w:nsid w:val="378D97C0"/>
    <w:multiLevelType w:val="hybridMultilevel"/>
    <w:lvl w:ilvl="0">
      <w:lvlJc w:val="left"/>
      <w:lvlText w:val="(%1)"/>
      <w:numFmt w:val="decimal"/>
      <w:start w:val="5"/>
    </w:lvl>
  </w:abstractNum>
  <w:abstractNum w:abstractNumId="101">
    <w:nsid w:val="1D91467C"/>
    <w:multiLevelType w:val="hybridMultilevel"/>
    <w:lvl w:ilvl="0">
      <w:lvlJc w:val="left"/>
      <w:lvlText w:val="(%1)"/>
      <w:numFmt w:val="lowerRoman"/>
      <w:start w:val="1"/>
    </w:lvl>
  </w:abstractNum>
  <w:abstractNum w:abstractNumId="102">
    <w:nsid w:val="316032BB"/>
    <w:multiLevelType w:val="hybridMultilevel"/>
    <w:lvl w:ilvl="0">
      <w:lvlJc w:val="left"/>
      <w:lvlText w:val="(%1)"/>
      <w:numFmt w:val="lowerLetter"/>
      <w:start w:val="1"/>
    </w:lvl>
  </w:abstractNum>
  <w:abstractNum w:abstractNumId="103">
    <w:nsid w:val="44344C22"/>
    <w:multiLevelType w:val="hybridMultilevel"/>
    <w:lvl w:ilvl="0">
      <w:lvlJc w:val="left"/>
      <w:lvlText w:val="%1"/>
      <w:numFmt w:val="upperLetter"/>
      <w:start w:val="1"/>
    </w:lvl>
    <w:lvl w:ilvl="1">
      <w:lvlJc w:val="left"/>
      <w:lvlText w:val="(%2)"/>
      <w:numFmt w:val="lowerLetter"/>
      <w:start w:val="2"/>
    </w:lvl>
  </w:abstractNum>
  <w:abstractNum w:abstractNumId="104">
    <w:nsid w:val="13CDFCFC"/>
    <w:multiLevelType w:val="hybridMultilevel"/>
    <w:lvl w:ilvl="0">
      <w:lvlJc w:val="left"/>
      <w:lvlText w:val="(%1)"/>
      <w:numFmt w:val="upperLetter"/>
      <w:start w:val="1"/>
    </w:lvl>
    <w:lvl w:ilvl="1">
      <w:lvlJc w:val="left"/>
      <w:lvlText w:val="%2"/>
      <w:numFmt w:val="lowerLetter"/>
      <w:start w:val="1"/>
    </w:lvl>
  </w:abstractNum>
  <w:abstractNum w:abstractNumId="105">
    <w:nsid w:val="471745E4"/>
    <w:multiLevelType w:val="hybridMultilevel"/>
    <w:lvl w:ilvl="0">
      <w:lvlJc w:val="left"/>
      <w:lvlText w:val="%1."/>
      <w:numFmt w:val="upperLetter"/>
      <w:start w:val="1"/>
    </w:lvl>
    <w:lvl w:ilvl="1">
      <w:lvlJc w:val="left"/>
      <w:lvlText w:val="(%2)"/>
      <w:numFmt w:val="lowerRoman"/>
      <w:start w:val="1"/>
    </w:lvl>
  </w:abstractNum>
  <w:abstractNum w:abstractNumId="106">
    <w:nsid w:val="1DDBC66"/>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107">
    <w:nsid w:val="30AADFDA"/>
    <w:multiLevelType w:val="hybridMultilevel"/>
    <w:lvl w:ilvl="0">
      <w:lvlJc w:val="left"/>
      <w:lvlText w:val="%1"/>
      <w:numFmt w:val="upperLetter"/>
      <w:start w:val="1"/>
    </w:lvl>
    <w:lvl w:ilvl="1">
      <w:lvlJc w:val="left"/>
      <w:lvlText w:val="(%2)"/>
      <w:numFmt w:val="lowerRoman"/>
      <w:start w:val="3"/>
    </w:lvl>
    <w:lvl w:ilvl="2">
      <w:lvlJc w:val="left"/>
      <w:lvlText w:val="%3"/>
      <w:numFmt w:val="lowerRoman"/>
      <w:start w:val="1"/>
    </w:lvl>
  </w:abstractNum>
  <w:abstractNum w:abstractNumId="108">
    <w:nsid w:val="30EADA61"/>
    <w:multiLevelType w:val="hybridMultilevel"/>
    <w:lvl w:ilvl="0">
      <w:lvlJc w:val="left"/>
      <w:lvlText w:val="%1."/>
      <w:numFmt w:val="upperLetter"/>
      <w:start w:val="3"/>
    </w:lvl>
    <w:lvl w:ilvl="1">
      <w:lvlJc w:val="left"/>
      <w:lvlText w:val="%2"/>
      <w:numFmt w:val="lowerRoman"/>
      <w:start w:val="1"/>
    </w:lvl>
    <w:lvl w:ilvl="2">
      <w:lvlJc w:val="left"/>
      <w:lvlText w:val="(%3)"/>
      <w:numFmt w:val="lowerRoman"/>
      <w:start w:val="1"/>
    </w:lvl>
  </w:abstractNum>
  <w:abstractNum w:abstractNumId="109">
    <w:nsid w:val="27179C0B"/>
    <w:multiLevelType w:val="hybridMultilevel"/>
    <w:lvl w:ilvl="0">
      <w:lvlJc w:val="left"/>
      <w:lvlText w:val="%1."/>
      <w:numFmt w:val="upperLetter"/>
      <w:start w:val="1"/>
    </w:lvl>
    <w:lvl w:ilvl="1">
      <w:lvlJc w:val="left"/>
      <w:lvlText w:val="(%2)"/>
      <w:numFmt w:val="lowerRoman"/>
      <w:start w:val="1"/>
    </w:lvl>
  </w:abstractNum>
  <w:abstractNum w:abstractNumId="110">
    <w:nsid w:val="5E636063"/>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111">
    <w:nsid w:val="215641AF"/>
    <w:multiLevelType w:val="hybridMultilevel"/>
    <w:lvl w:ilvl="0">
      <w:lvlJc w:val="left"/>
      <w:lvlText w:val="(%1)"/>
      <w:numFmt w:val="lowerLetter"/>
      <w:start w:val="3"/>
    </w:lvl>
    <w:lvl w:ilvl="1">
      <w:lvlJc w:val="left"/>
      <w:lvlText w:val="%2."/>
      <w:numFmt w:val="upperLetter"/>
      <w:start w:val="3"/>
    </w:lvl>
    <w:lvl w:ilvl="2">
      <w:lvlJc w:val="left"/>
      <w:lvlText w:val="%3"/>
      <w:numFmt w:val="lowerLetter"/>
      <w:start w:val="1"/>
    </w:lvl>
  </w:abstractNum>
  <w:abstractNum w:abstractNumId="112">
    <w:nsid w:val="53280662"/>
    <w:multiLevelType w:val="hybridMultilevel"/>
    <w:lvl w:ilvl="0">
      <w:lvlJc w:val="left"/>
      <w:lvlText w:val="%1."/>
      <w:numFmt w:val="upperLetter"/>
      <w:start w:val="1"/>
    </w:lvl>
    <w:lvl w:ilvl="1">
      <w:lvlJc w:val="left"/>
      <w:lvlText w:val="(%2)"/>
      <w:numFmt w:val="lowerRoman"/>
      <w:start w:val="1"/>
    </w:lvl>
  </w:abstractNum>
  <w:abstractNum w:abstractNumId="113">
    <w:nsid w:val="46B24DBC"/>
    <w:multiLevelType w:val="hybridMultilevel"/>
    <w:lvl w:ilvl="0">
      <w:lvlJc w:val="left"/>
      <w:lvlText w:val="%1"/>
      <w:numFmt w:val="upperLetter"/>
      <w:start w:val="1"/>
    </w:lvl>
    <w:lvl w:ilvl="1">
      <w:lvlJc w:val="left"/>
      <w:lvlText w:val="(%2)"/>
      <w:numFmt w:val="lowerRoman"/>
      <w:start w:val="2"/>
    </w:lvl>
  </w:abstractNum>
  <w:abstractNum w:abstractNumId="114">
    <w:nsid w:val="75B52783"/>
    <w:multiLevelType w:val="hybridMultilevel"/>
    <w:lvl w:ilvl="0">
      <w:lvlJc w:val="left"/>
      <w:lvlText w:val="%1."/>
      <w:numFmt w:val="upperLetter"/>
      <w:start w:val="3"/>
    </w:lvl>
    <w:lvl w:ilvl="1">
      <w:lvlJc w:val="left"/>
      <w:lvlText w:val="(%2)"/>
      <w:numFmt w:val="lowerRoman"/>
      <w:start w:val="1"/>
    </w:lvl>
  </w:abstractNum>
  <w:abstractNum w:abstractNumId="115">
    <w:nsid w:val="57CE66B4"/>
    <w:multiLevelType w:val="hybridMultilevel"/>
    <w:lvl w:ilvl="0">
      <w:lvlJc w:val="left"/>
      <w:lvlText w:val="(%1)"/>
      <w:numFmt w:val="lowerRoman"/>
      <w:start w:val="8"/>
    </w:lvl>
  </w:abstractNum>
  <w:abstractNum w:abstractNumId="116">
    <w:nsid w:val="67A70B69"/>
    <w:multiLevelType w:val="hybridMultilevel"/>
    <w:lvl w:ilvl="0">
      <w:lvlJc w:val="left"/>
      <w:lvlText w:val="%1."/>
      <w:numFmt w:val="upperLetter"/>
      <w:start w:val="1"/>
    </w:lvl>
  </w:abstractNum>
  <w:abstractNum w:abstractNumId="117">
    <w:nsid w:val="5953172F"/>
    <w:multiLevelType w:val="hybridMultilevel"/>
    <w:lvl w:ilvl="0">
      <w:lvlJc w:val="left"/>
      <w:lvlText w:val="%1."/>
      <w:numFmt w:val="upperLetter"/>
      <w:start w:val="1"/>
    </w:lvl>
  </w:abstractNum>
  <w:abstractNum w:abstractNumId="118">
    <w:nsid w:val="27EDFE3A"/>
    <w:multiLevelType w:val="hybridMultilevel"/>
    <w:lvl w:ilvl="0">
      <w:lvlJc w:val="left"/>
      <w:lvlText w:val="%1."/>
      <w:numFmt w:val="upperLetter"/>
      <w:start w:val="4"/>
    </w:lvl>
  </w:abstractNum>
  <w:abstractNum w:abstractNumId="119">
    <w:nsid w:val="52AC7DFF"/>
    <w:multiLevelType w:val="hybridMultilevel"/>
    <w:lvl w:ilvl="0">
      <w:lvlJc w:val="left"/>
      <w:lvlText w:val="%1."/>
      <w:numFmt w:val="upperLetter"/>
      <w:start w:val="1"/>
    </w:lvl>
  </w:abstractNum>
  <w:abstractNum w:abstractNumId="120">
    <w:nsid w:val="C4C3AF"/>
    <w:multiLevelType w:val="hybridMultilevel"/>
    <w:lvl w:ilvl="0">
      <w:lvlJc w:val="left"/>
      <w:lvlText w:val="%1."/>
      <w:numFmt w:val="decimal"/>
      <w:start w:val="1"/>
    </w:lvl>
  </w:abstractNum>
  <w:abstractNum w:abstractNumId="121">
    <w:nsid w:val="4438072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2">
    <w:nsid w:val="6C053B16"/>
    <w:multiLevelType w:val="hybridMultilevel"/>
    <w:lvl w:ilvl="0">
      <w:lvlJc w:val="left"/>
      <w:lvlText w:val="%1"/>
      <w:numFmt w:val="lowerLetter"/>
      <w:start w:val="1"/>
    </w:lvl>
    <w:lvl w:ilvl="1">
      <w:lvlJc w:val="left"/>
      <w:lvlText w:val="(%2)"/>
      <w:numFmt w:val="lowerRoman"/>
      <w:start w:val="4"/>
    </w:lvl>
  </w:abstractNum>
  <w:abstractNum w:abstractNumId="123">
    <w:nsid w:val="4F294393"/>
    <w:multiLevelType w:val="hybridMultilevel"/>
    <w:lvl w:ilvl="0">
      <w:lvlJc w:val="left"/>
      <w:lvlText w:val="(%1)"/>
      <w:numFmt w:val="lowerLetter"/>
      <w:start w:val="4"/>
    </w:lvl>
    <w:lvl w:ilvl="1">
      <w:lvlJc w:val="left"/>
      <w:lvlText w:val="%2"/>
      <w:numFmt w:val="lowerRoman"/>
      <w:start w:val="1"/>
    </w:lvl>
  </w:abstractNum>
  <w:abstractNum w:abstractNumId="124">
    <w:nsid w:val="5243BFAC"/>
    <w:multiLevelType w:val="hybridMultilevel"/>
    <w:lvl w:ilvl="0">
      <w:lvlJc w:val="left"/>
      <w:lvlText w:val="%1"/>
      <w:numFmt w:val="lowerLetter"/>
      <w:start w:val="1"/>
    </w:lvl>
    <w:lvl w:ilvl="1">
      <w:lvlJc w:val="left"/>
      <w:lvlText w:val="(%2)"/>
      <w:numFmt w:val="lowerLetter"/>
      <w:start w:val="9"/>
    </w:lvl>
  </w:abstractNum>
  <w:abstractNum w:abstractNumId="125">
    <w:nsid w:val="425EB207"/>
    <w:multiLevelType w:val="hybridMultilevel"/>
    <w:lvl w:ilvl="0">
      <w:lvlJc w:val="left"/>
      <w:lvlText w:val="(%1)"/>
      <w:numFmt w:val="lowerLetter"/>
      <w:start w:val="35"/>
    </w:lvl>
    <w:lvl w:ilvl="1">
      <w:lvlJc w:val="left"/>
      <w:lvlText w:val="(%2)"/>
      <w:numFmt w:val="lowerLetter"/>
      <w:start w:val="12"/>
    </w:lvl>
  </w:abstractNum>
  <w:abstractNum w:abstractNumId="126">
    <w:nsid w:val="334A6F1F"/>
    <w:multiLevelType w:val="hybridMultilevel"/>
    <w:lvl w:ilvl="0">
      <w:lvlJc w:val="left"/>
      <w:lvlText w:val="%1"/>
      <w:numFmt w:val="decimal"/>
      <w:start w:val="1"/>
    </w:lvl>
    <w:lvl w:ilvl="1">
      <w:lvlJc w:val="left"/>
      <w:lvlText w:val="(%2)"/>
      <w:numFmt w:val="lowerLetter"/>
      <w:start w:val="13"/>
    </w:lvl>
  </w:abstractNum>
  <w:abstractNum w:abstractNumId="127">
    <w:nsid w:val="2E5B12B8"/>
    <w:multiLevelType w:val="hybridMultilevel"/>
    <w:lvl w:ilvl="0">
      <w:lvlJc w:val="left"/>
      <w:lvlText w:val="%1."/>
      <w:numFmt w:val="decimal"/>
      <w:start w:val="3"/>
    </w:lvl>
    <w:lvl w:ilvl="1">
      <w:lvlJc w:val="left"/>
      <w:lvlText w:val="%2"/>
      <w:numFmt w:val="lowerLetter"/>
      <w:start w:val="1"/>
    </w:lvl>
  </w:abstractNum>
  <w:abstractNum w:abstractNumId="128">
    <w:nsid w:val="5C03D76D"/>
    <w:multiLevelType w:val="hybridMultilevel"/>
    <w:lvl w:ilvl="0">
      <w:lvlJc w:val="left"/>
      <w:lvlText w:val="%1."/>
      <w:numFmt w:val="decimal"/>
      <w:start w:val="5"/>
    </w:lvl>
  </w:abstractNum>
  <w:abstractNum w:abstractNumId="129">
    <w:nsid w:val="66A48D11"/>
    <w:multiLevelType w:val="hybridMultilevel"/>
    <w:lvl w:ilvl="0">
      <w:lvlJc w:val="left"/>
      <w:lvlText w:val="%1."/>
      <w:numFmt w:val="decimal"/>
      <w:start w:val="8"/>
    </w:lvl>
    <w:lvl w:ilvl="1">
      <w:lvlJc w:val="left"/>
      <w:lvlText w:val="(%2)"/>
      <w:numFmt w:val="lowerLetter"/>
      <w:start w:val="1"/>
    </w:lvl>
  </w:abstractNum>
  <w:abstractNum w:abstractNumId="130">
    <w:nsid w:val="56C28E34"/>
    <w:multiLevelType w:val="hybridMultilevel"/>
    <w:lvl w:ilvl="0">
      <w:lvlJc w:val="left"/>
      <w:lvlText w:val="%1."/>
      <w:numFmt w:val="decimal"/>
      <w:start w:val="10"/>
    </w:lvl>
    <w:lvl w:ilvl="1">
      <w:lvlJc w:val="left"/>
      <w:lvlText w:val="(%2)"/>
      <w:numFmt w:val="lowerLetter"/>
      <w:start w:val="1"/>
    </w:lvl>
  </w:abstractNum>
  <w:abstractNum w:abstractNumId="131">
    <w:nsid w:val="13916F2D"/>
    <w:multiLevelType w:val="hybridMultilevel"/>
    <w:lvl w:ilvl="0">
      <w:lvlJc w:val="left"/>
      <w:lvlText w:val="%1."/>
      <w:numFmt w:val="decimal"/>
      <w:start w:val="12"/>
    </w:lvl>
    <w:lvl w:ilvl="1">
      <w:lvlJc w:val="left"/>
      <w:lvlText w:val="(%2)"/>
      <w:numFmt w:val="lowerLetter"/>
      <w:start w:val="1"/>
    </w:lvl>
  </w:abstractNum>
  <w:abstractNum w:abstractNumId="132">
    <w:nsid w:val="435D38D"/>
    <w:multiLevelType w:val="hybridMultilevel"/>
    <w:lvl w:ilvl="0">
      <w:lvlJc w:val="left"/>
      <w:lvlText w:val="%1"/>
      <w:numFmt w:val="decimal"/>
      <w:start w:val="1"/>
    </w:lvl>
    <w:lvl w:ilvl="1">
      <w:lvlJc w:val="left"/>
      <w:lvlText w:val="(%2)"/>
      <w:numFmt w:val="lowerLetter"/>
      <w:start w:val="3"/>
    </w:lvl>
  </w:abstractNum>
  <w:abstractNum w:abstractNumId="133">
    <w:nsid w:val="822C0EF"/>
    <w:multiLevelType w:val="hybridMultilevel"/>
    <w:lvl w:ilvl="0">
      <w:lvlJc w:val="left"/>
      <w:lvlText w:val="%1."/>
      <w:numFmt w:val="decimal"/>
      <w:start w:val="13"/>
    </w:lvl>
    <w:lvl w:ilvl="1">
      <w:lvlJc w:val="left"/>
      <w:lvlText w:val="(%2)"/>
      <w:numFmt w:val="lowerLetter"/>
      <w:start w:val="1"/>
    </w:lvl>
  </w:abstractNum>
  <w:abstractNum w:abstractNumId="134">
    <w:nsid w:val="57C5BB4F"/>
    <w:multiLevelType w:val="hybridMultilevel"/>
    <w:lvl w:ilvl="0">
      <w:lvlJc w:val="left"/>
      <w:lvlText w:val="%1"/>
      <w:numFmt w:val="decimal"/>
      <w:start w:val="1"/>
    </w:lvl>
    <w:lvl w:ilvl="1">
      <w:lvlJc w:val="left"/>
      <w:lvlText w:val="(%2)"/>
      <w:numFmt w:val="lowerLetter"/>
      <w:start w:val="3"/>
    </w:lvl>
  </w:abstractNum>
  <w:abstractNum w:abstractNumId="135">
    <w:nsid w:val="1803D089"/>
    <w:multiLevelType w:val="hybridMultilevel"/>
    <w:lvl w:ilvl="0">
      <w:lvlJc w:val="left"/>
      <w:lvlText w:val="%1."/>
      <w:numFmt w:val="decimal"/>
      <w:start w:val="14"/>
    </w:lvl>
    <w:lvl w:ilvl="1">
      <w:lvlJc w:val="left"/>
      <w:lvlText w:val="(%2)"/>
      <w:numFmt w:val="lowerLetter"/>
      <w:start w:val="1"/>
    </w:lvl>
  </w:abstractNum>
  <w:abstractNum w:abstractNumId="136">
    <w:nsid w:val="4F3A06D4"/>
    <w:multiLevelType w:val="hybridMultilevel"/>
    <w:lvl w:ilvl="0">
      <w:lvlJc w:val="left"/>
      <w:lvlText w:val="(%1)"/>
      <w:numFmt w:val="lowerLetter"/>
      <w:start w:val="2"/>
    </w:lvl>
  </w:abstractNum>
  <w:abstractNum w:abstractNumId="137">
    <w:nsid w:val="59A377B6"/>
    <w:multiLevelType w:val="hybridMultilevel"/>
    <w:lvl w:ilvl="0">
      <w:lvlJc w:val="left"/>
      <w:lvlText w:val="%1"/>
      <w:numFmt w:val="decimal"/>
      <w:start w:val="1"/>
    </w:lvl>
    <w:lvl w:ilvl="1">
      <w:lvlJc w:val="left"/>
      <w:lvlText w:val="(%2)"/>
      <w:numFmt w:val="lowerLetter"/>
      <w:start w:val="7"/>
    </w:lvl>
  </w:abstractNum>
  <w:abstractNum w:abstractNumId="138">
    <w:nsid w:val="48AEB063"/>
    <w:multiLevelType w:val="hybridMultilevel"/>
    <w:lvl w:ilvl="0">
      <w:lvlJc w:val="left"/>
      <w:lvlText w:val="%1."/>
      <w:numFmt w:val="decimal"/>
      <w:start w:val="15"/>
    </w:lvl>
    <w:lvl w:ilvl="1">
      <w:lvlJc w:val="left"/>
      <w:lvlText w:val="(%2)"/>
      <w:numFmt w:val="lowerLetter"/>
      <w:start w:val="1"/>
    </w:lvl>
  </w:abstractNum>
  <w:abstractNum w:abstractNumId="139">
    <w:nsid w:val="24E135"/>
    <w:multiLevelType w:val="hybridMultilevel"/>
    <w:lvl w:ilvl="0">
      <w:lvlJc w:val="left"/>
      <w:lvlText w:val="(%1)"/>
      <w:numFmt w:val="lowerLetter"/>
      <w:start w:val="2"/>
    </w:lvl>
  </w:abstractNum>
  <w:abstractNum w:abstractNumId="140">
    <w:nsid w:val="BB13C1"/>
    <w:multiLevelType w:val="hybridMultilevel"/>
    <w:lvl w:ilvl="0">
      <w:lvlJc w:val="left"/>
      <w:lvlText w:val="%1"/>
      <w:numFmt w:val="lowerLetter"/>
      <w:start w:val="1"/>
    </w:lvl>
    <w:lvl w:ilvl="1">
      <w:lvlJc w:val="left"/>
      <w:lvlText w:val="(%2)"/>
      <w:numFmt w:val="lowerLetter"/>
      <w:start w:val="5"/>
    </w:lvl>
  </w:abstractNum>
  <w:abstractNum w:abstractNumId="141">
    <w:nsid w:val="271210C7"/>
    <w:multiLevelType w:val="hybridMultilevel"/>
    <w:lvl w:ilvl="0">
      <w:lvlJc w:val="left"/>
      <w:lvlText w:val="(%1)"/>
      <w:numFmt w:val="lowerLetter"/>
      <w:start w:val="35"/>
    </w:lvl>
    <w:lvl w:ilvl="1">
      <w:lvlJc w:val="left"/>
      <w:lvlText w:val="(%2)"/>
      <w:numFmt w:val="lowerLetter"/>
      <w:start w:val="6"/>
    </w:lvl>
  </w:abstractNum>
  <w:abstractNum w:abstractNumId="142">
    <w:nsid w:val="217B22E4"/>
    <w:multiLevelType w:val="hybridMultilevel"/>
    <w:lvl w:ilvl="0">
      <w:lvlJc w:val="left"/>
      <w:lvlText w:val="%1."/>
      <w:numFmt w:val="decimal"/>
      <w:start w:val="17"/>
    </w:lvl>
  </w:abstractNum>
  <w:abstractNum w:abstractNumId="143">
    <w:nsid w:val="53E31A24"/>
    <w:multiLevelType w:val="hybridMultilevel"/>
    <w:lvl w:ilvl="0">
      <w:lvlJc w:val="left"/>
      <w:lvlText w:val="%1."/>
      <w:numFmt w:val="decimal"/>
      <w:start w:val="18"/>
    </w:lvl>
    <w:lvl w:ilvl="1">
      <w:lvlJc w:val="left"/>
      <w:lvlText w:val="(%2)"/>
      <w:numFmt w:val="lowerLetter"/>
      <w:start w:val="1"/>
    </w:lvl>
  </w:abstractNum>
  <w:abstractNum w:abstractNumId="144">
    <w:nsid w:val="6DC45E83"/>
    <w:multiLevelType w:val="hybridMultilevel"/>
    <w:lvl w:ilvl="0">
      <w:lvlJc w:val="left"/>
      <w:lvlText w:val="%1"/>
      <w:numFmt w:val="decimal"/>
      <w:start w:val="1"/>
    </w:lvl>
    <w:lvl w:ilvl="1">
      <w:lvlJc w:val="left"/>
      <w:lvlText w:val="(%2)"/>
      <w:numFmt w:val="lowerLetter"/>
      <w:start w:val="5"/>
    </w:lvl>
  </w:abstractNum>
  <w:abstractNum w:abstractNumId="145">
    <w:nsid w:val="17304A67"/>
    <w:multiLevelType w:val="hybridMultilevel"/>
    <w:lvl w:ilvl="0">
      <w:lvlJc w:val="left"/>
      <w:lvlText w:val="%1."/>
      <w:numFmt w:val="decimal"/>
      <w:start w:val="20"/>
    </w:lvl>
    <w:lvl w:ilvl="1">
      <w:lvlJc w:val="left"/>
      <w:lvlText w:val="(%2)"/>
      <w:numFmt w:val="lowerLetter"/>
      <w:start w:val="1"/>
    </w:lvl>
  </w:abstractNum>
  <w:abstractNum w:abstractNumId="146">
    <w:nsid w:val="2BB180D8"/>
    <w:multiLevelType w:val="hybridMultilevel"/>
    <w:lvl w:ilvl="0">
      <w:lvlJc w:val="left"/>
      <w:lvlText w:val="%1."/>
      <w:numFmt w:val="decimal"/>
      <w:start w:val="22"/>
    </w:lvl>
  </w:abstractNum>
  <w:abstractNum w:abstractNumId="147">
    <w:nsid w:val="556B69ED"/>
    <w:multiLevelType w:val="hybridMultilevel"/>
    <w:lvl w:ilvl="0">
      <w:lvlJc w:val="left"/>
      <w:lvlText w:val="%1."/>
      <w:numFmt w:val="decimal"/>
      <w:start w:val="27"/>
    </w:lvl>
  </w:abstractNum>
  <w:abstractNum w:abstractNumId="148">
    <w:nsid w:val="70836196"/>
    <w:multiLevelType w:val="hybridMultilevel"/>
    <w:lvl w:ilvl="0">
      <w:lvlJc w:val="left"/>
      <w:lvlText w:val="%1."/>
      <w:numFmt w:val="decimal"/>
      <w:start w:val="1"/>
    </w:lvl>
  </w:abstractNum>
  <w:abstractNum w:abstractNumId="149">
    <w:nsid w:val="539F7F1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0">
    <w:nsid w:val="2817E7EC"/>
    <w:multiLevelType w:val="hybridMultilevel"/>
    <w:lvl w:ilvl="0">
      <w:lvlJc w:val="left"/>
      <w:lvlText w:val="%1"/>
      <w:numFmt w:val="lowerLetter"/>
      <w:start w:val="1"/>
    </w:lvl>
    <w:lvl w:ilvl="1">
      <w:lvlJc w:val="left"/>
      <w:lvlText w:val="(%2)"/>
      <w:numFmt w:val="lowerRoman"/>
      <w:start w:val="4"/>
    </w:lvl>
  </w:abstractNum>
  <w:abstractNum w:abstractNumId="151">
    <w:nsid w:val="71482545"/>
    <w:multiLevelType w:val="hybridMultilevel"/>
    <w:lvl w:ilvl="0">
      <w:lvlJc w:val="left"/>
      <w:lvlText w:val="(%1)"/>
      <w:numFmt w:val="lowerLetter"/>
      <w:start w:val="4"/>
    </w:lvl>
    <w:lvl w:ilvl="1">
      <w:lvlJc w:val="left"/>
      <w:lvlText w:val="%2"/>
      <w:numFmt w:val="lowerRoman"/>
      <w:start w:val="1"/>
    </w:lvl>
  </w:abstractNum>
  <w:abstractNum w:abstractNumId="152">
    <w:nsid w:val="17D78639"/>
    <w:multiLevelType w:val="hybridMultilevel"/>
    <w:lvl w:ilvl="0">
      <w:lvlJc w:val="left"/>
      <w:lvlText w:val="%1"/>
      <w:numFmt w:val="lowerLetter"/>
      <w:start w:val="1"/>
    </w:lvl>
    <w:lvl w:ilvl="1">
      <w:lvlJc w:val="left"/>
      <w:lvlText w:val="(%2)"/>
      <w:numFmt w:val="lowerLetter"/>
      <w:start w:val="9"/>
    </w:lvl>
  </w:abstractNum>
  <w:abstractNum w:abstractNumId="153">
    <w:nsid w:val="141D2302"/>
    <w:multiLevelType w:val="hybridMultilevel"/>
    <w:lvl w:ilvl="0">
      <w:lvlJc w:val="left"/>
      <w:lvlText w:val="(%1)"/>
      <w:numFmt w:val="lowerLetter"/>
      <w:start w:val="35"/>
    </w:lvl>
    <w:lvl w:ilvl="1">
      <w:lvlJc w:val="left"/>
      <w:lvlText w:val="(%2)"/>
      <w:numFmt w:val="lowerLetter"/>
      <w:start w:val="12"/>
    </w:lvl>
  </w:abstractNum>
  <w:abstractNum w:abstractNumId="154">
    <w:nsid w:val="407168D8"/>
    <w:multiLevelType w:val="hybridMultilevel"/>
    <w:lvl w:ilvl="0">
      <w:lvlJc w:val="left"/>
      <w:lvlText w:val="%1"/>
      <w:numFmt w:val="decimal"/>
      <w:start w:val="1"/>
    </w:lvl>
    <w:lvl w:ilvl="1">
      <w:lvlJc w:val="left"/>
      <w:lvlText w:val="(%2)"/>
      <w:numFmt w:val="lowerLetter"/>
      <w:start w:val="13"/>
    </w:lvl>
  </w:abstractNum>
  <w:abstractNum w:abstractNumId="155">
    <w:nsid w:val="6A1B45E5"/>
    <w:multiLevelType w:val="hybridMultilevel"/>
    <w:lvl w:ilvl="0">
      <w:lvlJc w:val="left"/>
      <w:lvlText w:val="%1."/>
      <w:numFmt w:val="decimal"/>
      <w:start w:val="3"/>
    </w:lvl>
    <w:lvl w:ilvl="1">
      <w:lvlJc w:val="left"/>
      <w:lvlText w:val="%2"/>
      <w:numFmt w:val="lowerLetter"/>
      <w:start w:val="1"/>
    </w:lvl>
  </w:abstractNum>
  <w:abstractNum w:abstractNumId="156">
    <w:nsid w:val="567BD50A"/>
    <w:multiLevelType w:val="hybridMultilevel"/>
    <w:lvl w:ilvl="0">
      <w:lvlJc w:val="left"/>
      <w:lvlText w:val="%1."/>
      <w:numFmt w:val="decimal"/>
      <w:start w:val="5"/>
    </w:lvl>
  </w:abstractNum>
  <w:abstractNum w:abstractNumId="157">
    <w:nsid w:val="73BBD7F8"/>
    <w:multiLevelType w:val="hybridMultilevel"/>
    <w:lvl w:ilvl="0">
      <w:lvlJc w:val="left"/>
      <w:lvlText w:val="%1."/>
      <w:numFmt w:val="decimal"/>
      <w:start w:val="8"/>
    </w:lvl>
    <w:lvl w:ilvl="1">
      <w:lvlJc w:val="left"/>
      <w:lvlText w:val="(%2)"/>
      <w:numFmt w:val="lowerLetter"/>
      <w:start w:val="1"/>
    </w:lvl>
  </w:abstractNum>
  <w:abstractNum w:abstractNumId="158">
    <w:nsid w:val="1876589D"/>
    <w:multiLevelType w:val="hybridMultilevel"/>
    <w:lvl w:ilvl="0">
      <w:lvlJc w:val="left"/>
      <w:lvlText w:val="%1."/>
      <w:numFmt w:val="decimal"/>
      <w:start w:val="10"/>
    </w:lvl>
    <w:lvl w:ilvl="1">
      <w:lvlJc w:val="left"/>
      <w:lvlText w:val="(%2)"/>
      <w:numFmt w:val="lowerLetter"/>
      <w:start w:val="1"/>
    </w:lvl>
  </w:abstractNum>
  <w:abstractNum w:abstractNumId="159">
    <w:nsid w:val="327FAC77"/>
    <w:multiLevelType w:val="hybridMultilevel"/>
    <w:lvl w:ilvl="0">
      <w:lvlJc w:val="left"/>
      <w:lvlText w:val="%1."/>
      <w:numFmt w:val="decimal"/>
      <w:start w:val="12"/>
    </w:lvl>
    <w:lvl w:ilvl="1">
      <w:lvlJc w:val="left"/>
      <w:lvlText w:val="(%2)"/>
      <w:numFmt w:val="lowerLetter"/>
      <w:start w:val="1"/>
    </w:lvl>
  </w:abstractNum>
  <w:abstractNum w:abstractNumId="160">
    <w:nsid w:val="5A606509"/>
    <w:multiLevelType w:val="hybridMultilevel"/>
    <w:lvl w:ilvl="0">
      <w:lvlJc w:val="left"/>
      <w:lvlText w:val="%1"/>
      <w:numFmt w:val="decimal"/>
      <w:start w:val="1"/>
    </w:lvl>
    <w:lvl w:ilvl="1">
      <w:lvlJc w:val="left"/>
      <w:lvlText w:val="(%2)"/>
      <w:numFmt w:val="lowerLetter"/>
      <w:start w:val="3"/>
    </w:lvl>
  </w:abstractNum>
  <w:abstractNum w:abstractNumId="161">
    <w:nsid w:val="6F38E6D1"/>
    <w:multiLevelType w:val="hybridMultilevel"/>
    <w:lvl w:ilvl="0">
      <w:lvlJc w:val="left"/>
      <w:lvlText w:val="%1."/>
      <w:numFmt w:val="decimal"/>
      <w:start w:val="13"/>
    </w:lvl>
    <w:lvl w:ilvl="1">
      <w:lvlJc w:val="left"/>
      <w:lvlText w:val="(%2)"/>
      <w:numFmt w:val="lowerLetter"/>
      <w:start w:val="1"/>
    </w:lvl>
  </w:abstractNum>
  <w:abstractNum w:abstractNumId="162">
    <w:nsid w:val="46111BA5"/>
    <w:multiLevelType w:val="hybridMultilevel"/>
    <w:lvl w:ilvl="0">
      <w:lvlJc w:val="left"/>
      <w:lvlText w:val="%1"/>
      <w:numFmt w:val="decimal"/>
      <w:start w:val="1"/>
    </w:lvl>
    <w:lvl w:ilvl="1">
      <w:lvlJc w:val="left"/>
      <w:lvlText w:val="(%2)"/>
      <w:numFmt w:val="lowerLetter"/>
      <w:start w:val="3"/>
    </w:lvl>
  </w:abstractNum>
  <w:abstractNum w:abstractNumId="163">
    <w:nsid w:val="5E963896"/>
    <w:multiLevelType w:val="hybridMultilevel"/>
    <w:lvl w:ilvl="0">
      <w:lvlJc w:val="left"/>
      <w:lvlText w:val="%1."/>
      <w:numFmt w:val="decimal"/>
      <w:start w:val="14"/>
    </w:lvl>
    <w:lvl w:ilvl="1">
      <w:lvlJc w:val="left"/>
      <w:lvlText w:val="(%2)"/>
      <w:numFmt w:val="lowerLetter"/>
      <w:start w:val="1"/>
    </w:lvl>
  </w:abstractNum>
  <w:abstractNum w:abstractNumId="164">
    <w:nsid w:val="775BA7C1"/>
    <w:multiLevelType w:val="hybridMultilevel"/>
    <w:lvl w:ilvl="0">
      <w:lvlJc w:val="left"/>
      <w:lvlText w:val="(%1)"/>
      <w:numFmt w:val="lowerLetter"/>
      <w:start w:val="2"/>
    </w:lvl>
  </w:abstractNum>
  <w:abstractNum w:abstractNumId="165">
    <w:nsid w:val="1DD6D6F4"/>
    <w:multiLevelType w:val="hybridMultilevel"/>
    <w:lvl w:ilvl="0">
      <w:lvlJc w:val="left"/>
      <w:lvlText w:val="%1"/>
      <w:numFmt w:val="decimal"/>
      <w:start w:val="1"/>
    </w:lvl>
    <w:lvl w:ilvl="1">
      <w:lvlJc w:val="left"/>
      <w:lvlText w:val="(%2)"/>
      <w:numFmt w:val="lowerLetter"/>
      <w:start w:val="7"/>
    </w:lvl>
  </w:abstractNum>
  <w:abstractNum w:abstractNumId="166">
    <w:nsid w:val="769A091F"/>
    <w:multiLevelType w:val="hybridMultilevel"/>
    <w:lvl w:ilvl="0">
      <w:lvlJc w:val="left"/>
      <w:lvlText w:val="%1."/>
      <w:numFmt w:val="decimal"/>
      <w:start w:val="15"/>
    </w:lvl>
    <w:lvl w:ilvl="1">
      <w:lvlJc w:val="left"/>
      <w:lvlText w:val="(%2)"/>
      <w:numFmt w:val="lowerLetter"/>
      <w:start w:val="1"/>
    </w:lvl>
  </w:abstractNum>
  <w:abstractNum w:abstractNumId="167">
    <w:nsid w:val="4695AE95"/>
    <w:multiLevelType w:val="hybridMultilevel"/>
    <w:lvl w:ilvl="0">
      <w:lvlJc w:val="left"/>
      <w:lvlText w:val="(%1)"/>
      <w:numFmt w:val="lowerLetter"/>
      <w:start w:val="2"/>
    </w:lvl>
  </w:abstractNum>
  <w:abstractNum w:abstractNumId="168">
    <w:nsid w:val="777A4EAA"/>
    <w:multiLevelType w:val="hybridMultilevel"/>
    <w:lvl w:ilvl="0">
      <w:lvlJc w:val="left"/>
      <w:lvlText w:val="%1"/>
      <w:numFmt w:val="lowerLetter"/>
      <w:start w:val="1"/>
    </w:lvl>
    <w:lvl w:ilvl="1">
      <w:lvlJc w:val="left"/>
      <w:lvlText w:val="(%2)"/>
      <w:numFmt w:val="lowerLetter"/>
      <w:start w:val="5"/>
    </w:lvl>
  </w:abstractNum>
  <w:abstractNum w:abstractNumId="169">
    <w:nsid w:val="3F48B982"/>
    <w:multiLevelType w:val="hybridMultilevel"/>
    <w:lvl w:ilvl="0">
      <w:lvlJc w:val="left"/>
      <w:lvlText w:val="(%1)"/>
      <w:numFmt w:val="lowerLetter"/>
      <w:start w:val="35"/>
    </w:lvl>
    <w:lvl w:ilvl="1">
      <w:lvlJc w:val="left"/>
      <w:lvlText w:val="(%2)"/>
      <w:numFmt w:val="lowerLetter"/>
      <w:start w:val="6"/>
    </w:lvl>
  </w:abstractNum>
  <w:abstractNum w:abstractNumId="170">
    <w:nsid w:val="46BA8FCA"/>
    <w:multiLevelType w:val="hybridMultilevel"/>
    <w:lvl w:ilvl="0">
      <w:lvlJc w:val="left"/>
      <w:lvlText w:val="%1."/>
      <w:numFmt w:val="decimal"/>
      <w:start w:val="17"/>
    </w:lvl>
  </w:abstractNum>
  <w:abstractNum w:abstractNumId="171">
    <w:nsid w:val="7835626C"/>
    <w:multiLevelType w:val="hybridMultilevel"/>
    <w:lvl w:ilvl="0">
      <w:lvlJc w:val="left"/>
      <w:lvlText w:val="%1."/>
      <w:numFmt w:val="decimal"/>
      <w:start w:val="18"/>
    </w:lvl>
    <w:lvl w:ilvl="1">
      <w:lvlJc w:val="left"/>
      <w:lvlText w:val="(%2)"/>
      <w:numFmt w:val="lowerLetter"/>
      <w:start w:val="1"/>
    </w:lvl>
  </w:abstractNum>
  <w:abstractNum w:abstractNumId="172">
    <w:nsid w:val="665ACA49"/>
    <w:multiLevelType w:val="hybridMultilevel"/>
    <w:lvl w:ilvl="0">
      <w:lvlJc w:val="left"/>
      <w:lvlText w:val="%1"/>
      <w:numFmt w:val="decimal"/>
      <w:start w:val="1"/>
    </w:lvl>
    <w:lvl w:ilvl="1">
      <w:lvlJc w:val="left"/>
      <w:lvlText w:val="(%2)"/>
      <w:numFmt w:val="lowerLetter"/>
      <w:start w:val="5"/>
    </w:lvl>
  </w:abstractNum>
  <w:abstractNum w:abstractNumId="173">
    <w:nsid w:val="6835B2AE"/>
    <w:multiLevelType w:val="hybridMultilevel"/>
    <w:lvl w:ilvl="0">
      <w:lvlJc w:val="left"/>
      <w:lvlText w:val="%1."/>
      <w:numFmt w:val="decimal"/>
      <w:start w:val="20"/>
    </w:lvl>
    <w:lvl w:ilvl="1">
      <w:lvlJc w:val="left"/>
      <w:lvlText w:val="(%2)"/>
      <w:numFmt w:val="lowerLetter"/>
      <w:start w:val="1"/>
    </w:lvl>
  </w:abstractNum>
  <w:abstractNum w:abstractNumId="174">
    <w:nsid w:val="4C187C90"/>
    <w:multiLevelType w:val="hybridMultilevel"/>
    <w:lvl w:ilvl="0">
      <w:lvlJc w:val="left"/>
      <w:lvlText w:val="%1."/>
      <w:numFmt w:val="decimal"/>
      <w:start w:val="22"/>
    </w:lvl>
  </w:abstractNum>
  <w:abstractNum w:abstractNumId="175">
    <w:nsid w:val="541F28CD"/>
    <w:multiLevelType w:val="hybridMultilevel"/>
    <w:lvl w:ilvl="0">
      <w:lvlJc w:val="left"/>
      <w:lvlText w:val="%1."/>
      <w:numFmt w:val="decimal"/>
      <w:start w:val="27"/>
    </w:lvl>
  </w:abstractNum>
  <w:abstractNum w:abstractNumId="176">
    <w:nsid w:val="7F65FD16"/>
    <w:multiLevelType w:val="hybridMultilevel"/>
    <w:lvl w:ilvl="0">
      <w:lvlJc w:val="left"/>
      <w:lvlText w:val="%1."/>
      <w:numFmt w:val="decimal"/>
      <w:start w:val="1"/>
    </w:lvl>
  </w:abstractNum>
  <w:abstractNum w:abstractNumId="177">
    <w:nsid w:val="77C9FD6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8">
    <w:nsid w:val="298A92BA"/>
    <w:multiLevelType w:val="hybridMultilevel"/>
    <w:lvl w:ilvl="0">
      <w:lvlJc w:val="left"/>
      <w:lvlText w:val="%1"/>
      <w:numFmt w:val="lowerLetter"/>
      <w:start w:val="1"/>
    </w:lvl>
    <w:lvl w:ilvl="1">
      <w:lvlJc w:val="left"/>
      <w:lvlText w:val="(%2)"/>
      <w:numFmt w:val="lowerRoman"/>
      <w:start w:val="4"/>
    </w:lvl>
  </w:abstractNum>
  <w:abstractNum w:abstractNumId="179">
    <w:nsid w:val="6FE95EAC"/>
    <w:multiLevelType w:val="hybridMultilevel"/>
    <w:lvl w:ilvl="0">
      <w:lvlJc w:val="left"/>
      <w:lvlText w:val="(%1)"/>
      <w:numFmt w:val="lowerLetter"/>
      <w:start w:val="4"/>
    </w:lvl>
    <w:lvl w:ilvl="1">
      <w:lvlJc w:val="left"/>
      <w:lvlText w:val="%2"/>
      <w:numFmt w:val="lowerRoman"/>
      <w:start w:val="1"/>
    </w:lvl>
  </w:abstractNum>
  <w:abstractNum w:abstractNumId="180">
    <w:nsid w:val="4B697C7A"/>
    <w:multiLevelType w:val="hybridMultilevel"/>
    <w:lvl w:ilvl="0">
      <w:lvlJc w:val="left"/>
      <w:lvlText w:val="%1"/>
      <w:numFmt w:val="lowerLetter"/>
      <w:start w:val="1"/>
    </w:lvl>
    <w:lvl w:ilvl="1">
      <w:lvlJc w:val="left"/>
      <w:lvlText w:val="(%2)"/>
      <w:numFmt w:val="lowerLetter"/>
      <w:start w:val="9"/>
    </w:lvl>
  </w:abstractNum>
  <w:abstractNum w:abstractNumId="181">
    <w:nsid w:val="51A27AA6"/>
    <w:multiLevelType w:val="hybridMultilevel"/>
    <w:lvl w:ilvl="0">
      <w:lvlJc w:val="left"/>
      <w:lvlText w:val="(%1)"/>
      <w:numFmt w:val="lowerLetter"/>
      <w:start w:val="35"/>
    </w:lvl>
    <w:lvl w:ilvl="1">
      <w:lvlJc w:val="left"/>
      <w:lvlText w:val="(%2)"/>
      <w:numFmt w:val="lowerLetter"/>
      <w:start w:val="12"/>
    </w:lvl>
  </w:abstractNum>
  <w:abstractNum w:abstractNumId="182">
    <w:nsid w:val="613183F2"/>
    <w:multiLevelType w:val="hybridMultilevel"/>
    <w:lvl w:ilvl="0">
      <w:lvlJc w:val="left"/>
      <w:lvlText w:val="%1"/>
      <w:numFmt w:val="decimal"/>
      <w:start w:val="1"/>
    </w:lvl>
    <w:lvl w:ilvl="1">
      <w:lvlJc w:val="left"/>
      <w:lvlText w:val="(%2)"/>
      <w:numFmt w:val="lowerLetter"/>
      <w:start w:val="13"/>
    </w:lvl>
  </w:abstractNum>
  <w:abstractNum w:abstractNumId="183">
    <w:nsid w:val="634102B4"/>
    <w:multiLevelType w:val="hybridMultilevel"/>
    <w:lvl w:ilvl="0">
      <w:lvlJc w:val="left"/>
      <w:lvlText w:val="%1."/>
      <w:numFmt w:val="decimal"/>
      <w:start w:val="3"/>
    </w:lvl>
    <w:lvl w:ilvl="1">
      <w:lvlJc w:val="left"/>
      <w:lvlText w:val="%2"/>
      <w:numFmt w:val="lowerLetter"/>
      <w:start w:val="1"/>
    </w:lvl>
  </w:abstractNum>
  <w:abstractNum w:abstractNumId="184">
    <w:nsid w:val="65BF9DA8"/>
    <w:multiLevelType w:val="hybridMultilevel"/>
    <w:lvl w:ilvl="0">
      <w:lvlJc w:val="left"/>
      <w:lvlText w:val="%1."/>
      <w:numFmt w:val="decimal"/>
      <w:start w:val="5"/>
    </w:lvl>
  </w:abstractNum>
  <w:abstractNum w:abstractNumId="185">
    <w:nsid w:val="21A2ECCA"/>
    <w:multiLevelType w:val="hybridMultilevel"/>
    <w:lvl w:ilvl="0">
      <w:lvlJc w:val="left"/>
      <w:lvlText w:val="%1."/>
      <w:numFmt w:val="decimal"/>
      <w:start w:val="8"/>
    </w:lvl>
    <w:lvl w:ilvl="1">
      <w:lvlJc w:val="left"/>
      <w:lvlText w:val="(%2)"/>
      <w:numFmt w:val="lowerLetter"/>
      <w:start w:val="1"/>
    </w:lvl>
  </w:abstractNum>
  <w:abstractNum w:abstractNumId="186">
    <w:nsid w:val="4D5C4899"/>
    <w:multiLevelType w:val="hybridMultilevel"/>
    <w:lvl w:ilvl="0">
      <w:lvlJc w:val="left"/>
      <w:lvlText w:val="%1."/>
      <w:numFmt w:val="decimal"/>
      <w:start w:val="10"/>
    </w:lvl>
    <w:lvl w:ilvl="1">
      <w:lvlJc w:val="left"/>
      <w:lvlText w:val="(%2)"/>
      <w:numFmt w:val="lowerLetter"/>
      <w:start w:val="1"/>
    </w:lvl>
  </w:abstractNum>
  <w:abstractNum w:abstractNumId="187">
    <w:nsid w:val="3C3B72B2"/>
    <w:multiLevelType w:val="hybridMultilevel"/>
    <w:lvl w:ilvl="0">
      <w:lvlJc w:val="left"/>
      <w:lvlText w:val="%1."/>
      <w:numFmt w:val="decimal"/>
      <w:start w:val="12"/>
    </w:lvl>
    <w:lvl w:ilvl="1">
      <w:lvlJc w:val="left"/>
      <w:lvlText w:val="(%2)"/>
      <w:numFmt w:val="lowerLetter"/>
      <w:start w:val="1"/>
    </w:lvl>
  </w:abstractNum>
  <w:abstractNum w:abstractNumId="188">
    <w:nsid w:val="155EC4C2"/>
    <w:multiLevelType w:val="hybridMultilevel"/>
    <w:lvl w:ilvl="0">
      <w:lvlJc w:val="left"/>
      <w:lvlText w:val="%1"/>
      <w:numFmt w:val="decimal"/>
      <w:start w:val="1"/>
    </w:lvl>
    <w:lvl w:ilvl="1">
      <w:lvlJc w:val="left"/>
      <w:lvlText w:val="(%2)"/>
      <w:numFmt w:val="lowerLetter"/>
      <w:start w:val="3"/>
    </w:lvl>
  </w:abstractNum>
  <w:abstractNum w:abstractNumId="189">
    <w:nsid w:val="65D2A137"/>
    <w:multiLevelType w:val="hybridMultilevel"/>
    <w:lvl w:ilvl="0">
      <w:lvlJc w:val="left"/>
      <w:lvlText w:val="%1."/>
      <w:numFmt w:val="decimal"/>
      <w:start w:val="13"/>
    </w:lvl>
    <w:lvl w:ilvl="1">
      <w:lvlJc w:val="left"/>
      <w:lvlText w:val="(%2)"/>
      <w:numFmt w:val="lowerLetter"/>
      <w:start w:val="1"/>
    </w:lvl>
  </w:abstractNum>
  <w:abstractNum w:abstractNumId="190">
    <w:nsid w:val="6EBB1F2A"/>
    <w:multiLevelType w:val="hybridMultilevel"/>
    <w:lvl w:ilvl="0">
      <w:lvlJc w:val="left"/>
      <w:lvlText w:val="%1"/>
      <w:numFmt w:val="decimal"/>
      <w:start w:val="1"/>
    </w:lvl>
    <w:lvl w:ilvl="1">
      <w:lvlJc w:val="left"/>
      <w:lvlText w:val="(%2)"/>
      <w:numFmt w:val="lowerLetter"/>
      <w:start w:val="3"/>
    </w:lvl>
  </w:abstractNum>
  <w:abstractNum w:abstractNumId="191">
    <w:nsid w:val="6FBF29CB"/>
    <w:multiLevelType w:val="hybridMultilevel"/>
    <w:lvl w:ilvl="0">
      <w:lvlJc w:val="left"/>
      <w:lvlText w:val="%1."/>
      <w:numFmt w:val="decimal"/>
      <w:start w:val="14"/>
    </w:lvl>
    <w:lvl w:ilvl="1">
      <w:lvlJc w:val="left"/>
      <w:lvlText w:val="(%2)"/>
      <w:numFmt w:val="lowerLetter"/>
      <w:start w:val="1"/>
    </w:lvl>
  </w:abstractNum>
  <w:abstractNum w:abstractNumId="192">
    <w:nsid w:val="550B8808"/>
    <w:multiLevelType w:val="hybridMultilevel"/>
    <w:lvl w:ilvl="0">
      <w:lvlJc w:val="left"/>
      <w:lvlText w:val="(%1)"/>
      <w:numFmt w:val="lowerLetter"/>
      <w:start w:val="2"/>
    </w:lvl>
  </w:abstractNum>
  <w:abstractNum w:abstractNumId="193">
    <w:nsid w:val="34CC3ACF"/>
    <w:multiLevelType w:val="hybridMultilevel"/>
    <w:lvl w:ilvl="0">
      <w:lvlJc w:val="left"/>
      <w:lvlText w:val="%1"/>
      <w:numFmt w:val="decimal"/>
      <w:start w:val="1"/>
    </w:lvl>
    <w:lvl w:ilvl="1">
      <w:lvlJc w:val="left"/>
      <w:lvlText w:val="(%2)"/>
      <w:numFmt w:val="lowerLetter"/>
      <w:start w:val="7"/>
    </w:lvl>
  </w:abstractNum>
  <w:abstractNum w:abstractNumId="194">
    <w:nsid w:val="4E556261"/>
    <w:multiLevelType w:val="hybridMultilevel"/>
    <w:lvl w:ilvl="0">
      <w:lvlJc w:val="left"/>
      <w:lvlText w:val="%1."/>
      <w:numFmt w:val="decimal"/>
      <w:start w:val="15"/>
    </w:lvl>
    <w:lvl w:ilvl="1">
      <w:lvlJc w:val="left"/>
      <w:lvlText w:val="(%2)"/>
      <w:numFmt w:val="lowerLetter"/>
      <w:start w:val="1"/>
    </w:lvl>
  </w:abstractNum>
  <w:abstractNum w:abstractNumId="195">
    <w:nsid w:val="4C672FC9"/>
    <w:multiLevelType w:val="hybridMultilevel"/>
    <w:lvl w:ilvl="0">
      <w:lvlJc w:val="left"/>
      <w:lvlText w:val="(%1)"/>
      <w:numFmt w:val="lowerLetter"/>
      <w:start w:val="2"/>
    </w:lvl>
  </w:abstractNum>
  <w:abstractNum w:abstractNumId="196">
    <w:nsid w:val="52A311C3"/>
    <w:multiLevelType w:val="hybridMultilevel"/>
    <w:lvl w:ilvl="0">
      <w:lvlJc w:val="left"/>
      <w:lvlText w:val="%1"/>
      <w:numFmt w:val="lowerLetter"/>
      <w:start w:val="1"/>
    </w:lvl>
    <w:lvl w:ilvl="1">
      <w:lvlJc w:val="left"/>
      <w:lvlText w:val="(%2)"/>
      <w:numFmt w:val="lowerLetter"/>
      <w:start w:val="5"/>
    </w:lvl>
  </w:abstractNum>
  <w:abstractNum w:abstractNumId="197">
    <w:nsid w:val="44EF6B80"/>
    <w:multiLevelType w:val="hybridMultilevel"/>
    <w:lvl w:ilvl="0">
      <w:lvlJc w:val="left"/>
      <w:lvlText w:val="(%1)"/>
      <w:numFmt w:val="lowerLetter"/>
      <w:start w:val="35"/>
    </w:lvl>
    <w:lvl w:ilvl="1">
      <w:lvlJc w:val="left"/>
      <w:lvlText w:val="(%2)"/>
      <w:numFmt w:val="lowerLetter"/>
      <w:start w:val="6"/>
    </w:lvl>
  </w:abstractNum>
  <w:abstractNum w:abstractNumId="198">
    <w:nsid w:val="12FCDE5E"/>
    <w:multiLevelType w:val="hybridMultilevel"/>
    <w:lvl w:ilvl="0">
      <w:lvlJc w:val="left"/>
      <w:lvlText w:val="%1."/>
      <w:numFmt w:val="decimal"/>
      <w:start w:val="17"/>
    </w:lvl>
  </w:abstractNum>
  <w:abstractNum w:abstractNumId="199">
    <w:nsid w:val="4A1D606E"/>
    <w:multiLevelType w:val="hybridMultilevel"/>
    <w:lvl w:ilvl="0">
      <w:lvlJc w:val="left"/>
      <w:lvlText w:val="%1."/>
      <w:numFmt w:val="decimal"/>
      <w:start w:val="18"/>
    </w:lvl>
    <w:lvl w:ilvl="1">
      <w:lvlJc w:val="left"/>
      <w:lvlText w:val="(%2)"/>
      <w:numFmt w:val="lowerLetter"/>
      <w:start w:val="1"/>
    </w:lvl>
  </w:abstractNum>
  <w:abstractNum w:abstractNumId="200">
    <w:nsid w:val="4382503"/>
    <w:multiLevelType w:val="hybridMultilevel"/>
    <w:lvl w:ilvl="0">
      <w:lvlJc w:val="left"/>
      <w:lvlText w:val="%1"/>
      <w:numFmt w:val="decimal"/>
      <w:start w:val="1"/>
    </w:lvl>
    <w:lvl w:ilvl="1">
      <w:lvlJc w:val="left"/>
      <w:lvlText w:val="(%2)"/>
      <w:numFmt w:val="lowerLetter"/>
      <w:start w:val="5"/>
    </w:lvl>
  </w:abstractNum>
  <w:abstractNum w:abstractNumId="201">
    <w:nsid w:val="59B76E28"/>
    <w:multiLevelType w:val="hybridMultilevel"/>
    <w:lvl w:ilvl="0">
      <w:lvlJc w:val="left"/>
      <w:lvlText w:val="%1."/>
      <w:numFmt w:val="decimal"/>
      <w:start w:val="20"/>
    </w:lvl>
    <w:lvl w:ilvl="1">
      <w:lvlJc w:val="left"/>
      <w:lvlText w:val="(%2)"/>
      <w:numFmt w:val="lowerLetter"/>
      <w:start w:val="1"/>
    </w:lvl>
  </w:abstractNum>
  <w:abstractNum w:abstractNumId="202">
    <w:nsid w:val="4252C2DA"/>
    <w:multiLevelType w:val="hybridMultilevel"/>
    <w:lvl w:ilvl="0">
      <w:lvlJc w:val="left"/>
      <w:lvlText w:val="%1."/>
      <w:numFmt w:val="decimal"/>
      <w:start w:val="22"/>
    </w:lvl>
  </w:abstractNum>
  <w:abstractNum w:abstractNumId="203">
    <w:nsid w:val="6A92EF4C"/>
    <w:multiLevelType w:val="hybridMultilevel"/>
    <w:lvl w:ilvl="0">
      <w:lvlJc w:val="left"/>
      <w:lvlText w:val="%1."/>
      <w:numFmt w:val="decimal"/>
      <w:start w:val="27"/>
    </w:lvl>
  </w:abstractNum>
  <w:abstractNum w:abstractNumId="204">
    <w:nsid w:val="41ED20D7"/>
    <w:multiLevelType w:val="hybridMultilevel"/>
    <w:lvl w:ilvl="0">
      <w:lvlJc w:val="left"/>
      <w:lvlText w:val="%1."/>
      <w:numFmt w:val="decimal"/>
      <w:start w:val="1"/>
    </w:lvl>
  </w:abstractNum>
  <w:abstractNum w:abstractNumId="205">
    <w:nsid w:val="E6B3F6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6">
    <w:nsid w:val="3EB21819"/>
    <w:multiLevelType w:val="hybridMultilevel"/>
    <w:lvl w:ilvl="0">
      <w:lvlJc w:val="left"/>
      <w:lvlText w:val="%1"/>
      <w:numFmt w:val="lowerLetter"/>
      <w:start w:val="1"/>
    </w:lvl>
    <w:lvl w:ilvl="1">
      <w:lvlJc w:val="left"/>
      <w:lvlText w:val="(%2)"/>
      <w:numFmt w:val="lowerRoman"/>
      <w:start w:val="4"/>
    </w:lvl>
  </w:abstractNum>
  <w:abstractNum w:abstractNumId="207">
    <w:nsid w:val="41531DED"/>
    <w:multiLevelType w:val="hybridMultilevel"/>
    <w:lvl w:ilvl="0">
      <w:lvlJc w:val="left"/>
      <w:lvlText w:val="(%1)"/>
      <w:numFmt w:val="lowerLetter"/>
      <w:start w:val="4"/>
    </w:lvl>
    <w:lvl w:ilvl="1">
      <w:lvlJc w:val="left"/>
      <w:lvlText w:val="%2"/>
      <w:numFmt w:val="lowerRoman"/>
      <w:start w:val="1"/>
    </w:lvl>
  </w:abstractNum>
  <w:abstractNum w:abstractNumId="208">
    <w:nsid w:val="6353CD2"/>
    <w:multiLevelType w:val="hybridMultilevel"/>
    <w:lvl w:ilvl="0">
      <w:lvlJc w:val="left"/>
      <w:lvlText w:val="%1"/>
      <w:numFmt w:val="lowerLetter"/>
      <w:start w:val="1"/>
    </w:lvl>
    <w:lvl w:ilvl="1">
      <w:lvlJc w:val="left"/>
      <w:lvlText w:val="(%2)"/>
      <w:numFmt w:val="lowerLetter"/>
      <w:start w:val="9"/>
    </w:lvl>
  </w:abstractNum>
  <w:abstractNum w:abstractNumId="209">
    <w:nsid w:val="683CAAD3"/>
    <w:multiLevelType w:val="hybridMultilevel"/>
    <w:lvl w:ilvl="0">
      <w:lvlJc w:val="left"/>
      <w:lvlText w:val="(%1)"/>
      <w:numFmt w:val="lowerLetter"/>
      <w:start w:val="35"/>
    </w:lvl>
    <w:lvl w:ilvl="1">
      <w:lvlJc w:val="left"/>
      <w:lvlText w:val="(%2)"/>
      <w:numFmt w:val="lowerLetter"/>
      <w:start w:val="12"/>
    </w:lvl>
  </w:abstractNum>
  <w:abstractNum w:abstractNumId="210">
    <w:nsid w:val="313C7C99"/>
    <w:multiLevelType w:val="hybridMultilevel"/>
    <w:lvl w:ilvl="0">
      <w:lvlJc w:val="left"/>
      <w:lvlText w:val="%1"/>
      <w:numFmt w:val="decimal"/>
      <w:start w:val="1"/>
    </w:lvl>
    <w:lvl w:ilvl="1">
      <w:lvlJc w:val="left"/>
      <w:lvlText w:val="(%2)"/>
      <w:numFmt w:val="lowerLetter"/>
      <w:start w:val="13"/>
    </w:lvl>
  </w:abstractNum>
  <w:abstractNum w:abstractNumId="211">
    <w:nsid w:val="519EB94C"/>
    <w:multiLevelType w:val="hybridMultilevel"/>
    <w:lvl w:ilvl="0">
      <w:lvlJc w:val="left"/>
      <w:lvlText w:val="%1."/>
      <w:numFmt w:val="decimal"/>
      <w:start w:val="3"/>
    </w:lvl>
    <w:lvl w:ilvl="1">
      <w:lvlJc w:val="left"/>
      <w:lvlText w:val="%2"/>
      <w:numFmt w:val="lowerLetter"/>
      <w:start w:val="1"/>
    </w:lvl>
  </w:abstractNum>
  <w:abstractNum w:abstractNumId="212">
    <w:nsid w:val="39DF2579"/>
    <w:multiLevelType w:val="hybridMultilevel"/>
    <w:lvl w:ilvl="0">
      <w:lvlJc w:val="left"/>
      <w:lvlText w:val="%1."/>
      <w:numFmt w:val="decimal"/>
      <w:start w:val="5"/>
    </w:lvl>
  </w:abstractNum>
  <w:abstractNum w:abstractNumId="213">
    <w:nsid w:val="126E008B"/>
    <w:multiLevelType w:val="hybridMultilevel"/>
    <w:lvl w:ilvl="0">
      <w:lvlJc w:val="left"/>
      <w:lvlText w:val="%1."/>
      <w:numFmt w:val="decimal"/>
      <w:start w:val="8"/>
    </w:lvl>
    <w:lvl w:ilvl="1">
      <w:lvlJc w:val="left"/>
      <w:lvlText w:val="(%2)"/>
      <w:numFmt w:val="lowerLetter"/>
      <w:start w:val="1"/>
    </w:lvl>
  </w:abstractNum>
  <w:abstractNum w:abstractNumId="214">
    <w:nsid w:val="34DFBC00"/>
    <w:multiLevelType w:val="hybridMultilevel"/>
    <w:lvl w:ilvl="0">
      <w:lvlJc w:val="left"/>
      <w:lvlText w:val="%1."/>
      <w:numFmt w:val="decimal"/>
      <w:start w:val="10"/>
    </w:lvl>
    <w:lvl w:ilvl="1">
      <w:lvlJc w:val="left"/>
      <w:lvlText w:val="(%2)"/>
      <w:numFmt w:val="lowerLetter"/>
      <w:start w:val="1"/>
    </w:lvl>
  </w:abstractNum>
  <w:abstractNum w:abstractNumId="215">
    <w:nsid w:val="1F9EC322"/>
    <w:multiLevelType w:val="hybridMultilevel"/>
    <w:lvl w:ilvl="0">
      <w:lvlJc w:val="left"/>
      <w:lvlText w:val="%1."/>
      <w:numFmt w:val="decimal"/>
      <w:start w:val="12"/>
    </w:lvl>
    <w:lvl w:ilvl="1">
      <w:lvlJc w:val="left"/>
      <w:lvlText w:val="(%2)"/>
      <w:numFmt w:val="lowerLetter"/>
      <w:start w:val="1"/>
    </w:lvl>
  </w:abstractNum>
  <w:abstractNum w:abstractNumId="216">
    <w:nsid w:val="3410ED56"/>
    <w:multiLevelType w:val="hybridMultilevel"/>
    <w:lvl w:ilvl="0">
      <w:lvlJc w:val="left"/>
      <w:lvlText w:val="%1"/>
      <w:numFmt w:val="decimal"/>
      <w:start w:val="1"/>
    </w:lvl>
    <w:lvl w:ilvl="1">
      <w:lvlJc w:val="left"/>
      <w:lvlText w:val="(%2)"/>
      <w:numFmt w:val="lowerLetter"/>
      <w:start w:val="3"/>
    </w:lvl>
  </w:abstractNum>
  <w:abstractNum w:abstractNumId="217">
    <w:nsid w:val="23C049A"/>
    <w:multiLevelType w:val="hybridMultilevel"/>
    <w:lvl w:ilvl="0">
      <w:lvlJc w:val="left"/>
      <w:lvlText w:val="%1."/>
      <w:numFmt w:val="decimal"/>
      <w:start w:val="13"/>
    </w:lvl>
    <w:lvl w:ilvl="1">
      <w:lvlJc w:val="left"/>
      <w:lvlText w:val="(%2)"/>
      <w:numFmt w:val="lowerLetter"/>
      <w:start w:val="1"/>
    </w:lvl>
  </w:abstractNum>
  <w:abstractNum w:abstractNumId="218">
    <w:nsid w:val="5BDA35D4"/>
    <w:multiLevelType w:val="hybridMultilevel"/>
    <w:lvl w:ilvl="0">
      <w:lvlJc w:val="left"/>
      <w:lvlText w:val="%1"/>
      <w:numFmt w:val="decimal"/>
      <w:start w:val="1"/>
    </w:lvl>
    <w:lvl w:ilvl="1">
      <w:lvlJc w:val="left"/>
      <w:lvlText w:val="(%2)"/>
      <w:numFmt w:val="lowerLetter"/>
      <w:start w:val="3"/>
    </w:lvl>
  </w:abstractNum>
  <w:abstractNum w:abstractNumId="219">
    <w:nsid w:val="496FB218"/>
    <w:multiLevelType w:val="hybridMultilevel"/>
    <w:lvl w:ilvl="0">
      <w:lvlJc w:val="left"/>
      <w:lvlText w:val="%1."/>
      <w:numFmt w:val="decimal"/>
      <w:start w:val="14"/>
    </w:lvl>
    <w:lvl w:ilvl="1">
      <w:lvlJc w:val="left"/>
      <w:lvlText w:val="(%2)"/>
      <w:numFmt w:val="lowerLetter"/>
      <w:start w:val="1"/>
    </w:lvl>
  </w:abstractNum>
  <w:abstractNum w:abstractNumId="220">
    <w:nsid w:val="680EA5D1"/>
    <w:multiLevelType w:val="hybridMultilevel"/>
    <w:lvl w:ilvl="0">
      <w:lvlJc w:val="left"/>
      <w:lvlText w:val="(%1)"/>
      <w:numFmt w:val="lowerLetter"/>
      <w:start w:val="2"/>
    </w:lvl>
  </w:abstractNum>
  <w:abstractNum w:abstractNumId="221">
    <w:nsid w:val="4A9554FE"/>
    <w:multiLevelType w:val="hybridMultilevel"/>
    <w:lvl w:ilvl="0">
      <w:lvlJc w:val="left"/>
      <w:lvlText w:val="%1"/>
      <w:numFmt w:val="decimal"/>
      <w:start w:val="1"/>
    </w:lvl>
    <w:lvl w:ilvl="1">
      <w:lvlJc w:val="left"/>
      <w:lvlText w:val="(%2)"/>
      <w:numFmt w:val="lowerLetter"/>
      <w:start w:val="7"/>
    </w:lvl>
  </w:abstractNum>
  <w:abstractNum w:abstractNumId="222">
    <w:nsid w:val="392EDBE4"/>
    <w:multiLevelType w:val="hybridMultilevel"/>
    <w:lvl w:ilvl="0">
      <w:lvlJc w:val="left"/>
      <w:lvlText w:val="%1."/>
      <w:numFmt w:val="decimal"/>
      <w:start w:val="15"/>
    </w:lvl>
    <w:lvl w:ilvl="1">
      <w:lvlJc w:val="left"/>
      <w:lvlText w:val="(%2)"/>
      <w:numFmt w:val="lowerLetter"/>
      <w:start w:val="1"/>
    </w:lvl>
  </w:abstractNum>
  <w:abstractNum w:abstractNumId="223">
    <w:nsid w:val="3D1A2DD9"/>
    <w:multiLevelType w:val="hybridMultilevel"/>
    <w:lvl w:ilvl="0">
      <w:lvlJc w:val="left"/>
      <w:lvlText w:val="(%1)"/>
      <w:numFmt w:val="lowerLetter"/>
      <w:start w:val="2"/>
    </w:lvl>
  </w:abstractNum>
  <w:abstractNum w:abstractNumId="224">
    <w:nsid w:val="7F618FCD"/>
    <w:multiLevelType w:val="hybridMultilevel"/>
    <w:lvl w:ilvl="0">
      <w:lvlJc w:val="left"/>
      <w:lvlText w:val="%1"/>
      <w:numFmt w:val="lowerLetter"/>
      <w:start w:val="1"/>
    </w:lvl>
    <w:lvl w:ilvl="1">
      <w:lvlJc w:val="left"/>
      <w:lvlText w:val="(%2)"/>
      <w:numFmt w:val="lowerLetter"/>
      <w:start w:val="5"/>
    </w:lvl>
  </w:abstractNum>
  <w:abstractNum w:abstractNumId="225">
    <w:nsid w:val="7843E45"/>
    <w:multiLevelType w:val="hybridMultilevel"/>
    <w:lvl w:ilvl="0">
      <w:lvlJc w:val="left"/>
      <w:lvlText w:val="(%1)"/>
      <w:numFmt w:val="lowerLetter"/>
      <w:start w:val="35"/>
    </w:lvl>
    <w:lvl w:ilvl="1">
      <w:lvlJc w:val="left"/>
      <w:lvlText w:val="(%2)"/>
      <w:numFmt w:val="lowerLetter"/>
      <w:start w:val="6"/>
    </w:lvl>
  </w:abstractNum>
  <w:abstractNum w:abstractNumId="226">
    <w:nsid w:val="9815DA3"/>
    <w:multiLevelType w:val="hybridMultilevel"/>
    <w:lvl w:ilvl="0">
      <w:lvlJc w:val="left"/>
      <w:lvlText w:val="%1."/>
      <w:numFmt w:val="decimal"/>
      <w:start w:val="17"/>
    </w:lvl>
  </w:abstractNum>
  <w:abstractNum w:abstractNumId="227">
    <w:nsid w:val="5204A191"/>
    <w:multiLevelType w:val="hybridMultilevel"/>
    <w:lvl w:ilvl="0">
      <w:lvlJc w:val="left"/>
      <w:lvlText w:val="%1."/>
      <w:numFmt w:val="decimal"/>
      <w:start w:val="18"/>
    </w:lvl>
    <w:lvl w:ilvl="1">
      <w:lvlJc w:val="left"/>
      <w:lvlText w:val="(%2)"/>
      <w:numFmt w:val="lowerLetter"/>
      <w:start w:val="1"/>
    </w:lvl>
  </w:abstractNum>
  <w:abstractNum w:abstractNumId="228">
    <w:nsid w:val="4C73A9C6"/>
    <w:multiLevelType w:val="hybridMultilevel"/>
    <w:lvl w:ilvl="0">
      <w:lvlJc w:val="left"/>
      <w:lvlText w:val="%1"/>
      <w:numFmt w:val="decimal"/>
      <w:start w:val="1"/>
    </w:lvl>
    <w:lvl w:ilvl="1">
      <w:lvlJc w:val="left"/>
      <w:lvlText w:val="(%2)"/>
      <w:numFmt w:val="lowerLetter"/>
      <w:start w:val="5"/>
    </w:lvl>
  </w:abstractNum>
  <w:abstractNum w:abstractNumId="229">
    <w:nsid w:val="1C7E3C01"/>
    <w:multiLevelType w:val="hybridMultilevel"/>
    <w:lvl w:ilvl="0">
      <w:lvlJc w:val="left"/>
      <w:lvlText w:val="%1."/>
      <w:numFmt w:val="decimal"/>
      <w:start w:val="20"/>
    </w:lvl>
    <w:lvl w:ilvl="1">
      <w:lvlJc w:val="left"/>
      <w:lvlText w:val="(%2)"/>
      <w:numFmt w:val="lowerLetter"/>
      <w:start w:val="1"/>
    </w:lvl>
  </w:abstractNum>
  <w:abstractNum w:abstractNumId="230">
    <w:nsid w:val="1C2201FF"/>
    <w:multiLevelType w:val="hybridMultilevel"/>
    <w:lvl w:ilvl="0">
      <w:lvlJc w:val="left"/>
      <w:lvlText w:val="%1."/>
      <w:numFmt w:val="decimal"/>
      <w:start w:val="22"/>
    </w:lvl>
  </w:abstractNum>
  <w:abstractNum w:abstractNumId="231">
    <w:nsid w:val="50ABCEC9"/>
    <w:multiLevelType w:val="hybridMultilevel"/>
    <w:lvl w:ilvl="0">
      <w:lvlJc w:val="left"/>
      <w:lvlText w:val="%1."/>
      <w:numFmt w:val="decimal"/>
      <w:start w:val="27"/>
    </w:lvl>
  </w:abstractNum>
  <w:abstractNum w:abstractNumId="232">
    <w:nsid w:val="7635AA2A"/>
    <w:multiLevelType w:val="hybridMultilevel"/>
    <w:lvl w:ilvl="0">
      <w:lvlJc w:val="left"/>
      <w:lvlText w:val="%1."/>
      <w:numFmt w:val="decimal"/>
      <w:start w:val="1"/>
    </w:lvl>
  </w:abstractNum>
  <w:abstractNum w:abstractNumId="233">
    <w:nsid w:val="5E74C4D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4">
    <w:nsid w:val="3B3EBE15"/>
    <w:multiLevelType w:val="hybridMultilevel"/>
    <w:lvl w:ilvl="0">
      <w:lvlJc w:val="left"/>
      <w:lvlText w:val="%1"/>
      <w:numFmt w:val="lowerLetter"/>
      <w:start w:val="1"/>
    </w:lvl>
    <w:lvl w:ilvl="1">
      <w:lvlJc w:val="left"/>
      <w:lvlText w:val="(%2)"/>
      <w:numFmt w:val="lowerRoman"/>
      <w:start w:val="4"/>
    </w:lvl>
  </w:abstractNum>
  <w:abstractNum w:abstractNumId="235">
    <w:nsid w:val="3822CB01"/>
    <w:multiLevelType w:val="hybridMultilevel"/>
    <w:lvl w:ilvl="0">
      <w:lvlJc w:val="left"/>
      <w:lvlText w:val="(%1)"/>
      <w:numFmt w:val="lowerLetter"/>
      <w:start w:val="4"/>
    </w:lvl>
    <w:lvl w:ilvl="1">
      <w:lvlJc w:val="left"/>
      <w:lvlText w:val="%2"/>
      <w:numFmt w:val="lowerRoman"/>
      <w:start w:val="1"/>
    </w:lvl>
  </w:abstractNum>
  <w:abstractNum w:abstractNumId="236">
    <w:nsid w:val="6CE00443"/>
    <w:multiLevelType w:val="hybridMultilevel"/>
    <w:lvl w:ilvl="0">
      <w:lvlJc w:val="left"/>
      <w:lvlText w:val="%1"/>
      <w:numFmt w:val="lowerLetter"/>
      <w:start w:val="1"/>
    </w:lvl>
    <w:lvl w:ilvl="1">
      <w:lvlJc w:val="left"/>
      <w:lvlText w:val="(%2)"/>
      <w:numFmt w:val="lowerLetter"/>
      <w:start w:val="9"/>
    </w:lvl>
  </w:abstractNum>
  <w:abstractNum w:abstractNumId="237">
    <w:nsid w:val="79F0D62F"/>
    <w:multiLevelType w:val="hybridMultilevel"/>
    <w:lvl w:ilvl="0">
      <w:lvlJc w:val="left"/>
      <w:lvlText w:val="(%1)"/>
      <w:numFmt w:val="lowerLetter"/>
      <w:start w:val="35"/>
    </w:lvl>
    <w:lvl w:ilvl="1">
      <w:lvlJc w:val="left"/>
      <w:lvlText w:val="(%2)"/>
      <w:numFmt w:val="lowerLetter"/>
      <w:start w:val="12"/>
    </w:lvl>
  </w:abstractNum>
  <w:abstractNum w:abstractNumId="238">
    <w:nsid w:val="7975E8EE"/>
    <w:multiLevelType w:val="hybridMultilevel"/>
    <w:lvl w:ilvl="0">
      <w:lvlJc w:val="left"/>
      <w:lvlText w:val="%1"/>
      <w:numFmt w:val="decimal"/>
      <w:start w:val="1"/>
    </w:lvl>
    <w:lvl w:ilvl="1">
      <w:lvlJc w:val="left"/>
      <w:lvlText w:val="(%2)"/>
      <w:numFmt w:val="lowerLetter"/>
      <w:start w:val="13"/>
    </w:lvl>
  </w:abstractNum>
  <w:abstractNum w:abstractNumId="239">
    <w:nsid w:val="73154115"/>
    <w:multiLevelType w:val="hybridMultilevel"/>
    <w:lvl w:ilvl="0">
      <w:lvlJc w:val="left"/>
      <w:lvlText w:val="%1."/>
      <w:numFmt w:val="decimal"/>
      <w:start w:val="3"/>
    </w:lvl>
    <w:lvl w:ilvl="1">
      <w:lvlJc w:val="left"/>
      <w:lvlText w:val="%2"/>
      <w:numFmt w:val="lowerLetter"/>
      <w:start w:val="1"/>
    </w:lvl>
  </w:abstractNum>
  <w:abstractNum w:abstractNumId="240">
    <w:nsid w:val="622D8102"/>
    <w:multiLevelType w:val="hybridMultilevel"/>
    <w:lvl w:ilvl="0">
      <w:lvlJc w:val="left"/>
      <w:lvlText w:val="%1."/>
      <w:numFmt w:val="decimal"/>
      <w:start w:val="5"/>
    </w:lvl>
  </w:abstractNum>
  <w:abstractNum w:abstractNumId="241">
    <w:nsid w:val="2AB26587"/>
    <w:multiLevelType w:val="hybridMultilevel"/>
    <w:lvl w:ilvl="0">
      <w:lvlJc w:val="left"/>
      <w:lvlText w:val="%1."/>
      <w:numFmt w:val="decimal"/>
      <w:start w:val="8"/>
    </w:lvl>
    <w:lvl w:ilvl="1">
      <w:lvlJc w:val="left"/>
      <w:lvlText w:val="(%2)"/>
      <w:numFmt w:val="lowerLetter"/>
      <w:start w:val="1"/>
    </w:lvl>
  </w:abstractNum>
  <w:abstractNum w:abstractNumId="242">
    <w:nsid w:val="44B3FA61"/>
    <w:multiLevelType w:val="hybridMultilevel"/>
    <w:lvl w:ilvl="0">
      <w:lvlJc w:val="left"/>
      <w:lvlText w:val="%1."/>
      <w:numFmt w:val="decimal"/>
      <w:start w:val="10"/>
    </w:lvl>
    <w:lvl w:ilvl="1">
      <w:lvlJc w:val="left"/>
      <w:lvlText w:val="(%2)"/>
      <w:numFmt w:val="lowerLetter"/>
      <w:start w:val="1"/>
    </w:lvl>
  </w:abstractNum>
  <w:abstractNum w:abstractNumId="243">
    <w:nsid w:val="1C0CA67C"/>
    <w:multiLevelType w:val="hybridMultilevel"/>
    <w:lvl w:ilvl="0">
      <w:lvlJc w:val="left"/>
      <w:lvlText w:val="%1."/>
      <w:numFmt w:val="decimal"/>
      <w:start w:val="12"/>
    </w:lvl>
    <w:lvl w:ilvl="1">
      <w:lvlJc w:val="left"/>
      <w:lvlText w:val="(%2)"/>
      <w:numFmt w:val="lowerLetter"/>
      <w:start w:val="1"/>
    </w:lvl>
  </w:abstractNum>
  <w:abstractNum w:abstractNumId="244">
    <w:nsid w:val="3D206613"/>
    <w:multiLevelType w:val="hybridMultilevel"/>
    <w:lvl w:ilvl="0">
      <w:lvlJc w:val="left"/>
      <w:lvlText w:val="%1"/>
      <w:numFmt w:val="decimal"/>
      <w:start w:val="1"/>
    </w:lvl>
    <w:lvl w:ilvl="1">
      <w:lvlJc w:val="left"/>
      <w:lvlText w:val="(%2)"/>
      <w:numFmt w:val="lowerLetter"/>
      <w:start w:val="3"/>
    </w:lvl>
  </w:abstractNum>
  <w:abstractNum w:abstractNumId="245">
    <w:nsid w:val="7993B662"/>
    <w:multiLevelType w:val="hybridMultilevel"/>
    <w:lvl w:ilvl="0">
      <w:lvlJc w:val="left"/>
      <w:lvlText w:val="%1."/>
      <w:numFmt w:val="decimal"/>
      <w:start w:val="13"/>
    </w:lvl>
    <w:lvl w:ilvl="1">
      <w:lvlJc w:val="left"/>
      <w:lvlText w:val="(%2)"/>
      <w:numFmt w:val="lowerLetter"/>
      <w:start w:val="1"/>
    </w:lvl>
  </w:abstractNum>
  <w:abstractNum w:abstractNumId="246">
    <w:nsid w:val="3BAB699E"/>
    <w:multiLevelType w:val="hybridMultilevel"/>
    <w:lvl w:ilvl="0">
      <w:lvlJc w:val="left"/>
      <w:lvlText w:val="%1"/>
      <w:numFmt w:val="decimal"/>
      <w:start w:val="1"/>
    </w:lvl>
    <w:lvl w:ilvl="1">
      <w:lvlJc w:val="left"/>
      <w:lvlText w:val="(%2)"/>
      <w:numFmt w:val="lowerLetter"/>
      <w:start w:val="3"/>
    </w:lvl>
  </w:abstractNum>
  <w:abstractNum w:abstractNumId="247">
    <w:nsid w:val="71315369"/>
    <w:multiLevelType w:val="hybridMultilevel"/>
    <w:lvl w:ilvl="0">
      <w:lvlJc w:val="left"/>
      <w:lvlText w:val="%1."/>
      <w:numFmt w:val="decimal"/>
      <w:start w:val="14"/>
    </w:lvl>
    <w:lvl w:ilvl="1">
      <w:lvlJc w:val="left"/>
      <w:lvlText w:val="(%2)"/>
      <w:numFmt w:val="lowerLetter"/>
      <w:start w:val="1"/>
    </w:lvl>
  </w:abstractNum>
  <w:abstractNum w:abstractNumId="248">
    <w:nsid w:val="7BCFBAFC"/>
    <w:multiLevelType w:val="hybridMultilevel"/>
    <w:lvl w:ilvl="0">
      <w:lvlJc w:val="left"/>
      <w:lvlText w:val="(%1)"/>
      <w:numFmt w:val="lowerLetter"/>
      <w:start w:val="2"/>
    </w:lvl>
  </w:abstractNum>
  <w:abstractNum w:abstractNumId="249">
    <w:nsid w:val="17859F72"/>
    <w:multiLevelType w:val="hybridMultilevel"/>
    <w:lvl w:ilvl="0">
      <w:lvlJc w:val="left"/>
      <w:lvlText w:val="%1"/>
      <w:numFmt w:val="decimal"/>
      <w:start w:val="1"/>
    </w:lvl>
    <w:lvl w:ilvl="1">
      <w:lvlJc w:val="left"/>
      <w:lvlText w:val="(%2)"/>
      <w:numFmt w:val="lowerLetter"/>
      <w:start w:val="7"/>
    </w:lvl>
  </w:abstractNum>
  <w:abstractNum w:abstractNumId="250">
    <w:nsid w:val="3AA10581"/>
    <w:multiLevelType w:val="hybridMultilevel"/>
    <w:lvl w:ilvl="0">
      <w:lvlJc w:val="left"/>
      <w:lvlText w:val="%1."/>
      <w:numFmt w:val="decimal"/>
      <w:start w:val="15"/>
    </w:lvl>
    <w:lvl w:ilvl="1">
      <w:lvlJc w:val="left"/>
      <w:lvlText w:val="(%2)"/>
      <w:numFmt w:val="lowerLetter"/>
      <w:start w:val="1"/>
    </w:lvl>
  </w:abstractNum>
  <w:abstractNum w:abstractNumId="251">
    <w:nsid w:val="63DE60CD"/>
    <w:multiLevelType w:val="hybridMultilevel"/>
    <w:lvl w:ilvl="0">
      <w:lvlJc w:val="left"/>
      <w:lvlText w:val="(%1)"/>
      <w:numFmt w:val="lowerLetter"/>
      <w:start w:val="2"/>
    </w:lvl>
  </w:abstractNum>
  <w:abstractNum w:abstractNumId="252">
    <w:nsid w:val="621AF471"/>
    <w:multiLevelType w:val="hybridMultilevel"/>
    <w:lvl w:ilvl="0">
      <w:lvlJc w:val="left"/>
      <w:lvlText w:val="%1"/>
      <w:numFmt w:val="lowerLetter"/>
      <w:start w:val="1"/>
    </w:lvl>
    <w:lvl w:ilvl="1">
      <w:lvlJc w:val="left"/>
      <w:lvlText w:val="(%2)"/>
      <w:numFmt w:val="lowerLetter"/>
      <w:start w:val="5"/>
    </w:lvl>
  </w:abstractNum>
  <w:abstractNum w:abstractNumId="253">
    <w:nsid w:val="73CFE165"/>
    <w:multiLevelType w:val="hybridMultilevel"/>
    <w:lvl w:ilvl="0">
      <w:lvlJc w:val="left"/>
      <w:lvlText w:val="(%1)"/>
      <w:numFmt w:val="lowerLetter"/>
      <w:start w:val="35"/>
    </w:lvl>
    <w:lvl w:ilvl="1">
      <w:lvlJc w:val="left"/>
      <w:lvlText w:val="(%2)"/>
      <w:numFmt w:val="lowerLetter"/>
      <w:start w:val="6"/>
    </w:lvl>
  </w:abstractNum>
  <w:abstractNum w:abstractNumId="254">
    <w:nsid w:val="20F88EA6"/>
    <w:multiLevelType w:val="hybridMultilevel"/>
    <w:lvl w:ilvl="0">
      <w:lvlJc w:val="left"/>
      <w:lvlText w:val="%1."/>
      <w:numFmt w:val="decimal"/>
      <w:start w:val="17"/>
    </w:lvl>
  </w:abstractNum>
  <w:abstractNum w:abstractNumId="255">
    <w:nsid w:val="617C843E"/>
    <w:multiLevelType w:val="hybridMultilevel"/>
    <w:lvl w:ilvl="0">
      <w:lvlJc w:val="left"/>
      <w:lvlText w:val="%1."/>
      <w:numFmt w:val="decimal"/>
      <w:start w:val="18"/>
    </w:lvl>
    <w:lvl w:ilvl="1">
      <w:lvlJc w:val="left"/>
      <w:lvlText w:val="(%2)"/>
      <w:numFmt w:val="lowerLetter"/>
      <w:start w:val="1"/>
    </w:lvl>
  </w:abstractNum>
  <w:abstractNum w:abstractNumId="256">
    <w:nsid w:val="7B541FAB"/>
    <w:multiLevelType w:val="hybridMultilevel"/>
    <w:lvl w:ilvl="0">
      <w:lvlJc w:val="left"/>
      <w:lvlText w:val="%1"/>
      <w:numFmt w:val="decimal"/>
      <w:start w:val="1"/>
    </w:lvl>
    <w:lvl w:ilvl="1">
      <w:lvlJc w:val="left"/>
      <w:lvlText w:val="(%2)"/>
      <w:numFmt w:val="lowerLetter"/>
      <w:start w:val="5"/>
    </w:lvl>
  </w:abstractNum>
  <w:abstractNum w:abstractNumId="257">
    <w:nsid w:val="2A79EC49"/>
    <w:multiLevelType w:val="hybridMultilevel"/>
    <w:lvl w:ilvl="0">
      <w:lvlJc w:val="left"/>
      <w:lvlText w:val="%1."/>
      <w:numFmt w:val="decimal"/>
      <w:start w:val="20"/>
    </w:lvl>
    <w:lvl w:ilvl="1">
      <w:lvlJc w:val="left"/>
      <w:lvlText w:val="(%2)"/>
      <w:numFmt w:val="lowerLetter"/>
      <w:start w:val="1"/>
    </w:lvl>
  </w:abstractNum>
  <w:abstractNum w:abstractNumId="258">
    <w:nsid w:val="338125CF"/>
    <w:multiLevelType w:val="hybridMultilevel"/>
    <w:lvl w:ilvl="0">
      <w:lvlJc w:val="left"/>
      <w:lvlText w:val="%1."/>
      <w:numFmt w:val="decimal"/>
      <w:start w:val="22"/>
    </w:lvl>
  </w:abstractNum>
  <w:abstractNum w:abstractNumId="259">
    <w:nsid w:val="47C7C971"/>
    <w:multiLevelType w:val="hybridMultilevel"/>
    <w:lvl w:ilvl="0">
      <w:lvlJc w:val="left"/>
      <w:lvlText w:val="%1."/>
      <w:numFmt w:val="decimal"/>
      <w:start w:val="27"/>
    </w:lvl>
  </w:abstractNum>
  <w:abstractNum w:abstractNumId="260">
    <w:nsid w:val="46F8284B"/>
    <w:multiLevelType w:val="hybridMultilevel"/>
    <w:lvl w:ilvl="0">
      <w:lvlJc w:val="left"/>
      <w:lvlText w:val="%1."/>
      <w:numFmt w:val="decimal"/>
      <w:start w:val="1"/>
    </w:lvl>
  </w:abstractNum>
  <w:abstractNum w:abstractNumId="261">
    <w:nsid w:val="4FA327C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2">
    <w:nsid w:val="1873983A"/>
    <w:multiLevelType w:val="hybridMultilevel"/>
    <w:lvl w:ilvl="0">
      <w:lvlJc w:val="left"/>
      <w:lvlText w:val="%1"/>
      <w:numFmt w:val="lowerLetter"/>
      <w:start w:val="1"/>
    </w:lvl>
    <w:lvl w:ilvl="1">
      <w:lvlJc w:val="left"/>
      <w:lvlText w:val="(%2)"/>
      <w:numFmt w:val="lowerRoman"/>
      <w:start w:val="4"/>
    </w:lvl>
  </w:abstractNum>
  <w:abstractNum w:abstractNumId="263">
    <w:nsid w:val="3D2DD275"/>
    <w:multiLevelType w:val="hybridMultilevel"/>
    <w:lvl w:ilvl="0">
      <w:lvlJc w:val="left"/>
      <w:lvlText w:val="(%1)"/>
      <w:numFmt w:val="lowerLetter"/>
      <w:start w:val="4"/>
    </w:lvl>
    <w:lvl w:ilvl="1">
      <w:lvlJc w:val="left"/>
      <w:lvlText w:val="%2"/>
      <w:numFmt w:val="lowerRoman"/>
      <w:start w:val="1"/>
    </w:lvl>
  </w:abstractNum>
  <w:abstractNum w:abstractNumId="264">
    <w:nsid w:val="2E17ECA7"/>
    <w:multiLevelType w:val="hybridMultilevel"/>
    <w:lvl w:ilvl="0">
      <w:lvlJc w:val="left"/>
      <w:lvlText w:val="%1"/>
      <w:numFmt w:val="lowerLetter"/>
      <w:start w:val="1"/>
    </w:lvl>
    <w:lvl w:ilvl="1">
      <w:lvlJc w:val="left"/>
      <w:lvlText w:val="(%2)"/>
      <w:numFmt w:val="lowerLetter"/>
      <w:start w:val="9"/>
    </w:lvl>
  </w:abstractNum>
  <w:abstractNum w:abstractNumId="265">
    <w:nsid w:val="53B2564F"/>
    <w:multiLevelType w:val="hybridMultilevel"/>
    <w:lvl w:ilvl="0">
      <w:lvlJc w:val="left"/>
      <w:lvlText w:val="(%1)"/>
      <w:numFmt w:val="lowerLetter"/>
      <w:start w:val="35"/>
    </w:lvl>
    <w:lvl w:ilvl="1">
      <w:lvlJc w:val="left"/>
      <w:lvlText w:val="(%2)"/>
      <w:numFmt w:val="lowerLetter"/>
      <w:start w:val="12"/>
    </w:lvl>
  </w:abstractNum>
  <w:abstractNum w:abstractNumId="266">
    <w:nsid w:val="75509D76"/>
    <w:multiLevelType w:val="hybridMultilevel"/>
    <w:lvl w:ilvl="0">
      <w:lvlJc w:val="left"/>
      <w:lvlText w:val="%1"/>
      <w:numFmt w:val="decimal"/>
      <w:start w:val="1"/>
    </w:lvl>
    <w:lvl w:ilvl="1">
      <w:lvlJc w:val="left"/>
      <w:lvlText w:val="(%2)"/>
      <w:numFmt w:val="lowerLetter"/>
      <w:start w:val="13"/>
    </w:lvl>
  </w:abstractNum>
  <w:abstractNum w:abstractNumId="267">
    <w:nsid w:val="1AF7F0EA"/>
    <w:multiLevelType w:val="hybridMultilevel"/>
    <w:lvl w:ilvl="0">
      <w:lvlJc w:val="left"/>
      <w:lvlText w:val="%1."/>
      <w:numFmt w:val="decimal"/>
      <w:start w:val="3"/>
    </w:lvl>
    <w:lvl w:ilvl="1">
      <w:lvlJc w:val="left"/>
      <w:lvlText w:val="%2"/>
      <w:numFmt w:val="lowerLetter"/>
      <w:start w:val="1"/>
    </w:lvl>
  </w:abstractNum>
  <w:abstractNum w:abstractNumId="268">
    <w:nsid w:val="4DA32C7E"/>
    <w:multiLevelType w:val="hybridMultilevel"/>
    <w:lvl w:ilvl="0">
      <w:lvlJc w:val="left"/>
      <w:lvlText w:val="%1."/>
      <w:numFmt w:val="decimal"/>
      <w:start w:val="5"/>
    </w:lvl>
  </w:abstractNum>
  <w:abstractNum w:abstractNumId="269">
    <w:nsid w:val="6EC68664"/>
    <w:multiLevelType w:val="hybridMultilevel"/>
    <w:lvl w:ilvl="0">
      <w:lvlJc w:val="left"/>
      <w:lvlText w:val="%1."/>
      <w:numFmt w:val="decimal"/>
      <w:start w:val="8"/>
    </w:lvl>
    <w:lvl w:ilvl="1">
      <w:lvlJc w:val="left"/>
      <w:lvlText w:val="(%2)"/>
      <w:numFmt w:val="lowerLetter"/>
      <w:start w:val="1"/>
    </w:lvl>
  </w:abstractNum>
  <w:abstractNum w:abstractNumId="270">
    <w:nsid w:val="E0D31FF"/>
    <w:multiLevelType w:val="hybridMultilevel"/>
    <w:lvl w:ilvl="0">
      <w:lvlJc w:val="left"/>
      <w:lvlText w:val="%1."/>
      <w:numFmt w:val="decimal"/>
      <w:start w:val="10"/>
    </w:lvl>
    <w:lvl w:ilvl="1">
      <w:lvlJc w:val="left"/>
      <w:lvlText w:val="(%2)"/>
      <w:numFmt w:val="lowerLetter"/>
      <w:start w:val="1"/>
    </w:lvl>
  </w:abstractNum>
  <w:abstractNum w:abstractNumId="271">
    <w:nsid w:val="2FD0AD81"/>
    <w:multiLevelType w:val="hybridMultilevel"/>
    <w:lvl w:ilvl="0">
      <w:lvlJc w:val="left"/>
      <w:lvlText w:val="%1."/>
      <w:numFmt w:val="decimal"/>
      <w:start w:val="12"/>
    </w:lvl>
    <w:lvl w:ilvl="1">
      <w:lvlJc w:val="left"/>
      <w:lvlText w:val="(%2)"/>
      <w:numFmt w:val="lowerLetter"/>
      <w:start w:val="1"/>
    </w:lvl>
  </w:abstractNum>
  <w:abstractNum w:abstractNumId="272">
    <w:nsid w:val="1978EBEB"/>
    <w:multiLevelType w:val="hybridMultilevel"/>
    <w:lvl w:ilvl="0">
      <w:lvlJc w:val="left"/>
      <w:lvlText w:val="%1"/>
      <w:numFmt w:val="decimal"/>
      <w:start w:val="1"/>
    </w:lvl>
    <w:lvl w:ilvl="1">
      <w:lvlJc w:val="left"/>
      <w:lvlText w:val="(%2)"/>
      <w:numFmt w:val="lowerLetter"/>
      <w:start w:val="3"/>
    </w:lvl>
  </w:abstractNum>
  <w:abstractNum w:abstractNumId="273">
    <w:nsid w:val="52C12C61"/>
    <w:multiLevelType w:val="hybridMultilevel"/>
    <w:lvl w:ilvl="0">
      <w:lvlJc w:val="left"/>
      <w:lvlText w:val="%1."/>
      <w:numFmt w:val="decimal"/>
      <w:start w:val="13"/>
    </w:lvl>
    <w:lvl w:ilvl="1">
      <w:lvlJc w:val="left"/>
      <w:lvlText w:val="(%2)"/>
      <w:numFmt w:val="lowerLetter"/>
      <w:start w:val="1"/>
    </w:lvl>
  </w:abstractNum>
  <w:abstractNum w:abstractNumId="274">
    <w:nsid w:val="4BDD53FD"/>
    <w:multiLevelType w:val="hybridMultilevel"/>
    <w:lvl w:ilvl="0">
      <w:lvlJc w:val="left"/>
      <w:lvlText w:val="%1"/>
      <w:numFmt w:val="decimal"/>
      <w:start w:val="1"/>
    </w:lvl>
    <w:lvl w:ilvl="1">
      <w:lvlJc w:val="left"/>
      <w:lvlText w:val="(%2)"/>
      <w:numFmt w:val="lowerLetter"/>
      <w:start w:val="3"/>
    </w:lvl>
  </w:abstractNum>
  <w:abstractNum w:abstractNumId="275">
    <w:nsid w:val="569951FE"/>
    <w:multiLevelType w:val="hybridMultilevel"/>
    <w:lvl w:ilvl="0">
      <w:lvlJc w:val="left"/>
      <w:lvlText w:val="%1."/>
      <w:numFmt w:val="decimal"/>
      <w:start w:val="14"/>
    </w:lvl>
    <w:lvl w:ilvl="1">
      <w:lvlJc w:val="left"/>
      <w:lvlText w:val="(%2)"/>
      <w:numFmt w:val="lowerLetter"/>
      <w:start w:val="1"/>
    </w:lvl>
  </w:abstractNum>
  <w:abstractNum w:abstractNumId="276">
    <w:nsid w:val="4C54E2C3"/>
    <w:multiLevelType w:val="hybridMultilevel"/>
    <w:lvl w:ilvl="0">
      <w:lvlJc w:val="left"/>
      <w:lvlText w:val="(%1)"/>
      <w:numFmt w:val="lowerLetter"/>
      <w:start w:val="2"/>
    </w:lvl>
  </w:abstractNum>
  <w:abstractNum w:abstractNumId="277">
    <w:nsid w:val="788BD9B"/>
    <w:multiLevelType w:val="hybridMultilevel"/>
    <w:lvl w:ilvl="0">
      <w:lvlJc w:val="left"/>
      <w:lvlText w:val="%1"/>
      <w:numFmt w:val="decimal"/>
      <w:start w:val="1"/>
    </w:lvl>
    <w:lvl w:ilvl="1">
      <w:lvlJc w:val="left"/>
      <w:lvlText w:val="(%2)"/>
      <w:numFmt w:val="lowerLetter"/>
      <w:start w:val="7"/>
    </w:lvl>
  </w:abstractNum>
  <w:abstractNum w:abstractNumId="278">
    <w:nsid w:val="47CAA567"/>
    <w:multiLevelType w:val="hybridMultilevel"/>
    <w:lvl w:ilvl="0">
      <w:lvlJc w:val="left"/>
      <w:lvlText w:val="%1."/>
      <w:numFmt w:val="decimal"/>
      <w:start w:val="15"/>
    </w:lvl>
    <w:lvl w:ilvl="1">
      <w:lvlJc w:val="left"/>
      <w:lvlText w:val="(%2)"/>
      <w:numFmt w:val="lowerLetter"/>
      <w:start w:val="1"/>
    </w:lvl>
  </w:abstractNum>
  <w:abstractNum w:abstractNumId="279">
    <w:nsid w:val="48249DBF"/>
    <w:multiLevelType w:val="hybridMultilevel"/>
    <w:lvl w:ilvl="0">
      <w:lvlJc w:val="left"/>
      <w:lvlText w:val="(%1)"/>
      <w:numFmt w:val="lowerLetter"/>
      <w:start w:val="2"/>
    </w:lvl>
  </w:abstractNum>
  <w:abstractNum w:abstractNumId="280">
    <w:nsid w:val="1F0E5D0D"/>
    <w:multiLevelType w:val="hybridMultilevel"/>
    <w:lvl w:ilvl="0">
      <w:lvlJc w:val="left"/>
      <w:lvlText w:val="%1"/>
      <w:numFmt w:val="lowerLetter"/>
      <w:start w:val="1"/>
    </w:lvl>
    <w:lvl w:ilvl="1">
      <w:lvlJc w:val="left"/>
      <w:lvlText w:val="(%2)"/>
      <w:numFmt w:val="lowerLetter"/>
      <w:start w:val="5"/>
    </w:lvl>
  </w:abstractNum>
  <w:abstractNum w:abstractNumId="281">
    <w:nsid w:val="26BAAE9"/>
    <w:multiLevelType w:val="hybridMultilevel"/>
    <w:lvl w:ilvl="0">
      <w:lvlJc w:val="left"/>
      <w:lvlText w:val="(%1)"/>
      <w:numFmt w:val="lowerLetter"/>
      <w:start w:val="35"/>
    </w:lvl>
    <w:lvl w:ilvl="1">
      <w:lvlJc w:val="left"/>
      <w:lvlText w:val="(%2)"/>
      <w:numFmt w:val="lowerLetter"/>
      <w:start w:val="6"/>
    </w:lvl>
  </w:abstractNum>
  <w:abstractNum w:abstractNumId="282">
    <w:nsid w:val="2C02FE8C"/>
    <w:multiLevelType w:val="hybridMultilevel"/>
    <w:lvl w:ilvl="0">
      <w:lvlJc w:val="left"/>
      <w:lvlText w:val="%1."/>
      <w:numFmt w:val="decimal"/>
      <w:start w:val="17"/>
    </w:lvl>
  </w:abstractNum>
  <w:abstractNum w:abstractNumId="283">
    <w:nsid w:val="129517E"/>
    <w:multiLevelType w:val="hybridMultilevel"/>
    <w:lvl w:ilvl="0">
      <w:lvlJc w:val="left"/>
      <w:lvlText w:val="%1."/>
      <w:numFmt w:val="decimal"/>
      <w:start w:val="18"/>
    </w:lvl>
    <w:lvl w:ilvl="1">
      <w:lvlJc w:val="left"/>
      <w:lvlText w:val="(%2)"/>
      <w:numFmt w:val="lowerLetter"/>
      <w:start w:val="1"/>
    </w:lvl>
  </w:abstractNum>
  <w:abstractNum w:abstractNumId="284">
    <w:nsid w:val="763B8C4E"/>
    <w:multiLevelType w:val="hybridMultilevel"/>
    <w:lvl w:ilvl="0">
      <w:lvlJc w:val="left"/>
      <w:lvlText w:val="%1"/>
      <w:numFmt w:val="decimal"/>
      <w:start w:val="1"/>
    </w:lvl>
    <w:lvl w:ilvl="1">
      <w:lvlJc w:val="left"/>
      <w:lvlText w:val="(%2)"/>
      <w:numFmt w:val="lowerLetter"/>
      <w:start w:val="5"/>
    </w:lvl>
  </w:abstractNum>
  <w:abstractNum w:abstractNumId="285">
    <w:nsid w:val="4CFB8D32"/>
    <w:multiLevelType w:val="hybridMultilevel"/>
    <w:lvl w:ilvl="0">
      <w:lvlJc w:val="left"/>
      <w:lvlText w:val="%1."/>
      <w:numFmt w:val="decimal"/>
      <w:start w:val="20"/>
    </w:lvl>
    <w:lvl w:ilvl="1">
      <w:lvlJc w:val="left"/>
      <w:lvlText w:val="(%2)"/>
      <w:numFmt w:val="lowerLetter"/>
      <w:start w:val="1"/>
    </w:lvl>
  </w:abstractNum>
  <w:abstractNum w:abstractNumId="286">
    <w:nsid w:val="62A5D5BD"/>
    <w:multiLevelType w:val="hybridMultilevel"/>
    <w:lvl w:ilvl="0">
      <w:lvlJc w:val="left"/>
      <w:lvlText w:val="%1."/>
      <w:numFmt w:val="decimal"/>
      <w:start w:val="22"/>
    </w:lvl>
  </w:abstractNum>
  <w:abstractNum w:abstractNumId="287">
    <w:nsid w:val="718FABF9"/>
    <w:multiLevelType w:val="hybridMultilevel"/>
    <w:lvl w:ilvl="0">
      <w:lvlJc w:val="left"/>
      <w:lvlText w:val="%1."/>
      <w:numFmt w:val="decimal"/>
      <w:start w:val="27"/>
    </w:lvl>
  </w:abstractNum>
  <w:abstractNum w:abstractNumId="288">
    <w:nsid w:val="7775797C"/>
    <w:multiLevelType w:val="hybridMultilevel"/>
    <w:lvl w:ilvl="0">
      <w:lvlJc w:val="left"/>
      <w:lvlText w:val="%1."/>
      <w:numFmt w:val="decimal"/>
      <w:start w:val="1"/>
    </w:lvl>
  </w:abstractNum>
  <w:abstractNum w:abstractNumId="289">
    <w:nsid w:val="1626FB8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0">
    <w:nsid w:val="3957756A"/>
    <w:multiLevelType w:val="hybridMultilevel"/>
    <w:lvl w:ilvl="0">
      <w:lvlJc w:val="left"/>
      <w:lvlText w:val="%1"/>
      <w:numFmt w:val="lowerLetter"/>
      <w:start w:val="1"/>
    </w:lvl>
    <w:lvl w:ilvl="1">
      <w:lvlJc w:val="left"/>
      <w:lvlText w:val="(%2)"/>
      <w:numFmt w:val="lowerRoman"/>
      <w:start w:val="4"/>
    </w:lvl>
  </w:abstractNum>
  <w:abstractNum w:abstractNumId="291">
    <w:nsid w:val="3E6DA1C7"/>
    <w:multiLevelType w:val="hybridMultilevel"/>
    <w:lvl w:ilvl="0">
      <w:lvlJc w:val="left"/>
      <w:lvlText w:val="(%1)"/>
      <w:numFmt w:val="lowerLetter"/>
      <w:start w:val="4"/>
    </w:lvl>
    <w:lvl w:ilvl="1">
      <w:lvlJc w:val="left"/>
      <w:lvlText w:val="%2"/>
      <w:numFmt w:val="lowerRoman"/>
      <w:start w:val="1"/>
    </w:lvl>
  </w:abstractNum>
  <w:abstractNum w:abstractNumId="292">
    <w:nsid w:val="65CA235B"/>
    <w:multiLevelType w:val="hybridMultilevel"/>
    <w:lvl w:ilvl="0">
      <w:lvlJc w:val="left"/>
      <w:lvlText w:val="%1"/>
      <w:numFmt w:val="lowerLetter"/>
      <w:start w:val="1"/>
    </w:lvl>
    <w:lvl w:ilvl="1">
      <w:lvlJc w:val="left"/>
      <w:lvlText w:val="(%2)"/>
      <w:numFmt w:val="lowerLetter"/>
      <w:start w:val="9"/>
    </w:lvl>
  </w:abstractNum>
  <w:abstractNum w:abstractNumId="293">
    <w:nsid w:val="51CB0DA4"/>
    <w:multiLevelType w:val="hybridMultilevel"/>
    <w:lvl w:ilvl="0">
      <w:lvlJc w:val="left"/>
      <w:lvlText w:val="(%1)"/>
      <w:numFmt w:val="lowerLetter"/>
      <w:start w:val="35"/>
    </w:lvl>
    <w:lvl w:ilvl="1">
      <w:lvlJc w:val="left"/>
      <w:lvlText w:val="(%2)"/>
      <w:numFmt w:val="lowerLetter"/>
      <w:start w:val="12"/>
    </w:lvl>
  </w:abstractNum>
  <w:abstractNum w:abstractNumId="294">
    <w:nsid w:val="7B9B743C"/>
    <w:multiLevelType w:val="hybridMultilevel"/>
    <w:lvl w:ilvl="0">
      <w:lvlJc w:val="left"/>
      <w:lvlText w:val="%1"/>
      <w:numFmt w:val="decimal"/>
      <w:start w:val="1"/>
    </w:lvl>
    <w:lvl w:ilvl="1">
      <w:lvlJc w:val="left"/>
      <w:lvlText w:val="(%2)"/>
      <w:numFmt w:val="lowerLetter"/>
      <w:start w:val="13"/>
    </w:lvl>
  </w:abstractNum>
  <w:abstractNum w:abstractNumId="295">
    <w:nsid w:val="13E21002"/>
    <w:multiLevelType w:val="hybridMultilevel"/>
    <w:lvl w:ilvl="0">
      <w:lvlJc w:val="left"/>
      <w:lvlText w:val="%1."/>
      <w:numFmt w:val="decimal"/>
      <w:start w:val="3"/>
    </w:lvl>
    <w:lvl w:ilvl="1">
      <w:lvlJc w:val="left"/>
      <w:lvlText w:val="%2"/>
      <w:numFmt w:val="lowerLetter"/>
      <w:start w:val="1"/>
    </w:lvl>
  </w:abstractNum>
  <w:abstractNum w:abstractNumId="296">
    <w:nsid w:val="257D63F4"/>
    <w:multiLevelType w:val="hybridMultilevel"/>
    <w:lvl w:ilvl="0">
      <w:lvlJc w:val="left"/>
      <w:lvlText w:val="%1."/>
      <w:numFmt w:val="decimal"/>
      <w:start w:val="5"/>
    </w:lvl>
  </w:abstractNum>
  <w:abstractNum w:abstractNumId="297">
    <w:nsid w:val="70EC11B2"/>
    <w:multiLevelType w:val="hybridMultilevel"/>
    <w:lvl w:ilvl="0">
      <w:lvlJc w:val="left"/>
      <w:lvlText w:val="%1."/>
      <w:numFmt w:val="decimal"/>
      <w:start w:val="8"/>
    </w:lvl>
    <w:lvl w:ilvl="1">
      <w:lvlJc w:val="left"/>
      <w:lvlText w:val="(%2)"/>
      <w:numFmt w:val="lowerLetter"/>
      <w:start w:val="1"/>
    </w:lvl>
  </w:abstractNum>
  <w:abstractNum w:abstractNumId="298">
    <w:nsid w:val="2EDA00ED"/>
    <w:multiLevelType w:val="hybridMultilevel"/>
    <w:lvl w:ilvl="0">
      <w:lvlJc w:val="left"/>
      <w:lvlText w:val="%1."/>
      <w:numFmt w:val="decimal"/>
      <w:start w:val="10"/>
    </w:lvl>
    <w:lvl w:ilvl="1">
      <w:lvlJc w:val="left"/>
      <w:lvlText w:val="(%2)"/>
      <w:numFmt w:val="lowerLetter"/>
      <w:start w:val="1"/>
    </w:lvl>
  </w:abstractNum>
  <w:abstractNum w:abstractNumId="299">
    <w:nsid w:val="73209072"/>
    <w:multiLevelType w:val="hybridMultilevel"/>
    <w:lvl w:ilvl="0">
      <w:lvlJc w:val="left"/>
      <w:lvlText w:val="%1."/>
      <w:numFmt w:val="decimal"/>
      <w:start w:val="12"/>
    </w:lvl>
    <w:lvl w:ilvl="1">
      <w:lvlJc w:val="left"/>
      <w:lvlText w:val="(%2)"/>
      <w:numFmt w:val="lowerLetter"/>
      <w:start w:val="1"/>
    </w:lvl>
  </w:abstractNum>
  <w:abstractNum w:abstractNumId="300">
    <w:nsid w:val="5FB29816"/>
    <w:multiLevelType w:val="hybridMultilevel"/>
    <w:lvl w:ilvl="0">
      <w:lvlJc w:val="left"/>
      <w:lvlText w:val="%1"/>
      <w:numFmt w:val="decimal"/>
      <w:start w:val="1"/>
    </w:lvl>
    <w:lvl w:ilvl="1">
      <w:lvlJc w:val="left"/>
      <w:lvlText w:val="(%2)"/>
      <w:numFmt w:val="lowerLetter"/>
      <w:start w:val="3"/>
    </w:lvl>
  </w:abstractNum>
  <w:abstractNum w:abstractNumId="301">
    <w:nsid w:val="3CE732EC"/>
    <w:multiLevelType w:val="hybridMultilevel"/>
    <w:lvl w:ilvl="0">
      <w:lvlJc w:val="left"/>
      <w:lvlText w:val="%1."/>
      <w:numFmt w:val="decimal"/>
      <w:start w:val="13"/>
    </w:lvl>
    <w:lvl w:ilvl="1">
      <w:lvlJc w:val="left"/>
      <w:lvlText w:val="(%2)"/>
      <w:numFmt w:val="lowerLetter"/>
      <w:start w:val="1"/>
    </w:lvl>
  </w:abstractNum>
  <w:abstractNum w:abstractNumId="302">
    <w:nsid w:val="22F13DF3"/>
    <w:multiLevelType w:val="hybridMultilevel"/>
    <w:lvl w:ilvl="0">
      <w:lvlJc w:val="left"/>
      <w:lvlText w:val="%1"/>
      <w:numFmt w:val="decimal"/>
      <w:start w:val="1"/>
    </w:lvl>
    <w:lvl w:ilvl="1">
      <w:lvlJc w:val="left"/>
      <w:lvlText w:val="(%2)"/>
      <w:numFmt w:val="lowerLetter"/>
      <w:start w:val="3"/>
    </w:lvl>
  </w:abstractNum>
  <w:abstractNum w:abstractNumId="303">
    <w:nsid w:val="792B8401"/>
    <w:multiLevelType w:val="hybridMultilevel"/>
    <w:lvl w:ilvl="0">
      <w:lvlJc w:val="left"/>
      <w:lvlText w:val="%1."/>
      <w:numFmt w:val="decimal"/>
      <w:start w:val="14"/>
    </w:lvl>
    <w:lvl w:ilvl="1">
      <w:lvlJc w:val="left"/>
      <w:lvlText w:val="(%2)"/>
      <w:numFmt w:val="lowerLetter"/>
      <w:start w:val="1"/>
    </w:lvl>
  </w:abstractNum>
  <w:abstractNum w:abstractNumId="304">
    <w:nsid w:val="FA85F4D"/>
    <w:multiLevelType w:val="hybridMultilevel"/>
    <w:lvl w:ilvl="0">
      <w:lvlJc w:val="left"/>
      <w:lvlText w:val="(%1)"/>
      <w:numFmt w:val="lowerLetter"/>
      <w:start w:val="2"/>
    </w:lvl>
  </w:abstractNum>
  <w:abstractNum w:abstractNumId="305">
    <w:nsid w:val="6ECE91F0"/>
    <w:multiLevelType w:val="hybridMultilevel"/>
    <w:lvl w:ilvl="0">
      <w:lvlJc w:val="left"/>
      <w:lvlText w:val="%1"/>
      <w:numFmt w:val="decimal"/>
      <w:start w:val="1"/>
    </w:lvl>
    <w:lvl w:ilvl="1">
      <w:lvlJc w:val="left"/>
      <w:lvlText w:val="(%2)"/>
      <w:numFmt w:val="lowerLetter"/>
      <w:start w:val="7"/>
    </w:lvl>
  </w:abstractNum>
  <w:abstractNum w:abstractNumId="306">
    <w:nsid w:val="4FC4D600"/>
    <w:multiLevelType w:val="hybridMultilevel"/>
    <w:lvl w:ilvl="0">
      <w:lvlJc w:val="left"/>
      <w:lvlText w:val="%1."/>
      <w:numFmt w:val="decimal"/>
      <w:start w:val="15"/>
    </w:lvl>
    <w:lvl w:ilvl="1">
      <w:lvlJc w:val="left"/>
      <w:lvlText w:val="(%2)"/>
      <w:numFmt w:val="lowerLetter"/>
      <w:start w:val="1"/>
    </w:lvl>
  </w:abstractNum>
  <w:abstractNum w:abstractNumId="307">
    <w:nsid w:val="5BFD4210"/>
    <w:multiLevelType w:val="hybridMultilevel"/>
    <w:lvl w:ilvl="0">
      <w:lvlJc w:val="left"/>
      <w:lvlText w:val="(%1)"/>
      <w:numFmt w:val="lowerLetter"/>
      <w:start w:val="2"/>
    </w:lvl>
  </w:abstractNum>
  <w:abstractNum w:abstractNumId="308">
    <w:nsid w:val="76574F8B"/>
    <w:multiLevelType w:val="hybridMultilevel"/>
    <w:lvl w:ilvl="0">
      <w:lvlJc w:val="left"/>
      <w:lvlText w:val="%1"/>
      <w:numFmt w:val="lowerLetter"/>
      <w:start w:val="1"/>
    </w:lvl>
    <w:lvl w:ilvl="1">
      <w:lvlJc w:val="left"/>
      <w:lvlText w:val="(%2)"/>
      <w:numFmt w:val="lowerLetter"/>
      <w:start w:val="5"/>
    </w:lvl>
  </w:abstractNum>
  <w:abstractNum w:abstractNumId="309">
    <w:nsid w:val="178F7B67"/>
    <w:multiLevelType w:val="hybridMultilevel"/>
    <w:lvl w:ilvl="0">
      <w:lvlJc w:val="left"/>
      <w:lvlText w:val="(%1)"/>
      <w:numFmt w:val="lowerLetter"/>
      <w:start w:val="35"/>
    </w:lvl>
    <w:lvl w:ilvl="1">
      <w:lvlJc w:val="left"/>
      <w:lvlText w:val="(%2)"/>
      <w:numFmt w:val="lowerLetter"/>
      <w:start w:val="6"/>
    </w:lvl>
  </w:abstractNum>
  <w:abstractNum w:abstractNumId="310">
    <w:nsid w:val="2421DFCF"/>
    <w:multiLevelType w:val="hybridMultilevel"/>
    <w:lvl w:ilvl="0">
      <w:lvlJc w:val="left"/>
      <w:lvlText w:val="%1."/>
      <w:numFmt w:val="decimal"/>
      <w:start w:val="17"/>
    </w:lvl>
  </w:abstractNum>
  <w:abstractNum w:abstractNumId="311">
    <w:nsid w:val="1565AC99"/>
    <w:multiLevelType w:val="hybridMultilevel"/>
    <w:lvl w:ilvl="0">
      <w:lvlJc w:val="left"/>
      <w:lvlText w:val="%1."/>
      <w:numFmt w:val="decimal"/>
      <w:start w:val="18"/>
    </w:lvl>
    <w:lvl w:ilvl="1">
      <w:lvlJc w:val="left"/>
      <w:lvlText w:val="(%2)"/>
      <w:numFmt w:val="lowerLetter"/>
      <w:start w:val="1"/>
    </w:lvl>
  </w:abstractNum>
  <w:abstractNum w:abstractNumId="312">
    <w:nsid w:val="19FB2650"/>
    <w:multiLevelType w:val="hybridMultilevel"/>
    <w:lvl w:ilvl="0">
      <w:lvlJc w:val="left"/>
      <w:lvlText w:val="%1"/>
      <w:numFmt w:val="decimal"/>
      <w:start w:val="1"/>
    </w:lvl>
    <w:lvl w:ilvl="1">
      <w:lvlJc w:val="left"/>
      <w:lvlText w:val="(%2)"/>
      <w:numFmt w:val="lowerLetter"/>
      <w:start w:val="5"/>
    </w:lvl>
  </w:abstractNum>
  <w:abstractNum w:abstractNumId="313">
    <w:nsid w:val="5024DE5B"/>
    <w:multiLevelType w:val="hybridMultilevel"/>
    <w:lvl w:ilvl="0">
      <w:lvlJc w:val="left"/>
      <w:lvlText w:val="%1."/>
      <w:numFmt w:val="decimal"/>
      <w:start w:val="20"/>
    </w:lvl>
    <w:lvl w:ilvl="1">
      <w:lvlJc w:val="left"/>
      <w:lvlText w:val="(%2)"/>
      <w:numFmt w:val="lowerLetter"/>
      <w:start w:val="1"/>
    </w:lvl>
  </w:abstractNum>
  <w:abstractNum w:abstractNumId="314">
    <w:nsid w:val="168EFE17"/>
    <w:multiLevelType w:val="hybridMultilevel"/>
    <w:lvl w:ilvl="0">
      <w:lvlJc w:val="left"/>
      <w:lvlText w:val="%1."/>
      <w:numFmt w:val="decimal"/>
      <w:start w:val="22"/>
    </w:lvl>
  </w:abstractNum>
  <w:abstractNum w:abstractNumId="315">
    <w:nsid w:val="1036B29F"/>
    <w:multiLevelType w:val="hybridMultilevel"/>
    <w:lvl w:ilvl="0">
      <w:lvlJc w:val="left"/>
      <w:lvlText w:val="%1."/>
      <w:numFmt w:val="decimal"/>
      <w:start w:val="27"/>
    </w:lvl>
  </w:abstractNum>
  <w:abstractNum w:abstractNumId="316">
    <w:nsid w:val="1D206B8E"/>
    <w:multiLevelType w:val="hybridMultilevel"/>
    <w:lvl w:ilvl="0">
      <w:lvlJc w:val="left"/>
      <w:lvlText w:val="%1."/>
      <w:numFmt w:val="decimal"/>
      <w:start w:val="1"/>
    </w:lvl>
  </w:abstractNum>
  <w:abstractNum w:abstractNumId="317">
    <w:nsid w:val="7934D3D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18">
    <w:nsid w:val="1C65E98"/>
    <w:multiLevelType w:val="hybridMultilevel"/>
    <w:lvl w:ilvl="0">
      <w:lvlJc w:val="left"/>
      <w:lvlText w:val="%1"/>
      <w:numFmt w:val="lowerLetter"/>
      <w:start w:val="1"/>
    </w:lvl>
    <w:lvl w:ilvl="1">
      <w:lvlJc w:val="left"/>
      <w:lvlText w:val="(%2)"/>
      <w:numFmt w:val="lowerRoman"/>
      <w:start w:val="4"/>
    </w:lvl>
  </w:abstractNum>
  <w:abstractNum w:abstractNumId="319">
    <w:nsid w:val="1495E50A"/>
    <w:multiLevelType w:val="hybridMultilevel"/>
    <w:lvl w:ilvl="0">
      <w:lvlJc w:val="left"/>
      <w:lvlText w:val="(%1)"/>
      <w:numFmt w:val="lowerLetter"/>
      <w:start w:val="4"/>
    </w:lvl>
    <w:lvl w:ilvl="1">
      <w:lvlJc w:val="left"/>
      <w:lvlText w:val="%2"/>
      <w:numFmt w:val="lowerRoman"/>
      <w:start w:val="1"/>
    </w:lvl>
  </w:abstractNum>
  <w:abstractNum w:abstractNumId="320">
    <w:nsid w:val="F5BCF61"/>
    <w:multiLevelType w:val="hybridMultilevel"/>
    <w:lvl w:ilvl="0">
      <w:lvlJc w:val="left"/>
      <w:lvlText w:val="%1"/>
      <w:numFmt w:val="lowerLetter"/>
      <w:start w:val="1"/>
    </w:lvl>
    <w:lvl w:ilvl="1">
      <w:lvlJc w:val="left"/>
      <w:lvlText w:val="(%2)"/>
      <w:numFmt w:val="lowerLetter"/>
      <w:start w:val="9"/>
    </w:lvl>
  </w:abstractNum>
  <w:abstractNum w:abstractNumId="321">
    <w:nsid w:val="3B1DD403"/>
    <w:multiLevelType w:val="hybridMultilevel"/>
    <w:lvl w:ilvl="0">
      <w:lvlJc w:val="left"/>
      <w:lvlText w:val="(%1)"/>
      <w:numFmt w:val="lowerLetter"/>
      <w:start w:val="35"/>
    </w:lvl>
    <w:lvl w:ilvl="1">
      <w:lvlJc w:val="left"/>
      <w:lvlText w:val="(%2)"/>
      <w:numFmt w:val="lowerLetter"/>
      <w:start w:val="12"/>
    </w:lvl>
  </w:abstractNum>
  <w:abstractNum w:abstractNumId="322">
    <w:nsid w:val="530386D1"/>
    <w:multiLevelType w:val="hybridMultilevel"/>
    <w:lvl w:ilvl="0">
      <w:lvlJc w:val="left"/>
      <w:lvlText w:val="%1"/>
      <w:numFmt w:val="decimal"/>
      <w:start w:val="1"/>
    </w:lvl>
    <w:lvl w:ilvl="1">
      <w:lvlJc w:val="left"/>
      <w:lvlText w:val="(%2)"/>
      <w:numFmt w:val="lowerLetter"/>
      <w:start w:val="13"/>
    </w:lvl>
  </w:abstractNum>
  <w:abstractNum w:abstractNumId="323">
    <w:nsid w:val="7525F2BC"/>
    <w:multiLevelType w:val="hybridMultilevel"/>
    <w:lvl w:ilvl="0">
      <w:lvlJc w:val="left"/>
      <w:lvlText w:val="%1."/>
      <w:numFmt w:val="decimal"/>
      <w:start w:val="3"/>
    </w:lvl>
    <w:lvl w:ilvl="1">
      <w:lvlJc w:val="left"/>
      <w:lvlText w:val="%2"/>
      <w:numFmt w:val="lowerLetter"/>
      <w:start w:val="1"/>
    </w:lvl>
  </w:abstractNum>
  <w:abstractNum w:abstractNumId="324">
    <w:nsid w:val="CE8E1A7"/>
    <w:multiLevelType w:val="hybridMultilevel"/>
    <w:lvl w:ilvl="0">
      <w:lvlJc w:val="left"/>
      <w:lvlText w:val="%1."/>
      <w:numFmt w:val="decimal"/>
      <w:start w:val="5"/>
    </w:lvl>
  </w:abstractNum>
  <w:abstractNum w:abstractNumId="325">
    <w:nsid w:val="4E9EFB0D"/>
    <w:multiLevelType w:val="hybridMultilevel"/>
    <w:lvl w:ilvl="0">
      <w:lvlJc w:val="left"/>
      <w:lvlText w:val="%1."/>
      <w:numFmt w:val="decimal"/>
      <w:start w:val="8"/>
    </w:lvl>
    <w:lvl w:ilvl="1">
      <w:lvlJc w:val="left"/>
      <w:lvlText w:val="(%2)"/>
      <w:numFmt w:val="lowerLetter"/>
      <w:start w:val="1"/>
    </w:lvl>
  </w:abstractNum>
  <w:abstractNum w:abstractNumId="326">
    <w:nsid w:val="90802BE"/>
    <w:multiLevelType w:val="hybridMultilevel"/>
    <w:lvl w:ilvl="0">
      <w:lvlJc w:val="left"/>
      <w:lvlText w:val="%1."/>
      <w:numFmt w:val="decimal"/>
      <w:start w:val="10"/>
    </w:lvl>
    <w:lvl w:ilvl="1">
      <w:lvlJc w:val="left"/>
      <w:lvlText w:val="(%2)"/>
      <w:numFmt w:val="lowerLetter"/>
      <w:start w:val="1"/>
    </w:lvl>
  </w:abstractNum>
  <w:abstractNum w:abstractNumId="327">
    <w:nsid w:val="3266459B"/>
    <w:multiLevelType w:val="hybridMultilevel"/>
    <w:lvl w:ilvl="0">
      <w:lvlJc w:val="left"/>
      <w:lvlText w:val="%1."/>
      <w:numFmt w:val="decimal"/>
      <w:start w:val="12"/>
    </w:lvl>
    <w:lvl w:ilvl="1">
      <w:lvlJc w:val="left"/>
      <w:lvlText w:val="(%2)"/>
      <w:numFmt w:val="lowerLetter"/>
      <w:start w:val="1"/>
    </w:lvl>
  </w:abstractNum>
  <w:abstractNum w:abstractNumId="328">
    <w:nsid w:val="3F8B0CBF"/>
    <w:multiLevelType w:val="hybridMultilevel"/>
    <w:lvl w:ilvl="0">
      <w:lvlJc w:val="left"/>
      <w:lvlText w:val="%1"/>
      <w:numFmt w:val="decimal"/>
      <w:start w:val="1"/>
    </w:lvl>
    <w:lvl w:ilvl="1">
      <w:lvlJc w:val="left"/>
      <w:lvlText w:val="(%2)"/>
      <w:numFmt w:val="lowerLetter"/>
      <w:start w:val="3"/>
    </w:lvl>
  </w:abstractNum>
  <w:abstractNum w:abstractNumId="329">
    <w:nsid w:val="37E203AB"/>
    <w:multiLevelType w:val="hybridMultilevel"/>
    <w:lvl w:ilvl="0">
      <w:lvlJc w:val="left"/>
      <w:lvlText w:val="%1."/>
      <w:numFmt w:val="decimal"/>
      <w:start w:val="13"/>
    </w:lvl>
    <w:lvl w:ilvl="1">
      <w:lvlJc w:val="left"/>
      <w:lvlText w:val="(%2)"/>
      <w:numFmt w:val="lowerLetter"/>
      <w:start w:val="1"/>
    </w:lvl>
  </w:abstractNum>
  <w:abstractNum w:abstractNumId="330">
    <w:nsid w:val="2586D60E"/>
    <w:multiLevelType w:val="hybridMultilevel"/>
    <w:lvl w:ilvl="0">
      <w:lvlJc w:val="left"/>
      <w:lvlText w:val="%1"/>
      <w:numFmt w:val="decimal"/>
      <w:start w:val="1"/>
    </w:lvl>
    <w:lvl w:ilvl="1">
      <w:lvlJc w:val="left"/>
      <w:lvlText w:val="(%2)"/>
      <w:numFmt w:val="lowerLetter"/>
      <w:start w:val="3"/>
    </w:lvl>
  </w:abstractNum>
  <w:abstractNum w:abstractNumId="331">
    <w:nsid w:val="1F3DA4D5"/>
    <w:multiLevelType w:val="hybridMultilevel"/>
    <w:lvl w:ilvl="0">
      <w:lvlJc w:val="left"/>
      <w:lvlText w:val="%1."/>
      <w:numFmt w:val="decimal"/>
      <w:start w:val="14"/>
    </w:lvl>
    <w:lvl w:ilvl="1">
      <w:lvlJc w:val="left"/>
      <w:lvlText w:val="(%2)"/>
      <w:numFmt w:val="lowerLetter"/>
      <w:start w:val="1"/>
    </w:lvl>
  </w:abstractNum>
  <w:abstractNum w:abstractNumId="332">
    <w:nsid w:val="74C93698"/>
    <w:multiLevelType w:val="hybridMultilevel"/>
    <w:lvl w:ilvl="0">
      <w:lvlJc w:val="left"/>
      <w:lvlText w:val="(%1)"/>
      <w:numFmt w:val="lowerLetter"/>
      <w:start w:val="2"/>
    </w:lvl>
  </w:abstractNum>
  <w:abstractNum w:abstractNumId="333">
    <w:nsid w:val="48781401"/>
    <w:multiLevelType w:val="hybridMultilevel"/>
    <w:lvl w:ilvl="0">
      <w:lvlJc w:val="left"/>
      <w:lvlText w:val="%1"/>
      <w:numFmt w:val="decimal"/>
      <w:start w:val="1"/>
    </w:lvl>
    <w:lvl w:ilvl="1">
      <w:lvlJc w:val="left"/>
      <w:lvlText w:val="(%2)"/>
      <w:numFmt w:val="lowerLetter"/>
      <w:start w:val="7"/>
    </w:lvl>
  </w:abstractNum>
  <w:abstractNum w:abstractNumId="334">
    <w:nsid w:val="186928D6"/>
    <w:multiLevelType w:val="hybridMultilevel"/>
    <w:lvl w:ilvl="0">
      <w:lvlJc w:val="left"/>
      <w:lvlText w:val="%1."/>
      <w:numFmt w:val="decimal"/>
      <w:start w:val="15"/>
    </w:lvl>
    <w:lvl w:ilvl="1">
      <w:lvlJc w:val="left"/>
      <w:lvlText w:val="(%2)"/>
      <w:numFmt w:val="lowerLetter"/>
      <w:start w:val="1"/>
    </w:lvl>
  </w:abstractNum>
  <w:abstractNum w:abstractNumId="335">
    <w:nsid w:val="47195E5"/>
    <w:multiLevelType w:val="hybridMultilevel"/>
    <w:lvl w:ilvl="0">
      <w:lvlJc w:val="left"/>
      <w:lvlText w:val="(%1)"/>
      <w:numFmt w:val="lowerLetter"/>
      <w:start w:val="2"/>
    </w:lvl>
  </w:abstractNum>
  <w:abstractNum w:abstractNumId="336">
    <w:nsid w:val="3746A5F2"/>
    <w:multiLevelType w:val="hybridMultilevel"/>
    <w:lvl w:ilvl="0">
      <w:lvlJc w:val="left"/>
      <w:lvlText w:val="%1"/>
      <w:numFmt w:val="lowerLetter"/>
      <w:start w:val="1"/>
    </w:lvl>
    <w:lvl w:ilvl="1">
      <w:lvlJc w:val="left"/>
      <w:lvlText w:val="(%2)"/>
      <w:numFmt w:val="lowerLetter"/>
      <w:start w:val="5"/>
    </w:lvl>
  </w:abstractNum>
  <w:abstractNum w:abstractNumId="337">
    <w:nsid w:val="682DFED6"/>
    <w:multiLevelType w:val="hybridMultilevel"/>
    <w:lvl w:ilvl="0">
      <w:lvlJc w:val="left"/>
      <w:lvlText w:val="(%1)"/>
      <w:numFmt w:val="lowerLetter"/>
      <w:start w:val="35"/>
    </w:lvl>
    <w:lvl w:ilvl="1">
      <w:lvlJc w:val="left"/>
      <w:lvlText w:val="(%2)"/>
      <w:numFmt w:val="lowerLetter"/>
      <w:start w:val="6"/>
    </w:lvl>
  </w:abstractNum>
  <w:abstractNum w:abstractNumId="338">
    <w:nsid w:val="606ED7F6"/>
    <w:multiLevelType w:val="hybridMultilevel"/>
    <w:lvl w:ilvl="0">
      <w:lvlJc w:val="left"/>
      <w:lvlText w:val="%1."/>
      <w:numFmt w:val="decimal"/>
      <w:start w:val="17"/>
    </w:lvl>
  </w:abstractNum>
  <w:abstractNum w:abstractNumId="339">
    <w:nsid w:val="2D9DF57D"/>
    <w:multiLevelType w:val="hybridMultilevel"/>
    <w:lvl w:ilvl="0">
      <w:lvlJc w:val="left"/>
      <w:lvlText w:val="%1."/>
      <w:numFmt w:val="decimal"/>
      <w:start w:val="18"/>
    </w:lvl>
    <w:lvl w:ilvl="1">
      <w:lvlJc w:val="left"/>
      <w:lvlText w:val="(%2)"/>
      <w:numFmt w:val="lowerLetter"/>
      <w:start w:val="1"/>
    </w:lvl>
  </w:abstractNum>
  <w:abstractNum w:abstractNumId="340">
    <w:nsid w:val="7FBD7A3E"/>
    <w:multiLevelType w:val="hybridMultilevel"/>
    <w:lvl w:ilvl="0">
      <w:lvlJc w:val="left"/>
      <w:lvlText w:val="%1"/>
      <w:numFmt w:val="decimal"/>
      <w:start w:val="1"/>
    </w:lvl>
    <w:lvl w:ilvl="1">
      <w:lvlJc w:val="left"/>
      <w:lvlText w:val="(%2)"/>
      <w:numFmt w:val="lowerLetter"/>
      <w:start w:val="5"/>
    </w:lvl>
  </w:abstractNum>
  <w:abstractNum w:abstractNumId="341">
    <w:nsid w:val="490B7C5"/>
    <w:multiLevelType w:val="hybridMultilevel"/>
    <w:lvl w:ilvl="0">
      <w:lvlJc w:val="left"/>
      <w:lvlText w:val="%1."/>
      <w:numFmt w:val="decimal"/>
      <w:start w:val="20"/>
    </w:lvl>
    <w:lvl w:ilvl="1">
      <w:lvlJc w:val="left"/>
      <w:lvlText w:val="(%2)"/>
      <w:numFmt w:val="lowerLetter"/>
      <w:start w:val="1"/>
    </w:lvl>
  </w:abstractNum>
  <w:abstractNum w:abstractNumId="342">
    <w:nsid w:val="4303A216"/>
    <w:multiLevelType w:val="hybridMultilevel"/>
    <w:lvl w:ilvl="0">
      <w:lvlJc w:val="left"/>
      <w:lvlText w:val="%1."/>
      <w:numFmt w:val="decimal"/>
      <w:start w:val="22"/>
    </w:lvl>
  </w:abstractNum>
  <w:abstractNum w:abstractNumId="343">
    <w:nsid w:val="19B8A08E"/>
    <w:multiLevelType w:val="hybridMultilevel"/>
    <w:lvl w:ilvl="0">
      <w:lvlJc w:val="left"/>
      <w:lvlText w:val="%1."/>
      <w:numFmt w:val="decimal"/>
      <w:start w:val="27"/>
    </w:lvl>
  </w:abstractNum>
  <w:abstractNum w:abstractNumId="344">
    <w:nsid w:val="54B5962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2020-08-04T16:17:41Z</dcterms:created>
  <dcterms:modified xsi:type="dcterms:W3CDTF">2020-08-04T16:17:41Z</dcterms:modified>
</cp:coreProperties>
</file>