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916"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PUBLIC INVESTMENT FUND</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380"/>
        <w:spacing w:after="0" w:line="268" w:lineRule="auto"/>
        <w:rPr>
          <w:sz w:val="20"/>
          <w:szCs w:val="20"/>
          <w:color w:val="auto"/>
        </w:rPr>
      </w:pPr>
      <w:r>
        <w:rPr>
          <w:rFonts w:ascii="Arial" w:cs="Arial" w:eastAsia="Arial" w:hAnsi="Arial"/>
          <w:sz w:val="18"/>
          <w:szCs w:val="18"/>
          <w:color w:val="0000FF"/>
        </w:rPr>
        <w:t>KING ABDULLAH FINANCIAL DISTRICT (KAFD)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N.16 AL AQIQ DISTRICT</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RIYADH</w:t>
            </w:r>
          </w:p>
        </w:tc>
        <w:tc>
          <w:tcPr>
            <w:tcW w:w="1080" w:type="dxa"/>
            <w:vAlign w:val="bottom"/>
          </w:tcPr>
          <w:p>
            <w:pPr>
              <w:ind w:left="280"/>
              <w:spacing w:after="0"/>
              <w:rPr>
                <w:sz w:val="20"/>
                <w:szCs w:val="20"/>
                <w:color w:val="auto"/>
              </w:rPr>
            </w:pPr>
            <w:r>
              <w:rPr>
                <w:rFonts w:ascii="Arial" w:cs="Arial" w:eastAsia="Arial" w:hAnsi="Arial"/>
                <w:sz w:val="18"/>
                <w:szCs w:val="18"/>
                <w:color w:val="0000FF"/>
              </w:rPr>
              <w:t>T0</w:t>
            </w:r>
          </w:p>
        </w:tc>
        <w:tc>
          <w:tcPr>
            <w:tcW w:w="1600" w:type="dxa"/>
            <w:vAlign w:val="bottom"/>
          </w:tcPr>
          <w:p>
            <w:pPr>
              <w:ind w:left="420"/>
              <w:spacing w:after="0"/>
              <w:rPr>
                <w:sz w:val="20"/>
                <w:szCs w:val="20"/>
                <w:color w:val="auto"/>
              </w:rPr>
            </w:pPr>
            <w:r>
              <w:rPr>
                <w:rFonts w:ascii="Arial" w:cs="Arial" w:eastAsia="Arial" w:hAnsi="Arial"/>
                <w:sz w:val="18"/>
                <w:szCs w:val="18"/>
                <w:color w:val="0000FF"/>
              </w:rPr>
              <w:t>13519</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8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Lucid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LCID</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620" w:type="dxa"/>
            <w:vAlign w:val="bottom"/>
            <w:gridSpan w:val="3"/>
          </w:tcPr>
          <w:p>
            <w:pPr>
              <w:ind w:left="80"/>
              <w:spacing w:after="0"/>
              <w:rPr>
                <w:sz w:val="20"/>
                <w:szCs w:val="20"/>
                <w:color w:val="auto"/>
              </w:rPr>
            </w:pPr>
            <w:r>
              <w:rPr>
                <w:rFonts w:ascii="Arial" w:cs="Arial" w:eastAsia="Arial" w:hAnsi="Arial"/>
                <w:sz w:val="18"/>
                <w:szCs w:val="18"/>
                <w:color w:val="0000FF"/>
              </w:rPr>
              <w:t>06/22/2023</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916"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4"/>
                <w:szCs w:val="14"/>
                <w:color w:val="auto"/>
              </w:rPr>
            </w:pP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820" w:type="dxa"/>
            <w:vAlign w:val="bottom"/>
            <w:gridSpan w:val="2"/>
            <w:vMerge w:val="restart"/>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vMerge w:val="restart"/>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8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V</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3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64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By Ayar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06/22/2023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0000FF"/>
              </w:rPr>
              <w:t>P</w:t>
            </w:r>
          </w:p>
        </w:tc>
        <w:tc>
          <w:tcPr>
            <w:tcW w:w="400" w:type="dxa"/>
            <w:vAlign w:val="bottom"/>
          </w:tcPr>
          <w:p>
            <w:pPr>
              <w:spacing w:after="0"/>
              <w:rPr>
                <w:sz w:val="18"/>
                <w:szCs w:val="18"/>
                <w:color w:val="auto"/>
              </w:rPr>
            </w:pPr>
          </w:p>
        </w:tc>
        <w:tc>
          <w:tcPr>
            <w:tcW w:w="1140" w:type="dxa"/>
            <w:vAlign w:val="bottom"/>
            <w:vMerge w:val="restart"/>
          </w:tcPr>
          <w:p>
            <w:pPr>
              <w:ind w:left="80"/>
              <w:spacing w:after="0"/>
              <w:rPr>
                <w:sz w:val="20"/>
                <w:szCs w:val="20"/>
                <w:color w:val="auto"/>
              </w:rPr>
            </w:pPr>
            <w:r>
              <w:rPr>
                <w:rFonts w:ascii="Arial" w:cs="Arial" w:eastAsia="Arial" w:hAnsi="Arial"/>
                <w:sz w:val="18"/>
                <w:szCs w:val="18"/>
                <w:color w:val="0000FF"/>
                <w:w w:val="88"/>
              </w:rPr>
              <w:t>265,693,703</w:t>
            </w:r>
            <w:r>
              <w:rPr>
                <w:rFonts w:ascii="Arial" w:cs="Arial" w:eastAsia="Arial" w:hAnsi="Arial"/>
                <w:sz w:val="22"/>
                <w:szCs w:val="22"/>
                <w:color w:val="008000"/>
                <w:w w:val="88"/>
                <w:vertAlign w:val="superscript"/>
              </w:rPr>
              <w:t>(1)</w:t>
            </w:r>
          </w:p>
        </w:tc>
        <w:tc>
          <w:tcPr>
            <w:tcW w:w="36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40" w:type="dxa"/>
            <w:vAlign w:val="bottom"/>
            <w:gridSpan w:val="2"/>
            <w:vMerge w:val="restart"/>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6.83</w:t>
            </w:r>
          </w:p>
        </w:tc>
        <w:tc>
          <w:tcPr>
            <w:tcW w:w="1320" w:type="dxa"/>
            <w:vAlign w:val="bottom"/>
            <w:gridSpan w:val="3"/>
            <w:vMerge w:val="restart"/>
          </w:tcPr>
          <w:p>
            <w:pPr>
              <w:jc w:val="right"/>
              <w:ind w:right="99"/>
              <w:spacing w:after="0"/>
              <w:rPr>
                <w:sz w:val="20"/>
                <w:szCs w:val="20"/>
                <w:color w:val="auto"/>
              </w:rPr>
            </w:pPr>
            <w:r>
              <w:rPr>
                <w:rFonts w:ascii="Arial" w:cs="Arial" w:eastAsia="Arial" w:hAnsi="Arial"/>
                <w:sz w:val="18"/>
                <w:szCs w:val="18"/>
                <w:color w:val="0000FF"/>
                <w:w w:val="99"/>
              </w:rPr>
              <w:t>1,366,658,905</w:t>
            </w:r>
          </w:p>
        </w:tc>
        <w:tc>
          <w:tcPr>
            <w:tcW w:w="260" w:type="dxa"/>
            <w:vAlign w:val="bottom"/>
          </w:tcPr>
          <w:p>
            <w:pPr>
              <w:spacing w:after="0"/>
              <w:rPr>
                <w:sz w:val="18"/>
                <w:szCs w:val="18"/>
                <w:color w:val="auto"/>
              </w:rPr>
            </w:pPr>
          </w:p>
        </w:tc>
        <w:tc>
          <w:tcPr>
            <w:tcW w:w="560" w:type="dxa"/>
            <w:vAlign w:val="bottom"/>
            <w:vMerge w:val="restart"/>
          </w:tcPr>
          <w:p>
            <w:pPr>
              <w:ind w:left="20"/>
              <w:spacing w:after="0" w:line="386"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w:t>
            </w: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Third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5"/>
          </w:tcPr>
          <w:p>
            <w:pPr>
              <w:ind w:left="60"/>
              <w:spacing w:after="0"/>
              <w:rPr>
                <w:sz w:val="20"/>
                <w:szCs w:val="20"/>
                <w:color w:val="auto"/>
              </w:rPr>
            </w:pPr>
            <w:r>
              <w:rPr>
                <w:rFonts w:ascii="Arial" w:cs="Arial" w:eastAsia="Arial" w:hAnsi="Arial"/>
                <w:sz w:val="18"/>
                <w:szCs w:val="18"/>
                <w:color w:val="0000FF"/>
              </w:rPr>
              <w:t>Class A Common Stock</w:t>
            </w: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20" w:type="dxa"/>
            <w:vAlign w:val="bottom"/>
            <w:gridSpan w:val="3"/>
          </w:tcPr>
          <w:p>
            <w:pPr>
              <w:jc w:val="right"/>
              <w:ind w:right="259"/>
              <w:spacing w:after="0"/>
              <w:rPr>
                <w:sz w:val="20"/>
                <w:szCs w:val="20"/>
                <w:color w:val="auto"/>
              </w:rPr>
            </w:pPr>
            <w:r>
              <w:rPr>
                <w:rFonts w:ascii="Arial" w:cs="Arial" w:eastAsia="Arial" w:hAnsi="Arial"/>
                <w:sz w:val="18"/>
                <w:szCs w:val="18"/>
                <w:color w:val="0000FF"/>
              </w:rPr>
              <w:t>8,041,393</w:t>
            </w:r>
          </w:p>
        </w:tc>
        <w:tc>
          <w:tcPr>
            <w:tcW w:w="260" w:type="dxa"/>
            <w:vAlign w:val="bottom"/>
          </w:tcPr>
          <w:p>
            <w:pPr>
              <w:spacing w:after="0"/>
              <w:rPr>
                <w:sz w:val="23"/>
                <w:szCs w:val="23"/>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0000FF"/>
              </w:rPr>
              <w:t>D</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80" w:type="dxa"/>
            <w:vAlign w:val="bottom"/>
            <w:tcBorders>
              <w:bottom w:val="single" w:sz="8" w:color="2C2C2C"/>
            </w:tcBorders>
            <w:gridSpan w:val="7"/>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7"/>
          </w:tcPr>
          <w:p>
            <w:pPr>
              <w:jc w:val="center"/>
              <w:ind w:left="2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40" w:type="dxa"/>
            <w:vAlign w:val="bottom"/>
            <w:gridSpan w:val="13"/>
          </w:tcPr>
          <w:p>
            <w:pPr>
              <w:jc w:val="center"/>
              <w:ind w:right="45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5"/>
                <w:szCs w:val="15"/>
                <w:color w:val="auto"/>
              </w:rPr>
            </w:pP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5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Price of</w:t>
            </w: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460"/>
              <w:spacing w:after="0" w:line="136"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2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PUBLIC INVESTMENT FUND</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7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9"/>
          </w:tcPr>
          <w:p>
            <w:pPr>
              <w:spacing w:after="0"/>
              <w:rPr>
                <w:sz w:val="20"/>
                <w:szCs w:val="20"/>
                <w:color w:val="auto"/>
              </w:rPr>
            </w:pPr>
            <w:r>
              <w:rPr>
                <w:rFonts w:ascii="Arial" w:cs="Arial" w:eastAsia="Arial" w:hAnsi="Arial"/>
                <w:sz w:val="18"/>
                <w:szCs w:val="18"/>
                <w:color w:val="0000FF"/>
              </w:rPr>
              <w:t>KING ABDULLAH FINANCIAL DISTRICT (KAFD)</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gridSpan w:val="4"/>
          </w:tcPr>
          <w:p>
            <w:pPr>
              <w:spacing w:after="0"/>
              <w:rPr>
                <w:sz w:val="20"/>
                <w:szCs w:val="20"/>
                <w:color w:val="auto"/>
              </w:rPr>
            </w:pPr>
            <w:r>
              <w:rPr>
                <w:rFonts w:ascii="Arial" w:cs="Arial" w:eastAsia="Arial" w:hAnsi="Arial"/>
                <w:sz w:val="18"/>
                <w:szCs w:val="18"/>
                <w:color w:val="0000FF"/>
              </w:rPr>
              <w:t>N.16 AL AQIQ DISTRICT</w:t>
            </w: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0"/>
                <w:szCs w:val="20"/>
                <w:color w:val="auto"/>
              </w:rPr>
            </w:pPr>
            <w:r>
              <w:rPr>
                <w:rFonts w:ascii="Arial" w:cs="Arial" w:eastAsia="Arial" w:hAnsi="Arial"/>
                <w:sz w:val="18"/>
                <w:szCs w:val="18"/>
                <w:color w:val="0000FF"/>
                <w:w w:val="96"/>
              </w:rPr>
              <w:t>RIYADH</w:t>
            </w:r>
          </w:p>
        </w:tc>
        <w:tc>
          <w:tcPr>
            <w:tcW w:w="70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T0</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13519</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7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Ayar Third Investment Co</w:t>
              </w:r>
            </w:hyperlink>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7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P.O. BOX 6847</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0"/>
                <w:szCs w:val="20"/>
                <w:color w:val="auto"/>
              </w:rPr>
            </w:pPr>
            <w:r>
              <w:rPr>
                <w:rFonts w:ascii="Arial" w:cs="Arial" w:eastAsia="Arial" w:hAnsi="Arial"/>
                <w:sz w:val="18"/>
                <w:szCs w:val="18"/>
                <w:color w:val="0000FF"/>
                <w:w w:val="96"/>
              </w:rPr>
              <w:t>RIYADH</w:t>
            </w:r>
          </w:p>
        </w:tc>
        <w:tc>
          <w:tcPr>
            <w:tcW w:w="70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T0</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11452</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-5041265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ectPr>
          <w:pgSz w:w="11900" w:h="16916" w:orient="portrait"/>
          <w:cols w:equalWidth="0" w:num="1">
            <w:col w:w="11080"/>
          </w:cols>
          <w:pgMar w:left="460" w:top="226" w:right="359" w:bottom="0" w:gutter="0" w:footer="0" w:header="0"/>
          <w:type w:val="continuous"/>
        </w:sectPr>
      </w:pPr>
    </w:p>
    <w:p>
      <w:pPr>
        <w:spacing w:after="0" w:line="316"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916" w:orient="portrait"/>
          <w:cols w:equalWidth="0" w:num="1">
            <w:col w:w="11080"/>
          </w:cols>
          <w:pgMar w:left="460" w:top="22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806700" cy="90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6700" cy="90170"/>
                    </a:xfrm>
                    <a:prstGeom prst="rect">
                      <a:avLst/>
                    </a:prstGeom>
                    <a:noFill/>
                  </pic:spPr>
                </pic:pic>
              </a:graphicData>
            </a:graphic>
          </wp:anchor>
        </w:drawing>
        <w:t>Explanation of Responses:</w:t>
      </w:r>
    </w:p>
    <w:p>
      <w:pPr>
        <w:spacing w:after="0" w:line="48" w:lineRule="exact"/>
        <w:rPr>
          <w:sz w:val="20"/>
          <w:szCs w:val="20"/>
          <w:color w:val="auto"/>
        </w:rPr>
      </w:pPr>
    </w:p>
    <w:p>
      <w:pPr>
        <w:ind w:right="60" w:firstLine="9"/>
        <w:spacing w:after="0" w:line="28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May 31, 2023, Lucid Group, Inc. (the "Issuer") announced it had priced an underwritten public offering of 173,544,948 shares of its common stock for aggregate gross proceeds to the Issuer of approximately $1.2 billion (the "Public Offering"). On June 22, 2023, Ayar Third Investment Company ("Ayar") purchased from the Issuer 265,693,703 shares of Issuer common stock in a private placement for an aggregate purchase price of approximately $1.8 billion in a private placement pursuant to a subscription agreement entered into concurrently with the Public Offering.</w:t>
      </w:r>
    </w:p>
    <w:p>
      <w:pPr>
        <w:spacing w:after="0" w:line="3" w:lineRule="exact"/>
        <w:rPr>
          <w:rFonts w:ascii="Arial" w:cs="Arial" w:eastAsia="Arial" w:hAnsi="Arial"/>
          <w:sz w:val="12"/>
          <w:szCs w:val="12"/>
          <w:color w:val="008000"/>
        </w:rPr>
      </w:pPr>
    </w:p>
    <w:p>
      <w:pPr>
        <w:ind w:firstLine="9"/>
        <w:spacing w:after="0" w:line="285"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Ayar is a wholly-owned subsidiary of The Public Investment Fund of Saudi Arabia ("PIF"), and as such PIF may be deemed to beneficially own the Shares held by Ayar. In addition, each of H.E. Yasir O. Al Rumayyan, the Governor of PIF, and Turqui A. Alnowaiser, Deputy Governor and Head of the International Investments Division of the PIF, may be deemed to beneficially own the shares owned by Ayar by virtue of shared power to vote the shares. Neither H.E. Al Rumayyan nor Mr. Alnowaiser has any, and each and disclaims, any pecuniary interest in the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PIF may be deemed a director by deputization, as Mr. Alnowaiser, an employee of PIF, serves as a representative of Ayar on the Board of Directors of the Issuer.</w:t>
      </w:r>
    </w:p>
    <w:p>
      <w:pPr>
        <w:spacing w:after="0" w:line="7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The Public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295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8"/>
          <w:szCs w:val="18"/>
          <w:color w:val="0000FF"/>
        </w:rPr>
        <w:t>/s/ Yasir O. AlRumayyan,</w:t>
      </w:r>
      <w:r>
        <w:rPr>
          <w:sz w:val="20"/>
          <w:szCs w:val="20"/>
          <w:color w:val="auto"/>
        </w:rPr>
        <w:tab/>
      </w:r>
      <w:r>
        <w:rPr>
          <w:rFonts w:ascii="Arial" w:cs="Arial" w:eastAsia="Arial" w:hAnsi="Arial"/>
          <w:sz w:val="15"/>
          <w:szCs w:val="15"/>
          <w:color w:val="0000FF"/>
        </w:rPr>
        <w:t>06/26/2023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904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Governor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427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42799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Ayar Third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01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10285" cy="8890"/>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8"/>
          <w:szCs w:val="18"/>
          <w:color w:val="0000FF"/>
        </w:rPr>
        <w:t>Company, /s/ Yasir O.</w:t>
      </w:r>
      <w:r>
        <w:rPr>
          <w:sz w:val="20"/>
          <w:szCs w:val="20"/>
          <w:color w:val="auto"/>
        </w:rPr>
        <w:tab/>
      </w:r>
      <w:r>
        <w:rPr>
          <w:rFonts w:ascii="Arial" w:cs="Arial" w:eastAsia="Arial" w:hAnsi="Arial"/>
          <w:sz w:val="15"/>
          <w:szCs w:val="15"/>
          <w:color w:val="0000FF"/>
        </w:rPr>
        <w:t>06/26/2023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904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AlRumayyan,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47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047750" cy="8890"/>
                    </a:xfrm>
                    <a:prstGeom prst="rect">
                      <a:avLst/>
                    </a:prstGeom>
                    <a:noFill/>
                  </pic:spPr>
                </pic:pic>
              </a:graphicData>
            </a:graphic>
          </wp:anchor>
        </w:drawing>
      </w:r>
    </w:p>
    <w:p>
      <w:pPr>
        <w:spacing w:after="0" w:line="3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9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28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2" Type="http://schemas.openxmlformats.org/officeDocument/2006/relationships/hyperlink" Target="http://www.sec.gov/cgi-bin/browse-edgar?action=getcompany&amp;CIK=0001767640" TargetMode="External"/><Relationship Id="rId13" Type="http://schemas.openxmlformats.org/officeDocument/2006/relationships/hyperlink" Target="http://www.sec.gov/cgi-bin/browse-edgar?action=getcompany&amp;CIK=0001811210" TargetMode="External"/><Relationship Id="rId14" Type="http://schemas.openxmlformats.org/officeDocument/2006/relationships/hyperlink" Target="http://www.sec.gov/cgi-bin/browse-edgar?action=getcompany&amp;CIK=00018748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2023-06-26T16:13:25Z</dcterms:created>
  <dcterms:modified xsi:type="dcterms:W3CDTF">2023-06-26T16:13:25Z</dcterms:modified>
</cp:coreProperties>
</file>